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Absolute prevalence and prevalence difference for each exposure-outcome 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Unexposed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Exposed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Unexposed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Exposed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Suicide thoughts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Estimates from fully adjusted multilevel models.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i/>
                <w:rFonts w:ascii="Calibri" w:hAnsi="Calibri"/>
                <w:sz w:val="20"/>
              </w:rPr>
              <w:t xml:space="preserve">Prevalence difference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2026-02-10T12:34:07Z</dcterms:created>
  <dcterms:modified xsi:type="dcterms:W3CDTF">2026-02-10T12:34:07Z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