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Absolute prevalence and prevalence difference for each exposure-outcome pair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Unexposed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Exposed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Difference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Unexposed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Exposed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Difference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Anxiety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Suicide thoughts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8.5%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Estimates from fully adjusted multilevel models.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i/>
                <w:rFonts w:ascii="Calibri" w:hAnsi="Calibri"/>
                <w:sz w:val="20"/>
              </w:rPr>
              <w:t xml:space="preserve">Prevalence difference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2026-02-10T16:40:21Z</dcterms:created>
  <dcterms:modified xsi:type="dcterms:W3CDTF">2026-02-10T16:40:21Z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