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GLM Multilevel models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3"/>
          </w:tcPr>
          <w:p>
            <w:pPr>
              <w:spacing w:before="0" w:after="60"/>
              <w:keepNext/>
              <w:jc w:val="center"/>
            </w:pPr>
            <w:r>
              <w:rPr>
                <w:b w:val="true"/>
                <w:rFonts w:ascii="Calibri" w:hAnsi="Calibri"/>
                <w:sz w:val="20"/>
              </w:rPr>
              <w:t xml:space="preserve">Doctor</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Nurse</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Crude</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Partially adjusted</w:t>
            </w:r>
            <w:r>
              <w:rPr>
                <w:vertAlign w:val="superscript"/>
                <w:i/>
                <w:rFonts w:ascii="Calibri" w:hAnsi="Calibri"/>
                <w:sz w:val="20"/>
              </w:rPr>
              <w:t xml:space="default">2</w:t>
            </w:r>
          </w:p>
        </w:tc>
        <w:tc>
          <w:tcPr>
            <w:tcBorders>
              <w:bottom w:val="single" w:sz="16" w:space="0" w:color="D3D3D3"/>
            </w:tcBorders>
          </w:tcPr>
          <w:p>
            <w:pPr>
              <w:spacing w:before="0" w:after="60"/>
              <w:keepNext/>
              <w:jc w:val="center"/>
            </w:pPr>
            <w:r>
              <w:rPr>
                <w:rFonts w:ascii="Calibri" w:hAnsi="Calibri"/>
                <w:sz w:val="20"/>
              </w:rPr>
              <w:t xml:space="default">Fully adjusted</w:t>
            </w:r>
            <w:r>
              <w:rPr>
                <w:vertAlign w:val="superscript"/>
                <w:i/>
                <w:rFonts w:ascii="Calibri" w:hAnsi="Calibri"/>
                <w:sz w:val="20"/>
              </w:rPr>
              <w:t xml:space="default">3</w:t>
            </w:r>
          </w:p>
        </w:tc>
        <w:tc>
          <w:tcPr>
            <w:tcBorders>
              <w:bottom w:val="single" w:sz="16" w:space="0" w:color="D3D3D3"/>
            </w:tcBorders>
          </w:tcPr>
          <w:p>
            <w:pPr>
              <w:spacing w:before="0" w:after="60"/>
              <w:keepNext/>
              <w:jc w:val="center"/>
            </w:pPr>
            <w:r>
              <w:rPr>
                <w:rFonts w:ascii="Calibri" w:hAnsi="Calibri"/>
                <w:sz w:val="20"/>
              </w:rPr>
              <w:t xml:space="default">Crude</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Partially adjusted</w:t>
            </w:r>
            <w:r>
              <w:rPr>
                <w:vertAlign w:val="superscript"/>
                <w:i/>
                <w:rFonts w:ascii="Calibri" w:hAnsi="Calibri"/>
                <w:sz w:val="20"/>
              </w:rPr>
              <w:t xml:space="default">2</w:t>
            </w:r>
          </w:p>
        </w:tc>
        <w:tc>
          <w:tcPr>
            <w:tcBorders>
              <w:bottom w:val="single" w:sz="16" w:space="0" w:color="D3D3D3"/>
              <w:end w:val="single" w:space="0" w:color="D3D3D3"/>
            </w:tcBorders>
          </w:tcPr>
          <w:p>
            <w:pPr>
              <w:spacing w:before="0" w:after="60"/>
              <w:keepNext/>
              <w:jc w:val="center"/>
            </w:pPr>
            <w:r>
              <w:rPr>
                <w:rFonts w:ascii="Calibri" w:hAnsi="Calibri"/>
                <w:sz w:val="20"/>
              </w:rPr>
              <w:t xml:space="default">Fully adjusted</w:t>
            </w:r>
            <w:r>
              <w:rPr>
                <w:vertAlign w:val="superscript"/>
                <w:i/>
                <w:rFonts w:ascii="Calibri" w:hAnsi="Calibri"/>
                <w:sz w:val="20"/>
              </w:rPr>
              <w:t xml:space="default">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Depression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(2.07, 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(1.88,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(1.88,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(2.44, 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(2.29,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(2.30, 2.71)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(1.61,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(1.34,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(1.34,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 (2.13, 2.66)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 (1.85,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(1.86, 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(1.85,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(1.70,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(1.71,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(2.08,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(1.92,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(1.93, 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(1.44,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(1.27,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(1.27,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(1.93,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(1.74,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(1.74, 2.36)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(0.59,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(0.54,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(0.55,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(0.55, 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(0.54,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(0.43,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(0.38,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(0.39,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(0.41,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(0.43,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(0.44,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(0.43,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Anxiety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(2.14,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(1.92,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(1.92,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(2.52, 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(2.41,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 (2.42, 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 (1.75,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(1.43,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 (1.44,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(2.23, 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(1.99,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(2.00, 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(1.89,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(1.75,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(1.76,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 (2.10,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(2.01, 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 (2.03, 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 (1.64,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(1.45,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(1.49,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(1.89,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(1.77, 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(1.80, 2.56)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(0.60,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(0.60,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(0.52,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(0.53,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(0.52, 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(0.52,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(0.54,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(0.47,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(0.47, 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(0.43,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(0.39,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(0.41,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(0.43,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(0.44,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(0.45, 0.58)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Suicide thoughts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(2.21,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(1.96,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(1.96,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 (2.97, 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 (2.74,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 (2.73, 3.56)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 (2.25, 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 (1.84,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 (1.83, 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 (2.82, 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 (2.37, 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2.78 (2.35, 3.30)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(2.20, 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(1.92,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(1.92, 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 (2.49, 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 (2.23,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 (2.20, 2.99)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(2.31, 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 (1.89, 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(1.90,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 (2.52,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 (2.17, 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 (2.16, 3.34)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(0.53,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(0.56,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(0.57,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(0.45,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(0.46,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(0.46, 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(0.50,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(0.54,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(0.54,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(0.46,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(0.49,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(0.48, 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(0.35,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(0.37,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(0.38,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(0.38,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(0.40,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(0.40, 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(0.30,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(0.33,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(0.33,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(0.35,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(0.37,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(0.37, 0.52)</w:t>
            </w:r>
          </w:p>
        </w:tc>
      </w:tr>
      <w:tr>
        <w:trPr>
          <w:cantSplit/>
        </w:trPr>
        <w:tc>
          <w:tcPr>
            <w:gridSpan w:val="7"/>
          </w:tcPr>
          <w:p>
            <w:pPr>
              <w:spacing w:before="0" w:after="60"/>
              <w:keepNext/>
            </w:pPr>
            <w:r>
              <w:rPr>
                <w:rFonts w:ascii="Calibri" w:hAnsi="Calibri"/>
                <w:sz w:val="20"/>
              </w:rPr>
              <w:t xml:space="default">Prevalence Ratio (95% CI). All models include Region as a second-order covariate.</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Region as second-order covariate only.</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default">Adjusted by Gender, Age group and Proximity to combat areas and occupied territories .</w:t>
            </w:r>
          </w:p>
        </w:tc>
      </w:tr>
      <w:tr>
        <w:trPr>
          <w:cantSplit/>
        </w:trPr>
        <w:tc>
          <w:tcPr>
            <w:gridSpan w:val="7"/>
          </w:tcPr>
          <w:p>
            <w:pPr>
              <w:spacing w:before="0" w:after="60"/>
              <w:keepNext/>
            </w:pPr>
            <w:r>
              <w:rPr>
                <w:vertAlign w:val="superscript"/>
                <w:i/>
                <w:rFonts w:ascii="Calibri" w:hAnsi="Calibri"/>
                <w:sz w:val="20"/>
              </w:rPr>
              <w:t xml:space="default">3</w:t>
            </w:r>
            <w:r>
              <w:rPr>
                <w:rFonts w:ascii="Calibri" w:hAnsi="Calibri"/>
                <w:sz w:val="20"/>
              </w:rPr>
              <w:t xml:space="default">Partially adjusted models plus specific covariates: Bullying and sexual harassment adjusted by Healthcare setting, Post-graduate training and Length of service. Violent threats and physical violence adjusted by Healthcare setting. Support from colleagues or superiors adjusted by Healthcare setting and Length of service. Finding meaning or purpose in job adjusted by Healthcare setting, Relationship status, Having children, and Length of service.</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2026-02-10T16:23:54Z</dcterms:created>
  <dcterms:modified xsi:type="dcterms:W3CDTF">2026-02-10T16:23:54Z</dcterms:modified>
</cp:coreProperties>
</file>

<file path=docProps/custom.xml><?xml version="1.0" encoding="utf-8"?>
<Properties xmlns="http://schemas.openxmlformats.org/officeDocument/2006/custom-properties" xmlns:vt="http://schemas.openxmlformats.org/officeDocument/2006/docPropsVTypes"/>
</file>