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A6" w:rsidRPr="00356DA6" w:rsidRDefault="00356DA6" w:rsidP="00C27E95">
      <w:pPr>
        <w:spacing w:after="0" w:line="240" w:lineRule="auto"/>
        <w:jc w:val="center"/>
        <w:rPr>
          <w:b/>
          <w:sz w:val="44"/>
          <w:szCs w:val="24"/>
        </w:rPr>
      </w:pPr>
      <w:r w:rsidRPr="00356DA6">
        <w:rPr>
          <w:b/>
          <w:sz w:val="44"/>
          <w:szCs w:val="24"/>
        </w:rPr>
        <w:t>SQL Server Management Studio Guide</w:t>
      </w:r>
    </w:p>
    <w:p w:rsidR="00356DA6" w:rsidRDefault="00356DA6" w:rsidP="00C27E95">
      <w:pPr>
        <w:spacing w:after="0" w:line="240" w:lineRule="auto"/>
        <w:rPr>
          <w:b/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b/>
          <w:sz w:val="24"/>
          <w:szCs w:val="24"/>
        </w:rPr>
      </w:pPr>
    </w:p>
    <w:p w:rsidR="00356DA6" w:rsidRPr="00523C50" w:rsidRDefault="00356DA6" w:rsidP="00C27E95">
      <w:pPr>
        <w:spacing w:after="0" w:line="240" w:lineRule="auto"/>
        <w:rPr>
          <w:b/>
          <w:sz w:val="28"/>
          <w:szCs w:val="24"/>
          <w:u w:val="single"/>
        </w:rPr>
      </w:pPr>
      <w:r w:rsidRPr="00523C50">
        <w:rPr>
          <w:b/>
          <w:sz w:val="28"/>
          <w:szCs w:val="24"/>
          <w:u w:val="single"/>
        </w:rPr>
        <w:t>NoHo Data</w:t>
      </w:r>
      <w:r w:rsidR="00523C50" w:rsidRPr="00523C50">
        <w:rPr>
          <w:b/>
          <w:sz w:val="28"/>
          <w:szCs w:val="24"/>
          <w:u w:val="single"/>
        </w:rPr>
        <w:t>base Connection Instructions</w:t>
      </w:r>
    </w:p>
    <w:p w:rsidR="00356DA6" w:rsidRDefault="00356DA6" w:rsidP="00C27E95">
      <w:pPr>
        <w:spacing w:after="0" w:line="240" w:lineRule="auto"/>
        <w:rPr>
          <w:sz w:val="24"/>
          <w:szCs w:val="24"/>
        </w:rPr>
      </w:pPr>
    </w:p>
    <w:p w:rsidR="00356DA6" w:rsidRPr="00356DA6" w:rsidRDefault="00356DA6" w:rsidP="00C27E95">
      <w:pPr>
        <w:spacing w:after="0" w:line="240" w:lineRule="auto"/>
        <w:rPr>
          <w:b/>
          <w:sz w:val="24"/>
          <w:szCs w:val="24"/>
        </w:rPr>
      </w:pPr>
      <w:r w:rsidRPr="00356DA6">
        <w:rPr>
          <w:b/>
          <w:sz w:val="24"/>
          <w:szCs w:val="24"/>
        </w:rPr>
        <w:t>Step 1: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356DA6" w:rsidRDefault="00356DA6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Contact IT </w:t>
      </w:r>
      <w:r w:rsidR="00523C50">
        <w:rPr>
          <w:sz w:val="24"/>
          <w:szCs w:val="24"/>
        </w:rPr>
        <w:t>and</w:t>
      </w:r>
      <w:r>
        <w:rPr>
          <w:sz w:val="24"/>
          <w:szCs w:val="24"/>
        </w:rPr>
        <w:t xml:space="preserve"> have them install the latest version of </w:t>
      </w:r>
      <w:proofErr w:type="spellStart"/>
      <w:r>
        <w:rPr>
          <w:sz w:val="24"/>
          <w:szCs w:val="24"/>
        </w:rPr>
        <w:t>Miscrosoft</w:t>
      </w:r>
      <w:proofErr w:type="spellEnd"/>
      <w:r>
        <w:rPr>
          <w:sz w:val="24"/>
          <w:szCs w:val="24"/>
        </w:rPr>
        <w:t xml:space="preserve"> SQL Server Management </w:t>
      </w:r>
      <w:r w:rsidR="00523C50">
        <w:rPr>
          <w:sz w:val="24"/>
          <w:szCs w:val="24"/>
        </w:rPr>
        <w:t>Studio to your machine.</w:t>
      </w:r>
    </w:p>
    <w:p w:rsidR="00523C50" w:rsidRDefault="00523C50" w:rsidP="00C27E9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FA566B" wp14:editId="36D23923">
            <wp:extent cx="5156242" cy="24249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582" cy="24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0" w:rsidRDefault="00523C50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b/>
          <w:sz w:val="24"/>
          <w:szCs w:val="24"/>
        </w:rPr>
      </w:pPr>
    </w:p>
    <w:p w:rsidR="00523C50" w:rsidRPr="00523C50" w:rsidRDefault="00523C50" w:rsidP="00C27E95">
      <w:pPr>
        <w:spacing w:after="0" w:line="240" w:lineRule="auto"/>
        <w:rPr>
          <w:b/>
          <w:sz w:val="24"/>
          <w:szCs w:val="24"/>
        </w:rPr>
      </w:pPr>
      <w:r w:rsidRPr="00523C50">
        <w:rPr>
          <w:b/>
          <w:sz w:val="24"/>
          <w:szCs w:val="24"/>
        </w:rPr>
        <w:t>Step 2: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523C50" w:rsidRDefault="00523C50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give you access to a group in the AD with access to server name </w:t>
      </w:r>
      <w:r w:rsidRPr="00523C50">
        <w:rPr>
          <w:b/>
          <w:sz w:val="24"/>
          <w:szCs w:val="24"/>
        </w:rPr>
        <w:t>shqrsrch01</w:t>
      </w:r>
    </w:p>
    <w:p w:rsidR="00523C50" w:rsidRPr="00356DA6" w:rsidRDefault="00523C50" w:rsidP="00C27E95">
      <w:pPr>
        <w:spacing w:after="0" w:line="240" w:lineRule="auto"/>
        <w:jc w:val="center"/>
        <w:rPr>
          <w:sz w:val="24"/>
          <w:szCs w:val="24"/>
        </w:rPr>
      </w:pPr>
      <w:r w:rsidRPr="00356DA6">
        <w:rPr>
          <w:noProof/>
        </w:rPr>
        <w:drawing>
          <wp:inline distT="0" distB="0" distL="0" distR="0" wp14:anchorId="253ABB82" wp14:editId="5938292A">
            <wp:extent cx="3777684" cy="25450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484" cy="25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95" w:rsidRDefault="00C27E95" w:rsidP="00C27E95">
      <w:pPr>
        <w:spacing w:after="0" w:line="240" w:lineRule="auto"/>
        <w:rPr>
          <w:b/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b/>
          <w:sz w:val="24"/>
          <w:szCs w:val="24"/>
        </w:rPr>
      </w:pPr>
    </w:p>
    <w:p w:rsidR="00356DA6" w:rsidRPr="009F53B3" w:rsidRDefault="00523C50" w:rsidP="00C27E95">
      <w:pPr>
        <w:spacing w:after="0" w:line="240" w:lineRule="auto"/>
        <w:rPr>
          <w:b/>
          <w:sz w:val="24"/>
          <w:szCs w:val="24"/>
        </w:rPr>
      </w:pPr>
      <w:r w:rsidRPr="009F53B3">
        <w:rPr>
          <w:b/>
          <w:sz w:val="24"/>
          <w:szCs w:val="24"/>
        </w:rPr>
        <w:lastRenderedPageBreak/>
        <w:t>Step 3: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356DA6" w:rsidRPr="00523C50" w:rsidRDefault="00523C50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Connect to the </w:t>
      </w:r>
      <w:r w:rsidRPr="00523C50">
        <w:rPr>
          <w:b/>
          <w:sz w:val="24"/>
          <w:szCs w:val="24"/>
        </w:rPr>
        <w:t>shqrsrch01</w:t>
      </w:r>
      <w:r w:rsidRPr="00523C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 and follow the path </w:t>
      </w:r>
      <w:r w:rsidR="009F53B3">
        <w:rPr>
          <w:sz w:val="24"/>
          <w:szCs w:val="24"/>
        </w:rPr>
        <w:t>– Server Objects\Linked Servers\SDRSQL1\Catalogs</w:t>
      </w:r>
    </w:p>
    <w:p w:rsidR="00356DA6" w:rsidRDefault="00523C50" w:rsidP="00C27E9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74BACC" wp14:editId="544A620C">
            <wp:extent cx="2532134" cy="4420859"/>
            <wp:effectExtent l="133350" t="76200" r="78105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294" cy="448049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356DA6" w:rsidRDefault="00356DA6" w:rsidP="00C27E95">
      <w:pPr>
        <w:spacing w:after="0" w:line="240" w:lineRule="auto"/>
        <w:rPr>
          <w:sz w:val="24"/>
          <w:szCs w:val="24"/>
        </w:rPr>
      </w:pPr>
    </w:p>
    <w:p w:rsidR="00356DA6" w:rsidRPr="009F53B3" w:rsidRDefault="009F53B3" w:rsidP="00C27E95">
      <w:pPr>
        <w:spacing w:after="0" w:line="240" w:lineRule="auto"/>
        <w:rPr>
          <w:b/>
          <w:sz w:val="24"/>
          <w:szCs w:val="24"/>
        </w:rPr>
      </w:pPr>
      <w:r w:rsidRPr="009F53B3">
        <w:rPr>
          <w:b/>
          <w:sz w:val="24"/>
          <w:szCs w:val="24"/>
        </w:rPr>
        <w:t>Step 4: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9F53B3" w:rsidRDefault="009F53B3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up a table and start exploring the data</w:t>
      </w:r>
      <w:r w:rsidR="00AE2145">
        <w:rPr>
          <w:sz w:val="24"/>
          <w:szCs w:val="24"/>
        </w:rPr>
        <w:t>.</w:t>
      </w:r>
    </w:p>
    <w:p w:rsidR="009F53B3" w:rsidRDefault="009F53B3" w:rsidP="00C27E9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CE5144" wp14:editId="5EA7B495">
            <wp:extent cx="2599617" cy="1801926"/>
            <wp:effectExtent l="133350" t="76200" r="86995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340" cy="18821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9F53B3" w:rsidRPr="00AE2145" w:rsidRDefault="00C61FD8" w:rsidP="00C27E95">
      <w:pPr>
        <w:spacing w:after="0" w:line="240" w:lineRule="auto"/>
        <w:rPr>
          <w:b/>
          <w:sz w:val="24"/>
          <w:szCs w:val="24"/>
        </w:rPr>
      </w:pPr>
      <w:r w:rsidRPr="00AE2145">
        <w:rPr>
          <w:b/>
          <w:sz w:val="24"/>
          <w:szCs w:val="24"/>
        </w:rPr>
        <w:lastRenderedPageBreak/>
        <w:t>Step 5: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C61FD8" w:rsidRDefault="00AE214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Left-click on the “New Query” button to open up a blank SQL script.</w:t>
      </w:r>
    </w:p>
    <w:p w:rsidR="00AE2145" w:rsidRDefault="00AE2145" w:rsidP="00C27E9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AEBEC1" wp14:editId="74C8C0EC">
            <wp:extent cx="4912067" cy="44586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260" cy="44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45" w:rsidRDefault="00AE2145" w:rsidP="00C27E95">
      <w:pPr>
        <w:spacing w:after="0" w:line="240" w:lineRule="auto"/>
        <w:jc w:val="center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b/>
          <w:sz w:val="24"/>
          <w:szCs w:val="24"/>
        </w:rPr>
      </w:pPr>
    </w:p>
    <w:p w:rsidR="00AE2145" w:rsidRPr="00AE2145" w:rsidRDefault="00AE2145" w:rsidP="00C27E95">
      <w:pPr>
        <w:spacing w:after="0" w:line="240" w:lineRule="auto"/>
        <w:rPr>
          <w:b/>
          <w:sz w:val="24"/>
          <w:szCs w:val="24"/>
        </w:rPr>
      </w:pPr>
      <w:r w:rsidRPr="00AE2145">
        <w:rPr>
          <w:b/>
          <w:sz w:val="24"/>
          <w:szCs w:val="24"/>
        </w:rPr>
        <w:t>Step 6: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AE2145" w:rsidRDefault="00AE214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SQL script and have fun exploring all of the data that NoHo has to offer.</w:t>
      </w:r>
    </w:p>
    <w:p w:rsidR="009D4DBB" w:rsidRDefault="009D4DBB" w:rsidP="00C27E95">
      <w:pPr>
        <w:spacing w:after="0" w:line="240" w:lineRule="auto"/>
        <w:rPr>
          <w:sz w:val="24"/>
          <w:szCs w:val="24"/>
        </w:rPr>
      </w:pPr>
    </w:p>
    <w:p w:rsidR="00FE0E43" w:rsidRDefault="00FE0E43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C27E95" w:rsidRDefault="00C27E95" w:rsidP="00C27E95">
      <w:pPr>
        <w:spacing w:after="0" w:line="240" w:lineRule="auto"/>
        <w:rPr>
          <w:sz w:val="24"/>
          <w:szCs w:val="24"/>
        </w:rPr>
      </w:pPr>
    </w:p>
    <w:p w:rsidR="009D4DBB" w:rsidRPr="00523C50" w:rsidRDefault="009D4DBB" w:rsidP="00C27E95">
      <w:pPr>
        <w:spacing w:after="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SQL Basics – Getting Started</w:t>
      </w:r>
    </w:p>
    <w:p w:rsidR="00FE0E43" w:rsidRDefault="00FE0E43" w:rsidP="00C27E95">
      <w:pPr>
        <w:spacing w:after="0" w:line="240" w:lineRule="auto"/>
        <w:rPr>
          <w:sz w:val="24"/>
          <w:szCs w:val="24"/>
        </w:rPr>
      </w:pPr>
    </w:p>
    <w:p w:rsidR="009D4DBB" w:rsidRDefault="00FE0E43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 query window type the following script:</w:t>
      </w:r>
    </w:p>
    <w:p w:rsidR="00FE0E43" w:rsidRPr="00FE0E43" w:rsidRDefault="00FE0E43" w:rsidP="00C27E95">
      <w:pPr>
        <w:spacing w:after="0" w:line="240" w:lineRule="auto"/>
        <w:rPr>
          <w:sz w:val="36"/>
          <w:szCs w:val="24"/>
        </w:rPr>
      </w:pPr>
      <w:r w:rsidRPr="00FE0E43">
        <w:rPr>
          <w:rFonts w:ascii="Consolas" w:hAnsi="Consolas" w:cs="Consolas"/>
          <w:color w:val="0000FF"/>
          <w:sz w:val="24"/>
          <w:szCs w:val="19"/>
        </w:rPr>
        <w:t>SELECT</w:t>
      </w:r>
      <w:r w:rsidRPr="00FE0E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E0E43">
        <w:rPr>
          <w:rFonts w:ascii="Consolas" w:hAnsi="Consolas" w:cs="Consolas"/>
          <w:color w:val="808080"/>
          <w:sz w:val="24"/>
          <w:szCs w:val="19"/>
        </w:rPr>
        <w:t>*</w:t>
      </w:r>
      <w:r w:rsidRPr="00FE0E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E0E43">
        <w:rPr>
          <w:rFonts w:ascii="Consolas" w:hAnsi="Consolas" w:cs="Consolas"/>
          <w:color w:val="0000FF"/>
          <w:sz w:val="24"/>
          <w:szCs w:val="19"/>
        </w:rPr>
        <w:t>FROM</w:t>
      </w:r>
      <w:r w:rsidRPr="00FE0E43">
        <w:rPr>
          <w:rFonts w:ascii="Consolas" w:hAnsi="Consolas" w:cs="Consolas"/>
          <w:color w:val="000000"/>
          <w:sz w:val="24"/>
          <w:szCs w:val="19"/>
        </w:rPr>
        <w:t xml:space="preserve"> [SDRSQL1]</w:t>
      </w:r>
      <w:proofErr w:type="gramStart"/>
      <w:r w:rsidRPr="00FE0E43">
        <w:rPr>
          <w:rFonts w:ascii="Consolas" w:hAnsi="Consolas" w:cs="Consolas"/>
          <w:color w:val="808080"/>
          <w:sz w:val="24"/>
          <w:szCs w:val="19"/>
        </w:rPr>
        <w:t>.</w:t>
      </w:r>
      <w:r w:rsidRPr="00FE0E43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FE0E43">
        <w:rPr>
          <w:rFonts w:ascii="Consolas" w:hAnsi="Consolas" w:cs="Consolas"/>
          <w:color w:val="000000"/>
          <w:sz w:val="24"/>
          <w:szCs w:val="19"/>
        </w:rPr>
        <w:t>CAPPS]</w:t>
      </w:r>
      <w:r w:rsidRPr="00FE0E43">
        <w:rPr>
          <w:rFonts w:ascii="Consolas" w:hAnsi="Consolas" w:cs="Consolas"/>
          <w:color w:val="808080"/>
          <w:sz w:val="24"/>
          <w:szCs w:val="19"/>
        </w:rPr>
        <w:t>.</w:t>
      </w:r>
      <w:r w:rsidRPr="00FE0E43">
        <w:rPr>
          <w:rFonts w:ascii="Consolas" w:hAnsi="Consolas" w:cs="Consolas"/>
          <w:color w:val="000000"/>
          <w:sz w:val="24"/>
          <w:szCs w:val="19"/>
        </w:rPr>
        <w:t>[</w:t>
      </w:r>
      <w:proofErr w:type="spellStart"/>
      <w:r w:rsidRPr="00FE0E43">
        <w:rPr>
          <w:rFonts w:ascii="Consolas" w:hAnsi="Consolas" w:cs="Consolas"/>
          <w:color w:val="000000"/>
          <w:sz w:val="24"/>
          <w:szCs w:val="19"/>
        </w:rPr>
        <w:t>dbo</w:t>
      </w:r>
      <w:proofErr w:type="spellEnd"/>
      <w:r w:rsidRPr="00FE0E43">
        <w:rPr>
          <w:rFonts w:ascii="Consolas" w:hAnsi="Consolas" w:cs="Consolas"/>
          <w:color w:val="000000"/>
          <w:sz w:val="24"/>
          <w:szCs w:val="19"/>
        </w:rPr>
        <w:t>]</w:t>
      </w:r>
      <w:r w:rsidRPr="00FE0E43">
        <w:rPr>
          <w:rFonts w:ascii="Consolas" w:hAnsi="Consolas" w:cs="Consolas"/>
          <w:color w:val="808080"/>
          <w:sz w:val="24"/>
          <w:szCs w:val="19"/>
        </w:rPr>
        <w:t>.</w:t>
      </w:r>
      <w:r w:rsidRPr="00FE0E43">
        <w:rPr>
          <w:rFonts w:ascii="Consolas" w:hAnsi="Consolas" w:cs="Consolas"/>
          <w:color w:val="000000"/>
          <w:sz w:val="24"/>
          <w:szCs w:val="19"/>
        </w:rPr>
        <w:t>[</w:t>
      </w:r>
      <w:proofErr w:type="spellStart"/>
      <w:r w:rsidRPr="00FE0E43">
        <w:rPr>
          <w:rFonts w:ascii="Consolas" w:hAnsi="Consolas" w:cs="Consolas"/>
          <w:color w:val="000000"/>
          <w:sz w:val="24"/>
          <w:szCs w:val="19"/>
        </w:rPr>
        <w:t>tblChild</w:t>
      </w:r>
      <w:proofErr w:type="spellEnd"/>
      <w:r w:rsidRPr="00FE0E43">
        <w:rPr>
          <w:rFonts w:ascii="Consolas" w:hAnsi="Consolas" w:cs="Consolas"/>
          <w:color w:val="000000"/>
          <w:sz w:val="24"/>
          <w:szCs w:val="19"/>
        </w:rPr>
        <w:t>]</w:t>
      </w:r>
    </w:p>
    <w:p w:rsidR="009D4DBB" w:rsidRDefault="009D4DBB" w:rsidP="00C27E95">
      <w:pPr>
        <w:spacing w:after="0" w:line="240" w:lineRule="auto"/>
        <w:rPr>
          <w:sz w:val="24"/>
          <w:szCs w:val="24"/>
        </w:rPr>
      </w:pPr>
    </w:p>
    <w:p w:rsidR="00FE0E43" w:rsidRDefault="00FE0E43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returned results should look something like this:</w:t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0E188F" w:rsidRDefault="00FE0E43" w:rsidP="00C27E9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536908" wp14:editId="6D06E1BB">
            <wp:extent cx="5943600" cy="3636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A2" w:rsidRDefault="00AA79A2" w:rsidP="00C27E95">
      <w:pPr>
        <w:spacing w:after="0" w:line="240" w:lineRule="auto"/>
        <w:rPr>
          <w:sz w:val="24"/>
          <w:szCs w:val="24"/>
        </w:rPr>
      </w:pPr>
    </w:p>
    <w:p w:rsidR="00FE0E43" w:rsidRDefault="00FE0E43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 this point, you, as the user, have the power to extract and load data based on your desired SQL script. </w:t>
      </w:r>
    </w:p>
    <w:p w:rsidR="000E188F" w:rsidRDefault="000E188F" w:rsidP="00C27E95">
      <w:pPr>
        <w:spacing w:after="0" w:line="240" w:lineRule="auto"/>
        <w:rPr>
          <w:sz w:val="24"/>
          <w:szCs w:val="24"/>
        </w:rPr>
      </w:pPr>
    </w:p>
    <w:p w:rsidR="00D30D01" w:rsidRDefault="00D30D01" w:rsidP="00C27E95">
      <w:pPr>
        <w:spacing w:after="0" w:line="240" w:lineRule="auto"/>
        <w:rPr>
          <w:sz w:val="24"/>
          <w:szCs w:val="24"/>
        </w:rPr>
      </w:pPr>
    </w:p>
    <w:p w:rsidR="000E188F" w:rsidRPr="00523C50" w:rsidRDefault="000E188F" w:rsidP="00C27E95">
      <w:pPr>
        <w:spacing w:after="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Extracting Data into Tabular Format</w:t>
      </w:r>
    </w:p>
    <w:p w:rsidR="000E188F" w:rsidRDefault="000E188F" w:rsidP="00C27E95">
      <w:pPr>
        <w:spacing w:after="0" w:line="240" w:lineRule="auto"/>
        <w:rPr>
          <w:sz w:val="24"/>
          <w:szCs w:val="24"/>
        </w:rPr>
      </w:pPr>
    </w:p>
    <w:p w:rsidR="000E188F" w:rsidRDefault="000E188F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easiest way to get your results into a tabular format is to create an Excel file beforehand in preparation to copy the data. Once your Excel file has been created left-click on any cell in the results grid and then press Ctrl + A. Next, Right-click and select “Copy with Headers”. Your SQL results are now pasted in Excel ready for post-hoc analyses.</w:t>
      </w:r>
    </w:p>
    <w:p w:rsidR="000E188F" w:rsidRDefault="000E188F" w:rsidP="00C27E95">
      <w:pPr>
        <w:spacing w:after="0" w:line="240" w:lineRule="auto"/>
        <w:rPr>
          <w:sz w:val="24"/>
          <w:szCs w:val="24"/>
        </w:rPr>
      </w:pPr>
    </w:p>
    <w:p w:rsidR="00D30D01" w:rsidRDefault="00D30D01" w:rsidP="00C27E95">
      <w:pPr>
        <w:spacing w:after="0" w:line="240" w:lineRule="auto"/>
        <w:rPr>
          <w:sz w:val="24"/>
          <w:szCs w:val="24"/>
        </w:rPr>
      </w:pPr>
    </w:p>
    <w:p w:rsidR="00D30D01" w:rsidRPr="00523C50" w:rsidRDefault="00902F25" w:rsidP="00C27E95">
      <w:pPr>
        <w:spacing w:after="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Exploring the CCRC NoHo Databases</w:t>
      </w:r>
    </w:p>
    <w:p w:rsidR="00D30D01" w:rsidRDefault="00D30D01" w:rsidP="00C27E95">
      <w:pPr>
        <w:spacing w:after="0" w:line="240" w:lineRule="auto"/>
        <w:rPr>
          <w:sz w:val="24"/>
          <w:szCs w:val="24"/>
        </w:rPr>
      </w:pPr>
    </w:p>
    <w:p w:rsidR="000E188F" w:rsidRDefault="00902F2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</w:t>
      </w:r>
      <w:r w:rsidR="00D30D01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design foundation of the </w:t>
      </w:r>
      <w:r w:rsidR="00D30D01">
        <w:rPr>
          <w:sz w:val="24"/>
          <w:szCs w:val="24"/>
        </w:rPr>
        <w:t>NoHo Databases</w:t>
      </w:r>
      <w:r>
        <w:rPr>
          <w:sz w:val="24"/>
          <w:szCs w:val="24"/>
        </w:rPr>
        <w:t xml:space="preserve"> that CCRC operates and maintains is critical for Research staff to comprehend when extracting data.</w:t>
      </w:r>
    </w:p>
    <w:p w:rsidR="00902F25" w:rsidRPr="00902F25" w:rsidRDefault="00902F25" w:rsidP="00C27E95">
      <w:pPr>
        <w:spacing w:after="0" w:line="240" w:lineRule="auto"/>
        <w:rPr>
          <w:b/>
          <w:i/>
          <w:sz w:val="24"/>
          <w:szCs w:val="24"/>
          <w:u w:val="single"/>
        </w:rPr>
      </w:pPr>
      <w:r w:rsidRPr="00902F25">
        <w:rPr>
          <w:b/>
          <w:i/>
          <w:sz w:val="24"/>
          <w:szCs w:val="24"/>
          <w:u w:val="single"/>
        </w:rPr>
        <w:lastRenderedPageBreak/>
        <w:t>There are four databases:</w:t>
      </w:r>
    </w:p>
    <w:p w:rsidR="00D30D01" w:rsidRDefault="00D30D01" w:rsidP="00C27E95">
      <w:pPr>
        <w:spacing w:after="0" w:line="240" w:lineRule="auto"/>
        <w:rPr>
          <w:sz w:val="24"/>
          <w:szCs w:val="24"/>
        </w:rPr>
      </w:pPr>
    </w:p>
    <w:p w:rsidR="000E188F" w:rsidRDefault="000E188F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2F25">
        <w:rPr>
          <w:noProof/>
        </w:rPr>
        <w:drawing>
          <wp:inline distT="0" distB="0" distL="0" distR="0" wp14:anchorId="7765B446" wp14:editId="7133F27D">
            <wp:extent cx="231457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902F25" w:rsidRPr="00902F25" w:rsidRDefault="00902F25" w:rsidP="00C27E95">
      <w:pPr>
        <w:spacing w:after="0" w:line="240" w:lineRule="auto"/>
        <w:rPr>
          <w:b/>
          <w:sz w:val="24"/>
          <w:szCs w:val="24"/>
        </w:rPr>
      </w:pPr>
      <w:r w:rsidRPr="00902F25">
        <w:rPr>
          <w:b/>
          <w:sz w:val="24"/>
          <w:szCs w:val="24"/>
        </w:rPr>
        <w:t>CAPPS: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CAPPS contains CDE Subsidy data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902F25" w:rsidRPr="00902F25" w:rsidRDefault="00902F25" w:rsidP="00902F25">
      <w:pPr>
        <w:spacing w:after="0" w:line="240" w:lineRule="auto"/>
        <w:rPr>
          <w:b/>
          <w:sz w:val="24"/>
          <w:szCs w:val="24"/>
        </w:rPr>
      </w:pPr>
      <w:r w:rsidRPr="00902F25">
        <w:rPr>
          <w:b/>
          <w:sz w:val="24"/>
          <w:szCs w:val="24"/>
        </w:rPr>
        <w:t>CAPPS</w:t>
      </w:r>
      <w:r>
        <w:rPr>
          <w:b/>
          <w:sz w:val="24"/>
          <w:szCs w:val="24"/>
        </w:rPr>
        <w:t>_Stage1</w:t>
      </w:r>
      <w:r w:rsidRPr="00902F25">
        <w:rPr>
          <w:b/>
          <w:sz w:val="24"/>
          <w:szCs w:val="24"/>
        </w:rPr>
        <w:t>: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CAPPS</w:t>
      </w:r>
      <w:r>
        <w:rPr>
          <w:sz w:val="24"/>
          <w:szCs w:val="24"/>
        </w:rPr>
        <w:t>_Stage1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Stage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902F25" w:rsidRPr="00902F25" w:rsidRDefault="00902F25" w:rsidP="00902F2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Pr="00902F25">
        <w:rPr>
          <w:b/>
          <w:sz w:val="24"/>
          <w:szCs w:val="24"/>
        </w:rPr>
        <w:t>: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CEL contains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Waitlist data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902F25" w:rsidRPr="00902F25" w:rsidRDefault="00902F25" w:rsidP="00902F25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RRNoHo</w:t>
      </w:r>
      <w:proofErr w:type="spellEnd"/>
      <w:r w:rsidRPr="00902F25">
        <w:rPr>
          <w:b/>
          <w:sz w:val="24"/>
          <w:szCs w:val="24"/>
        </w:rPr>
        <w:t>: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RRNoHo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contains Provider data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902F25" w:rsidRPr="00902F25" w:rsidRDefault="00902F25" w:rsidP="00902F25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Important Data Fields:</w:t>
      </w:r>
    </w:p>
    <w:p w:rsidR="00902F25" w:rsidRDefault="00902F25" w:rsidP="00C27E95">
      <w:pPr>
        <w:spacing w:after="0" w:line="240" w:lineRule="auto"/>
        <w:rPr>
          <w:sz w:val="24"/>
          <w:szCs w:val="24"/>
        </w:rPr>
      </w:pPr>
    </w:p>
    <w:p w:rsidR="00D0529C" w:rsidRDefault="00902F25" w:rsidP="00C27E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performing SQL queries it is imperative that the user understand that </w:t>
      </w:r>
      <w:proofErr w:type="spellStart"/>
      <w:r>
        <w:rPr>
          <w:sz w:val="24"/>
          <w:szCs w:val="24"/>
        </w:rPr>
        <w:t>ChildID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FamilyID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ProviderID</w:t>
      </w:r>
      <w:proofErr w:type="spellEnd"/>
      <w:r w:rsidR="00B4487C">
        <w:rPr>
          <w:sz w:val="24"/>
          <w:szCs w:val="24"/>
        </w:rPr>
        <w:t xml:space="preserve"> (all iterations) are the primary keys to be used when joining data. CCRC, as an agency, promotes data collection using these fields as the primary connectors.</w:t>
      </w:r>
      <w:bookmarkStart w:id="0" w:name="_GoBack"/>
      <w:bookmarkEnd w:id="0"/>
    </w:p>
    <w:p w:rsidR="00902F25" w:rsidRPr="00356DA6" w:rsidRDefault="00902F25" w:rsidP="00C27E95">
      <w:pPr>
        <w:spacing w:after="0" w:line="240" w:lineRule="auto"/>
        <w:rPr>
          <w:sz w:val="24"/>
          <w:szCs w:val="24"/>
        </w:rPr>
      </w:pPr>
    </w:p>
    <w:sectPr w:rsidR="00902F25" w:rsidRPr="0035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50"/>
    <w:rsid w:val="000E188F"/>
    <w:rsid w:val="00111992"/>
    <w:rsid w:val="00356DA6"/>
    <w:rsid w:val="003F6E14"/>
    <w:rsid w:val="00523C50"/>
    <w:rsid w:val="00902F25"/>
    <w:rsid w:val="009D4DBB"/>
    <w:rsid w:val="009F53B3"/>
    <w:rsid w:val="00A43C50"/>
    <w:rsid w:val="00AA79A2"/>
    <w:rsid w:val="00AE2145"/>
    <w:rsid w:val="00B4487C"/>
    <w:rsid w:val="00B9041D"/>
    <w:rsid w:val="00C27E95"/>
    <w:rsid w:val="00C61FD8"/>
    <w:rsid w:val="00D0529C"/>
    <w:rsid w:val="00D30D01"/>
    <w:rsid w:val="00F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9CD93-48C7-429C-B5CB-9C1513B0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730D-E200-4AB9-91CF-AA224E71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Nineberg</dc:creator>
  <cp:keywords/>
  <dc:description/>
  <cp:lastModifiedBy>Jared Nineberg</cp:lastModifiedBy>
  <cp:revision>9</cp:revision>
  <dcterms:created xsi:type="dcterms:W3CDTF">2020-08-26T21:29:00Z</dcterms:created>
  <dcterms:modified xsi:type="dcterms:W3CDTF">2020-08-26T23:27:00Z</dcterms:modified>
</cp:coreProperties>
</file>