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7esqyhv50mb" w:id="0"/>
      <w:bookmarkEnd w:id="0"/>
      <w:r w:rsidDel="00000000" w:rsidR="00000000" w:rsidRPr="00000000">
        <w:rPr>
          <w:rtl w:val="0"/>
        </w:rPr>
        <w:t xml:space="preserve">Средний тренд роста публикаций (число всех статей по годам).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Среднее количество публикаций в год: 40000 по всем статьям.</w:t>
      </w:r>
    </w:p>
    <w:p w:rsidR="00000000" w:rsidDel="00000000" w:rsidP="00000000" w:rsidRDefault="00000000" w:rsidRPr="00000000" w14:paraId="0000000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Не один из топиков не превышает данный показатель.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Это связано с распределением документов в топиках. Данные содержат выбросы или существенно искажены (например, несколько топиков с очень высоким количеством публикаций 9000, в то время как большинство топиков имеют значительно меньше публикаций 600)  </w:t>
      </w:r>
    </w:p>
    <w:p w:rsidR="00000000" w:rsidDel="00000000" w:rsidP="00000000" w:rsidRDefault="00000000" w:rsidRPr="00000000" w14:paraId="0000000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В связи с этим, я решил применить анализ изменения количества публикаций по темам по годам, чтобы определить, какие темы становятся более или менее популярными, и тем самым получить более точное представление о динамике интереса к различным темам. Это позволило выявить темы с наибольшим ростом и снижением интереса, что является более релевантным показателем текущих научных тенденций, чем простое сравнение абсолютных объемов публикаций.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691313" cy="28976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28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75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график динамики интереса к топику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Динамика количества публикаций по годам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Таблица для 0 топика</w:t>
      </w:r>
    </w:p>
    <w:tbl>
      <w:tblPr>
        <w:tblStyle w:val="Table1"/>
        <w:tblW w:w="6030.0" w:type="dxa"/>
        <w:jc w:val="lef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990"/>
        <w:gridCol w:w="1515"/>
        <w:gridCol w:w="1545"/>
        <w:gridCol w:w="1980"/>
        <w:tblGridChange w:id="0">
          <w:tblGrid>
            <w:gridCol w:w="990"/>
            <w:gridCol w:w="1515"/>
            <w:gridCol w:w="1545"/>
            <w:gridCol w:w="198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Кол-во Публикаций за 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Изменение Кол-ва Публикаций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227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+62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443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+216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562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+119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639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+77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971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+332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1381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+410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1934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+553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3263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+1329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4575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+1312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5973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+1398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6285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+312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6765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+480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7623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+858</w:t>
            </w:r>
          </w:p>
        </w:tc>
      </w:tr>
    </w:tbl>
    <w:p w:rsidR="00000000" w:rsidDel="00000000" w:rsidP="00000000" w:rsidRDefault="00000000" w:rsidRPr="00000000" w14:paraId="0000003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Заметен постоянный рост интереса к данной области, особенно скачок наблюдается в период с 2017 по 2018 год, когда количество публикаций увеличилось почти в два раза. Несмотря на замедление темпов роста в последующие годы, общий тренд показывает устойчивый рост количества публикаций, достигая пика в 2023 году с 858 новыми работами и общим количеством 7623 публикаций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Результаты анализа показали, что </w:t>
      </w:r>
      <w:r w:rsidDel="00000000" w:rsidR="00000000" w:rsidRPr="00000000">
        <w:rPr>
          <w:b w:val="1"/>
          <w:rtl w:val="0"/>
        </w:rPr>
        <w:t xml:space="preserve">топ-5 тем с наибольшим ростом</w:t>
      </w:r>
      <w:r w:rsidDel="00000000" w:rsidR="00000000" w:rsidRPr="00000000">
        <w:rPr>
          <w:rtl w:val="0"/>
        </w:rPr>
        <w:t xml:space="preserve"> интереса включают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1110"/>
        <w:gridCol w:w="3450"/>
        <w:gridCol w:w="2385"/>
        <w:gridCol w:w="1980"/>
        <w:tblGridChange w:id="0">
          <w:tblGrid>
            <w:gridCol w:w="1110"/>
            <w:gridCol w:w="3450"/>
            <w:gridCol w:w="2385"/>
            <w:gridCol w:w="198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Топик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Ключевые Слова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Изменение Кол-ва Публикаций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Машинное обучение: Байесовские методы, опорные векторы (SVM), переобучение, классификация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bayesian, svm, overfitting, classifiers, arxiv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+7458.0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Искусственный интеллект: AlphaGo, автоматоны, робототехника, искусственные интеллектуальные системы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alphago, automaton, robots, ais, robotic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+2136.0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Анализ данных: Кластеризация, метод опорных векторов (SVM), классификация, Вороного диаграммы, компьютерное зрение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clustering, svm, classifiers, voronoi, opencv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+1750.0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Машинное обучение: Классификация, Байесовские методы, долгосрочная память (LSTM), SVM, переобучение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classifiers, bayesian, lstm, svm, overfitting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+1515.0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Графическая визуализация: Вороного диаграммы, трассировка лучей, фотограмметрия, воксели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voronoi, raytracing, photogrammetry, voxel, svm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+1251.0</w:t>
            </w:r>
          </w:p>
        </w:tc>
      </w:tr>
    </w:tbl>
    <w:p w:rsidR="00000000" w:rsidDel="00000000" w:rsidP="00000000" w:rsidRDefault="00000000" w:rsidRPr="00000000" w14:paraId="0000005B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1.73228346456688" w:firstLine="0"/>
        <w:rPr/>
      </w:pPr>
      <w:r w:rsidDel="00000000" w:rsidR="00000000" w:rsidRPr="00000000">
        <w:rPr>
          <w:b w:val="1"/>
          <w:rtl w:val="0"/>
        </w:rPr>
        <w:t xml:space="preserve">топ-5 тем с наибольшим сокращением</w:t>
      </w:r>
      <w:r w:rsidDel="00000000" w:rsidR="00000000" w:rsidRPr="00000000">
        <w:rPr>
          <w:rtl w:val="0"/>
        </w:rPr>
        <w:t xml:space="preserve"> интереса включают </w:t>
      </w:r>
    </w:p>
    <w:p w:rsidR="00000000" w:rsidDel="00000000" w:rsidP="00000000" w:rsidRDefault="00000000" w:rsidRPr="00000000" w14:paraId="0000006C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1110"/>
        <w:gridCol w:w="3810"/>
        <w:gridCol w:w="2070"/>
        <w:gridCol w:w="1920"/>
        <w:tblGridChange w:id="0">
          <w:tblGrid>
            <w:gridCol w:w="1110"/>
            <w:gridCol w:w="3810"/>
            <w:gridCol w:w="2070"/>
            <w:gridCol w:w="192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Топик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Ключевые Слова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55555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Изменение Кол-ва Публикаций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Связь и передача данных: Реле, ретрансляция, передача сигналов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relay, relays, insuch, relaying, transceiver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-49.0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Канальные связи, специализированные исследования в машинном обучении: байесовские методы, архив публикаций (arXiv), квантование, сверточные сети, латентный анализ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bayesian, arxiv, quantization, convolution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-42.0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477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Распределенные системы: Peer-to-peer, BitTorrent, децентрализованные сети, BGP, блокчейн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peer, bittorrent, decentralized, bgp, blockchains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-21.0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Сетевые технологии: Кластеризация, подсети, ZigBee, управление контейнерами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clustering, subnets, cluster, zigbee, kubernetes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-18.0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590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Технологии баз данных: XML, XPath, NoSQL, RDF, структуры данных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xml, xpath, nosql, rdf, datastructure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ind w:left="141.73228346456688" w:firstLine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-14.0</w:t>
            </w:r>
          </w:p>
        </w:tc>
      </w:tr>
    </w:tbl>
    <w:p w:rsidR="00000000" w:rsidDel="00000000" w:rsidP="00000000" w:rsidRDefault="00000000" w:rsidRPr="00000000" w14:paraId="0000008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1.73228346456688" w:firstLine="0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Эти результаты могут служить основой для дальнейшего изучения причин изменений в популярности тем и для определения стратегии исследовательской работы в соответствии с текущими научными тенденциями.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49bpat6kqmc" w:id="1"/>
      <w:bookmarkEnd w:id="1"/>
      <w:r w:rsidDel="00000000" w:rsidR="00000000" w:rsidRPr="00000000">
        <w:rPr>
          <w:rtl w:val="0"/>
        </w:rPr>
        <w:t xml:space="preserve">Краткое описание</w:t>
      </w:r>
      <w:r w:rsidDel="00000000" w:rsidR="00000000" w:rsidRPr="00000000">
        <w:rPr>
          <w:rtl w:val="0"/>
        </w:rPr>
        <w:t xml:space="preserve"> top2vec </w:t>
      </w:r>
    </w:p>
    <w:p w:rsidR="00000000" w:rsidDel="00000000" w:rsidP="00000000" w:rsidRDefault="00000000" w:rsidRPr="00000000" w14:paraId="00000088">
      <w:pPr>
        <w:ind w:left="141.73228346456688" w:firstLine="0"/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Top2Vec</w:t>
        </w:r>
      </w:hyperlink>
      <w:r w:rsidDel="00000000" w:rsidR="00000000" w:rsidRPr="00000000">
        <w:rPr>
          <w:color w:val="222222"/>
          <w:rtl w:val="0"/>
        </w:rPr>
        <w:t xml:space="preserve"> — это алгоритм, разработанный для автоматического обнаружения тем в текстовых данных, создания векторных представлений для тем, документов и слов, которые совместно вложены в единое семантическое пространство.</w:t>
      </w:r>
    </w:p>
    <w:p w:rsidR="00000000" w:rsidDel="00000000" w:rsidP="00000000" w:rsidRDefault="00000000" w:rsidRPr="00000000" w14:paraId="00000089">
      <w:pPr>
        <w:ind w:left="141.73228346456688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1.73228346456688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Особенностью Top2Vec является его способность автоматически определять количество тем в наборе данных без предварительной настройки или указания их числа исследователем. Это достигается благодаря комбинированию нескольких современных методов машинного обучения и обработки естественного языка, среди которых:</w:t>
      </w:r>
    </w:p>
    <w:p w:rsidR="00000000" w:rsidDel="00000000" w:rsidP="00000000" w:rsidRDefault="00000000" w:rsidRPr="00000000" w14:paraId="0000008B">
      <w:pPr>
        <w:ind w:left="141.73228346456688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41.73228346456688" w:firstLine="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Использование моделей, таких как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Doc2Vec</w:t>
        </w:r>
      </w:hyperlink>
      <w:r w:rsidDel="00000000" w:rsidR="00000000" w:rsidRPr="00000000">
        <w:rPr>
          <w:color w:val="222222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Universal Sentence Encoder</w:t>
        </w:r>
      </w:hyperlink>
      <w:r w:rsidDel="00000000" w:rsidR="00000000" w:rsidRPr="00000000">
        <w:rPr>
          <w:color w:val="222222"/>
          <w:rtl w:val="0"/>
        </w:rPr>
        <w:t xml:space="preserve"> или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BERT Sentence Transformer</w:t>
        </w:r>
      </w:hyperlink>
      <w:r w:rsidDel="00000000" w:rsidR="00000000" w:rsidRPr="00000000">
        <w:rPr>
          <w:color w:val="222222"/>
          <w:rtl w:val="0"/>
        </w:rPr>
        <w:t xml:space="preserve">, для создания совместных векторов документов и слов.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1.73228346456688" w:firstLine="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Применение алгоритма уменьшения размерности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UMAP</w:t>
        </w:r>
      </w:hyperlink>
      <w:r w:rsidDel="00000000" w:rsidR="00000000" w:rsidRPr="00000000">
        <w:rPr>
          <w:color w:val="222222"/>
          <w:rtl w:val="0"/>
        </w:rPr>
        <w:t xml:space="preserve"> для выделения плотных кластеров документов, что облегчает последующее их группирование.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1.73228346456688" w:firstLine="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Использование алгоритма кластеризации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HDBSCAN</w:t>
        </w:r>
      </w:hyperlink>
      <w:r w:rsidDel="00000000" w:rsidR="00000000" w:rsidRPr="00000000">
        <w:rPr>
          <w:color w:val="222222"/>
          <w:rtl w:val="0"/>
        </w:rPr>
        <w:t xml:space="preserve"> для обнаружения и определения границ плотных областей документов в сокращенном пространстве.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1.73228346456688" w:firstLine="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Определение центроидов для каждой обнаруженной плотной области, которые представляют собой векторы тем, и выбор ключевых слов для каждой темы на основе близости к этим центроидам.</w:t>
      </w:r>
    </w:p>
    <w:p w:rsidR="00000000" w:rsidDel="00000000" w:rsidP="00000000" w:rsidRDefault="00000000" w:rsidRPr="00000000" w14:paraId="00000090">
      <w:pPr>
        <w:ind w:left="141.73228346456688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.73228346456688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Преимущества Top2Vec включают в себя не только автоматическое определение количества тем, но и отсутствие необходимости в ручной предварительной обработке текста, такой как удаление стоп-слов, стемминг или лемматизация. Кроме того, алгоритм эффективно работает с текстами различной длины, что делает его универсальным инструментом для анализа больших наборов текстовых данных и обнаружения в них скрытых семантических структур.</w:t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1"/>
        </w:numPr>
        <w:shd w:fill="ffffff" w:val="clear"/>
        <w:ind w:left="720" w:hanging="360"/>
        <w:rPr/>
      </w:pPr>
      <w:bookmarkStart w:colFirst="0" w:colLast="0" w:name="_kr5m5kecya1i" w:id="2"/>
      <w:bookmarkEnd w:id="2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 были выбраны ключевые слова. </w:t>
      </w:r>
    </w:p>
    <w:p w:rsidR="00000000" w:rsidDel="00000000" w:rsidP="00000000" w:rsidRDefault="00000000" w:rsidRPr="00000000" w14:paraId="00000093">
      <w:pPr>
        <w:shd w:fill="ffffff" w:val="clear"/>
        <w:rPr/>
      </w:pPr>
      <w:r w:rsidDel="00000000" w:rsidR="00000000" w:rsidRPr="00000000">
        <w:rPr>
          <w:rtl w:val="0"/>
        </w:rPr>
        <w:t xml:space="preserve">Выбор ключевых слов для исследования экологических проблем с помощью БПЛА базируется на актуальности и специфике проблем в различных сферах экологического мониторинга: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Стихийные бедствия и чрезвычайные ситуации ["uav", "disasters", "emergency"]</w:t>
      </w:r>
      <w:r w:rsidDel="00000000" w:rsidR="00000000" w:rsidRPr="00000000">
        <w:rPr>
          <w:color w:val="222222"/>
          <w:rtl w:val="0"/>
        </w:rPr>
        <w:t xml:space="preserve">: ключевые слова выбраны из-за роли БПЛА в оперативном мониторинге и оценке ущерба в зонах бедствий, что важно для своевременного реагирования и минимизации последствий.</w:t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Загрязнение воздуха ["uav", "pollution", "emissions"]</w:t>
      </w:r>
      <w:r w:rsidDel="00000000" w:rsidR="00000000" w:rsidRPr="00000000">
        <w:rPr>
          <w:color w:val="222222"/>
          <w:rtl w:val="0"/>
        </w:rPr>
        <w:t xml:space="preserve">: слова отражают значимость БПЛА в изучении воздушного загрязнения и выбросов, которые оказывают влияние на здоровье и климат, обеспечивая точные данные для анализа.</w:t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Загрязнение воды ["uav", "pollution", "water"]</w:t>
      </w:r>
      <w:r w:rsidDel="00000000" w:rsidR="00000000" w:rsidRPr="00000000">
        <w:rPr>
          <w:color w:val="222222"/>
          <w:rtl w:val="0"/>
        </w:rPr>
        <w:t xml:space="preserve">: выбор обусловлен возможностями БПЛА в выявлении источников загрязнения воды, что критически важно для защиты водных ресурсов.</w:t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Бытовые отходы ["uav", "recycling", "urban"]</w:t>
      </w:r>
      <w:r w:rsidDel="00000000" w:rsidR="00000000" w:rsidRPr="00000000">
        <w:rPr>
          <w:color w:val="222222"/>
          <w:rtl w:val="0"/>
        </w:rPr>
        <w:t xml:space="preserve">: ключевые слова подчеркивают потенциал БПЛА в мониторинге управления отходами и рециркуляции в условиях городской среды.</w:t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Инфракрасное и тепловое картографирование ["uav", "infrared", "heat", "thermal"]</w:t>
      </w:r>
      <w:r w:rsidDel="00000000" w:rsidR="00000000" w:rsidRPr="00000000">
        <w:rPr>
          <w:color w:val="222222"/>
          <w:rtl w:val="0"/>
        </w:rPr>
        <w:t xml:space="preserve">: слова отражают использование БПЛА для обнаружения тепловых загрязнений и картографирования с помощью инфракрасных и тепловых датчиков.</w:t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поддержки этих выборов можно опираться на следующие статьи:</w:t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Applications of drone in disaster management: A scoping review</w:t>
        </w:r>
      </w:hyperlink>
      <w:r w:rsidDel="00000000" w:rsidR="00000000" w:rsidRPr="00000000">
        <w:rPr>
          <w:color w:val="222222"/>
          <w:rtl w:val="0"/>
        </w:rPr>
        <w:t xml:space="preserve"> 2022</w:t>
      </w:r>
      <w:r w:rsidDel="00000000" w:rsidR="00000000" w:rsidRPr="00000000">
        <w:rPr>
          <w:color w:val="222222"/>
          <w:rtl w:val="0"/>
        </w:rPr>
        <w:t xml:space="preserve">": Статья обзорно исследует применение дронов в управлении стихийными бедствиями, выделяя их ключевые области использования и указывая на необходимость дальнейших исследований.</w:t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 Review on Air Quality Measurement Using an Unmanned Aerial Vehicle</w:t>
        </w:r>
      </w:hyperlink>
      <w:r w:rsidDel="00000000" w:rsidR="00000000" w:rsidRPr="00000000">
        <w:rPr>
          <w:color w:val="222222"/>
          <w:rtl w:val="0"/>
        </w:rPr>
        <w:t xml:space="preserve"> 2021</w:t>
      </w:r>
      <w:r w:rsidDel="00000000" w:rsidR="00000000" w:rsidRPr="00000000">
        <w:rPr>
          <w:color w:val="222222"/>
          <w:rtl w:val="0"/>
        </w:rPr>
        <w:t xml:space="preserve">": 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Статья рассматривает использование (БПЛА) с различными датчиками для мониторинга качества воздуха, подчеркивая их потенциал в обеспечении более высокого пространственного и временного разрешения данных по сравнению с традиционными методами.</w:t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Unmanned Aerial Vehicles in Hydrology and Water Management: Applications, Challenges, and Perspectives</w:t>
        </w:r>
      </w:hyperlink>
      <w:r w:rsidDel="00000000" w:rsidR="00000000" w:rsidRPr="00000000">
        <w:rPr>
          <w:color w:val="222222"/>
          <w:rtl w:val="0"/>
        </w:rPr>
        <w:t xml:space="preserve"> 2021</w:t>
      </w:r>
      <w:r w:rsidDel="00000000" w:rsidR="00000000" w:rsidRPr="00000000">
        <w:rPr>
          <w:color w:val="222222"/>
          <w:rtl w:val="0"/>
        </w:rPr>
        <w:t xml:space="preserve">": Статья обсуждает применение БПЛА в гидрологии и управлении водными ресурсами, акцентируя внимание на их эффективности и инновационном потенциале для сбора данных.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Drone technology in municipal solid waste management and landfilling: A comprehensive review</w:t>
        </w:r>
      </w:hyperlink>
      <w:r w:rsidDel="00000000" w:rsidR="00000000" w:rsidRPr="00000000">
        <w:rPr>
          <w:color w:val="222222"/>
          <w:rtl w:val="0"/>
        </w:rPr>
        <w:t xml:space="preserve"> 2022</w:t>
      </w:r>
      <w:r w:rsidDel="00000000" w:rsidR="00000000" w:rsidRPr="00000000">
        <w:rPr>
          <w:color w:val="222222"/>
          <w:rtl w:val="0"/>
        </w:rPr>
        <w:t xml:space="preserve">": Статья рассматривает применение БПЛА для управления свалками и отслеживания выбросов, подчеркивая их растущее использование и перспективы исследований.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 Review of Modern Thermal Imaging Sensor Technology and Applications for Autonomous Aerial Navigation</w:t>
        </w:r>
      </w:hyperlink>
      <w:r w:rsidDel="00000000" w:rsidR="00000000" w:rsidRPr="00000000">
        <w:rPr>
          <w:color w:val="222222"/>
          <w:rtl w:val="0"/>
        </w:rPr>
        <w:t xml:space="preserve"> 2021</w:t>
      </w:r>
      <w:r w:rsidDel="00000000" w:rsidR="00000000" w:rsidRPr="00000000">
        <w:rPr>
          <w:color w:val="222222"/>
          <w:rtl w:val="0"/>
        </w:rPr>
        <w:t xml:space="preserve">": Статья представляет обзор тепловизионных датчиков и их интеграции в системы автономной навигации для БПЛА, подчеркивая их эффективность в условиях ограниченного освещения и в GPS-запрещенных зонах.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7o6qjpxlb5u" w:id="3"/>
      <w:bookmarkEnd w:id="3"/>
      <w:r w:rsidDel="00000000" w:rsidR="00000000" w:rsidRPr="00000000">
        <w:rPr>
          <w:rtl w:val="0"/>
        </w:rPr>
        <w:t xml:space="preserve">Картинка со словами.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color w:val="222222"/>
          <w:rtl w:val="0"/>
        </w:rPr>
        <w:t xml:space="preserve">В этот раз использовал ключевые слова. 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4a86e8"/>
          <w:rtl w:val="0"/>
        </w:rPr>
        <w:t xml:space="preserve">emissions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4a86e8"/>
          <w:rtl w:val="0"/>
        </w:rPr>
        <w:t xml:space="preserve">disasters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4a86e8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4a86e8"/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9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color w:val="222222"/>
          <w:shd w:fill="d9ead3" w:val="clear"/>
        </w:rPr>
      </w:pPr>
      <w:r w:rsidDel="00000000" w:rsidR="00000000" w:rsidRPr="00000000">
        <w:rPr>
          <w:color w:val="222222"/>
          <w:shd w:fill="d9ead3" w:val="clear"/>
        </w:rPr>
        <w:drawing>
          <wp:inline distB="114300" distT="114300" distL="114300" distR="114300">
            <wp:extent cx="5731200" cy="346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b9pxae3jnr38" w:id="4"/>
      <w:bookmarkEnd w:id="4"/>
      <w:r w:rsidDel="00000000" w:rsidR="00000000" w:rsidRPr="00000000">
        <w:rPr>
          <w:rtl w:val="0"/>
        </w:rPr>
        <w:t xml:space="preserve">Использовать другие тематических моделей?</w:t>
      </w:r>
    </w:p>
    <w:p w:rsidR="00000000" w:rsidDel="00000000" w:rsidP="00000000" w:rsidRDefault="00000000" w:rsidRPr="00000000" w14:paraId="000000AC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Я могу попробовать использовать BERTopic, но пока не знаю как я смог бы воссоздать примерно такие же топики, т.к алгоритмы отличаются, получится другое количество топиков.</w:t>
      </w:r>
    </w:p>
    <w:p w:rsidR="00000000" w:rsidDel="00000000" w:rsidP="00000000" w:rsidRDefault="00000000" w:rsidRPr="00000000" w14:paraId="000000AD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Если необходимо я могу попробовать. </w:t>
      </w:r>
    </w:p>
    <w:p w:rsidR="00000000" w:rsidDel="00000000" w:rsidP="00000000" w:rsidRDefault="00000000" w:rsidRPr="00000000" w14:paraId="000000AE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fpneg85gl00" w:id="5"/>
      <w:bookmarkEnd w:id="5"/>
      <w:r w:rsidDel="00000000" w:rsidR="00000000" w:rsidRPr="00000000">
        <w:rPr>
          <w:rtl w:val="0"/>
        </w:rPr>
        <w:t xml:space="preserve">Сгладить тренды путем применения регрессии.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Применил полиномиальную регрессию из библиотеки </w:t>
      </w:r>
      <w:r w:rsidDel="00000000" w:rsidR="00000000" w:rsidRPr="00000000">
        <w:rPr>
          <w:b w:val="1"/>
          <w:color w:val="222222"/>
          <w:rtl w:val="0"/>
        </w:rPr>
        <w:t xml:space="preserve">sklearn</w:t>
      </w:r>
    </w:p>
    <w:p w:rsidR="00000000" w:rsidDel="00000000" w:rsidP="00000000" w:rsidRDefault="00000000" w:rsidRPr="00000000" w14:paraId="000000B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 - количество публикаций </w:t>
      </w:r>
    </w:p>
    <w:p w:rsidR="00000000" w:rsidDel="00000000" w:rsidP="00000000" w:rsidRDefault="00000000" w:rsidRPr="00000000" w14:paraId="000000B2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X - дата публикации год-месяц</w:t>
      </w:r>
    </w:p>
    <w:p w:rsidR="00000000" w:rsidDel="00000000" w:rsidP="00000000" w:rsidRDefault="00000000" w:rsidRPr="00000000" w14:paraId="000000B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Точки это количество публикаций по определенной тематике с указанной датой.</w:t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color w:val="222222"/>
          <w:shd w:fill="c9daf8" w:val="clear"/>
        </w:rPr>
      </w:pPr>
      <w:r w:rsidDel="00000000" w:rsidR="00000000" w:rsidRPr="00000000">
        <w:rPr>
          <w:color w:val="222222"/>
          <w:shd w:fill="c9daf8" w:val="clear"/>
        </w:rPr>
        <w:drawing>
          <wp:inline distB="114300" distT="114300" distL="114300" distR="114300">
            <wp:extent cx="6557963" cy="30828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0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график 5 топиков с регрессией</w:t>
      </w:r>
    </w:p>
    <w:p w:rsidR="00000000" w:rsidDel="00000000" w:rsidP="00000000" w:rsidRDefault="00000000" w:rsidRPr="00000000" w14:paraId="000000B6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529388" cy="29935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99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график 1 конкретного топика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3333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33333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33333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umap-learn.readthedocs.io/en/latest/" TargetMode="External"/><Relationship Id="rId10" Type="http://schemas.openxmlformats.org/officeDocument/2006/relationships/hyperlink" Target="https://www.sbert.net/" TargetMode="External"/><Relationship Id="rId13" Type="http://schemas.openxmlformats.org/officeDocument/2006/relationships/hyperlink" Target="https://www.sciencedirect.com/science/article/pii/S1355030621001477" TargetMode="External"/><Relationship Id="rId12" Type="http://schemas.openxmlformats.org/officeDocument/2006/relationships/hyperlink" Target="https://hdbscan.readthedocs.io/en/latest/how_hdbscan_work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hub/tutorials/semantic_similarity_with_tf_hub_universal_encoder?hl=ru" TargetMode="External"/><Relationship Id="rId15" Type="http://schemas.openxmlformats.org/officeDocument/2006/relationships/hyperlink" Target="https://agupubs.onlinelibrary.wiley.com/doi/10.1029/2021WR029925" TargetMode="External"/><Relationship Id="rId14" Type="http://schemas.openxmlformats.org/officeDocument/2006/relationships/hyperlink" Target="https://link.springer.com/article/10.1007/s11270-020-04973-5" TargetMode="External"/><Relationship Id="rId17" Type="http://schemas.openxmlformats.org/officeDocument/2006/relationships/hyperlink" Target="https://www.ncbi.nlm.nih.gov/pmc/articles/PMC8540138/" TargetMode="External"/><Relationship Id="rId16" Type="http://schemas.openxmlformats.org/officeDocument/2006/relationships/hyperlink" Target="https://www.sciencedirect.com/science/article/abs/pii/S0956053X21006516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github.com/ddangelov/Top2Vec" TargetMode="External"/><Relationship Id="rId8" Type="http://schemas.openxmlformats.org/officeDocument/2006/relationships/hyperlink" Target="https://radimrehurek.com/gensim/auto_examples/tutorials/run_doc2vec_l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