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4D1F" w14:textId="224E8B1E" w:rsidR="00D5386F" w:rsidRPr="002F1F79" w:rsidRDefault="00F54C07">
      <w:pPr>
        <w:rPr>
          <w:rFonts w:ascii="Times New Roman" w:hAnsi="Times New Roman" w:cs="Times New Roman"/>
        </w:rPr>
      </w:pPr>
      <w:r w:rsidRPr="002F1F79">
        <w:rPr>
          <w:rFonts w:ascii="Times New Roman" w:hAnsi="Times New Roman" w:cs="Times New Roman"/>
        </w:rPr>
        <w:t>Research proposal</w:t>
      </w:r>
    </w:p>
    <w:p w14:paraId="3A3BB532" w14:textId="7858C7A4" w:rsidR="00F54C07" w:rsidRPr="002F1F79" w:rsidRDefault="00F54C07">
      <w:pPr>
        <w:rPr>
          <w:rFonts w:ascii="Times New Roman" w:hAnsi="Times New Roman" w:cs="Times New Roman"/>
        </w:rPr>
      </w:pPr>
      <w:r w:rsidRPr="002F1F79">
        <w:rPr>
          <w:rFonts w:ascii="Times New Roman" w:hAnsi="Times New Roman" w:cs="Times New Roman"/>
        </w:rPr>
        <w:t>Project Name: New mate allocation strategies to accelerate genetic gain in agricultural species.</w:t>
      </w:r>
    </w:p>
    <w:p w14:paraId="00EFCD8E" w14:textId="4CFCD04F" w:rsidR="00F54C07" w:rsidRPr="002F1F79" w:rsidRDefault="00F54C07">
      <w:pPr>
        <w:rPr>
          <w:rFonts w:ascii="Times New Roman" w:hAnsi="Times New Roman" w:cs="Times New Roman"/>
        </w:rPr>
      </w:pPr>
      <w:r w:rsidRPr="002F1F79">
        <w:rPr>
          <w:rFonts w:ascii="Times New Roman" w:hAnsi="Times New Roman" w:cs="Times New Roman"/>
        </w:rPr>
        <w:t>Student Name: Chensong Chen</w:t>
      </w:r>
    </w:p>
    <w:p w14:paraId="19D035C0" w14:textId="31C71EDE" w:rsidR="00F54C07" w:rsidRPr="002F1F79" w:rsidRDefault="00F54C07">
      <w:pPr>
        <w:rPr>
          <w:rFonts w:ascii="Times New Roman" w:hAnsi="Times New Roman" w:cs="Times New Roman"/>
        </w:rPr>
      </w:pPr>
      <w:r w:rsidRPr="002F1F79">
        <w:rPr>
          <w:rFonts w:ascii="Times New Roman" w:hAnsi="Times New Roman" w:cs="Times New Roman"/>
        </w:rPr>
        <w:t>Principle supervisor: Prof Ben Hayes</w:t>
      </w:r>
    </w:p>
    <w:p w14:paraId="3EF7EE29" w14:textId="30EEC148" w:rsidR="00F54C07" w:rsidRPr="002F1F79" w:rsidRDefault="00F54C07">
      <w:pPr>
        <w:rPr>
          <w:rFonts w:ascii="Times New Roman" w:hAnsi="Times New Roman" w:cs="Times New Roman"/>
        </w:rPr>
      </w:pPr>
      <w:r w:rsidRPr="002F1F79">
        <w:rPr>
          <w:rFonts w:ascii="Times New Roman" w:hAnsi="Times New Roman" w:cs="Times New Roman"/>
        </w:rPr>
        <w:t xml:space="preserve">Co-supervisor: Dr Elizabeth Ross, Dr Owen Powell, Dr Eric </w:t>
      </w:r>
      <w:proofErr w:type="spellStart"/>
      <w:r w:rsidRPr="002F1F79">
        <w:rPr>
          <w:rFonts w:ascii="Times New Roman" w:hAnsi="Times New Roman" w:cs="Times New Roman"/>
        </w:rPr>
        <w:t>Dinglasan</w:t>
      </w:r>
      <w:proofErr w:type="spellEnd"/>
    </w:p>
    <w:p w14:paraId="5279BD40" w14:textId="77777777" w:rsidR="00161DFA" w:rsidRPr="002F1F79" w:rsidRDefault="00161DFA">
      <w:pPr>
        <w:rPr>
          <w:rFonts w:ascii="Times New Roman" w:hAnsi="Times New Roman" w:cs="Times New Roman"/>
        </w:rPr>
      </w:pPr>
    </w:p>
    <w:p w14:paraId="33B8A1B7" w14:textId="29F989AA" w:rsidR="00F54C07" w:rsidRPr="002F70D7" w:rsidRDefault="00F54C07" w:rsidP="002F1F79">
      <w:pPr>
        <w:rPr>
          <w:rFonts w:ascii="Times New Roman" w:hAnsi="Times New Roman" w:cs="Times New Roman"/>
          <w:b/>
          <w:bCs/>
          <w:sz w:val="24"/>
          <w:szCs w:val="24"/>
        </w:rPr>
      </w:pPr>
      <w:r w:rsidRPr="002F70D7">
        <w:rPr>
          <w:rFonts w:ascii="Times New Roman" w:hAnsi="Times New Roman" w:cs="Times New Roman"/>
          <w:b/>
          <w:bCs/>
          <w:sz w:val="24"/>
          <w:szCs w:val="24"/>
        </w:rPr>
        <w:t>Introduction</w:t>
      </w:r>
    </w:p>
    <w:p w14:paraId="6A133FBB" w14:textId="2D80C8A4" w:rsidR="00A24A5D" w:rsidRDefault="00025B30" w:rsidP="002F1F79">
      <w:pPr>
        <w:rPr>
          <w:rFonts w:ascii="Times New Roman" w:hAnsi="Times New Roman" w:cs="Times New Roman"/>
          <w:sz w:val="24"/>
          <w:szCs w:val="24"/>
        </w:rPr>
      </w:pPr>
      <w:r>
        <w:rPr>
          <w:rFonts w:ascii="Times New Roman" w:hAnsi="Times New Roman" w:cs="Times New Roman"/>
          <w:sz w:val="24"/>
          <w:szCs w:val="24"/>
        </w:rPr>
        <w:t>With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of agricultural breeding are considered as the key element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 in agricultural breeding for accelerating the breeding speed. </w:t>
      </w:r>
    </w:p>
    <w:p w14:paraId="6225BD82" w14:textId="7EEB8BAC" w:rsidR="004B399A" w:rsidRPr="00C271D1" w:rsidRDefault="0028578D" w:rsidP="002F1F79">
      <w:pPr>
        <w:rPr>
          <w:rFonts w:ascii="Times New Roman" w:hAnsi="Times New Roman" w:cs="Times New Roman"/>
          <w:sz w:val="24"/>
          <w:szCs w:val="24"/>
        </w:rPr>
      </w:pPr>
      <w:r>
        <w:rPr>
          <w:rFonts w:ascii="Times New Roman" w:hAnsi="Times New Roman" w:cs="Times New Roman"/>
          <w:sz w:val="24"/>
          <w:szCs w:val="24"/>
        </w:rPr>
        <w:t xml:space="preserve">The foundation of the GS is the </w:t>
      </w:r>
      <w:r w:rsidR="002331E8">
        <w:rPr>
          <w:rFonts w:ascii="Times New Roman" w:hAnsi="Times New Roman" w:cs="Times New Roman"/>
          <w:sz w:val="24"/>
          <w:szCs w:val="24"/>
        </w:rPr>
        <w:t xml:space="preserve">genetic prediction methods based on the </w:t>
      </w:r>
      <w:r>
        <w:rPr>
          <w:rFonts w:ascii="Times New Roman" w:hAnsi="Times New Roman" w:cs="Times New Roman"/>
          <w:sz w:val="24"/>
          <w:szCs w:val="24"/>
        </w:rPr>
        <w:t>classical complex quantitative traits model</w:t>
      </w:r>
      <w:r w:rsidR="002331E8">
        <w:rPr>
          <w:rFonts w:ascii="Times New Roman" w:hAnsi="Times New Roman" w:cs="Times New Roman"/>
          <w:sz w:val="24"/>
          <w:szCs w:val="24"/>
        </w:rPr>
        <w:t>,</w:t>
      </w:r>
      <w:r>
        <w:rPr>
          <w:rFonts w:ascii="Times New Roman" w:hAnsi="Times New Roman" w:cs="Times New Roman"/>
          <w:sz w:val="24"/>
          <w:szCs w:val="24"/>
        </w:rPr>
        <w:t xml:space="preserve"> and the use of genome-wide genotyping technologies</w:t>
      </w:r>
      <w:r w:rsidR="004B399A">
        <w:rPr>
          <w:rFonts w:ascii="Times New Roman" w:hAnsi="Times New Roman" w:cs="Times New Roman"/>
          <w:sz w:val="24"/>
          <w:szCs w:val="24"/>
        </w:rPr>
        <w:t xml:space="preserve">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Pr>
          <w:rFonts w:ascii="Times New Roman" w:hAnsi="Times New Roman" w:cs="Times New Roman"/>
          <w:sz w:val="24"/>
          <w:szCs w:val="24"/>
        </w:rPr>
        <w:t>. B</w:t>
      </w:r>
      <w:r w:rsidR="00161DFA" w:rsidRPr="002F1F79">
        <w:rPr>
          <w:rFonts w:ascii="Times New Roman" w:hAnsi="Times New Roman" w:cs="Times New Roman"/>
          <w:sz w:val="24"/>
          <w:szCs w:val="24"/>
        </w:rPr>
        <w:t xml:space="preserve">y the description of </w:t>
      </w:r>
      <w:r w:rsidR="002F1F79" w:rsidRPr="002F1F79">
        <w:rPr>
          <w:rFonts w:ascii="Times New Roman" w:hAnsi="Times New Roman" w:cs="Times New Roman"/>
          <w:sz w:val="24"/>
          <w:szCs w:val="24"/>
        </w:rPr>
        <w:t xml:space="preserve">the classical complex quantitative traits model, the phenotype traits are formed based on an infinite number of </w:t>
      </w:r>
      <w:bookmarkStart w:id="0" w:name="OLE_LINK1"/>
      <w:bookmarkStart w:id="1" w:name="OLE_LINK2"/>
      <w:r w:rsidR="002F1F79" w:rsidRPr="002F1F79">
        <w:rPr>
          <w:rFonts w:ascii="Times New Roman" w:hAnsi="Times New Roman" w:cs="Times New Roman"/>
          <w:sz w:val="24"/>
          <w:szCs w:val="24"/>
        </w:rPr>
        <w:t xml:space="preserve">infinitesimal </w:t>
      </w:r>
      <w:bookmarkEnd w:id="0"/>
      <w:bookmarkEnd w:id="1"/>
      <w:r w:rsidR="002F1F79" w:rsidRPr="002F1F79">
        <w:rPr>
          <w:rFonts w:ascii="Times New Roman" w:hAnsi="Times New Roman" w:cs="Times New Roman"/>
          <w:sz w:val="24"/>
          <w:szCs w:val="24"/>
        </w:rPr>
        <w:t>genetic effect</w:t>
      </w:r>
      <w:r w:rsidR="00161DFA" w:rsidRPr="002F1F79">
        <w:rPr>
          <w:rFonts w:ascii="Times New Roman" w:hAnsi="Times New Roman" w:cs="Times New Roman"/>
          <w:sz w:val="24"/>
          <w:szCs w:val="24"/>
        </w:rPr>
        <w:t xml:space="preserve"> </w:t>
      </w:r>
      <w:r w:rsidR="002F1F79" w:rsidRPr="002F1F79">
        <w:rPr>
          <w:rFonts w:ascii="Times New Roman" w:hAnsi="Times New Roman" w:cs="Times New Roman"/>
          <w:sz w:val="24"/>
          <w:szCs w:val="24"/>
        </w:rPr>
        <w:t>and the interaction of non-genetic factors such as environmental factor</w:t>
      </w:r>
      <w:r w:rsidR="00706DBD">
        <w:rPr>
          <w:rFonts w:ascii="Times New Roman" w:hAnsi="Times New Roman" w:cs="Times New Roman"/>
          <w:sz w:val="24"/>
          <w:szCs w:val="24"/>
        </w:rPr>
        <w:t xml:space="preserve"> </w:t>
      </w:r>
      <w:r w:rsidR="00706DBD">
        <w:rPr>
          <w:rFonts w:ascii="Times New Roman" w:hAnsi="Times New Roman" w:cs="Times New Roman"/>
          <w:sz w:val="24"/>
          <w:szCs w:val="24"/>
        </w:rPr>
        <w:fldChar w:fldCharType="begin"/>
      </w:r>
      <w:r w:rsidR="00706DBD">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sidR="00706DBD">
        <w:rPr>
          <w:rFonts w:ascii="Times New Roman" w:hAnsi="Times New Roman" w:cs="Times New Roman"/>
          <w:sz w:val="24"/>
          <w:szCs w:val="24"/>
        </w:rPr>
        <w:fldChar w:fldCharType="separate"/>
      </w:r>
      <w:r w:rsidR="00706DBD">
        <w:rPr>
          <w:rFonts w:ascii="Times New Roman" w:hAnsi="Times New Roman" w:cs="Times New Roman"/>
          <w:noProof/>
          <w:sz w:val="24"/>
          <w:szCs w:val="24"/>
        </w:rPr>
        <w:t>(Bulmer, 1980)</w:t>
      </w:r>
      <w:r w:rsidR="00706DBD">
        <w:rPr>
          <w:rFonts w:ascii="Times New Roman" w:hAnsi="Times New Roman" w:cs="Times New Roman"/>
          <w:sz w:val="24"/>
          <w:szCs w:val="24"/>
        </w:rPr>
        <w:fldChar w:fldCharType="end"/>
      </w:r>
      <w:r w:rsidR="002F1F79" w:rsidRPr="002F1F79">
        <w:rPr>
          <w:rFonts w:ascii="Times New Roman" w:hAnsi="Times New Roman" w:cs="Times New Roman"/>
          <w:sz w:val="24"/>
          <w:szCs w:val="24"/>
        </w:rPr>
        <w:t xml:space="preserve">. </w:t>
      </w:r>
      <w:r w:rsidR="002F1F79">
        <w:rPr>
          <w:rFonts w:ascii="Times New Roman" w:hAnsi="Times New Roman" w:cs="Times New Roman"/>
          <w:sz w:val="24"/>
          <w:szCs w:val="24"/>
        </w:rPr>
        <w:t>The strategy that evaluating the estimated breeding value (EBV) for certain species by the predicted overall genetic effects has been tested to be effective and viable</w:t>
      </w:r>
      <w:r w:rsidR="00706DBD">
        <w:rPr>
          <w:rFonts w:ascii="Times New Roman" w:hAnsi="Times New Roman" w:cs="Times New Roman"/>
          <w:sz w:val="24"/>
          <w:szCs w:val="24"/>
        </w:rPr>
        <w:t xml:space="preserve"> </w:t>
      </w:r>
      <w:r w:rsidR="000B5AD7">
        <w:rPr>
          <w:rFonts w:ascii="Times New Roman" w:hAnsi="Times New Roman" w:cs="Times New Roman"/>
          <w:sz w:val="24"/>
          <w:szCs w:val="24"/>
        </w:rPr>
        <w:fldChar w:fldCharType="begin"/>
      </w:r>
      <w:r w:rsidR="000B5AD7">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sidR="000B5AD7">
        <w:rPr>
          <w:rFonts w:ascii="Times New Roman" w:hAnsi="Times New Roman" w:cs="Times New Roman"/>
          <w:sz w:val="24"/>
          <w:szCs w:val="24"/>
        </w:rPr>
        <w:fldChar w:fldCharType="separate"/>
      </w:r>
      <w:r w:rsidR="000B5AD7">
        <w:rPr>
          <w:rFonts w:ascii="Times New Roman" w:hAnsi="Times New Roman" w:cs="Times New Roman"/>
          <w:noProof/>
          <w:sz w:val="24"/>
          <w:szCs w:val="24"/>
        </w:rPr>
        <w:t>(Goddard, 2009)</w:t>
      </w:r>
      <w:r w:rsidR="000B5AD7">
        <w:rPr>
          <w:rFonts w:ascii="Times New Roman" w:hAnsi="Times New Roman" w:cs="Times New Roman"/>
          <w:sz w:val="24"/>
          <w:szCs w:val="24"/>
        </w:rPr>
        <w:fldChar w:fldCharType="end"/>
      </w:r>
      <w:r w:rsidR="002F1F79">
        <w:rPr>
          <w:rFonts w:ascii="Times New Roman" w:hAnsi="Times New Roman" w:cs="Times New Roman"/>
          <w:sz w:val="24"/>
          <w:szCs w:val="24"/>
        </w:rPr>
        <w:t>.</w:t>
      </w:r>
      <w:r w:rsidR="004F4F78">
        <w:rPr>
          <w:rFonts w:ascii="Times New Roman" w:hAnsi="Times New Roman" w:cs="Times New Roman"/>
          <w:sz w:val="24"/>
          <w:szCs w:val="24"/>
        </w:rPr>
        <w:t xml:space="preserve"> The major object of the past and the current breeding programs is improving the average genetic gain of the future generations. </w:t>
      </w:r>
    </w:p>
    <w:p w14:paraId="2C0AB807" w14:textId="36452DDD" w:rsidR="005E7D10" w:rsidRDefault="005E7D10" w:rsidP="002F1F79">
      <w:pPr>
        <w:rPr>
          <w:rFonts w:ascii="Times New Roman" w:hAnsi="Times New Roman" w:cs="Times New Roman"/>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17D5BC07" w:rsidR="000B5AD7" w:rsidRPr="002E0CC2" w:rsidRDefault="004863CB" w:rsidP="002F1F79">
      <w:pPr>
        <w:rPr>
          <w:rFonts w:ascii="Times New Roman" w:hAnsi="Times New Roman" w:cs="Times New Roman"/>
          <w:sz w:val="24"/>
          <w:szCs w:val="24"/>
        </w:rPr>
      </w:pPr>
      <w:r w:rsidRPr="004863CB">
        <w:rPr>
          <w:rFonts w:ascii="Times New Roman" w:hAnsi="Times New Roman" w:cs="Times New Roman"/>
          <w:sz w:val="24"/>
          <w:szCs w:val="24"/>
        </w:rPr>
        <w:t>Genomic selection is a marker-</w:t>
      </w:r>
      <w:r>
        <w:rPr>
          <w:rFonts w:ascii="Times New Roman" w:hAnsi="Times New Roman" w:cs="Times New Roman"/>
          <w:sz w:val="24"/>
          <w:szCs w:val="24"/>
        </w:rPr>
        <w:t xml:space="preserve">based </w:t>
      </w:r>
      <w:r w:rsidRPr="004863CB">
        <w:rPr>
          <w:rFonts w:ascii="Times New Roman" w:hAnsi="Times New Roman" w:cs="Times New Roman"/>
          <w:sz w:val="24"/>
          <w:szCs w:val="24"/>
        </w:rPr>
        <w:t xml:space="preserve">selection </w:t>
      </w:r>
      <w:r>
        <w:rPr>
          <w:rFonts w:ascii="Times New Roman" w:hAnsi="Times New Roman" w:cs="Times New Roman"/>
          <w:sz w:val="24"/>
          <w:szCs w:val="24"/>
        </w:rPr>
        <w:t xml:space="preserve">method </w:t>
      </w:r>
      <w:r w:rsidRPr="004863CB">
        <w:rPr>
          <w:rFonts w:ascii="Times New Roman" w:hAnsi="Times New Roman" w:cs="Times New Roman"/>
          <w:sz w:val="24"/>
          <w:szCs w:val="24"/>
        </w:rPr>
        <w:t>which</w:t>
      </w:r>
      <w:r>
        <w:rPr>
          <w:rFonts w:ascii="Times New Roman" w:hAnsi="Times New Roman" w:cs="Times New Roman"/>
          <w:sz w:val="24"/>
          <w:szCs w:val="24"/>
        </w:rPr>
        <w:t xml:space="preserve"> introduces</w:t>
      </w:r>
      <w:r w:rsidRPr="004863CB">
        <w:rPr>
          <w:rFonts w:ascii="Times New Roman" w:hAnsi="Times New Roman" w:cs="Times New Roman"/>
          <w:sz w:val="24"/>
          <w:szCs w:val="24"/>
        </w:rPr>
        <w:t xml:space="preserve"> genetic markers covering the whole genome so that all quantitative trait loci (QTL) are in linkage disequilibrium with at least one marker. </w:t>
      </w:r>
      <w:r>
        <w:rPr>
          <w:rFonts w:ascii="Times New Roman" w:hAnsi="Times New Roman" w:cs="Times New Roman"/>
          <w:sz w:val="24"/>
          <w:szCs w:val="24"/>
        </w:rPr>
        <w:t>This technology was raised by</w:t>
      </w:r>
      <w:r w:rsidRPr="004863CB">
        <w:rPr>
          <w:rFonts w:ascii="Times New Roman" w:hAnsi="Times New Roman" w:cs="Times New Roman"/>
          <w:sz w:val="24"/>
          <w:szCs w:val="24"/>
        </w:rPr>
        <w:t xml:space="preserve"> the </w:t>
      </w:r>
      <w:r>
        <w:rPr>
          <w:rFonts w:ascii="Times New Roman" w:hAnsi="Times New Roman" w:cs="Times New Roman"/>
          <w:sz w:val="24"/>
          <w:szCs w:val="24"/>
        </w:rPr>
        <w:t xml:space="preserve">discovery of the large amount of </w:t>
      </w:r>
      <w:r w:rsidRPr="004863CB">
        <w:rPr>
          <w:rFonts w:ascii="Times New Roman" w:hAnsi="Times New Roman" w:cs="Times New Roman"/>
          <w:sz w:val="24"/>
          <w:szCs w:val="24"/>
        </w:rPr>
        <w:t xml:space="preserve">single nucleotide polymorphisms (SNP) by </w:t>
      </w:r>
      <w:r>
        <w:rPr>
          <w:rFonts w:ascii="Times New Roman" w:hAnsi="Times New Roman" w:cs="Times New Roman"/>
          <w:sz w:val="24"/>
          <w:szCs w:val="24"/>
        </w:rPr>
        <w:t xml:space="preserve">the next-gen whole </w:t>
      </w:r>
      <w:r w:rsidRPr="004863CB">
        <w:rPr>
          <w:rFonts w:ascii="Times New Roman" w:hAnsi="Times New Roman" w:cs="Times New Roman"/>
          <w:sz w:val="24"/>
          <w:szCs w:val="24"/>
        </w:rPr>
        <w:t xml:space="preserve">genome sequencing and new </w:t>
      </w:r>
      <w:r>
        <w:rPr>
          <w:rFonts w:ascii="Times New Roman" w:hAnsi="Times New Roman" w:cs="Times New Roman"/>
          <w:sz w:val="24"/>
          <w:szCs w:val="24"/>
        </w:rPr>
        <w:t xml:space="preserve">efficient </w:t>
      </w:r>
      <w:r w:rsidRPr="004863CB">
        <w:rPr>
          <w:rFonts w:ascii="Times New Roman" w:hAnsi="Times New Roman" w:cs="Times New Roman"/>
          <w:sz w:val="24"/>
          <w:szCs w:val="24"/>
        </w:rPr>
        <w:t>genotyp</w:t>
      </w:r>
      <w:r>
        <w:rPr>
          <w:rFonts w:ascii="Times New Roman" w:hAnsi="Times New Roman" w:cs="Times New Roman"/>
          <w:sz w:val="24"/>
          <w:szCs w:val="24"/>
        </w:rPr>
        <w:t>ing approaches</w:t>
      </w:r>
      <w:r w:rsidRPr="004863CB">
        <w:rPr>
          <w:rFonts w:ascii="Times New Roman" w:hAnsi="Times New Roman" w:cs="Times New Roman"/>
          <w:sz w:val="24"/>
          <w:szCs w:val="24"/>
        </w:rPr>
        <w:t>.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calculate breeding values.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lastRenderedPageBreak/>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 xml:space="preserve">the linkages from genotypes to traits. The standard BLUP model, and many extended GBLUP model (BLUP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5303C1A4" w:rsidR="000B5AD7" w:rsidRPr="00B033F3" w:rsidRDefault="00B033F3" w:rsidP="002F1F79">
      <w:pPr>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predicting complex traits from dense genomic data has been an engaging topic among breeder and bioinformaticians. While considering the large amount of the genomic data, some machine learning approaches </w:t>
      </w:r>
      <w:r w:rsidR="006D3CC1">
        <w:rPr>
          <w:rFonts w:ascii="Times New Roman" w:hAnsi="Times New Roman" w:cs="Times New Roman"/>
          <w:sz w:val="24"/>
          <w:szCs w:val="24"/>
        </w:rPr>
        <w:t xml:space="preserve">such as Random forests and Neural network </w:t>
      </w:r>
      <w:r>
        <w:rPr>
          <w:rFonts w:ascii="Times New Roman" w:hAnsi="Times New Roman" w:cs="Times New Roman"/>
          <w:sz w:val="24"/>
          <w:szCs w:val="24"/>
        </w:rPr>
        <w:t>could be well candidates as they are designed for solving problems with big data.</w:t>
      </w:r>
    </w:p>
    <w:p w14:paraId="603274ED" w14:textId="19272272" w:rsidR="00706DBD" w:rsidRDefault="000B5AD7" w:rsidP="002F1F7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im</w:t>
      </w:r>
    </w:p>
    <w:p w14:paraId="0D613759" w14:textId="14966007" w:rsidR="000B5AD7" w:rsidRDefault="00E17832" w:rsidP="002F1F79">
      <w:pPr>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is project aims to import artificial intelligence </w:t>
      </w:r>
      <w:r w:rsidR="003B25B5">
        <w:rPr>
          <w:rFonts w:ascii="Times New Roman" w:hAnsi="Times New Roman" w:cs="Times New Roman"/>
          <w:sz w:val="24"/>
          <w:szCs w:val="24"/>
        </w:rPr>
        <w:t xml:space="preserve">to improve performance of the current genomic selection strategy. </w:t>
      </w:r>
    </w:p>
    <w:p w14:paraId="230E320B" w14:textId="7D47B7C0" w:rsidR="000B5AD7" w:rsidRDefault="000B5AD7" w:rsidP="002F1F79">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ethods</w:t>
      </w:r>
    </w:p>
    <w:p w14:paraId="7E55B466" w14:textId="17C45248" w:rsidR="00706DBD" w:rsidRDefault="00706DBD" w:rsidP="002F1F79">
      <w:pPr>
        <w:rPr>
          <w:rFonts w:ascii="Times New Roman" w:hAnsi="Times New Roman" w:cs="Times New Roman"/>
          <w:sz w:val="24"/>
          <w:szCs w:val="24"/>
        </w:rPr>
      </w:pPr>
    </w:p>
    <w:p w14:paraId="6195538B" w14:textId="77777777" w:rsidR="004F4F78" w:rsidRDefault="004F4F78" w:rsidP="002F1F79">
      <w:pPr>
        <w:rPr>
          <w:rFonts w:ascii="Times New Roman" w:hAnsi="Times New Roman" w:cs="Times New Roman"/>
          <w:sz w:val="24"/>
          <w:szCs w:val="24"/>
        </w:rPr>
      </w:pPr>
    </w:p>
    <w:p w14:paraId="2E5F0611" w14:textId="77777777" w:rsidR="007B035A" w:rsidRPr="007B035A" w:rsidRDefault="00706DBD" w:rsidP="007B035A">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7B035A" w:rsidRPr="007B035A">
        <w:t>Bernardo, R. (2008). Molecular markers and selection for complex traits in plants: learning from the last 20 years. Crop science</w:t>
      </w:r>
      <w:r w:rsidR="007B035A" w:rsidRPr="007B035A">
        <w:rPr>
          <w:i/>
        </w:rPr>
        <w:t xml:space="preserve"> 48</w:t>
      </w:r>
      <w:r w:rsidR="007B035A" w:rsidRPr="007B035A">
        <w:t>, 1649-1664.</w:t>
      </w:r>
    </w:p>
    <w:p w14:paraId="40C246EC" w14:textId="77777777" w:rsidR="007B035A" w:rsidRPr="007B035A" w:rsidRDefault="007B035A" w:rsidP="007B035A">
      <w:pPr>
        <w:pStyle w:val="EndNoteBibliography"/>
      </w:pPr>
      <w:r w:rsidRPr="007B035A">
        <w:t>Bulmer, M. G. (1980). The mathematical theory of quantitative genetics: Clarendon Press.).</w:t>
      </w:r>
    </w:p>
    <w:p w14:paraId="1337F612" w14:textId="77777777" w:rsidR="007B035A" w:rsidRPr="007B035A" w:rsidRDefault="007B035A" w:rsidP="007B035A">
      <w:pPr>
        <w:pStyle w:val="EndNoteBibliography"/>
      </w:pPr>
      <w:r w:rsidRPr="007B035A">
        <w:t>Goddard, M. (2009). Genomic selection: prediction of accuracy and maximisation of long term response. Genetica</w:t>
      </w:r>
      <w:r w:rsidRPr="007B035A">
        <w:rPr>
          <w:i/>
        </w:rPr>
        <w:t xml:space="preserve"> 136</w:t>
      </w:r>
      <w:r w:rsidRPr="007B035A">
        <w:t>, 245-257.</w:t>
      </w:r>
    </w:p>
    <w:p w14:paraId="723D43E1" w14:textId="77777777" w:rsidR="007B035A" w:rsidRPr="007B035A" w:rsidRDefault="007B035A" w:rsidP="007B035A">
      <w:pPr>
        <w:pStyle w:val="EndNoteBibliography"/>
      </w:pPr>
      <w:r w:rsidRPr="007B035A">
        <w:t>He, T., and Li, C. (2020). Harness the power of genomic selection and the potential of germplasm in crop breeding for global food security in the era with rapid climate change. The Crop Journal</w:t>
      </w:r>
      <w:r w:rsidRPr="007B035A">
        <w:rPr>
          <w:i/>
        </w:rPr>
        <w:t xml:space="preserve"> 8</w:t>
      </w:r>
      <w:r w:rsidRPr="007B035A">
        <w:t>, 688-700.</w:t>
      </w:r>
    </w:p>
    <w:p w14:paraId="5412033A" w14:textId="77777777" w:rsidR="007B035A" w:rsidRPr="007B035A" w:rsidRDefault="007B035A" w:rsidP="007B035A">
      <w:pPr>
        <w:pStyle w:val="EndNoteBibliography"/>
      </w:pPr>
      <w:r w:rsidRPr="007B035A">
        <w:t>Henderson, C. R. (1984). Applications of linear models in animal breeding.</w:t>
      </w:r>
    </w:p>
    <w:p w14:paraId="635F3E8E" w14:textId="77777777" w:rsidR="007B035A" w:rsidRPr="007B035A" w:rsidRDefault="007B035A" w:rsidP="007B035A">
      <w:pPr>
        <w:pStyle w:val="EndNoteBibliography"/>
      </w:pPr>
      <w:r w:rsidRPr="007B035A">
        <w:t>Meuwissen, T., Hayes, B., and Goddard, M. (2013). Accelerating improvement of livestock with genomic selection. Annu Rev Anim Biosci</w:t>
      </w:r>
      <w:r w:rsidRPr="007B035A">
        <w:rPr>
          <w:i/>
        </w:rPr>
        <w:t xml:space="preserve"> 1</w:t>
      </w:r>
      <w:r w:rsidRPr="007B035A">
        <w:t>, 221-237.</w:t>
      </w:r>
    </w:p>
    <w:p w14:paraId="25719329" w14:textId="77777777" w:rsidR="007B035A" w:rsidRPr="007B035A" w:rsidRDefault="007B035A" w:rsidP="007B035A">
      <w:pPr>
        <w:pStyle w:val="EndNoteBibliography"/>
      </w:pPr>
      <w:r w:rsidRPr="007B035A">
        <w:t>Meuwissen, T. H., Hayes, B. J., and Goddard, M. E. (2001). Prediction of total genetic value using genome-wide dense marker maps. Genetics</w:t>
      </w:r>
      <w:r w:rsidRPr="007B035A">
        <w:rPr>
          <w:i/>
        </w:rPr>
        <w:t xml:space="preserve"> 157</w:t>
      </w:r>
      <w:r w:rsidRPr="007B035A">
        <w:t>, 1819-1829.</w:t>
      </w:r>
    </w:p>
    <w:p w14:paraId="561365C1" w14:textId="77777777" w:rsidR="007B035A" w:rsidRPr="007B035A" w:rsidRDefault="007B035A" w:rsidP="007B035A">
      <w:pPr>
        <w:pStyle w:val="EndNoteBibliography"/>
      </w:pPr>
      <w:r w:rsidRPr="007B035A">
        <w:lastRenderedPageBreak/>
        <w:t>Môro, G. V., Santos, M. F., and de Souza Junior, C. L. (2019). Comparison of genome-wide and phenotypic selection indices in maize. Euphytica</w:t>
      </w:r>
      <w:r w:rsidRPr="007B035A">
        <w:rPr>
          <w:i/>
        </w:rPr>
        <w:t xml:space="preserve"> 215</w:t>
      </w:r>
      <w:r w:rsidRPr="007B035A">
        <w:t>, 1-14.</w:t>
      </w:r>
    </w:p>
    <w:p w14:paraId="46A52ED2" w14:textId="77777777" w:rsidR="007B035A" w:rsidRPr="007B035A" w:rsidRDefault="007B035A" w:rsidP="007B035A">
      <w:pPr>
        <w:pStyle w:val="EndNoteBibliography"/>
      </w:pPr>
      <w:r w:rsidRPr="007B035A">
        <w:rPr>
          <w:rFonts w:hint="eastAsia"/>
        </w:rPr>
        <w:t>Smallwood, C. J., Saxton, A. M., Gillman, J. D., Bhandari, H. S., Wadl, P. A., Fallen, B. D., Hyten, D. L., Song, Q., and Pantalone, V. R. (2019). Context‐Specific Genomic Selection</w:t>
      </w:r>
      <w:r w:rsidRPr="007B035A">
        <w:t xml:space="preserve"> Strategies Outperform Phenotypic Selection for Soybean Quantitative Traits in the Progeny Row Stage. Crop Science</w:t>
      </w:r>
      <w:r w:rsidRPr="007B035A">
        <w:rPr>
          <w:i/>
        </w:rPr>
        <w:t xml:space="preserve"> 59</w:t>
      </w:r>
      <w:r w:rsidRPr="007B035A">
        <w:t>, 54-67.</w:t>
      </w:r>
    </w:p>
    <w:p w14:paraId="7775188A" w14:textId="77777777" w:rsidR="007B035A" w:rsidRPr="007B035A" w:rsidRDefault="007B035A" w:rsidP="007B035A">
      <w:pPr>
        <w:pStyle w:val="EndNoteBibliography"/>
      </w:pPr>
      <w:r w:rsidRPr="007B035A">
        <w:t>Vivek, B., Krishna, G., Vengadessan, V., Babu, R., Zaidi, P., Mandal, S., Grudloyma, P., Takalkar, S., Krothapalli, K., and Singh, I. (2017). Use of genomic estimated breeding values results in rapid genetic gains for drought tolerance in maize.</w:t>
      </w:r>
    </w:p>
    <w:p w14:paraId="44C5F3AF" w14:textId="0CA88234"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record-ids&gt;&lt;/item&gt;&lt;/Libraries&gt;"/>
  </w:docVars>
  <w:rsids>
    <w:rsidRoot w:val="00025C98"/>
    <w:rsid w:val="00025B30"/>
    <w:rsid w:val="00025C98"/>
    <w:rsid w:val="000B5AD7"/>
    <w:rsid w:val="00161DFA"/>
    <w:rsid w:val="0016609A"/>
    <w:rsid w:val="002331E8"/>
    <w:rsid w:val="0028578D"/>
    <w:rsid w:val="002E0CC2"/>
    <w:rsid w:val="002F1F79"/>
    <w:rsid w:val="002F70D7"/>
    <w:rsid w:val="0039147B"/>
    <w:rsid w:val="003B25B5"/>
    <w:rsid w:val="003E1FC1"/>
    <w:rsid w:val="004863CB"/>
    <w:rsid w:val="004B399A"/>
    <w:rsid w:val="004F4F78"/>
    <w:rsid w:val="004F550A"/>
    <w:rsid w:val="005934BF"/>
    <w:rsid w:val="005E7D10"/>
    <w:rsid w:val="00616F55"/>
    <w:rsid w:val="006553F0"/>
    <w:rsid w:val="006D3CC1"/>
    <w:rsid w:val="006E7C0D"/>
    <w:rsid w:val="00706DBD"/>
    <w:rsid w:val="00775263"/>
    <w:rsid w:val="007B035A"/>
    <w:rsid w:val="007F757D"/>
    <w:rsid w:val="00922F6B"/>
    <w:rsid w:val="00932B64"/>
    <w:rsid w:val="0095078B"/>
    <w:rsid w:val="00A24A5D"/>
    <w:rsid w:val="00AE7F4F"/>
    <w:rsid w:val="00AF0AF2"/>
    <w:rsid w:val="00B033F3"/>
    <w:rsid w:val="00B8252F"/>
    <w:rsid w:val="00B87CC8"/>
    <w:rsid w:val="00C271D1"/>
    <w:rsid w:val="00C32FF2"/>
    <w:rsid w:val="00C95555"/>
    <w:rsid w:val="00D205BA"/>
    <w:rsid w:val="00D5386F"/>
    <w:rsid w:val="00E17832"/>
    <w:rsid w:val="00E51F42"/>
    <w:rsid w:val="00E711D7"/>
    <w:rsid w:val="00F50560"/>
    <w:rsid w:val="00F5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3</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6</cp:revision>
  <dcterms:created xsi:type="dcterms:W3CDTF">2021-10-06T00:56:00Z</dcterms:created>
  <dcterms:modified xsi:type="dcterms:W3CDTF">2021-10-14T05:29:00Z</dcterms:modified>
</cp:coreProperties>
</file>