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5A69B1B2" w14:textId="02B9D2AD" w:rsidR="00192D8D" w:rsidRPr="00323532" w:rsidRDefault="008C2802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. </w:t>
      </w:r>
      <w:r w:rsidR="007A1726">
        <w:rPr>
          <w:rFonts w:ascii="Times New Roman" w:hAnsi="Times New Roman" w:cs="Times New Roman" w:hint="eastAsia"/>
          <w:sz w:val="24"/>
          <w:szCs w:val="24"/>
        </w:rPr>
        <w:t>In</w:t>
      </w:r>
      <w:r w:rsidR="007A1726">
        <w:rPr>
          <w:rFonts w:ascii="Times New Roman" w:hAnsi="Times New Roman" w:cs="Times New Roman"/>
          <w:sz w:val="24"/>
          <w:szCs w:val="24"/>
        </w:rPr>
        <w:t xml:space="preserve"> Australia, the average progress in sugarcane breeding was 190 kg</w:t>
      </w:r>
    </w:p>
    <w:p w14:paraId="699012F7" w14:textId="4CCEE4B9" w:rsidR="00192D8D" w:rsidRPr="00323532" w:rsidRDefault="007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Sugar/ha/year in the past 30 years, about 1%.</w:t>
      </w:r>
    </w:p>
    <w:p w14:paraId="5723536B" w14:textId="477646B6" w:rsidR="002A14DD" w:rsidRPr="00323532" w:rsidRDefault="002A14DD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163F28">
        <w:rPr>
          <w:rFonts w:ascii="Times New Roman" w:hAnsi="Times New Roman" w:cs="Times New Roman" w:hint="eastAsia"/>
          <w:sz w:val="24"/>
          <w:szCs w:val="24"/>
        </w:rPr>
        <w:t>First</w:t>
      </w:r>
      <w:r w:rsidR="00163F28">
        <w:rPr>
          <w:rFonts w:ascii="Times New Roman" w:hAnsi="Times New Roman" w:cs="Times New Roman"/>
          <w:sz w:val="24"/>
          <w:szCs w:val="24"/>
        </w:rPr>
        <w:t xml:space="preserve">, the constraints between conventional breeding methods and low heritability in early-stage sugarcane yield, and causes low correlation within strands.  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233BDF46" w:rsidR="00D030C3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a outstanding approach in modern agricultural breeding.</w:t>
      </w:r>
      <w:r w:rsidR="00E15E04">
        <w:rPr>
          <w:rFonts w:ascii="Times New Roman" w:hAnsi="Times New Roman" w:cs="Times New Roman"/>
          <w:sz w:val="24"/>
          <w:szCs w:val="24"/>
        </w:rPr>
        <w:t xml:space="preserve"> The GS has an inherent ability that the GS can estimate breeding values before making crosses, which provides opportunities to decrease breeding cycles </w:t>
      </w:r>
      <w:r w:rsidR="00E15E04">
        <w:rPr>
          <w:rFonts w:ascii="Times New Roman" w:hAnsi="Times New Roman" w:cs="Times New Roman"/>
          <w:sz w:val="24"/>
          <w:szCs w:val="24"/>
        </w:rPr>
        <w:fldChar w:fldCharType="begin"/>
      </w:r>
      <w:r w:rsidR="00E15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&lt;EndNote&gt;&lt;Cite&gt;&lt;Author&gt;Jonas&lt;/Author&gt;&lt;Year&gt;2013&lt;/Year&gt;&lt;RecNum&gt;29&lt;/RecNum&gt;&lt;DisplayText&gt;(Jonas and de Koning, 2013)&lt;/DisplayText&gt;&lt;record&gt;&lt;rec-number&gt;29&lt;/rec-number&gt;&lt;foreign-keys&gt;&lt;key app="EN" db-id="xewzr0x02dtzzhezzdlvzw03p9arw09wfezt" timestamp="1639395470"&gt;29&lt;/key&gt;&lt;/foreign-keys&gt;&lt;ref-type name="Journal Article"&gt;17&lt;/ref-type&gt;&lt;contributors&gt;&lt;authors&gt;&lt;author&gt;Jonas, Elisabeth&lt;/author&gt;&lt;author&gt;de Koning, Dirk-Jan&lt;/author&gt;&lt;/authors&gt;&lt;/contributors&gt;&lt;titles&gt;&lt;title&gt;Does genomic selection have a future in plant breeding?&lt;/title&gt;&lt;secondary-title&gt;Trends in Biotechnology&lt;/secondary-title&gt;&lt;/titles&gt;&lt;periodical&gt;&lt;full-title&gt;Trends in Biotechnology&lt;/full-title&gt;&lt;/periodical&gt;&lt;pages&gt;497-504&lt;/pages&gt;&lt;volume&gt;31&lt;/volume&gt;&lt;number&gt;9&lt;/number&gt;&lt;keywords&gt;&lt;keyword&gt;crops&lt;/keyword&gt;&lt;keyword&gt;estimated breeding value&lt;/keyword&gt;&lt;keyword&gt;genomic selection&lt;/keyword&gt;&lt;keyword&gt;marker-assisted selection&lt;/keyword&gt;&lt;/keywords&gt;&lt;dates&gt;&lt;year&gt;2013&lt;/year&gt;&lt;pub-dates&gt;&lt;date&gt;2013/09/01/&lt;/date&gt;&lt;/pub-dates&gt;&lt;/dates&gt;&lt;isbn&gt;0167-7799&lt;/isbn&gt;&lt;urls&gt;&lt;related-urls&gt;&lt;url&gt;https://www.sciencedirect.com/science/article/pii/S0167779913001418&lt;/url&gt;&lt;/related-urls&gt;&lt;/urls&gt;&lt;electronic-resource-num&gt;https://doi.org/10.1016/j.tibtech.2013.06.003&lt;/electronic-resource-num&gt;&lt;/record&gt;&lt;/Cite&gt;&lt;/EndNote&gt;</w:instrText>
      </w:r>
      <w:r w:rsidR="00E15E04">
        <w:rPr>
          <w:rFonts w:ascii="Times New Roman" w:hAnsi="Times New Roman" w:cs="Times New Roman"/>
          <w:sz w:val="24"/>
          <w:szCs w:val="24"/>
        </w:rPr>
        <w:fldChar w:fldCharType="separate"/>
      </w:r>
      <w:r w:rsidR="00E15E04">
        <w:rPr>
          <w:rFonts w:ascii="Times New Roman" w:hAnsi="Times New Roman" w:cs="Times New Roman"/>
          <w:noProof/>
          <w:sz w:val="24"/>
          <w:szCs w:val="24"/>
        </w:rPr>
        <w:t>(Jonas and de Koning, 2013)</w:t>
      </w:r>
      <w:r w:rsidR="00E15E04">
        <w:rPr>
          <w:rFonts w:ascii="Times New Roman" w:hAnsi="Times New Roman" w:cs="Times New Roman"/>
          <w:sz w:val="24"/>
          <w:szCs w:val="24"/>
        </w:rPr>
        <w:fldChar w:fldCharType="end"/>
      </w:r>
      <w:r w:rsidR="00E15E04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423AF9">
        <w:rPr>
          <w:rFonts w:ascii="Times New Roman" w:hAnsi="Times New Roman" w:cs="Times New Roman"/>
          <w:sz w:val="24"/>
          <w:szCs w:val="24"/>
        </w:rPr>
        <w:t>after</w:t>
      </w:r>
      <w:r w:rsidR="00174B98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423AF9">
        <w:rPr>
          <w:rFonts w:ascii="Times New Roman" w:hAnsi="Times New Roman" w:cs="Times New Roman"/>
          <w:sz w:val="24"/>
          <w:szCs w:val="24"/>
        </w:rPr>
        <w:t>capacities and accuracy of GS have been widely extended by the marker-rich array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3421" w14:textId="2269BC91" w:rsidR="00423AF9" w:rsidRDefault="00423AF9">
      <w:pPr>
        <w:rPr>
          <w:rFonts w:ascii="Times New Roman" w:hAnsi="Times New Roman" w:cs="Times New Roman"/>
          <w:sz w:val="24"/>
          <w:szCs w:val="24"/>
        </w:rPr>
      </w:pPr>
    </w:p>
    <w:p w14:paraId="4D73D3B4" w14:textId="77777777" w:rsidR="00423AF9" w:rsidRPr="00174B98" w:rsidRDefault="00423AF9">
      <w:pPr>
        <w:rPr>
          <w:rFonts w:ascii="Times New Roman" w:hAnsi="Times New Roman" w:cs="Times New Roman" w:hint="eastAsia"/>
          <w:sz w:val="24"/>
          <w:szCs w:val="24"/>
        </w:rPr>
      </w:pPr>
    </w:p>
    <w:p w14:paraId="4F963966" w14:textId="08AA6223" w:rsidR="00D030C3" w:rsidRDefault="00D030C3">
      <w:pPr>
        <w:rPr>
          <w:rFonts w:ascii="Times New Roman" w:hAnsi="Times New Roman" w:cs="Times New Roman"/>
        </w:rPr>
      </w:pPr>
    </w:p>
    <w:p w14:paraId="0B837B69" w14:textId="77777777" w:rsidR="00A70C15" w:rsidRDefault="00A70C15">
      <w:pPr>
        <w:rPr>
          <w:rFonts w:ascii="Times New Roman" w:hAnsi="Times New Roman" w:cs="Times New Roman" w:hint="eastAsia"/>
        </w:rPr>
      </w:pPr>
    </w:p>
    <w:p w14:paraId="6F3EE960" w14:textId="77777777" w:rsidR="00E15E04" w:rsidRPr="00E15E04" w:rsidRDefault="00192D8D" w:rsidP="00E15E04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E15E04" w:rsidRPr="00E15E04">
        <w:t>Goddard, M. E., and Hayes, B. J. (2007). Genomic selection. Journal of Animal Breeding and Genetics</w:t>
      </w:r>
      <w:r w:rsidR="00E15E04" w:rsidRPr="00E15E04">
        <w:rPr>
          <w:i/>
        </w:rPr>
        <w:t xml:space="preserve"> 124</w:t>
      </w:r>
      <w:r w:rsidR="00E15E04" w:rsidRPr="00E15E04">
        <w:t>, 323-330.</w:t>
      </w:r>
    </w:p>
    <w:p w14:paraId="2397F630" w14:textId="77777777" w:rsidR="00E15E04" w:rsidRPr="00E15E04" w:rsidRDefault="00E15E04" w:rsidP="00E15E04">
      <w:pPr>
        <w:pStyle w:val="EndNoteBibliography"/>
      </w:pPr>
      <w:r w:rsidRPr="00E15E04">
        <w:t>Jonas, E., and de Koning, D.-J. (2013). Does genomic selection have a future in plant breeding? Trends in Biotechnology</w:t>
      </w:r>
      <w:r w:rsidRPr="00E15E04">
        <w:rPr>
          <w:i/>
        </w:rPr>
        <w:t xml:space="preserve"> 31</w:t>
      </w:r>
      <w:r w:rsidRPr="00E15E04">
        <w:t>, 497-504.</w:t>
      </w:r>
    </w:p>
    <w:p w14:paraId="54A24968" w14:textId="77777777" w:rsidR="00E15E04" w:rsidRPr="00E15E04" w:rsidRDefault="00E15E04" w:rsidP="00E15E04">
      <w:pPr>
        <w:pStyle w:val="EndNoteBibliography"/>
      </w:pPr>
      <w:r w:rsidRPr="00E15E04">
        <w:lastRenderedPageBreak/>
        <w:t>Meuwissen, T. H., Hayes, B. J., and Goddard, M. E. (2001). Prediction of total genetic value using genome-wide dense marker maps. Genetics</w:t>
      </w:r>
      <w:r w:rsidRPr="00E15E04">
        <w:rPr>
          <w:i/>
        </w:rPr>
        <w:t xml:space="preserve"> 157</w:t>
      </w:r>
      <w:r w:rsidRPr="00E15E04">
        <w:t>, 1819-1829.</w:t>
      </w:r>
    </w:p>
    <w:p w14:paraId="4E4D87CE" w14:textId="77777777" w:rsidR="00E15E04" w:rsidRPr="00E15E04" w:rsidRDefault="00E15E04" w:rsidP="00E15E04">
      <w:pPr>
        <w:pStyle w:val="EndNoteBibliography"/>
      </w:pPr>
      <w:r w:rsidRPr="00E15E04">
        <w:t>Service, U. S. D. o. A. F. A. (2021). Sugar: World Markets and Trade. World Production, Markets, and Trade Report.</w:t>
      </w:r>
    </w:p>
    <w:p w14:paraId="6B3E0ED9" w14:textId="77777777" w:rsidR="00E15E04" w:rsidRPr="00E15E04" w:rsidRDefault="00E15E04" w:rsidP="00E15E04">
      <w:pPr>
        <w:pStyle w:val="EndNoteBibliography"/>
      </w:pPr>
      <w:r w:rsidRPr="00E15E04">
        <w:t>Wei, X., and Jackson, P. (2017). Addressing slow rates of long-term genetic gain in sugarcane. Pakistan Sugar Journal</w:t>
      </w:r>
      <w:r w:rsidRPr="00E15E04">
        <w:rPr>
          <w:i/>
        </w:rPr>
        <w:t xml:space="preserve"> 32</w:t>
      </w:r>
      <w:r w:rsidRPr="00E15E04">
        <w:t>, 23.</w:t>
      </w:r>
    </w:p>
    <w:p w14:paraId="0A0ED878" w14:textId="0F5FDA15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8&lt;/item&gt;&lt;item&gt;20&lt;/item&gt;&lt;item&gt;22&lt;/item&gt;&lt;item&gt;29&lt;/item&gt;&lt;/record-ids&gt;&lt;/item&gt;&lt;/Libraries&gt;"/>
  </w:docVars>
  <w:rsids>
    <w:rsidRoot w:val="00DC3E8E"/>
    <w:rsid w:val="00001496"/>
    <w:rsid w:val="00015A01"/>
    <w:rsid w:val="000A634D"/>
    <w:rsid w:val="000D3DE4"/>
    <w:rsid w:val="00163F28"/>
    <w:rsid w:val="00174B98"/>
    <w:rsid w:val="001865F1"/>
    <w:rsid w:val="00192D8D"/>
    <w:rsid w:val="002A14DD"/>
    <w:rsid w:val="00323532"/>
    <w:rsid w:val="0034695E"/>
    <w:rsid w:val="00423AF9"/>
    <w:rsid w:val="004D062A"/>
    <w:rsid w:val="005934BF"/>
    <w:rsid w:val="00686B0F"/>
    <w:rsid w:val="007A1726"/>
    <w:rsid w:val="007C6EF6"/>
    <w:rsid w:val="008C2802"/>
    <w:rsid w:val="0094562F"/>
    <w:rsid w:val="00A70C15"/>
    <w:rsid w:val="00AE7F4F"/>
    <w:rsid w:val="00BC5C4D"/>
    <w:rsid w:val="00CF11CD"/>
    <w:rsid w:val="00D030C3"/>
    <w:rsid w:val="00D5386F"/>
    <w:rsid w:val="00DC3E8E"/>
    <w:rsid w:val="00DD641F"/>
    <w:rsid w:val="00E15E04"/>
    <w:rsid w:val="00F116EF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7</cp:revision>
  <dcterms:created xsi:type="dcterms:W3CDTF">2021-11-29T05:04:00Z</dcterms:created>
  <dcterms:modified xsi:type="dcterms:W3CDTF">2021-12-13T11:39:00Z</dcterms:modified>
</cp:coreProperties>
</file>