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E2E92" w14:textId="5CED1112" w:rsidR="00D5386F" w:rsidRPr="00323532" w:rsidRDefault="00686B0F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>Introduction</w:t>
      </w:r>
    </w:p>
    <w:p w14:paraId="0DB4D4BB" w14:textId="0835912B" w:rsidR="00686B0F" w:rsidRPr="00323532" w:rsidRDefault="00686B0F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 xml:space="preserve">Sugarcane </w:t>
      </w:r>
      <w:r w:rsidR="001865F1" w:rsidRPr="00323532">
        <w:rPr>
          <w:rFonts w:ascii="Times New Roman" w:hAnsi="Times New Roman" w:cs="Times New Roman"/>
          <w:sz w:val="24"/>
          <w:szCs w:val="24"/>
        </w:rPr>
        <w:t>Production &amp; Breeding background</w:t>
      </w:r>
    </w:p>
    <w:p w14:paraId="5A69B1B2" w14:textId="02B9D2AD" w:rsidR="00192D8D" w:rsidRPr="00323532" w:rsidRDefault="008C2802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 xml:space="preserve">As </w:t>
      </w:r>
      <w:r w:rsidR="00FD2572" w:rsidRPr="00323532">
        <w:rPr>
          <w:rFonts w:ascii="Times New Roman" w:hAnsi="Times New Roman" w:cs="Times New Roman"/>
          <w:sz w:val="24"/>
          <w:szCs w:val="24"/>
        </w:rPr>
        <w:t>one of the global main crops</w:t>
      </w:r>
      <w:r w:rsidRPr="00323532">
        <w:rPr>
          <w:rFonts w:ascii="Times New Roman" w:hAnsi="Times New Roman" w:cs="Times New Roman"/>
          <w:sz w:val="24"/>
          <w:szCs w:val="24"/>
        </w:rPr>
        <w:t xml:space="preserve">, the sugarcane provided about </w:t>
      </w:r>
      <w:r w:rsidR="007C6EF6">
        <w:rPr>
          <w:rFonts w:ascii="Times New Roman" w:hAnsi="Times New Roman" w:cs="Times New Roman"/>
          <w:sz w:val="24"/>
          <w:szCs w:val="24"/>
        </w:rPr>
        <w:t>1.9</w:t>
      </w:r>
      <w:r w:rsidR="00FD2572" w:rsidRPr="00323532">
        <w:rPr>
          <w:rFonts w:ascii="Times New Roman" w:hAnsi="Times New Roman" w:cs="Times New Roman"/>
          <w:sz w:val="24"/>
          <w:szCs w:val="24"/>
        </w:rPr>
        <w:t xml:space="preserve"> million</w:t>
      </w:r>
      <w:r w:rsidRPr="00323532">
        <w:rPr>
          <w:rFonts w:ascii="Times New Roman" w:hAnsi="Times New Roman" w:cs="Times New Roman"/>
          <w:sz w:val="24"/>
          <w:szCs w:val="24"/>
        </w:rPr>
        <w:t xml:space="preserve"> tons yield in 2019, and accounted for approximate 79% of total global sugar production</w:t>
      </w:r>
      <w:r w:rsidR="00FD2572" w:rsidRPr="00323532">
        <w:rPr>
          <w:rFonts w:ascii="Times New Roman" w:hAnsi="Times New Roman" w:cs="Times New Roman"/>
          <w:sz w:val="24"/>
          <w:szCs w:val="24"/>
        </w:rPr>
        <w:t xml:space="preserve"> in the same year </w: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begin"/>
      </w:r>
      <w:r w:rsidR="00D030C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&lt;EndNote&gt;&lt;Cite&gt;&lt;Author&gt;Service&lt;/Author&gt;&lt;Year&gt;2021&lt;/Year&gt;&lt;RecNum&gt;20&lt;/RecNum&gt;&lt;DisplayText&gt;(Service, 2021)&lt;/DisplayText&gt;&lt;record&gt;&lt;rec-number&gt;20&lt;/rec-number&gt;&lt;foreign-keys&gt;&lt;key app="EN" db-id="xewzr0x02dtzzhezzdlvzw03p9arw09wfezt" timestamp="1638166587" guid="995176af-0767-45aa-955b-a13d2a859628"&gt;20&lt;/key&gt;&lt;/foreign-keys&gt;&lt;ref-type name="Journal Article"&gt;17&lt;/ref-type&gt;&lt;contributors&gt;&lt;authors&gt;&lt;author&gt;United States Department of Agriculture Foreign Agricultural Service&lt;/author&gt;&lt;/authors&gt;&lt;/contributors&gt;&lt;titles&gt;&lt;title&gt;Sugar: World Markets and Trade&lt;/title&gt;&lt;secondary-title&gt;World Production, Markets, and Trade Report&lt;/secondary-title&gt;&lt;/titles&gt;&lt;periodical&gt;&lt;full-title&gt;World Production, Markets, and Trade Report&lt;/full-title&gt;&lt;/periodical&gt;&lt;edition&gt;November 18, 2021&lt;/edition&gt;&lt;dates&gt;&lt;year&gt;2021&lt;/year&gt;&lt;pub-dates&gt;&lt;date&gt;November 18, 2021&lt;/date&gt;&lt;/pub-dates&gt;&lt;/dates&gt;&lt;urls&gt;&lt;related-urls&gt;&lt;url&gt;http://www.fas.usda.gov/psdonline/circulars/Sugar.pdf&lt;/url&gt;&lt;/related-urls&gt;&lt;/urls&gt;&lt;/record&gt;&lt;/Cite&gt;&lt;/EndNote&gt;</w:instrTex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separate"/>
      </w:r>
      <w:r w:rsidR="00192D8D" w:rsidRPr="00323532">
        <w:rPr>
          <w:rFonts w:ascii="Times New Roman" w:hAnsi="Times New Roman" w:cs="Times New Roman"/>
          <w:noProof/>
          <w:sz w:val="24"/>
          <w:szCs w:val="24"/>
        </w:rPr>
        <w:t>(Service, 2021)</w: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end"/>
      </w:r>
      <w:r w:rsidRPr="00323532">
        <w:rPr>
          <w:rFonts w:ascii="Times New Roman" w:hAnsi="Times New Roman" w:cs="Times New Roman"/>
          <w:sz w:val="24"/>
          <w:szCs w:val="24"/>
        </w:rPr>
        <w:t>.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 However, due to the</w:t>
      </w:r>
      <w:r w:rsidR="00DD641F">
        <w:rPr>
          <w:rFonts w:ascii="Times New Roman" w:hAnsi="Times New Roman" w:cs="Times New Roman"/>
          <w:sz w:val="24"/>
          <w:szCs w:val="24"/>
        </w:rPr>
        <w:t xml:space="preserve"> </w:t>
      </w:r>
      <w:r w:rsidR="00DD641F">
        <w:rPr>
          <w:rFonts w:ascii="Times New Roman" w:hAnsi="Times New Roman" w:cs="Times New Roman" w:hint="eastAsia"/>
          <w:sz w:val="24"/>
          <w:szCs w:val="24"/>
        </w:rPr>
        <w:t>complex</w:t>
      </w:r>
      <w:r w:rsidR="00DD641F">
        <w:rPr>
          <w:rFonts w:ascii="Times New Roman" w:hAnsi="Times New Roman" w:cs="Times New Roman"/>
          <w:sz w:val="24"/>
          <w:szCs w:val="24"/>
        </w:rPr>
        <w:t xml:space="preserve">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genome structure, the breeding outcomes </w:t>
      </w:r>
      <w:r w:rsidR="00DD641F">
        <w:rPr>
          <w:rFonts w:ascii="Times New Roman" w:hAnsi="Times New Roman" w:cs="Times New Roman"/>
          <w:sz w:val="24"/>
          <w:szCs w:val="24"/>
        </w:rPr>
        <w:t xml:space="preserve">in sugarcane </w:t>
      </w:r>
      <w:r w:rsidR="000D3DE4" w:rsidRPr="00323532">
        <w:rPr>
          <w:rFonts w:ascii="Times New Roman" w:hAnsi="Times New Roman" w:cs="Times New Roman"/>
          <w:sz w:val="24"/>
          <w:szCs w:val="24"/>
        </w:rPr>
        <w:t>including</w:t>
      </w:r>
      <w:r w:rsidR="002A14DD" w:rsidRPr="00323532">
        <w:rPr>
          <w:rFonts w:ascii="Times New Roman" w:hAnsi="Times New Roman" w:cs="Times New Roman"/>
          <w:sz w:val="24"/>
          <w:szCs w:val="24"/>
        </w:rPr>
        <w:t xml:space="preserve"> the rate of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 selection cycle decrease and genetic gain in the past 20 years were </w:t>
      </w:r>
      <w:r w:rsidR="002A14DD" w:rsidRPr="00323532">
        <w:rPr>
          <w:rFonts w:ascii="Times New Roman" w:hAnsi="Times New Roman" w:cs="Times New Roman"/>
          <w:sz w:val="24"/>
          <w:szCs w:val="24"/>
        </w:rPr>
        <w:t>slow</w:t>
      </w:r>
      <w:r w:rsidR="000D3DE4" w:rsidRPr="00323532">
        <w:rPr>
          <w:rFonts w:ascii="Times New Roman" w:hAnsi="Times New Roman" w:cs="Times New Roman"/>
          <w:sz w:val="24"/>
          <w:szCs w:val="24"/>
        </w:rPr>
        <w:t>. T</w:t>
      </w:r>
      <w:r w:rsidR="00192D8D" w:rsidRPr="00323532">
        <w:rPr>
          <w:rFonts w:ascii="Times New Roman" w:hAnsi="Times New Roman" w:cs="Times New Roman"/>
          <w:sz w:val="24"/>
          <w:szCs w:val="24"/>
        </w:rPr>
        <w:t xml:space="preserve">he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typical breeding cycle of sugarcane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by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clonal selections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which rely on the end-of-season yields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is 12-14 years </w: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begin"/>
      </w:r>
      <w:r w:rsidR="00D030C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&lt;EndNote&gt;&lt;Cite&gt;&lt;Author&gt;Wei&lt;/Author&gt;&lt;Year&gt;2017&lt;/Year&gt;&lt;RecNum&gt;22&lt;/RecNum&gt;&lt;DisplayText&gt;(Wei and Jackson, 2017)&lt;/DisplayText&gt;&lt;record&gt;&lt;rec-number&gt;22&lt;/rec-number&gt;&lt;foreign-keys&gt;&lt;key app="EN" db-id="xewzr0x02dtzzhezzdlvzw03p9arw09wfezt" timestamp="1638167768" guid="262d8782-3bb0-40f0-91c9-06cf275766cb"&gt;22&lt;/key&gt;&lt;/foreign-keys&gt;&lt;ref-type name="Journal Article"&gt;17&lt;/ref-type&gt;&lt;contributors&gt;&lt;authors&gt;&lt;author&gt;Wei, Xianming&lt;/author&gt;&lt;author&gt;Jackson, Phillip&lt;/author&gt;&lt;/authors&gt;&lt;/contributors&gt;&lt;titles&gt;&lt;title&gt;Addressing slow rates of long-term genetic gain in sugarcane&lt;/title&gt;&lt;secondary-title&gt;Pakistan Sugar Journal&lt;/secondary-title&gt;&lt;/titles&gt;&lt;periodical&gt;&lt;full-title&gt;Pakistan Sugar Journal&lt;/full-title&gt;&lt;/periodical&gt;&lt;pages&gt;23&lt;/pages&gt;&lt;volume&gt;32&lt;/volume&gt;&lt;number&gt;4&lt;/number&gt;&lt;dates&gt;&lt;year&gt;2017&lt;/year&gt;&lt;/dates&gt;&lt;isbn&gt;1028-1193&lt;/isbn&gt;&lt;urls&gt;&lt;/urls&gt;&lt;/record&gt;&lt;/Cite&gt;&lt;/EndNote&gt;</w:instrTex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separate"/>
      </w:r>
      <w:r w:rsidR="00BC5C4D" w:rsidRPr="00323532">
        <w:rPr>
          <w:rFonts w:ascii="Times New Roman" w:hAnsi="Times New Roman" w:cs="Times New Roman"/>
          <w:noProof/>
          <w:sz w:val="24"/>
          <w:szCs w:val="24"/>
        </w:rPr>
        <w:t>(Wei and Jackson, 2017)</w: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end"/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. </w:t>
      </w:r>
      <w:r w:rsidR="007A1726">
        <w:rPr>
          <w:rFonts w:ascii="Times New Roman" w:hAnsi="Times New Roman" w:cs="Times New Roman" w:hint="eastAsia"/>
          <w:sz w:val="24"/>
          <w:szCs w:val="24"/>
        </w:rPr>
        <w:t>In</w:t>
      </w:r>
      <w:r w:rsidR="007A1726">
        <w:rPr>
          <w:rFonts w:ascii="Times New Roman" w:hAnsi="Times New Roman" w:cs="Times New Roman"/>
          <w:sz w:val="24"/>
          <w:szCs w:val="24"/>
        </w:rPr>
        <w:t xml:space="preserve"> Australia, the average progress in sugarcane breeding was 190 kg</w:t>
      </w:r>
    </w:p>
    <w:p w14:paraId="699012F7" w14:textId="4CCEE4B9" w:rsidR="00192D8D" w:rsidRPr="00323532" w:rsidRDefault="007A1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Sugar/ha/year in the past 30 years, about 1%.</w:t>
      </w:r>
    </w:p>
    <w:p w14:paraId="5723536B" w14:textId="477646B6" w:rsidR="002A14DD" w:rsidRPr="00323532" w:rsidRDefault="002A14DD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>There are several challenges during the sugarcane breeding.</w:t>
      </w:r>
      <w:r w:rsidR="00DD641F">
        <w:rPr>
          <w:rFonts w:ascii="Times New Roman" w:hAnsi="Times New Roman" w:cs="Times New Roman"/>
          <w:sz w:val="24"/>
          <w:szCs w:val="24"/>
        </w:rPr>
        <w:t xml:space="preserve"> </w:t>
      </w:r>
      <w:r w:rsidR="00163F28">
        <w:rPr>
          <w:rFonts w:ascii="Times New Roman" w:hAnsi="Times New Roman" w:cs="Times New Roman" w:hint="eastAsia"/>
          <w:sz w:val="24"/>
          <w:szCs w:val="24"/>
        </w:rPr>
        <w:t>First</w:t>
      </w:r>
      <w:r w:rsidR="00163F28">
        <w:rPr>
          <w:rFonts w:ascii="Times New Roman" w:hAnsi="Times New Roman" w:cs="Times New Roman"/>
          <w:sz w:val="24"/>
          <w:szCs w:val="24"/>
        </w:rPr>
        <w:t xml:space="preserve">, the constraints between conventional breeding methods and low heritability in early-stage sugarcane yield, and causes low correlation within strands.  </w:t>
      </w:r>
    </w:p>
    <w:p w14:paraId="10C0D437" w14:textId="509A0EC8" w:rsidR="002A14DD" w:rsidRPr="00174B98" w:rsidRDefault="002A14DD">
      <w:pPr>
        <w:rPr>
          <w:rFonts w:ascii="Times New Roman" w:hAnsi="Times New Roman" w:cs="Times New Roman"/>
          <w:sz w:val="24"/>
          <w:szCs w:val="24"/>
        </w:rPr>
      </w:pPr>
    </w:p>
    <w:p w14:paraId="4135EF77" w14:textId="226B3A7D" w:rsidR="002A14DD" w:rsidRPr="00174B98" w:rsidRDefault="00D030C3">
      <w:pPr>
        <w:rPr>
          <w:rFonts w:ascii="Times New Roman" w:hAnsi="Times New Roman" w:cs="Times New Roman"/>
          <w:sz w:val="24"/>
          <w:szCs w:val="24"/>
        </w:rPr>
      </w:pPr>
      <w:r w:rsidRPr="00174B98">
        <w:rPr>
          <w:rFonts w:ascii="Times New Roman" w:hAnsi="Times New Roman" w:cs="Times New Roman" w:hint="eastAsia"/>
          <w:sz w:val="24"/>
          <w:szCs w:val="24"/>
        </w:rPr>
        <w:t>Genomic</w:t>
      </w:r>
      <w:r w:rsidRPr="00174B98">
        <w:rPr>
          <w:rFonts w:ascii="Times New Roman" w:hAnsi="Times New Roman" w:cs="Times New Roman"/>
          <w:sz w:val="24"/>
          <w:szCs w:val="24"/>
        </w:rPr>
        <w:t xml:space="preserve"> Selection</w:t>
      </w:r>
    </w:p>
    <w:p w14:paraId="06AF950C" w14:textId="2133DC10" w:rsidR="00D030C3" w:rsidRPr="00174B98" w:rsidRDefault="00D030C3">
      <w:pPr>
        <w:rPr>
          <w:rFonts w:ascii="Times New Roman" w:hAnsi="Times New Roman" w:cs="Times New Roman"/>
          <w:sz w:val="24"/>
          <w:szCs w:val="24"/>
        </w:rPr>
      </w:pPr>
      <w:r w:rsidRPr="00174B98">
        <w:rPr>
          <w:rFonts w:ascii="Times New Roman" w:hAnsi="Times New Roman" w:cs="Times New Roman" w:hint="eastAsia"/>
          <w:sz w:val="24"/>
          <w:szCs w:val="24"/>
        </w:rPr>
        <w:t>T</w:t>
      </w:r>
      <w:r w:rsidRPr="00174B98">
        <w:rPr>
          <w:rFonts w:ascii="Times New Roman" w:hAnsi="Times New Roman" w:cs="Times New Roman"/>
          <w:sz w:val="24"/>
          <w:szCs w:val="24"/>
        </w:rPr>
        <w:t>he Genomic selection</w:t>
      </w:r>
      <w:r w:rsidR="00F116EF">
        <w:rPr>
          <w:rFonts w:ascii="Times New Roman" w:hAnsi="Times New Roman" w:cs="Times New Roman"/>
          <w:sz w:val="24"/>
          <w:szCs w:val="24"/>
        </w:rPr>
        <w:t xml:space="preserve"> (GS)</w:t>
      </w:r>
      <w:r w:rsidRPr="00174B98">
        <w:rPr>
          <w:rFonts w:ascii="Times New Roman" w:hAnsi="Times New Roman" w:cs="Times New Roman"/>
          <w:sz w:val="24"/>
          <w:szCs w:val="24"/>
        </w:rPr>
        <w:t xml:space="preserve"> </w:t>
      </w:r>
      <w:r w:rsidRPr="00174B98">
        <w:rPr>
          <w:rFonts w:ascii="Times New Roman" w:hAnsi="Times New Roman" w:cs="Times New Roman"/>
          <w:sz w:val="24"/>
          <w:szCs w:val="24"/>
        </w:rPr>
        <w:fldChar w:fldCharType="begin"/>
      </w:r>
      <w:r w:rsidRPr="00174B9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&lt;EndNote&gt;&lt;Cite&gt;&lt;Author&gt;Meuwissen&lt;/Author&gt;&lt;Year&gt;2001&lt;/Year&gt;&lt;RecNum&gt;6&lt;/RecNum&gt;&lt;DisplayText&gt;(Goddard and Hayes, 2007; Meuwissen et al., 2001)&lt;/DisplayText&gt;&lt;record&gt;&lt;rec-number&gt;6&lt;/rec-number&gt;&lt;foreign-keys&gt;&lt;key app="EN" db-id="xewzr0x02dtzzhezzdlvzw03p9arw09wfezt" timestamp="1633865204" guid="42e7c60b-2a36-4cc2-8020-ef0d3dbcb04d"&gt;6&lt;/key&gt;&lt;/foreign-keys&gt;&lt;ref-type name="Journal Article"&gt;17&lt;/ref-type&gt;&lt;contributors&gt;&lt;authors&gt;&lt;author&gt;Meuwissen, Theo HE&lt;/author&gt;&lt;author&gt;Hayes, Ben J&lt;/author&gt;&lt;author&gt;Goddard, Michael E&lt;/author&gt;&lt;/authors&gt;&lt;/contributors&gt;&lt;titles&gt;&lt;title&gt;Prediction of total genetic value using genome-wide dense marker maps&lt;/title&gt;&lt;secondary-title&gt;Genetics&lt;/secondary-title&gt;&lt;/titles&gt;&lt;periodical&gt;&lt;full-title&gt;Genetics&lt;/full-title&gt;&lt;/periodical&gt;&lt;pages&gt;1819-1829&lt;/pages&gt;&lt;volume&gt;157&lt;/volume&gt;&lt;number&gt;4&lt;/number&gt;&lt;dates&gt;&lt;year&gt;2001&lt;/year&gt;&lt;/dates&gt;&lt;isbn&gt;1943-2631&lt;/isbn&gt;&lt;urls&gt;&lt;/urls&gt;&lt;/record&gt;&lt;/Cite&gt;&lt;Cite&gt;&lt;Author&gt;Goddard&lt;/Author&gt;&lt;Year&gt;2007&lt;/Year&gt;&lt;RecNum&gt;18&lt;/RecNum&gt;&lt;record&gt;&lt;rec-number&gt;18&lt;/rec-number&gt;&lt;foreign-keys&gt;&lt;key app="EN" db-id="xewzr0x02dtzzhezzdlvzw03p9arw09wfezt" timestamp="1634264254" guid="13678a5f-7a1f-41a2-9ccc-58348919e024"&gt;18&lt;/key&gt;&lt;/foreign-keys&gt;&lt;ref-type name="Journal Article"&gt;17&lt;/ref-type&gt;&lt;contributors&gt;&lt;authors&gt;&lt;author&gt;Goddard, M.E.&lt;/author&gt;&lt;author&gt;Hayes, B.J.&lt;/author&gt;&lt;/authors&gt;&lt;/contributors&gt;&lt;titles&gt;&lt;title&gt;Genomic selection&lt;/title&gt;&lt;secondary-title&gt;Journal of Animal Breeding and Genetics&lt;/secondary-title&gt;&lt;/titles&gt;&lt;periodical&gt;&lt;full-title&gt;Journal of Animal Breeding and Genetics&lt;/full-title&gt;&lt;/periodical&gt;&lt;pages&gt;323-330&lt;/pages&gt;&lt;volume&gt;124&lt;/volume&gt;&lt;number&gt;6&lt;/number&gt;&lt;dates&gt;&lt;year&gt;2007&lt;/year&gt;&lt;/dates&gt;&lt;isbn&gt;0931-2668&lt;/isbn&gt;&lt;urls&gt;&lt;related-urls&gt;&lt;url&gt;https://onlinelibrary.wiley.com/doi/abs/10.1111/j.1439-0388.2007.00702.x&lt;/url&gt;&lt;/related-urls&gt;&lt;/urls&gt;&lt;electronic-resource-num&gt;https://doi.org/10.1111/j.1439-0388.2007.00702.x&lt;/electronic-resource-num&gt;&lt;/record&gt;&lt;/Cite&gt;&lt;/EndNote&gt;</w:instrText>
      </w:r>
      <w:r w:rsidRPr="00174B98">
        <w:rPr>
          <w:rFonts w:ascii="Times New Roman" w:hAnsi="Times New Roman" w:cs="Times New Roman"/>
          <w:sz w:val="24"/>
          <w:szCs w:val="24"/>
        </w:rPr>
        <w:fldChar w:fldCharType="separate"/>
      </w:r>
      <w:r w:rsidRPr="00174B98">
        <w:rPr>
          <w:rFonts w:ascii="Times New Roman" w:hAnsi="Times New Roman" w:cs="Times New Roman"/>
          <w:noProof/>
          <w:sz w:val="24"/>
          <w:szCs w:val="24"/>
        </w:rPr>
        <w:t>(Goddard and Hayes, 2007; Meuwissen et al., 2001)</w:t>
      </w:r>
      <w:r w:rsidRPr="00174B98">
        <w:rPr>
          <w:rFonts w:ascii="Times New Roman" w:hAnsi="Times New Roman" w:cs="Times New Roman"/>
          <w:sz w:val="24"/>
          <w:szCs w:val="24"/>
        </w:rPr>
        <w:fldChar w:fldCharType="end"/>
      </w:r>
      <w:r w:rsidR="0034695E" w:rsidRPr="00174B98">
        <w:rPr>
          <w:rFonts w:ascii="Times New Roman" w:hAnsi="Times New Roman" w:cs="Times New Roman"/>
          <w:sz w:val="24"/>
          <w:szCs w:val="24"/>
        </w:rPr>
        <w:t xml:space="preserve"> was determined as a outstanding approach in modern agricultural breeding. </w:t>
      </w:r>
      <w:r w:rsidR="00174B98">
        <w:rPr>
          <w:rFonts w:ascii="Times New Roman" w:hAnsi="Times New Roman" w:cs="Times New Roman"/>
          <w:sz w:val="24"/>
          <w:szCs w:val="24"/>
        </w:rPr>
        <w:t>By introducing</w:t>
      </w:r>
      <w:r w:rsidR="0034695E" w:rsidRPr="00174B98">
        <w:rPr>
          <w:rFonts w:ascii="Times New Roman" w:hAnsi="Times New Roman" w:cs="Times New Roman"/>
          <w:sz w:val="24"/>
          <w:szCs w:val="24"/>
        </w:rPr>
        <w:t xml:space="preserve"> high-dense </w:t>
      </w:r>
      <w:r w:rsidR="00CF11CD" w:rsidRPr="00174B98">
        <w:rPr>
          <w:rFonts w:ascii="Times New Roman" w:hAnsi="Times New Roman" w:cs="Times New Roman"/>
          <w:sz w:val="24"/>
          <w:szCs w:val="24"/>
        </w:rPr>
        <w:t>genome-wide genotyping technologies</w:t>
      </w:r>
      <w:r w:rsidR="0034695E" w:rsidRPr="00174B98">
        <w:rPr>
          <w:rFonts w:ascii="Times New Roman" w:hAnsi="Times New Roman" w:cs="Times New Roman"/>
          <w:sz w:val="24"/>
          <w:szCs w:val="24"/>
        </w:rPr>
        <w:t xml:space="preserve">, </w:t>
      </w:r>
      <w:r w:rsidR="00015A01">
        <w:rPr>
          <w:rFonts w:ascii="Times New Roman" w:hAnsi="Times New Roman" w:cs="Times New Roman"/>
          <w:sz w:val="24"/>
          <w:szCs w:val="24"/>
        </w:rPr>
        <w:t xml:space="preserve">the </w:t>
      </w:r>
      <w:r w:rsidR="00F116EF">
        <w:rPr>
          <w:rFonts w:ascii="Times New Roman" w:hAnsi="Times New Roman" w:cs="Times New Roman"/>
          <w:sz w:val="24"/>
          <w:szCs w:val="24"/>
        </w:rPr>
        <w:t xml:space="preserve">GS gained the abilities to predict complex traits </w:t>
      </w:r>
      <w:r w:rsidR="000A634D">
        <w:rPr>
          <w:rFonts w:ascii="Times New Roman" w:hAnsi="Times New Roman" w:cs="Times New Roman"/>
          <w:sz w:val="24"/>
          <w:szCs w:val="24"/>
        </w:rPr>
        <w:t xml:space="preserve">in animals’ early age </w:t>
      </w:r>
      <w:r w:rsidR="00F116EF">
        <w:rPr>
          <w:rFonts w:ascii="Times New Roman" w:hAnsi="Times New Roman" w:cs="Times New Roman"/>
          <w:sz w:val="24"/>
          <w:szCs w:val="24"/>
        </w:rPr>
        <w:t xml:space="preserve">based on genome-wide SNP </w:t>
      </w:r>
      <w:r w:rsidR="00F116EF">
        <w:rPr>
          <w:rFonts w:ascii="Times New Roman" w:hAnsi="Times New Roman" w:cs="Times New Roman" w:hint="eastAsia"/>
          <w:sz w:val="24"/>
          <w:szCs w:val="24"/>
        </w:rPr>
        <w:t>markers</w:t>
      </w:r>
      <w:r w:rsidR="000A634D">
        <w:rPr>
          <w:rFonts w:ascii="Times New Roman" w:hAnsi="Times New Roman" w:cs="Times New Roman"/>
          <w:sz w:val="24"/>
          <w:szCs w:val="24"/>
        </w:rPr>
        <w:t xml:space="preserve"> </w:t>
      </w:r>
      <w:r w:rsidR="000A634D">
        <w:rPr>
          <w:rFonts w:ascii="Times New Roman" w:hAnsi="Times New Roman" w:cs="Times New Roman"/>
          <w:sz w:val="24"/>
          <w:szCs w:val="24"/>
        </w:rPr>
        <w:fldChar w:fldCharType="begin"/>
      </w:r>
      <w:r w:rsidR="000A634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&lt;EndNote&gt;&lt;Cite&gt;&lt;Author&gt;Meuwissen&lt;/Author&gt;&lt;Year&gt;2001&lt;/Year&gt;&lt;RecNum&gt;6&lt;/RecNum&gt;&lt;DisplayText&gt;(Meuwissen et al., 2001)&lt;/DisplayText&gt;&lt;record&gt;&lt;rec-number&gt;6&lt;/rec-number&gt;&lt;foreign-keys&gt;&lt;key app="EN" db-id="xewzr0x02dtzzhezzdlvzw03p9arw09wfezt" timestamp="1633865204" guid="42e7c60b-2a36-4cc2-8020-ef0d3dbcb04d"&gt;6&lt;/key&gt;&lt;/foreign-keys&gt;&lt;ref-type name="Journal Article"&gt;17&lt;/ref-type&gt;&lt;contributors&gt;&lt;authors&gt;&lt;author&gt;Meuwissen, Theo HE&lt;/author&gt;&lt;author&gt;Hayes, Ben J&lt;/author&gt;&lt;author&gt;Goddard, Michael E&lt;/author&gt;&lt;/authors&gt;&lt;/contributors&gt;&lt;titles&gt;&lt;title&gt;Prediction of total genetic value using genome-wide dense marker maps&lt;/title&gt;&lt;secondary-title&gt;Genetics&lt;/secondary-title&gt;&lt;/titles&gt;&lt;periodical&gt;&lt;full-title&gt;Genetics&lt;/full-title&gt;&lt;/periodical&gt;&lt;pages&gt;1819-1829&lt;/pages&gt;&lt;volume&gt;157&lt;/volume&gt;&lt;number&gt;4&lt;/number&gt;&lt;dates&gt;&lt;year&gt;2001&lt;/year&gt;&lt;/dates&gt;&lt;isbn&gt;1943-2631&lt;/isbn&gt;&lt;urls&gt;&lt;/urls&gt;&lt;/record&gt;&lt;/Cite&gt;&lt;/EndNote&gt;</w:instrText>
      </w:r>
      <w:r w:rsidR="000A634D">
        <w:rPr>
          <w:rFonts w:ascii="Times New Roman" w:hAnsi="Times New Roman" w:cs="Times New Roman"/>
          <w:sz w:val="24"/>
          <w:szCs w:val="24"/>
        </w:rPr>
        <w:fldChar w:fldCharType="separate"/>
      </w:r>
      <w:r w:rsidR="000A634D">
        <w:rPr>
          <w:rFonts w:ascii="Times New Roman" w:hAnsi="Times New Roman" w:cs="Times New Roman"/>
          <w:noProof/>
          <w:sz w:val="24"/>
          <w:szCs w:val="24"/>
        </w:rPr>
        <w:t>(Meuwissen et al., 2001)</w:t>
      </w:r>
      <w:r w:rsidR="000A634D">
        <w:rPr>
          <w:rFonts w:ascii="Times New Roman" w:hAnsi="Times New Roman" w:cs="Times New Roman"/>
          <w:sz w:val="24"/>
          <w:szCs w:val="24"/>
        </w:rPr>
        <w:fldChar w:fldCharType="end"/>
      </w:r>
      <w:r w:rsidR="00F116EF">
        <w:rPr>
          <w:rFonts w:ascii="Times New Roman" w:hAnsi="Times New Roman" w:cs="Times New Roman"/>
          <w:sz w:val="24"/>
          <w:szCs w:val="24"/>
        </w:rPr>
        <w:t>.</w:t>
      </w:r>
      <w:r w:rsidR="000A6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63966" w14:textId="329F1CA7" w:rsidR="00D030C3" w:rsidRDefault="00D030C3">
      <w:pPr>
        <w:rPr>
          <w:rFonts w:ascii="Times New Roman" w:hAnsi="Times New Roman" w:cs="Times New Roman"/>
        </w:rPr>
      </w:pPr>
    </w:p>
    <w:p w14:paraId="1D1B0564" w14:textId="05F95D65" w:rsidR="000A634D" w:rsidRPr="00D030C3" w:rsidRDefault="000A634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</w:t>
      </w:r>
      <w:r w:rsidR="0094562F">
        <w:rPr>
          <w:rFonts w:ascii="Times New Roman" w:hAnsi="Times New Roman" w:cs="Times New Roman"/>
        </w:rPr>
        <w:t xml:space="preserve">core theory of the GS is the </w:t>
      </w:r>
    </w:p>
    <w:p w14:paraId="2BA947FB" w14:textId="77777777" w:rsidR="000A634D" w:rsidRPr="000A634D" w:rsidRDefault="00192D8D" w:rsidP="000A634D">
      <w:pPr>
        <w:pStyle w:val="EndNoteBibliography"/>
      </w:pPr>
      <w:r w:rsidRPr="00323532">
        <w:rPr>
          <w:rFonts w:ascii="Times New Roman" w:hAnsi="Times New Roman" w:cs="Times New Roman"/>
        </w:rPr>
        <w:fldChar w:fldCharType="begin"/>
      </w:r>
      <w:r w:rsidRPr="00323532">
        <w:rPr>
          <w:rFonts w:ascii="Times New Roman" w:hAnsi="Times New Roman" w:cs="Times New Roman"/>
        </w:rPr>
        <w:instrText xml:space="preserve"> ADDIN EN.REFLIST </w:instrText>
      </w:r>
      <w:r w:rsidRPr="00323532">
        <w:rPr>
          <w:rFonts w:ascii="Times New Roman" w:hAnsi="Times New Roman" w:cs="Times New Roman"/>
        </w:rPr>
        <w:fldChar w:fldCharType="separate"/>
      </w:r>
      <w:r w:rsidR="000A634D" w:rsidRPr="000A634D">
        <w:t>Goddard, M. E., and Hayes, B. J. (2007). Genomic selection. Journal of Animal Breeding and Genetics</w:t>
      </w:r>
      <w:r w:rsidR="000A634D" w:rsidRPr="000A634D">
        <w:rPr>
          <w:i/>
        </w:rPr>
        <w:t xml:space="preserve"> 124</w:t>
      </w:r>
      <w:r w:rsidR="000A634D" w:rsidRPr="000A634D">
        <w:t>, 323-330.</w:t>
      </w:r>
    </w:p>
    <w:p w14:paraId="5B26A689" w14:textId="77777777" w:rsidR="000A634D" w:rsidRPr="000A634D" w:rsidRDefault="000A634D" w:rsidP="000A634D">
      <w:pPr>
        <w:pStyle w:val="EndNoteBibliography"/>
      </w:pPr>
      <w:r w:rsidRPr="000A634D">
        <w:t>Meuwissen, T. H., Hayes, B. J., and Goddard, M. E. (2001). Prediction of total genetic value using genome-wide dense marker maps. Genetics</w:t>
      </w:r>
      <w:r w:rsidRPr="000A634D">
        <w:rPr>
          <w:i/>
        </w:rPr>
        <w:t xml:space="preserve"> 157</w:t>
      </w:r>
      <w:r w:rsidRPr="000A634D">
        <w:t>, 1819-1829.</w:t>
      </w:r>
    </w:p>
    <w:p w14:paraId="610EE8A2" w14:textId="77777777" w:rsidR="000A634D" w:rsidRPr="000A634D" w:rsidRDefault="000A634D" w:rsidP="000A634D">
      <w:pPr>
        <w:pStyle w:val="EndNoteBibliography"/>
      </w:pPr>
      <w:r w:rsidRPr="000A634D">
        <w:t>Service, U. S. D. o. A. F. A. (2021). Sugar: World Markets and Trade. World Production, Markets, and Trade Report.</w:t>
      </w:r>
    </w:p>
    <w:p w14:paraId="492F16A9" w14:textId="77777777" w:rsidR="000A634D" w:rsidRPr="000A634D" w:rsidRDefault="000A634D" w:rsidP="000A634D">
      <w:pPr>
        <w:pStyle w:val="EndNoteBibliography"/>
      </w:pPr>
      <w:r w:rsidRPr="000A634D">
        <w:t>Wei, X., and Jackson, P. (2017). Addressing slow rates of long-term genetic gain in sugarcane. Pakistan Sugar Journal</w:t>
      </w:r>
      <w:r w:rsidRPr="000A634D">
        <w:rPr>
          <w:i/>
        </w:rPr>
        <w:t xml:space="preserve"> 32</w:t>
      </w:r>
      <w:r w:rsidRPr="000A634D">
        <w:t>, 23.</w:t>
      </w:r>
    </w:p>
    <w:p w14:paraId="0A0ED878" w14:textId="13FF6E17" w:rsidR="001865F1" w:rsidRDefault="00192D8D">
      <w:r w:rsidRPr="00323532">
        <w:rPr>
          <w:rFonts w:ascii="Times New Roman" w:hAnsi="Times New Roman" w:cs="Times New Roman"/>
        </w:rPr>
        <w:fldChar w:fldCharType="end"/>
      </w:r>
    </w:p>
    <w:sectPr w:rsidR="00186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ancer Cell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ewzr0x02dtzzhezzdlvzw03p9arw09wfezt&quot;&gt;My EndNote Library&lt;record-ids&gt;&lt;item&gt;6&lt;/item&gt;&lt;item&gt;18&lt;/item&gt;&lt;item&gt;20&lt;/item&gt;&lt;item&gt;22&lt;/item&gt;&lt;/record-ids&gt;&lt;/item&gt;&lt;/Libraries&gt;"/>
  </w:docVars>
  <w:rsids>
    <w:rsidRoot w:val="00DC3E8E"/>
    <w:rsid w:val="00015A01"/>
    <w:rsid w:val="000A634D"/>
    <w:rsid w:val="000D3DE4"/>
    <w:rsid w:val="00163F28"/>
    <w:rsid w:val="00174B98"/>
    <w:rsid w:val="001865F1"/>
    <w:rsid w:val="00192D8D"/>
    <w:rsid w:val="002A14DD"/>
    <w:rsid w:val="00323532"/>
    <w:rsid w:val="0034695E"/>
    <w:rsid w:val="005934BF"/>
    <w:rsid w:val="00686B0F"/>
    <w:rsid w:val="007A1726"/>
    <w:rsid w:val="007C6EF6"/>
    <w:rsid w:val="008C2802"/>
    <w:rsid w:val="0094562F"/>
    <w:rsid w:val="00AE7F4F"/>
    <w:rsid w:val="00BC5C4D"/>
    <w:rsid w:val="00CF11CD"/>
    <w:rsid w:val="00D030C3"/>
    <w:rsid w:val="00D5386F"/>
    <w:rsid w:val="00DC3E8E"/>
    <w:rsid w:val="00DD641F"/>
    <w:rsid w:val="00F116EF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6D25"/>
  <w15:chartTrackingRefBased/>
  <w15:docId w15:val="{35D4AD16-05FA-451C-A9B6-5D5FDC7F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92D8D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92D8D"/>
    <w:rPr>
      <w:rFonts w:ascii="等线" w:eastAsia="等线" w:hAnsi="等线"/>
      <w:noProof/>
      <w:sz w:val="20"/>
      <w:lang w:val="en-AU"/>
    </w:rPr>
  </w:style>
  <w:style w:type="paragraph" w:customStyle="1" w:styleId="EndNoteBibliography">
    <w:name w:val="EndNote Bibliography"/>
    <w:basedOn w:val="Normal"/>
    <w:link w:val="EndNoteBibliographyChar"/>
    <w:rsid w:val="00192D8D"/>
    <w:pPr>
      <w:spacing w:line="240" w:lineRule="auto"/>
    </w:pPr>
    <w:rPr>
      <w:rFonts w:ascii="等线" w:eastAsia="等线" w:hAnsi="等线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192D8D"/>
    <w:rPr>
      <w:rFonts w:ascii="等线" w:eastAsia="等线" w:hAnsi="等线"/>
      <w:noProof/>
      <w:sz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Chensong Chen</dc:creator>
  <cp:keywords/>
  <dc:description/>
  <cp:lastModifiedBy>Chensong Chen</cp:lastModifiedBy>
  <cp:revision>4</cp:revision>
  <dcterms:created xsi:type="dcterms:W3CDTF">2021-11-29T05:04:00Z</dcterms:created>
  <dcterms:modified xsi:type="dcterms:W3CDTF">2021-12-13T08:07:00Z</dcterms:modified>
</cp:coreProperties>
</file>