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D32E97" w14:textId="77777777" w:rsidR="00B03C4C" w:rsidRPr="008C2D08" w:rsidRDefault="00B03C4C" w:rsidP="001B64D3">
      <w:pPr>
        <w:pStyle w:val="Title"/>
      </w:pPr>
      <w:bookmarkStart w:id="0" w:name="_Toc230084807"/>
      <w:r w:rsidRPr="008C2D08">
        <w:t>CCT College Dublin</w:t>
      </w:r>
      <w:bookmarkEnd w:id="0"/>
    </w:p>
    <w:p w14:paraId="65AF40F4" w14:textId="77777777" w:rsidR="00B03C4C" w:rsidRPr="00591DFB" w:rsidRDefault="00B03C4C" w:rsidP="00B03C4C">
      <w:pPr>
        <w:rPr>
          <w:rFonts w:cstheme="minorHAnsi"/>
        </w:rPr>
      </w:pPr>
      <w:r w:rsidRPr="00591DFB">
        <w:rPr>
          <w:rFonts w:eastAsia="Times New Roman" w:cstheme="minorHAnsi"/>
          <w:color w:val="333333"/>
        </w:rPr>
        <w:t xml:space="preserve"> </w:t>
      </w:r>
    </w:p>
    <w:p w14:paraId="0F5BB247" w14:textId="77777777" w:rsidR="00B03C4C" w:rsidRPr="008C2D08" w:rsidRDefault="00B03C4C" w:rsidP="00B03C4C">
      <w:pPr>
        <w:ind w:right="5"/>
        <w:rPr>
          <w:rFonts w:cstheme="minorHAnsi"/>
          <w:sz w:val="28"/>
          <w:szCs w:val="28"/>
        </w:rPr>
      </w:pPr>
      <w:r>
        <w:rPr>
          <w:rFonts w:eastAsia="Times New Roman" w:cstheme="minorHAnsi"/>
          <w:color w:val="333333"/>
          <w:sz w:val="28"/>
          <w:szCs w:val="28"/>
        </w:rPr>
        <w:t xml:space="preserve">              </w:t>
      </w:r>
      <w:r w:rsidRPr="008C2D08">
        <w:rPr>
          <w:rFonts w:eastAsia="Times New Roman" w:cstheme="minorHAnsi"/>
          <w:color w:val="333333"/>
          <w:sz w:val="28"/>
          <w:szCs w:val="28"/>
        </w:rPr>
        <w:t xml:space="preserve">Assessment Cover Page </w:t>
      </w:r>
    </w:p>
    <w:p w14:paraId="4BD2F4E8" w14:textId="77777777" w:rsidR="00B03C4C" w:rsidRPr="008C2D08" w:rsidRDefault="00B03C4C" w:rsidP="00B03C4C">
      <w:pPr>
        <w:spacing w:after="48"/>
        <w:ind w:left="938"/>
        <w:rPr>
          <w:rFonts w:cstheme="minorHAnsi"/>
          <w:sz w:val="28"/>
          <w:szCs w:val="28"/>
        </w:rPr>
      </w:pPr>
      <w:r w:rsidRPr="008C2D08">
        <w:rPr>
          <w:rFonts w:eastAsia="Times New Roman" w:cstheme="minorHAnsi"/>
          <w:color w:val="333333"/>
          <w:sz w:val="28"/>
          <w:szCs w:val="28"/>
        </w:rPr>
        <w:t xml:space="preserve">To be provided separately as a word doc for students to include with every submission </w:t>
      </w:r>
    </w:p>
    <w:p w14:paraId="770A3B13" w14:textId="77777777" w:rsidR="00B03C4C" w:rsidRPr="00591DFB" w:rsidRDefault="00B03C4C" w:rsidP="00B03C4C">
      <w:pPr>
        <w:ind w:left="58"/>
        <w:rPr>
          <w:rFonts w:cstheme="minorHAnsi"/>
        </w:rPr>
      </w:pPr>
      <w:r w:rsidRPr="00591DFB">
        <w:rPr>
          <w:rFonts w:eastAsia="Times New Roman" w:cstheme="minorHAnsi"/>
          <w:color w:val="333333"/>
        </w:rPr>
        <w:t xml:space="preserve"> </w:t>
      </w:r>
    </w:p>
    <w:p w14:paraId="5E893D17" w14:textId="77777777" w:rsidR="00B03C4C" w:rsidRPr="00591DFB" w:rsidRDefault="00B03C4C" w:rsidP="00B03C4C">
      <w:pPr>
        <w:spacing w:after="44"/>
        <w:ind w:left="11" w:right="12"/>
        <w:rPr>
          <w:rFonts w:cstheme="minorHAnsi"/>
        </w:rPr>
      </w:pPr>
      <w:r w:rsidRPr="00591DFB">
        <w:rPr>
          <w:rFonts w:cstheme="minorHAnsi"/>
          <w:noProof/>
          <w:lang w:val="en-IN" w:eastAsia="en-IN"/>
        </w:rPr>
        <mc:AlternateContent>
          <mc:Choice Requires="wpg">
            <w:drawing>
              <wp:inline distT="0" distB="0" distL="0" distR="0" wp14:anchorId="30952C01" wp14:editId="65C5E5F2">
                <wp:extent cx="5788152" cy="16764"/>
                <wp:effectExtent l="0" t="0" r="0" b="0"/>
                <wp:docPr id="6545" name="Group 6545"/>
                <wp:cNvGraphicFramePr/>
                <a:graphic xmlns:a="http://schemas.openxmlformats.org/drawingml/2006/main">
                  <a:graphicData uri="http://schemas.microsoft.com/office/word/2010/wordprocessingGroup">
                    <wpg:wgp>
                      <wpg:cNvGrpSpPr>
                        <a:extLst>
                          <a:ext uri="{F59B8463-F414-42e2-B3A4-FFEF48DC7170}">
                            <a15:nonVisualGroupProps xmlns:a15="http://schemas.microsoft.com/office/drawing/2012/main" isLegacyGroup="0"/>
                          </a:ext>
                        </a:extLst>
                      </wpg:cNvGrpSpPr>
                      <wpg:grpSpPr>
                        <a:xfrm>
                          <a:off x="0" y="0"/>
                          <a:ext cx="5788152" cy="16764"/>
                          <a:chOff x="0" y="0"/>
                          <a:chExt cx="5788152" cy="16764"/>
                        </a:xfrm>
                      </wpg:grpSpPr>
                      <wps:wsp>
                        <wps:cNvPr id="8154" name="Shape 8154"/>
                        <wps:cNvSpPr/>
                        <wps:spPr>
                          <a:xfrm>
                            <a:off x="0" y="0"/>
                            <a:ext cx="5788152" cy="16764"/>
                          </a:xfrm>
                          <a:custGeom>
                            <a:avLst/>
                            <a:gdLst/>
                            <a:ahLst/>
                            <a:cxnLst/>
                            <a:rect l="0" t="0" r="0" b="0"/>
                            <a:pathLst>
                              <a:path w="5788152" h="16764">
                                <a:moveTo>
                                  <a:pt x="0" y="0"/>
                                </a:moveTo>
                                <a:lnTo>
                                  <a:pt x="5788152" y="0"/>
                                </a:lnTo>
                                <a:lnTo>
                                  <a:pt x="578815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3053DD" id="Group 6545"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">
                <v:shape id="Shape 8154" o:spid="_x0000_s1027" style="position:absolute;width:57881;height:167;visibility:visible;mso-wrap-style:square;v-text-anchor:top" coordsize="578815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" path="m,l5788152,r,16764l,16764,,e" fillcolor="black" stroked="f" strokeweight="0">
                  <v:stroke miterlimit="83231f" joinstyle="miter"/>
                  <v:path arrowok="t" textboxrect="0,0,5788152,16764"/>
                </v:shape>
                <w10:anchorlock/>
              </v:group>
            </w:pict>
          </mc:Fallback>
        </mc:AlternateContent>
      </w:r>
    </w:p>
    <w:p w14:paraId="51F9787E" w14:textId="77777777" w:rsidR="00B03C4C" w:rsidRPr="00591DFB" w:rsidRDefault="00B03C4C" w:rsidP="00B03C4C">
      <w:pPr>
        <w:rPr>
          <w:rFonts w:cstheme="minorHAnsi"/>
        </w:rPr>
      </w:pPr>
      <w:r w:rsidRPr="00591DFB">
        <w:rPr>
          <w:rFonts w:eastAsia="Times New Roman" w:cstheme="minorHAnsi"/>
          <w:color w:val="333333"/>
        </w:rPr>
        <w:t xml:space="preserve"> </w:t>
      </w:r>
    </w:p>
    <w:tbl>
      <w:tblPr>
        <w:tblStyle w:val="TableGrid"/>
        <w:tblW w:w="8476" w:type="dxa"/>
        <w:tblInd w:w="4" w:type="dxa"/>
        <w:tblCellMar>
          <w:top w:w="44" w:type="dxa"/>
          <w:left w:w="101" w:type="dxa"/>
          <w:right w:w="56" w:type="dxa"/>
        </w:tblCellMar>
        <w:tblLook w:val="04A0" w:firstRow="1" w:lastRow="0" w:firstColumn="1" w:lastColumn="0" w:noHBand="0" w:noVBand="1"/>
      </w:tblPr>
      <w:tblGrid>
        <w:gridCol w:w="2128"/>
        <w:gridCol w:w="6348"/>
      </w:tblGrid>
      <w:tr w:rsidR="00B03C4C" w:rsidRPr="00591DFB" w14:paraId="3EEDAC2D"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6A904B25" w14:textId="77777777" w:rsidR="00B03C4C" w:rsidRPr="00591DFB" w:rsidRDefault="00B03C4C" w:rsidP="00155DDE">
            <w:pPr>
              <w:ind w:left="4"/>
              <w:rPr>
                <w:rFonts w:cstheme="minorHAnsi"/>
              </w:rPr>
            </w:pPr>
            <w:r w:rsidRPr="00591DFB">
              <w:rPr>
                <w:rFonts w:eastAsia="Times New Roman" w:cstheme="minorHAnsi"/>
                <w:color w:val="333333"/>
              </w:rPr>
              <w:t xml:space="preserve">Module Title: </w:t>
            </w:r>
          </w:p>
          <w:p w14:paraId="3C9FAE52"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7E091EC0" w14:textId="0CEECF23" w:rsidR="00B03C4C" w:rsidRPr="00591DFB" w:rsidRDefault="009B4C17" w:rsidP="00155DDE">
            <w:pPr>
              <w:rPr>
                <w:rFonts w:cstheme="minorHAnsi"/>
              </w:rPr>
            </w:pPr>
            <w:r>
              <w:rPr>
                <w:rFonts w:cstheme="minorHAnsi"/>
              </w:rPr>
              <w:t>Research and Professional ethics</w:t>
            </w:r>
          </w:p>
        </w:tc>
      </w:tr>
      <w:tr w:rsidR="00B03C4C" w:rsidRPr="00591DFB" w14:paraId="1388036B"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3EF32113" w14:textId="77777777" w:rsidR="00B03C4C" w:rsidRPr="00591DFB" w:rsidRDefault="00B03C4C" w:rsidP="00155DDE">
            <w:pPr>
              <w:ind w:left="4"/>
              <w:rPr>
                <w:rFonts w:cstheme="minorHAnsi"/>
              </w:rPr>
            </w:pPr>
            <w:r w:rsidRPr="00591DFB">
              <w:rPr>
                <w:rFonts w:eastAsia="Times New Roman" w:cstheme="minorHAnsi"/>
                <w:color w:val="333333"/>
              </w:rPr>
              <w:t xml:space="preserve">Assessment Title: </w:t>
            </w:r>
          </w:p>
          <w:p w14:paraId="1048B0DE"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FB5FBC1" w14:textId="77777777" w:rsidR="00B03C4C" w:rsidRPr="00591DFB" w:rsidRDefault="00B03C4C" w:rsidP="00155DDE">
            <w:pPr>
              <w:rPr>
                <w:rFonts w:cstheme="minorHAnsi"/>
              </w:rPr>
            </w:pPr>
            <w:r>
              <w:rPr>
                <w:rFonts w:eastAsia="Times New Roman" w:cstheme="minorHAnsi"/>
                <w:color w:val="333333"/>
              </w:rPr>
              <w:t>Integrated CA2</w:t>
            </w:r>
            <w:r w:rsidRPr="00591DFB">
              <w:rPr>
                <w:rFonts w:eastAsia="Times New Roman" w:cstheme="minorHAnsi"/>
                <w:color w:val="333333"/>
              </w:rPr>
              <w:t xml:space="preserve"> Sem 2 MSc in Data Analytics </w:t>
            </w:r>
          </w:p>
        </w:tc>
      </w:tr>
      <w:tr w:rsidR="00B03C4C" w:rsidRPr="00591DFB" w14:paraId="510D5BD6" w14:textId="77777777" w:rsidTr="00155DDE">
        <w:trPr>
          <w:trHeight w:val="516"/>
        </w:trPr>
        <w:tc>
          <w:tcPr>
            <w:tcW w:w="2128" w:type="dxa"/>
            <w:tcBorders>
              <w:top w:val="single" w:sz="4" w:space="0" w:color="000000"/>
              <w:left w:val="single" w:sz="3" w:space="0" w:color="000000"/>
              <w:bottom w:val="single" w:sz="4" w:space="0" w:color="000000"/>
              <w:right w:val="single" w:sz="4" w:space="0" w:color="000000"/>
            </w:tcBorders>
          </w:tcPr>
          <w:p w14:paraId="63F7CD5A" w14:textId="77777777" w:rsidR="00B03C4C" w:rsidRPr="00591DFB" w:rsidRDefault="00B03C4C" w:rsidP="00155DDE">
            <w:pPr>
              <w:ind w:left="4"/>
              <w:rPr>
                <w:rFonts w:cstheme="minorHAnsi"/>
              </w:rPr>
            </w:pPr>
            <w:r w:rsidRPr="00591DFB">
              <w:rPr>
                <w:rFonts w:eastAsia="Times New Roman" w:cstheme="minorHAnsi"/>
                <w:color w:val="333333"/>
              </w:rPr>
              <w:t xml:space="preserve">Lecturer Name: </w:t>
            </w:r>
          </w:p>
          <w:p w14:paraId="348DD95A"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DA3D41E" w14:textId="110862AB" w:rsidR="00B03C4C" w:rsidRPr="00591DFB" w:rsidRDefault="00B03C4C" w:rsidP="00155DDE">
            <w:pPr>
              <w:ind w:right="1879"/>
              <w:rPr>
                <w:rFonts w:cstheme="minorHAnsi"/>
              </w:rPr>
            </w:pPr>
            <w:r>
              <w:rPr>
                <w:rFonts w:eastAsia="Times New Roman" w:cstheme="minorHAnsi"/>
                <w:color w:val="333333"/>
              </w:rPr>
              <w:t>Kelvin Martin</w:t>
            </w:r>
            <w:r w:rsidRPr="00591DFB">
              <w:rPr>
                <w:rFonts w:eastAsia="Times New Roman" w:cstheme="minorHAnsi"/>
                <w:color w:val="333333"/>
              </w:rPr>
              <w:t xml:space="preserve"> </w:t>
            </w:r>
          </w:p>
        </w:tc>
      </w:tr>
      <w:tr w:rsidR="00B03C4C" w:rsidRPr="00591DFB" w14:paraId="0B22F793"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088911E3" w14:textId="77777777" w:rsidR="00B03C4C" w:rsidRPr="00591DFB" w:rsidRDefault="00B03C4C" w:rsidP="00155DDE">
            <w:pPr>
              <w:ind w:left="4"/>
              <w:rPr>
                <w:rFonts w:cstheme="minorHAnsi"/>
              </w:rPr>
            </w:pPr>
            <w:r w:rsidRPr="00591DFB">
              <w:rPr>
                <w:rFonts w:eastAsia="Times New Roman" w:cstheme="minorHAnsi"/>
                <w:color w:val="333333"/>
              </w:rPr>
              <w:t xml:space="preserve">Student Full Name: </w:t>
            </w:r>
          </w:p>
          <w:p w14:paraId="0D7FEF95"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0016F0DD" w14:textId="77777777" w:rsidR="00B03C4C" w:rsidRPr="00591DFB" w:rsidRDefault="00B03C4C" w:rsidP="00155DDE">
            <w:pPr>
              <w:rPr>
                <w:rFonts w:cstheme="minorHAnsi"/>
              </w:rPr>
            </w:pPr>
            <w:r>
              <w:rPr>
                <w:rFonts w:eastAsia="Times New Roman" w:cstheme="minorHAnsi"/>
                <w:color w:val="333333"/>
              </w:rPr>
              <w:t>Arnold Sanjay Kuriakose</w:t>
            </w:r>
            <w:r w:rsidRPr="00591DFB">
              <w:rPr>
                <w:rFonts w:eastAsia="Times New Roman" w:cstheme="minorHAnsi"/>
                <w:color w:val="333333"/>
              </w:rPr>
              <w:t xml:space="preserve"> </w:t>
            </w:r>
          </w:p>
        </w:tc>
      </w:tr>
      <w:tr w:rsidR="00B03C4C" w:rsidRPr="00591DFB" w14:paraId="2BABF465"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5780791A" w14:textId="77777777" w:rsidR="00B03C4C" w:rsidRPr="00591DFB" w:rsidRDefault="00B03C4C" w:rsidP="00155DDE">
            <w:pPr>
              <w:ind w:left="4"/>
              <w:rPr>
                <w:rFonts w:cstheme="minorHAnsi"/>
              </w:rPr>
            </w:pPr>
            <w:r w:rsidRPr="00591DFB">
              <w:rPr>
                <w:rFonts w:eastAsia="Times New Roman" w:cstheme="minorHAnsi"/>
                <w:color w:val="333333"/>
              </w:rPr>
              <w:t xml:space="preserve">Student Number: </w:t>
            </w:r>
          </w:p>
          <w:p w14:paraId="76B2B280"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076E13F" w14:textId="77777777" w:rsidR="00B03C4C" w:rsidRPr="00591DFB" w:rsidRDefault="00B03C4C" w:rsidP="00155DDE">
            <w:pPr>
              <w:rPr>
                <w:rFonts w:cstheme="minorHAnsi"/>
              </w:rPr>
            </w:pPr>
            <w:r>
              <w:rPr>
                <w:rFonts w:eastAsia="Times New Roman" w:cstheme="minorHAnsi"/>
                <w:color w:val="333333"/>
              </w:rPr>
              <w:t>2025778</w:t>
            </w:r>
            <w:r w:rsidRPr="00591DFB">
              <w:rPr>
                <w:rFonts w:eastAsia="Times New Roman" w:cstheme="minorHAnsi"/>
                <w:color w:val="333333"/>
              </w:rPr>
              <w:t xml:space="preserve"> </w:t>
            </w:r>
          </w:p>
        </w:tc>
      </w:tr>
      <w:tr w:rsidR="00B03C4C" w:rsidRPr="00591DFB" w14:paraId="150C4639" w14:textId="77777777" w:rsidTr="00155DDE">
        <w:trPr>
          <w:trHeight w:val="516"/>
        </w:trPr>
        <w:tc>
          <w:tcPr>
            <w:tcW w:w="2128" w:type="dxa"/>
            <w:tcBorders>
              <w:top w:val="single" w:sz="4" w:space="0" w:color="000000"/>
              <w:left w:val="single" w:sz="3" w:space="0" w:color="000000"/>
              <w:bottom w:val="single" w:sz="4" w:space="0" w:color="000000"/>
              <w:right w:val="single" w:sz="4" w:space="0" w:color="000000"/>
            </w:tcBorders>
          </w:tcPr>
          <w:p w14:paraId="7ECB9D9B" w14:textId="77777777" w:rsidR="00B03C4C" w:rsidRPr="00591DFB" w:rsidRDefault="00B03C4C" w:rsidP="00155DDE">
            <w:pPr>
              <w:ind w:left="4"/>
              <w:rPr>
                <w:rFonts w:cstheme="minorHAnsi"/>
              </w:rPr>
            </w:pPr>
            <w:r w:rsidRPr="00591DFB">
              <w:rPr>
                <w:rFonts w:eastAsia="Times New Roman" w:cstheme="minorHAnsi"/>
                <w:color w:val="333333"/>
              </w:rPr>
              <w:t xml:space="preserve">Assessment Due Date: </w:t>
            </w:r>
          </w:p>
          <w:p w14:paraId="646A381F"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59F7DDFE" w14:textId="5DA6FE58" w:rsidR="00B03C4C" w:rsidRPr="00591DFB" w:rsidRDefault="0032473E" w:rsidP="00155DDE">
            <w:pPr>
              <w:rPr>
                <w:rFonts w:cstheme="minorHAnsi"/>
              </w:rPr>
            </w:pPr>
            <w:r>
              <w:rPr>
                <w:rFonts w:eastAsia="Times New Roman" w:cstheme="minorHAnsi"/>
                <w:color w:val="333333"/>
              </w:rPr>
              <w:t>26</w:t>
            </w:r>
            <w:r w:rsidRPr="0032473E">
              <w:rPr>
                <w:rFonts w:eastAsia="Times New Roman" w:cstheme="minorHAnsi"/>
                <w:color w:val="333333"/>
                <w:vertAlign w:val="superscript"/>
              </w:rPr>
              <w:t>th</w:t>
            </w:r>
            <w:r>
              <w:rPr>
                <w:rFonts w:eastAsia="Times New Roman" w:cstheme="minorHAnsi"/>
                <w:color w:val="333333"/>
              </w:rPr>
              <w:t xml:space="preserve"> July</w:t>
            </w:r>
            <w:r w:rsidR="00B03C4C">
              <w:rPr>
                <w:rFonts w:eastAsia="Times New Roman" w:cstheme="minorHAnsi"/>
                <w:color w:val="333333"/>
              </w:rPr>
              <w:t xml:space="preserve"> 2026</w:t>
            </w:r>
            <w:r w:rsidR="00B03C4C" w:rsidRPr="00591DFB">
              <w:rPr>
                <w:rFonts w:eastAsia="Times New Roman" w:cstheme="minorHAnsi"/>
                <w:color w:val="333333"/>
              </w:rPr>
              <w:t xml:space="preserve"> </w:t>
            </w:r>
          </w:p>
        </w:tc>
      </w:tr>
      <w:tr w:rsidR="00B03C4C" w:rsidRPr="00591DFB" w14:paraId="7C313B77"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12EEB03B" w14:textId="77777777" w:rsidR="00B03C4C" w:rsidRPr="00591DFB" w:rsidRDefault="00B03C4C" w:rsidP="00155DDE">
            <w:pPr>
              <w:ind w:left="4"/>
              <w:rPr>
                <w:rFonts w:cstheme="minorHAnsi"/>
              </w:rPr>
            </w:pPr>
            <w:r w:rsidRPr="00591DFB">
              <w:rPr>
                <w:rFonts w:eastAsia="Times New Roman" w:cstheme="minorHAnsi"/>
                <w:color w:val="333333"/>
              </w:rPr>
              <w:t xml:space="preserve">Date of Submission: </w:t>
            </w:r>
          </w:p>
          <w:p w14:paraId="69EB91C3"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0D43C6E0" w14:textId="27C4E86F" w:rsidR="00B03C4C" w:rsidRPr="00591DFB" w:rsidRDefault="0032473E" w:rsidP="00155DDE">
            <w:pPr>
              <w:rPr>
                <w:rFonts w:cstheme="minorHAnsi"/>
              </w:rPr>
            </w:pPr>
            <w:r>
              <w:rPr>
                <w:rFonts w:eastAsia="Times New Roman" w:cstheme="minorHAnsi"/>
                <w:color w:val="333333"/>
              </w:rPr>
              <w:t>26</w:t>
            </w:r>
            <w:r w:rsidRPr="0032473E">
              <w:rPr>
                <w:rFonts w:eastAsia="Times New Roman" w:cstheme="minorHAnsi"/>
                <w:color w:val="333333"/>
                <w:vertAlign w:val="superscript"/>
              </w:rPr>
              <w:t>th</w:t>
            </w:r>
            <w:r w:rsidR="00A459A1">
              <w:rPr>
                <w:rFonts w:eastAsia="Times New Roman" w:cstheme="minorHAnsi"/>
                <w:color w:val="333333"/>
              </w:rPr>
              <w:t xml:space="preserve"> July</w:t>
            </w:r>
            <w:r w:rsidR="00B03C4C">
              <w:rPr>
                <w:rFonts w:eastAsia="Times New Roman" w:cstheme="minorHAnsi"/>
                <w:color w:val="333333"/>
              </w:rPr>
              <w:t xml:space="preserve"> 2026</w:t>
            </w:r>
            <w:r w:rsidR="00B03C4C" w:rsidRPr="00591DFB">
              <w:rPr>
                <w:rFonts w:eastAsia="Times New Roman" w:cstheme="minorHAnsi"/>
                <w:color w:val="333333"/>
              </w:rPr>
              <w:t xml:space="preserve"> </w:t>
            </w:r>
          </w:p>
        </w:tc>
      </w:tr>
    </w:tbl>
    <w:p w14:paraId="70BBB1FF" w14:textId="1A2355E8" w:rsidR="00B03C4C" w:rsidRPr="00591DFB" w:rsidRDefault="00B03C4C" w:rsidP="00B03C4C">
      <w:pPr>
        <w:spacing w:after="146"/>
        <w:rPr>
          <w:rFonts w:cstheme="minorHAnsi"/>
        </w:rPr>
      </w:pPr>
      <w:r w:rsidRPr="00591DFB">
        <w:rPr>
          <w:rFonts w:eastAsia="Times New Roman" w:cstheme="minorHAnsi"/>
          <w:color w:val="333333"/>
        </w:rPr>
        <w:t xml:space="preserve"> </w:t>
      </w:r>
      <w:r w:rsidRPr="00591DFB">
        <w:rPr>
          <w:rFonts w:cstheme="minorHAnsi"/>
          <w:noProof/>
          <w:lang w:val="en-IN" w:eastAsia="en-IN"/>
        </w:rPr>
        <mc:AlternateContent>
          <mc:Choice Requires="wpg">
            <w:drawing>
              <wp:inline distT="0" distB="0" distL="0" distR="0" wp14:anchorId="74136EF8" wp14:editId="28951C2D">
                <wp:extent cx="5788152" cy="16763"/>
                <wp:effectExtent l="0" t="0" r="0" b="0"/>
                <wp:docPr id="6546" name="Group 6546"/>
                <wp:cNvGraphicFramePr/>
                <a:graphic xmlns:a="http://schemas.openxmlformats.org/drawingml/2006/main">
                  <a:graphicData uri="http://schemas.microsoft.com/office/word/2010/wordprocessingGroup">
                    <wpg:wgp>
                      <wpg:cNvGrpSpPr>
                        <a:extLst>
                          <a:ext uri="{F59B8463-F414-42e2-B3A4-FFEF48DC7170}">
                            <a15:nonVisualGroupProps xmlns:a15="http://schemas.microsoft.com/office/drawing/2012/main" isLegacyGroup="0"/>
                          </a:ext>
                        </a:extLst>
                      </wpg:cNvGrpSpPr>
                      <wpg:grpSpPr>
                        <a:xfrm>
                          <a:off x="0" y="0"/>
                          <a:ext cx="5788152" cy="16763"/>
                          <a:chOff x="0" y="0"/>
                          <a:chExt cx="5788152" cy="16763"/>
                        </a:xfrm>
                      </wpg:grpSpPr>
                      <wps:wsp>
                        <wps:cNvPr id="8156" name="Shape 8156"/>
                        <wps:cNvSpPr/>
                        <wps:spPr>
                          <a:xfrm>
                            <a:off x="0" y="0"/>
                            <a:ext cx="5788152" cy="16763"/>
                          </a:xfrm>
                          <a:custGeom>
                            <a:avLst/>
                            <a:gdLst/>
                            <a:ahLst/>
                            <a:cxnLst/>
                            <a:rect l="0" t="0" r="0" b="0"/>
                            <a:pathLst>
                              <a:path w="5788152" h="16763">
                                <a:moveTo>
                                  <a:pt x="0" y="0"/>
                                </a:moveTo>
                                <a:lnTo>
                                  <a:pt x="5788152" y="0"/>
                                </a:lnTo>
                                <a:lnTo>
                                  <a:pt x="5788152"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F68EA7" id="Group 6546"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">
                <v:shape id="Shape 8156" o:spid="_x0000_s1027" style="position:absolute;width:57881;height:167;visibility:visible;mso-wrap-style:square;v-text-anchor:top" coordsize="5788152,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" path="m,l5788152,r,16763l,16763,,e" fillcolor="black" stroked="f" strokeweight="0">
                  <v:stroke miterlimit="83231f" joinstyle="miter"/>
                  <v:path arrowok="t" textboxrect="0,0,5788152,16763"/>
                </v:shape>
                <w10:anchorlock/>
              </v:group>
            </w:pict>
          </mc:Fallback>
        </mc:AlternateContent>
      </w:r>
    </w:p>
    <w:p w14:paraId="6BA87F44" w14:textId="77777777" w:rsidR="00B03C4C" w:rsidRPr="00591DFB" w:rsidRDefault="00B03C4C" w:rsidP="00B03C4C">
      <w:pPr>
        <w:rPr>
          <w:rFonts w:cstheme="minorHAnsi"/>
        </w:rPr>
      </w:pPr>
      <w:r w:rsidRPr="00591DFB">
        <w:rPr>
          <w:rFonts w:eastAsia="Times New Roman" w:cstheme="minorHAnsi"/>
          <w:color w:val="333333"/>
        </w:rPr>
        <w:t xml:space="preserve"> </w:t>
      </w:r>
    </w:p>
    <w:p w14:paraId="3A2748D1" w14:textId="77777777" w:rsidR="00B03C4C" w:rsidRPr="00591DFB" w:rsidRDefault="00B03C4C" w:rsidP="00B03C4C">
      <w:pPr>
        <w:spacing w:after="9"/>
        <w:rPr>
          <w:rFonts w:cstheme="minorHAnsi"/>
        </w:rPr>
      </w:pPr>
      <w:r w:rsidRPr="00591DFB">
        <w:rPr>
          <w:rFonts w:eastAsia="Times New Roman" w:cstheme="minorHAnsi"/>
          <w:color w:val="333333"/>
        </w:rPr>
        <w:t xml:space="preserve">Declaration  </w:t>
      </w:r>
    </w:p>
    <w:p w14:paraId="1021502C" w14:textId="77777777" w:rsidR="00B03C4C" w:rsidRPr="00591DFB" w:rsidRDefault="00B03C4C" w:rsidP="00B03C4C">
      <w:pPr>
        <w:spacing w:after="21"/>
        <w:rPr>
          <w:rFonts w:cstheme="minorHAnsi"/>
        </w:rPr>
      </w:pPr>
      <w:r w:rsidRPr="00591DFB">
        <w:rPr>
          <w:rFonts w:eastAsia="Times New Roman" w:cstheme="minorHAnsi"/>
          <w:color w:val="333333"/>
        </w:rPr>
        <w:t xml:space="preserve"> </w:t>
      </w:r>
      <w:r w:rsidRPr="00591DFB">
        <w:rPr>
          <w:rFonts w:eastAsia="Times New Roman" w:cstheme="minorHAnsi"/>
          <w:color w:val="333333"/>
        </w:rPr>
        <w:tab/>
        <w:t xml:space="preserve"> </w:t>
      </w:r>
      <w:r w:rsidRPr="00591DFB">
        <w:rPr>
          <w:rFonts w:eastAsia="Times New Roman" w:cstheme="minorHAnsi"/>
          <w:color w:val="333333"/>
        </w:rPr>
        <w:tab/>
        <w:t xml:space="preserve"> </w:t>
      </w:r>
      <w:r w:rsidRPr="00591DFB">
        <w:rPr>
          <w:rFonts w:eastAsia="Times New Roman" w:cstheme="minorHAnsi"/>
          <w:color w:val="333333"/>
        </w:rPr>
        <w:tab/>
        <w:t xml:space="preserve"> </w:t>
      </w:r>
    </w:p>
    <w:p w14:paraId="40DF2B03" w14:textId="0D575EBD" w:rsidR="00B03C4C" w:rsidRPr="00591DFB" w:rsidRDefault="00B03C4C" w:rsidP="00B03C4C">
      <w:pPr>
        <w:pBdr>
          <w:top w:val="single" w:sz="4" w:space="0" w:color="000000"/>
          <w:left w:val="single" w:sz="3" w:space="0" w:color="000000"/>
          <w:bottom w:val="single" w:sz="4" w:space="0" w:color="000000"/>
          <w:right w:val="single" w:sz="4" w:space="0" w:color="000000"/>
        </w:pBdr>
        <w:spacing w:line="252" w:lineRule="auto"/>
        <w:ind w:left="108" w:right="287"/>
        <w:rPr>
          <w:rFonts w:cstheme="minorHAnsi"/>
        </w:rPr>
      </w:pPr>
      <w:r w:rsidRPr="00591DFB">
        <w:rPr>
          <w:rFonts w:eastAsia="Times New Roman" w:cstheme="minorHAnsi"/>
          <w:color w:val="333333"/>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14:paraId="1F21AC14" w14:textId="00467C68" w:rsidR="00B03C4C" w:rsidRDefault="00B03C4C" w:rsidP="00B03C4C">
      <w:pPr>
        <w:spacing w:after="200"/>
        <w:rPr>
          <w:rFonts w:asciiTheme="majorHAnsi" w:eastAsiaTheme="majorEastAsia" w:hAnsiTheme="majorHAnsi" w:cstheme="majorBidi"/>
          <w:b/>
          <w:bCs/>
          <w:color w:val="000000" w:themeColor="text1"/>
          <w:sz w:val="32"/>
          <w:szCs w:val="32"/>
        </w:rPr>
      </w:pPr>
    </w:p>
    <w:p w14:paraId="53BDA6A2" w14:textId="3A0D0958" w:rsidR="004B501A" w:rsidRDefault="786A3E2D" w:rsidP="1F538C68">
      <w:pPr>
        <w:spacing w:after="200"/>
        <w:ind w:firstLine="272"/>
        <w:jc w:val="center"/>
        <w:rPr>
          <w:rFonts w:asciiTheme="majorHAnsi" w:eastAsiaTheme="majorEastAsia" w:hAnsiTheme="majorHAnsi" w:cstheme="majorBidi"/>
          <w:b/>
          <w:bCs/>
          <w:color w:val="000000" w:themeColor="text1"/>
          <w:sz w:val="32"/>
          <w:szCs w:val="32"/>
        </w:rPr>
      </w:pPr>
      <w:r w:rsidRPr="1F538C68">
        <w:rPr>
          <w:rFonts w:asciiTheme="majorHAnsi" w:eastAsiaTheme="majorEastAsia" w:hAnsiTheme="majorHAnsi" w:cstheme="majorBidi"/>
          <w:b/>
          <w:bCs/>
          <w:color w:val="000000" w:themeColor="text1"/>
          <w:sz w:val="32"/>
          <w:szCs w:val="32"/>
        </w:rPr>
        <w:lastRenderedPageBreak/>
        <w:t>A</w:t>
      </w:r>
      <w:r w:rsidR="005913AF">
        <w:rPr>
          <w:rFonts w:asciiTheme="majorHAnsi" w:eastAsiaTheme="majorEastAsia" w:hAnsiTheme="majorHAnsi" w:cstheme="majorBidi"/>
          <w:b/>
          <w:bCs/>
          <w:color w:val="000000" w:themeColor="text1"/>
          <w:sz w:val="32"/>
          <w:szCs w:val="32"/>
        </w:rPr>
        <w:t>b</w:t>
      </w:r>
      <w:r w:rsidRPr="1F538C68">
        <w:rPr>
          <w:rFonts w:asciiTheme="majorHAnsi" w:eastAsiaTheme="majorEastAsia" w:hAnsiTheme="majorHAnsi" w:cstheme="majorBidi"/>
          <w:b/>
          <w:bCs/>
          <w:color w:val="000000" w:themeColor="text1"/>
          <w:sz w:val="32"/>
          <w:szCs w:val="32"/>
        </w:rPr>
        <w:t>stract</w:t>
      </w:r>
    </w:p>
    <w:p w14:paraId="27701C51" w14:textId="44EC2F90"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5C2FD118" w14:textId="76D42F68" w:rsidR="1F538C68" w:rsidRDefault="00DD4246" w:rsidP="1F538C68">
      <w:pPr>
        <w:spacing w:after="200"/>
        <w:ind w:firstLine="272"/>
        <w:jc w:val="both"/>
        <w:rPr>
          <w:rFonts w:ascii="Times New Roman" w:eastAsia="Times New Roman" w:hAnsi="Times New Roman" w:cs="Times New Roman"/>
          <w:b/>
          <w:bCs/>
          <w:color w:val="000000" w:themeColor="text1"/>
          <w:sz w:val="18"/>
          <w:szCs w:val="18"/>
        </w:rPr>
      </w:pPr>
      <w:r w:rsidRPr="00DD4246">
        <w:rPr>
          <w:rFonts w:ascii="Times New Roman" w:eastAsia="Times New Roman" w:hAnsi="Times New Roman" w:cs="Times New Roman"/>
          <w:b/>
          <w:bCs/>
          <w:color w:val="000000" w:themeColor="text1"/>
          <w:sz w:val="18"/>
          <w:szCs w:val="18"/>
        </w:rPr>
        <w:t>There have been increasing concerns about how investments in renewable energy and technology for generating electricity affect the carbon intensity of electricity. This research paper falls under the field of Data Analytics where the decarbonisation of the electricity sector will be the application area. The carbon intensity of electricity which is defined as grams of carbon dioxide per kilowatt hour of electricity generated will be the target variable.</w:t>
      </w:r>
    </w:p>
    <w:p w14:paraId="452BA935" w14:textId="32D8F1C0" w:rsidR="00DD4246" w:rsidRDefault="00DD4246" w:rsidP="009D4096">
      <w:pPr>
        <w:spacing w:after="200"/>
        <w:jc w:val="both"/>
        <w:rPr>
          <w:rFonts w:ascii="Times New Roman" w:eastAsia="Times New Roman" w:hAnsi="Times New Roman" w:cs="Times New Roman"/>
          <w:b/>
          <w:bCs/>
          <w:color w:val="000000" w:themeColor="text1"/>
          <w:sz w:val="18"/>
          <w:szCs w:val="18"/>
        </w:rPr>
      </w:pPr>
      <w:r w:rsidRPr="00DD4246">
        <w:rPr>
          <w:rFonts w:ascii="Times New Roman" w:eastAsia="Times New Roman" w:hAnsi="Times New Roman" w:cs="Times New Roman"/>
          <w:b/>
          <w:bCs/>
          <w:color w:val="000000" w:themeColor="text1"/>
          <w:sz w:val="18"/>
          <w:szCs w:val="18"/>
        </w:rPr>
        <w:t>In this study, data on public renewable energy investments and electricity generated through different technologies and their respective carbon intensities will be gathered over time at a country level. In order to understand the trends and patterns, exploratory data analysis will be conducted, followed by Data Analytics methods, which will allow for the examination of the relationships and correlations among public investment, electricity generation, and carbon intensities of various technologies.</w:t>
      </w:r>
    </w:p>
    <w:p w14:paraId="47BF1E5A" w14:textId="04556FB7" w:rsidR="009D4096" w:rsidRDefault="009D4096" w:rsidP="009D4096">
      <w:pPr>
        <w:spacing w:after="200"/>
        <w:jc w:val="both"/>
        <w:rPr>
          <w:rFonts w:ascii="Times New Roman" w:eastAsia="Times New Roman" w:hAnsi="Times New Roman" w:cs="Times New Roman"/>
          <w:b/>
          <w:bCs/>
          <w:color w:val="000000" w:themeColor="text1"/>
          <w:sz w:val="18"/>
          <w:szCs w:val="18"/>
        </w:rPr>
      </w:pPr>
      <w:r w:rsidRPr="009D4096">
        <w:rPr>
          <w:rFonts w:ascii="Times New Roman" w:eastAsia="Times New Roman" w:hAnsi="Times New Roman" w:cs="Times New Roman"/>
          <w:b/>
          <w:bCs/>
          <w:color w:val="000000" w:themeColor="text1"/>
          <w:sz w:val="18"/>
          <w:szCs w:val="18"/>
        </w:rPr>
        <w:t>Several models based on statistical, machine learning and time series approaches will be constructed and compared to predict electricity carbon intensity. Various linear and regularized regression models will be used to obtain explainable initial estimates, whereas ensembles of learning algorithms will be used to explore potential non-linear dependencies among renewable energy investments, electricity generation and carbon intensity. In addition, autoregression will be considered as a method to measure the influence of historical values of carbon intensity on future predictions. Feature engineering and selection will be conducted to choose useful predictors and reduce model complexity. The model quality will be assessed using Mean Absolute Error, Root Mean Squared Error and coefficient of determination metrics along with time-based validation approach. Finally, the best performing model will be used to make predictions of carbon intensity for the next three to four years.</w:t>
      </w:r>
    </w:p>
    <w:p w14:paraId="7EB01199" w14:textId="59FAF175"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65AA65B6" w14:textId="073612E0"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630EAE69" w14:textId="4767881D"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06B299DD" w14:textId="01DFEFE4"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0702B2F5" w14:textId="69B2AF7A"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0702D263" w14:textId="2117DF1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BD56E1D" w14:textId="7B707479"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4313514" w14:textId="14CCDDE0"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1268A9F4" w14:textId="54D39C1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51740EB" w14:textId="4B752DEF"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696FF55A" w14:textId="179BD853"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0C69ABA" w14:textId="306C3AB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431479C8" w14:textId="16081FCD"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0B8AECC" w14:textId="542EC8B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1D627B0" w14:textId="5BE5A5CA"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32A769F" w14:textId="2259F6BE" w:rsidR="00A738F6" w:rsidRDefault="00A738F6" w:rsidP="001D11FE">
      <w:pPr>
        <w:spacing w:after="200"/>
        <w:jc w:val="both"/>
        <w:rPr>
          <w:rFonts w:ascii="Times New Roman" w:eastAsia="Times New Roman" w:hAnsi="Times New Roman" w:cs="Times New Roman"/>
          <w:b/>
          <w:bCs/>
          <w:color w:val="000000" w:themeColor="text1"/>
          <w:sz w:val="18"/>
          <w:szCs w:val="18"/>
        </w:rPr>
      </w:pPr>
    </w:p>
    <w:sdt>
      <w:sdtPr>
        <w:rPr>
          <w:rFonts w:asciiTheme="minorHAnsi" w:eastAsiaTheme="minorEastAsia" w:hAnsiTheme="minorHAnsi" w:cstheme="minorBidi"/>
          <w:color w:val="auto"/>
          <w:sz w:val="24"/>
          <w:szCs w:val="24"/>
          <w:lang w:eastAsia="ja-JP"/>
        </w:rPr>
        <w:id w:val="965243670"/>
        <w:docPartObj>
          <w:docPartGallery w:val="Table of Contents"/>
          <w:docPartUnique/>
        </w:docPartObj>
      </w:sdtPr>
      <w:sdtEndPr>
        <w:rPr>
          <w:b/>
          <w:bCs/>
          <w:noProof/>
        </w:rPr>
      </w:sdtEndPr>
      <w:sdtContent>
        <w:p w14:paraId="000BAB45" w14:textId="5AB372EF" w:rsidR="00A738F6" w:rsidRDefault="00A738F6">
          <w:pPr>
            <w:pStyle w:val="TOCHeading"/>
          </w:pPr>
          <w:r>
            <w:t>Table of Contents</w:t>
          </w:r>
        </w:p>
        <w:p w14:paraId="1368003A" w14:textId="7ABAE67C" w:rsidR="00847231" w:rsidRDefault="00A738F6">
          <w:pPr>
            <w:pStyle w:val="TOC1"/>
            <w:tabs>
              <w:tab w:val="left" w:pos="440"/>
              <w:tab w:val="right" w:leader="dot" w:pos="9350"/>
            </w:tabs>
            <w:rPr>
              <w:noProof/>
              <w:sz w:val="22"/>
              <w:szCs w:val="22"/>
              <w:lang w:val="en-IN" w:eastAsia="en-IN"/>
            </w:rPr>
          </w:pPr>
          <w:r>
            <w:fldChar w:fldCharType="begin"/>
          </w:r>
          <w:r>
            <w:instrText xml:space="preserve"> TOC \o "1-3" \h \z \u </w:instrText>
          </w:r>
          <w:r>
            <w:fldChar w:fldCharType="separate"/>
          </w:r>
          <w:hyperlink w:anchor="_Toc235989862" w:history="1">
            <w:r w:rsidR="00847231" w:rsidRPr="00350E74">
              <w:rPr>
                <w:rStyle w:val="Hyperlink"/>
                <w:rFonts w:eastAsia="Times New Roman"/>
                <w:noProof/>
              </w:rPr>
              <w:t>1.</w:t>
            </w:r>
            <w:r w:rsidR="00847231">
              <w:rPr>
                <w:noProof/>
                <w:sz w:val="22"/>
                <w:szCs w:val="22"/>
                <w:lang w:val="en-IN" w:eastAsia="en-IN"/>
              </w:rPr>
              <w:tab/>
            </w:r>
            <w:r w:rsidR="00847231" w:rsidRPr="00350E74">
              <w:rPr>
                <w:rStyle w:val="Hyperlink"/>
                <w:rFonts w:eastAsia="Times New Roman"/>
                <w:noProof/>
              </w:rPr>
              <w:t>Title</w:t>
            </w:r>
            <w:r w:rsidR="00847231">
              <w:rPr>
                <w:noProof/>
                <w:webHidden/>
              </w:rPr>
              <w:tab/>
            </w:r>
            <w:r w:rsidR="00847231">
              <w:rPr>
                <w:noProof/>
                <w:webHidden/>
              </w:rPr>
              <w:fldChar w:fldCharType="begin"/>
            </w:r>
            <w:r w:rsidR="00847231">
              <w:rPr>
                <w:noProof/>
                <w:webHidden/>
              </w:rPr>
              <w:instrText xml:space="preserve"> PAGEREF _Toc235989862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17DD6BAB" w14:textId="34C2B81C" w:rsidR="00847231" w:rsidRDefault="007953A7">
          <w:pPr>
            <w:pStyle w:val="TOC2"/>
            <w:tabs>
              <w:tab w:val="left" w:pos="880"/>
              <w:tab w:val="right" w:leader="dot" w:pos="9350"/>
            </w:tabs>
            <w:rPr>
              <w:noProof/>
              <w:sz w:val="22"/>
              <w:szCs w:val="22"/>
              <w:lang w:val="en-IN" w:eastAsia="en-IN"/>
            </w:rPr>
          </w:pPr>
          <w:hyperlink w:anchor="_Toc235989863" w:history="1">
            <w:r w:rsidR="00847231" w:rsidRPr="00350E74">
              <w:rPr>
                <w:rStyle w:val="Hyperlink"/>
                <w:rFonts w:eastAsia="Times New Roman"/>
                <w:noProof/>
              </w:rPr>
              <w:t>1.1.</w:t>
            </w:r>
            <w:r w:rsidR="00847231">
              <w:rPr>
                <w:noProof/>
                <w:sz w:val="22"/>
                <w:szCs w:val="22"/>
                <w:lang w:val="en-IN" w:eastAsia="en-IN"/>
              </w:rPr>
              <w:tab/>
            </w:r>
            <w:r w:rsidR="00847231" w:rsidRPr="00350E74">
              <w:rPr>
                <w:rStyle w:val="Hyperlink"/>
                <w:rFonts w:eastAsia="Times New Roman"/>
                <w:noProof/>
              </w:rPr>
              <w:t>Research Objective</w:t>
            </w:r>
            <w:r w:rsidR="00847231">
              <w:rPr>
                <w:noProof/>
                <w:webHidden/>
              </w:rPr>
              <w:tab/>
            </w:r>
            <w:r w:rsidR="00847231">
              <w:rPr>
                <w:noProof/>
                <w:webHidden/>
              </w:rPr>
              <w:fldChar w:fldCharType="begin"/>
            </w:r>
            <w:r w:rsidR="00847231">
              <w:rPr>
                <w:noProof/>
                <w:webHidden/>
              </w:rPr>
              <w:instrText xml:space="preserve"> PAGEREF _Toc235989863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2478343F" w14:textId="5BB673D2" w:rsidR="00847231" w:rsidRDefault="007953A7">
          <w:pPr>
            <w:pStyle w:val="TOC2"/>
            <w:tabs>
              <w:tab w:val="left" w:pos="880"/>
              <w:tab w:val="right" w:leader="dot" w:pos="9350"/>
            </w:tabs>
            <w:rPr>
              <w:noProof/>
              <w:sz w:val="22"/>
              <w:szCs w:val="22"/>
              <w:lang w:val="en-IN" w:eastAsia="en-IN"/>
            </w:rPr>
          </w:pPr>
          <w:hyperlink w:anchor="_Toc235989864" w:history="1">
            <w:r w:rsidR="00847231" w:rsidRPr="00350E74">
              <w:rPr>
                <w:rStyle w:val="Hyperlink"/>
                <w:rFonts w:eastAsia="Times New Roman"/>
                <w:noProof/>
              </w:rPr>
              <w:t>1.2.</w:t>
            </w:r>
            <w:r w:rsidR="00847231">
              <w:rPr>
                <w:noProof/>
                <w:sz w:val="22"/>
                <w:szCs w:val="22"/>
                <w:lang w:val="en-IN" w:eastAsia="en-IN"/>
              </w:rPr>
              <w:tab/>
            </w:r>
            <w:r w:rsidR="00847231" w:rsidRPr="00350E74">
              <w:rPr>
                <w:rStyle w:val="Hyperlink"/>
                <w:rFonts w:eastAsia="Times New Roman"/>
                <w:noProof/>
              </w:rPr>
              <w:t>Introduction</w:t>
            </w:r>
            <w:r w:rsidR="00847231">
              <w:rPr>
                <w:noProof/>
                <w:webHidden/>
              </w:rPr>
              <w:tab/>
            </w:r>
            <w:r w:rsidR="00847231">
              <w:rPr>
                <w:noProof/>
                <w:webHidden/>
              </w:rPr>
              <w:fldChar w:fldCharType="begin"/>
            </w:r>
            <w:r w:rsidR="00847231">
              <w:rPr>
                <w:noProof/>
                <w:webHidden/>
              </w:rPr>
              <w:instrText xml:space="preserve"> PAGEREF _Toc235989864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32792669" w14:textId="4A5BC43E" w:rsidR="00847231" w:rsidRDefault="007953A7">
          <w:pPr>
            <w:pStyle w:val="TOC1"/>
            <w:tabs>
              <w:tab w:val="right" w:leader="dot" w:pos="9350"/>
            </w:tabs>
            <w:rPr>
              <w:noProof/>
              <w:sz w:val="22"/>
              <w:szCs w:val="22"/>
              <w:lang w:val="en-IN" w:eastAsia="en-IN"/>
            </w:rPr>
          </w:pPr>
          <w:hyperlink w:anchor="_Toc235989865" w:history="1">
            <w:r w:rsidR="00847231" w:rsidRPr="00350E74">
              <w:rPr>
                <w:rStyle w:val="Hyperlink"/>
                <w:noProof/>
              </w:rPr>
              <w:t>2. Literature Review</w:t>
            </w:r>
            <w:r w:rsidR="00847231">
              <w:rPr>
                <w:noProof/>
                <w:webHidden/>
              </w:rPr>
              <w:tab/>
            </w:r>
            <w:r w:rsidR="00847231">
              <w:rPr>
                <w:noProof/>
                <w:webHidden/>
              </w:rPr>
              <w:fldChar w:fldCharType="begin"/>
            </w:r>
            <w:r w:rsidR="00847231">
              <w:rPr>
                <w:noProof/>
                <w:webHidden/>
              </w:rPr>
              <w:instrText xml:space="preserve"> PAGEREF _Toc235989865 \h </w:instrText>
            </w:r>
            <w:r w:rsidR="00847231">
              <w:rPr>
                <w:noProof/>
                <w:webHidden/>
              </w:rPr>
            </w:r>
            <w:r w:rsidR="00847231">
              <w:rPr>
                <w:noProof/>
                <w:webHidden/>
              </w:rPr>
              <w:fldChar w:fldCharType="separate"/>
            </w:r>
            <w:r w:rsidR="00847231">
              <w:rPr>
                <w:noProof/>
                <w:webHidden/>
              </w:rPr>
              <w:t>5</w:t>
            </w:r>
            <w:r w:rsidR="00847231">
              <w:rPr>
                <w:noProof/>
                <w:webHidden/>
              </w:rPr>
              <w:fldChar w:fldCharType="end"/>
            </w:r>
          </w:hyperlink>
        </w:p>
        <w:p w14:paraId="6CC35598" w14:textId="795F5086" w:rsidR="00847231" w:rsidRDefault="007953A7">
          <w:pPr>
            <w:pStyle w:val="TOC2"/>
            <w:tabs>
              <w:tab w:val="right" w:leader="dot" w:pos="9350"/>
            </w:tabs>
            <w:rPr>
              <w:noProof/>
              <w:sz w:val="22"/>
              <w:szCs w:val="22"/>
              <w:lang w:val="en-IN" w:eastAsia="en-IN"/>
            </w:rPr>
          </w:pPr>
          <w:hyperlink w:anchor="_Toc235989866" w:history="1">
            <w:r w:rsidR="00847231" w:rsidRPr="00350E74">
              <w:rPr>
                <w:rStyle w:val="Hyperlink"/>
                <w:noProof/>
              </w:rPr>
              <w:t>2.1. Electricity Carbon Intensity as Prediction Target</w:t>
            </w:r>
            <w:r w:rsidR="00847231">
              <w:rPr>
                <w:noProof/>
                <w:webHidden/>
              </w:rPr>
              <w:tab/>
            </w:r>
            <w:r w:rsidR="00847231">
              <w:rPr>
                <w:noProof/>
                <w:webHidden/>
              </w:rPr>
              <w:fldChar w:fldCharType="begin"/>
            </w:r>
            <w:r w:rsidR="00847231">
              <w:rPr>
                <w:noProof/>
                <w:webHidden/>
              </w:rPr>
              <w:instrText xml:space="preserve"> PAGEREF _Toc235989866 \h </w:instrText>
            </w:r>
            <w:r w:rsidR="00847231">
              <w:rPr>
                <w:noProof/>
                <w:webHidden/>
              </w:rPr>
            </w:r>
            <w:r w:rsidR="00847231">
              <w:rPr>
                <w:noProof/>
                <w:webHidden/>
              </w:rPr>
              <w:fldChar w:fldCharType="separate"/>
            </w:r>
            <w:r w:rsidR="00847231">
              <w:rPr>
                <w:noProof/>
                <w:webHidden/>
              </w:rPr>
              <w:t>5</w:t>
            </w:r>
            <w:r w:rsidR="00847231">
              <w:rPr>
                <w:noProof/>
                <w:webHidden/>
              </w:rPr>
              <w:fldChar w:fldCharType="end"/>
            </w:r>
          </w:hyperlink>
        </w:p>
        <w:p w14:paraId="1CB7A50D" w14:textId="49AA3ECE" w:rsidR="00847231" w:rsidRDefault="007953A7">
          <w:pPr>
            <w:pStyle w:val="TOC2"/>
            <w:tabs>
              <w:tab w:val="right" w:leader="dot" w:pos="9350"/>
            </w:tabs>
            <w:rPr>
              <w:noProof/>
              <w:sz w:val="22"/>
              <w:szCs w:val="22"/>
              <w:lang w:val="en-IN" w:eastAsia="en-IN"/>
            </w:rPr>
          </w:pPr>
          <w:hyperlink w:anchor="_Toc235989867" w:history="1">
            <w:r w:rsidR="00847231" w:rsidRPr="00350E74">
              <w:rPr>
                <w:rStyle w:val="Hyperlink"/>
                <w:noProof/>
              </w:rPr>
              <w:t>2.2. Data-Driven Analysis on Renewable-Energy Investment and Carbon-Intensity Reduction</w:t>
            </w:r>
            <w:r w:rsidR="00847231">
              <w:rPr>
                <w:noProof/>
                <w:webHidden/>
              </w:rPr>
              <w:tab/>
            </w:r>
            <w:r w:rsidR="00847231">
              <w:rPr>
                <w:noProof/>
                <w:webHidden/>
              </w:rPr>
              <w:fldChar w:fldCharType="begin"/>
            </w:r>
            <w:r w:rsidR="00847231">
              <w:rPr>
                <w:noProof/>
                <w:webHidden/>
              </w:rPr>
              <w:instrText xml:space="preserve"> PAGEREF _Toc235989867 \h </w:instrText>
            </w:r>
            <w:r w:rsidR="00847231">
              <w:rPr>
                <w:noProof/>
                <w:webHidden/>
              </w:rPr>
            </w:r>
            <w:r w:rsidR="00847231">
              <w:rPr>
                <w:noProof/>
                <w:webHidden/>
              </w:rPr>
              <w:fldChar w:fldCharType="separate"/>
            </w:r>
            <w:r w:rsidR="00847231">
              <w:rPr>
                <w:noProof/>
                <w:webHidden/>
              </w:rPr>
              <w:t>6</w:t>
            </w:r>
            <w:r w:rsidR="00847231">
              <w:rPr>
                <w:noProof/>
                <w:webHidden/>
              </w:rPr>
              <w:fldChar w:fldCharType="end"/>
            </w:r>
          </w:hyperlink>
        </w:p>
        <w:p w14:paraId="4C43AEE0" w14:textId="563D996C" w:rsidR="00847231" w:rsidRDefault="007953A7">
          <w:pPr>
            <w:pStyle w:val="TOC2"/>
            <w:tabs>
              <w:tab w:val="right" w:leader="dot" w:pos="9350"/>
            </w:tabs>
            <w:rPr>
              <w:noProof/>
              <w:sz w:val="22"/>
              <w:szCs w:val="22"/>
              <w:lang w:val="en-IN" w:eastAsia="en-IN"/>
            </w:rPr>
          </w:pPr>
          <w:hyperlink w:anchor="_Toc235989868" w:history="1">
            <w:r w:rsidR="00847231" w:rsidRPr="00350E74">
              <w:rPr>
                <w:rStyle w:val="Hyperlink"/>
                <w:noProof/>
              </w:rPr>
              <w:t>2.3. Electricity-Generation Technologies as Predictors of Carbon Intensity</w:t>
            </w:r>
            <w:r w:rsidR="00847231">
              <w:rPr>
                <w:noProof/>
                <w:webHidden/>
              </w:rPr>
              <w:tab/>
            </w:r>
            <w:r w:rsidR="00847231">
              <w:rPr>
                <w:noProof/>
                <w:webHidden/>
              </w:rPr>
              <w:fldChar w:fldCharType="begin"/>
            </w:r>
            <w:r w:rsidR="00847231">
              <w:rPr>
                <w:noProof/>
                <w:webHidden/>
              </w:rPr>
              <w:instrText xml:space="preserve"> PAGEREF _Toc235989868 \h </w:instrText>
            </w:r>
            <w:r w:rsidR="00847231">
              <w:rPr>
                <w:noProof/>
                <w:webHidden/>
              </w:rPr>
            </w:r>
            <w:r w:rsidR="00847231">
              <w:rPr>
                <w:noProof/>
                <w:webHidden/>
              </w:rPr>
              <w:fldChar w:fldCharType="separate"/>
            </w:r>
            <w:r w:rsidR="00847231">
              <w:rPr>
                <w:noProof/>
                <w:webHidden/>
              </w:rPr>
              <w:t>6</w:t>
            </w:r>
            <w:r w:rsidR="00847231">
              <w:rPr>
                <w:noProof/>
                <w:webHidden/>
              </w:rPr>
              <w:fldChar w:fldCharType="end"/>
            </w:r>
          </w:hyperlink>
        </w:p>
        <w:p w14:paraId="5B98A855" w14:textId="17589446" w:rsidR="00847231" w:rsidRDefault="007953A7">
          <w:pPr>
            <w:pStyle w:val="TOC2"/>
            <w:tabs>
              <w:tab w:val="right" w:leader="dot" w:pos="9350"/>
            </w:tabs>
            <w:rPr>
              <w:noProof/>
              <w:sz w:val="22"/>
              <w:szCs w:val="22"/>
              <w:lang w:val="en-IN" w:eastAsia="en-IN"/>
            </w:rPr>
          </w:pPr>
          <w:hyperlink w:anchor="_Toc235989869" w:history="1">
            <w:r w:rsidR="00847231" w:rsidRPr="00350E74">
              <w:rPr>
                <w:rStyle w:val="Hyperlink"/>
                <w:noProof/>
              </w:rPr>
              <w:t>2.4. Machine-Learning Models for Carbon-Intensity Forecasting</w:t>
            </w:r>
            <w:r w:rsidR="00847231">
              <w:rPr>
                <w:noProof/>
                <w:webHidden/>
              </w:rPr>
              <w:tab/>
            </w:r>
            <w:r w:rsidR="00847231">
              <w:rPr>
                <w:noProof/>
                <w:webHidden/>
              </w:rPr>
              <w:fldChar w:fldCharType="begin"/>
            </w:r>
            <w:r w:rsidR="00847231">
              <w:rPr>
                <w:noProof/>
                <w:webHidden/>
              </w:rPr>
              <w:instrText xml:space="preserve"> PAGEREF _Toc235989869 \h </w:instrText>
            </w:r>
            <w:r w:rsidR="00847231">
              <w:rPr>
                <w:noProof/>
                <w:webHidden/>
              </w:rPr>
            </w:r>
            <w:r w:rsidR="00847231">
              <w:rPr>
                <w:noProof/>
                <w:webHidden/>
              </w:rPr>
              <w:fldChar w:fldCharType="separate"/>
            </w:r>
            <w:r w:rsidR="00847231">
              <w:rPr>
                <w:noProof/>
                <w:webHidden/>
              </w:rPr>
              <w:t>7</w:t>
            </w:r>
            <w:r w:rsidR="00847231">
              <w:rPr>
                <w:noProof/>
                <w:webHidden/>
              </w:rPr>
              <w:fldChar w:fldCharType="end"/>
            </w:r>
          </w:hyperlink>
        </w:p>
        <w:p w14:paraId="0A7EA05F" w14:textId="013EF217" w:rsidR="00847231" w:rsidRDefault="007953A7">
          <w:pPr>
            <w:pStyle w:val="TOC1"/>
            <w:tabs>
              <w:tab w:val="left" w:pos="440"/>
              <w:tab w:val="right" w:leader="dot" w:pos="9350"/>
            </w:tabs>
            <w:rPr>
              <w:noProof/>
              <w:sz w:val="22"/>
              <w:szCs w:val="22"/>
              <w:lang w:val="en-IN" w:eastAsia="en-IN"/>
            </w:rPr>
          </w:pPr>
          <w:hyperlink w:anchor="_Toc235989870" w:history="1">
            <w:r w:rsidR="00847231" w:rsidRPr="00350E74">
              <w:rPr>
                <w:rStyle w:val="Hyperlink"/>
                <w:noProof/>
              </w:rPr>
              <w:t>3.</w:t>
            </w:r>
            <w:r w:rsidR="00847231">
              <w:rPr>
                <w:noProof/>
                <w:sz w:val="22"/>
                <w:szCs w:val="22"/>
                <w:lang w:val="en-IN" w:eastAsia="en-IN"/>
              </w:rPr>
              <w:tab/>
            </w:r>
            <w:r w:rsidR="00847231" w:rsidRPr="00350E74">
              <w:rPr>
                <w:rStyle w:val="Hyperlink"/>
                <w:noProof/>
              </w:rPr>
              <w:t>Research Gaps</w:t>
            </w:r>
            <w:r w:rsidR="00847231">
              <w:rPr>
                <w:noProof/>
                <w:webHidden/>
              </w:rPr>
              <w:tab/>
            </w:r>
            <w:r w:rsidR="00847231">
              <w:rPr>
                <w:noProof/>
                <w:webHidden/>
              </w:rPr>
              <w:fldChar w:fldCharType="begin"/>
            </w:r>
            <w:r w:rsidR="00847231">
              <w:rPr>
                <w:noProof/>
                <w:webHidden/>
              </w:rPr>
              <w:instrText xml:space="preserve"> PAGEREF _Toc235989870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36DB07AC" w14:textId="6C46F610" w:rsidR="00847231" w:rsidRDefault="007953A7">
          <w:pPr>
            <w:pStyle w:val="TOC1"/>
            <w:tabs>
              <w:tab w:val="left" w:pos="440"/>
              <w:tab w:val="right" w:leader="dot" w:pos="9350"/>
            </w:tabs>
            <w:rPr>
              <w:noProof/>
              <w:sz w:val="22"/>
              <w:szCs w:val="22"/>
              <w:lang w:val="en-IN" w:eastAsia="en-IN"/>
            </w:rPr>
          </w:pPr>
          <w:hyperlink w:anchor="_Toc235989871" w:history="1">
            <w:r w:rsidR="00847231" w:rsidRPr="00350E74">
              <w:rPr>
                <w:rStyle w:val="Hyperlink"/>
                <w:rFonts w:eastAsia="Times New Roman"/>
                <w:noProof/>
              </w:rPr>
              <w:t>4.</w:t>
            </w:r>
            <w:r w:rsidR="00847231">
              <w:rPr>
                <w:noProof/>
                <w:sz w:val="22"/>
                <w:szCs w:val="22"/>
                <w:lang w:val="en-IN" w:eastAsia="en-IN"/>
              </w:rPr>
              <w:tab/>
            </w:r>
            <w:r w:rsidR="00847231" w:rsidRPr="00350E74">
              <w:rPr>
                <w:rStyle w:val="Hyperlink"/>
                <w:noProof/>
              </w:rPr>
              <w:t>Proposed Research Methodology</w:t>
            </w:r>
            <w:r w:rsidR="00847231">
              <w:rPr>
                <w:noProof/>
                <w:webHidden/>
              </w:rPr>
              <w:tab/>
            </w:r>
            <w:r w:rsidR="00847231">
              <w:rPr>
                <w:noProof/>
                <w:webHidden/>
              </w:rPr>
              <w:fldChar w:fldCharType="begin"/>
            </w:r>
            <w:r w:rsidR="00847231">
              <w:rPr>
                <w:noProof/>
                <w:webHidden/>
              </w:rPr>
              <w:instrText xml:space="preserve"> PAGEREF _Toc235989871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0BC21CF1" w14:textId="251EDBEE" w:rsidR="00847231" w:rsidRDefault="007953A7">
          <w:pPr>
            <w:pStyle w:val="TOC2"/>
            <w:tabs>
              <w:tab w:val="left" w:pos="880"/>
              <w:tab w:val="right" w:leader="dot" w:pos="9350"/>
            </w:tabs>
            <w:rPr>
              <w:noProof/>
              <w:sz w:val="22"/>
              <w:szCs w:val="22"/>
              <w:lang w:val="en-IN" w:eastAsia="en-IN"/>
            </w:rPr>
          </w:pPr>
          <w:hyperlink w:anchor="_Toc235989872" w:history="1">
            <w:r w:rsidR="00847231" w:rsidRPr="00350E74">
              <w:rPr>
                <w:rStyle w:val="Hyperlink"/>
                <w:noProof/>
              </w:rPr>
              <w:t>4.1.</w:t>
            </w:r>
            <w:r w:rsidR="00847231">
              <w:rPr>
                <w:noProof/>
                <w:sz w:val="22"/>
                <w:szCs w:val="22"/>
                <w:lang w:val="en-IN" w:eastAsia="en-IN"/>
              </w:rPr>
              <w:tab/>
            </w:r>
            <w:r w:rsidR="00847231" w:rsidRPr="00350E74">
              <w:rPr>
                <w:rStyle w:val="Hyperlink"/>
                <w:noProof/>
              </w:rPr>
              <w:t>Research Design</w:t>
            </w:r>
            <w:r w:rsidR="00847231">
              <w:rPr>
                <w:noProof/>
                <w:webHidden/>
              </w:rPr>
              <w:tab/>
            </w:r>
            <w:r w:rsidR="00847231">
              <w:rPr>
                <w:noProof/>
                <w:webHidden/>
              </w:rPr>
              <w:fldChar w:fldCharType="begin"/>
            </w:r>
            <w:r w:rsidR="00847231">
              <w:rPr>
                <w:noProof/>
                <w:webHidden/>
              </w:rPr>
              <w:instrText xml:space="preserve"> PAGEREF _Toc235989872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30DCF9A8" w14:textId="1AAEA0B3" w:rsidR="00847231" w:rsidRDefault="007953A7">
          <w:pPr>
            <w:pStyle w:val="TOC2"/>
            <w:tabs>
              <w:tab w:val="right" w:leader="dot" w:pos="9350"/>
            </w:tabs>
            <w:rPr>
              <w:noProof/>
              <w:sz w:val="22"/>
              <w:szCs w:val="22"/>
              <w:lang w:val="en-IN" w:eastAsia="en-IN"/>
            </w:rPr>
          </w:pPr>
          <w:hyperlink w:anchor="_Toc235989873" w:history="1">
            <w:r w:rsidR="00847231" w:rsidRPr="00350E74">
              <w:rPr>
                <w:rStyle w:val="Hyperlink"/>
                <w:noProof/>
                <w:lang w:val="en-IN" w:eastAsia="en-US"/>
              </w:rPr>
              <w:t>The study will have four phases:</w:t>
            </w:r>
            <w:r w:rsidR="00847231">
              <w:rPr>
                <w:noProof/>
                <w:webHidden/>
              </w:rPr>
              <w:tab/>
            </w:r>
            <w:r w:rsidR="00847231">
              <w:rPr>
                <w:noProof/>
                <w:webHidden/>
              </w:rPr>
              <w:fldChar w:fldCharType="begin"/>
            </w:r>
            <w:r w:rsidR="00847231">
              <w:rPr>
                <w:noProof/>
                <w:webHidden/>
              </w:rPr>
              <w:instrText xml:space="preserve"> PAGEREF _Toc235989873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28626D09" w14:textId="5E3F3673" w:rsidR="00847231" w:rsidRDefault="007953A7">
          <w:pPr>
            <w:pStyle w:val="TOC2"/>
            <w:tabs>
              <w:tab w:val="left" w:pos="880"/>
              <w:tab w:val="right" w:leader="dot" w:pos="9350"/>
            </w:tabs>
            <w:rPr>
              <w:noProof/>
              <w:sz w:val="22"/>
              <w:szCs w:val="22"/>
              <w:lang w:val="en-IN" w:eastAsia="en-IN"/>
            </w:rPr>
          </w:pPr>
          <w:hyperlink w:anchor="_Toc235989874" w:history="1">
            <w:r w:rsidR="00847231" w:rsidRPr="00350E74">
              <w:rPr>
                <w:rStyle w:val="Hyperlink"/>
                <w:noProof/>
              </w:rPr>
              <w:t>4.2.</w:t>
            </w:r>
            <w:r w:rsidR="00847231">
              <w:rPr>
                <w:noProof/>
                <w:sz w:val="22"/>
                <w:szCs w:val="22"/>
                <w:lang w:val="en-IN" w:eastAsia="en-IN"/>
              </w:rPr>
              <w:tab/>
            </w:r>
            <w:r w:rsidR="00847231" w:rsidRPr="00350E74">
              <w:rPr>
                <w:rStyle w:val="Hyperlink"/>
                <w:noProof/>
              </w:rPr>
              <w:t>Data Collection Method (Secondary Data)</w:t>
            </w:r>
            <w:r w:rsidR="00847231">
              <w:rPr>
                <w:noProof/>
                <w:webHidden/>
              </w:rPr>
              <w:tab/>
            </w:r>
            <w:r w:rsidR="00847231">
              <w:rPr>
                <w:noProof/>
                <w:webHidden/>
              </w:rPr>
              <w:fldChar w:fldCharType="begin"/>
            </w:r>
            <w:r w:rsidR="00847231">
              <w:rPr>
                <w:noProof/>
                <w:webHidden/>
              </w:rPr>
              <w:instrText xml:space="preserve"> PAGEREF _Toc235989874 \h </w:instrText>
            </w:r>
            <w:r w:rsidR="00847231">
              <w:rPr>
                <w:noProof/>
                <w:webHidden/>
              </w:rPr>
            </w:r>
            <w:r w:rsidR="00847231">
              <w:rPr>
                <w:noProof/>
                <w:webHidden/>
              </w:rPr>
              <w:fldChar w:fldCharType="separate"/>
            </w:r>
            <w:r w:rsidR="00847231">
              <w:rPr>
                <w:noProof/>
                <w:webHidden/>
              </w:rPr>
              <w:t>9</w:t>
            </w:r>
            <w:r w:rsidR="00847231">
              <w:rPr>
                <w:noProof/>
                <w:webHidden/>
              </w:rPr>
              <w:fldChar w:fldCharType="end"/>
            </w:r>
          </w:hyperlink>
        </w:p>
        <w:p w14:paraId="62FDC54A" w14:textId="4A5D7150" w:rsidR="00847231" w:rsidRDefault="007953A7">
          <w:pPr>
            <w:pStyle w:val="TOC2"/>
            <w:tabs>
              <w:tab w:val="left" w:pos="880"/>
              <w:tab w:val="right" w:leader="dot" w:pos="9350"/>
            </w:tabs>
            <w:rPr>
              <w:noProof/>
              <w:sz w:val="22"/>
              <w:szCs w:val="22"/>
              <w:lang w:val="en-IN" w:eastAsia="en-IN"/>
            </w:rPr>
          </w:pPr>
          <w:hyperlink w:anchor="_Toc235989875" w:history="1">
            <w:r w:rsidR="00847231" w:rsidRPr="00350E74">
              <w:rPr>
                <w:rStyle w:val="Hyperlink"/>
                <w:noProof/>
              </w:rPr>
              <w:t>4.3.</w:t>
            </w:r>
            <w:r w:rsidR="00847231">
              <w:rPr>
                <w:noProof/>
                <w:sz w:val="22"/>
                <w:szCs w:val="22"/>
                <w:lang w:val="en-IN" w:eastAsia="en-IN"/>
              </w:rPr>
              <w:tab/>
            </w:r>
            <w:r w:rsidR="00847231" w:rsidRPr="00350E74">
              <w:rPr>
                <w:rStyle w:val="Hyperlink"/>
                <w:noProof/>
              </w:rPr>
              <w:t>Study Population and Country Selection</w:t>
            </w:r>
            <w:r w:rsidR="00847231">
              <w:rPr>
                <w:noProof/>
                <w:webHidden/>
              </w:rPr>
              <w:tab/>
            </w:r>
            <w:r w:rsidR="00847231">
              <w:rPr>
                <w:noProof/>
                <w:webHidden/>
              </w:rPr>
              <w:fldChar w:fldCharType="begin"/>
            </w:r>
            <w:r w:rsidR="00847231">
              <w:rPr>
                <w:noProof/>
                <w:webHidden/>
              </w:rPr>
              <w:instrText xml:space="preserve"> PAGEREF _Toc235989875 \h </w:instrText>
            </w:r>
            <w:r w:rsidR="00847231">
              <w:rPr>
                <w:noProof/>
                <w:webHidden/>
              </w:rPr>
            </w:r>
            <w:r w:rsidR="00847231">
              <w:rPr>
                <w:noProof/>
                <w:webHidden/>
              </w:rPr>
              <w:fldChar w:fldCharType="separate"/>
            </w:r>
            <w:r w:rsidR="00847231">
              <w:rPr>
                <w:noProof/>
                <w:webHidden/>
              </w:rPr>
              <w:t>9</w:t>
            </w:r>
            <w:r w:rsidR="00847231">
              <w:rPr>
                <w:noProof/>
                <w:webHidden/>
              </w:rPr>
              <w:fldChar w:fldCharType="end"/>
            </w:r>
          </w:hyperlink>
        </w:p>
        <w:p w14:paraId="3C868B9D" w14:textId="7E8A0AAF" w:rsidR="00847231" w:rsidRDefault="007953A7">
          <w:pPr>
            <w:pStyle w:val="TOC2"/>
            <w:tabs>
              <w:tab w:val="left" w:pos="880"/>
              <w:tab w:val="right" w:leader="dot" w:pos="9350"/>
            </w:tabs>
            <w:rPr>
              <w:noProof/>
              <w:sz w:val="22"/>
              <w:szCs w:val="22"/>
              <w:lang w:val="en-IN" w:eastAsia="en-IN"/>
            </w:rPr>
          </w:pPr>
          <w:hyperlink w:anchor="_Toc235989876" w:history="1">
            <w:r w:rsidR="00847231" w:rsidRPr="00350E74">
              <w:rPr>
                <w:rStyle w:val="Hyperlink"/>
                <w:noProof/>
              </w:rPr>
              <w:t>4.4.</w:t>
            </w:r>
            <w:r w:rsidR="00847231">
              <w:rPr>
                <w:noProof/>
                <w:sz w:val="22"/>
                <w:szCs w:val="22"/>
                <w:lang w:val="en-IN" w:eastAsia="en-IN"/>
              </w:rPr>
              <w:tab/>
            </w:r>
            <w:r w:rsidR="00847231" w:rsidRPr="00350E74">
              <w:rPr>
                <w:rStyle w:val="Hyperlink"/>
                <w:noProof/>
              </w:rPr>
              <w:t>Data Preparation and Preprocessing</w:t>
            </w:r>
            <w:r w:rsidR="00847231">
              <w:rPr>
                <w:noProof/>
                <w:webHidden/>
              </w:rPr>
              <w:tab/>
            </w:r>
            <w:r w:rsidR="00847231">
              <w:rPr>
                <w:noProof/>
                <w:webHidden/>
              </w:rPr>
              <w:fldChar w:fldCharType="begin"/>
            </w:r>
            <w:r w:rsidR="00847231">
              <w:rPr>
                <w:noProof/>
                <w:webHidden/>
              </w:rPr>
              <w:instrText xml:space="preserve"> PAGEREF _Toc235989876 \h </w:instrText>
            </w:r>
            <w:r w:rsidR="00847231">
              <w:rPr>
                <w:noProof/>
                <w:webHidden/>
              </w:rPr>
            </w:r>
            <w:r w:rsidR="00847231">
              <w:rPr>
                <w:noProof/>
                <w:webHidden/>
              </w:rPr>
              <w:fldChar w:fldCharType="separate"/>
            </w:r>
            <w:r w:rsidR="00847231">
              <w:rPr>
                <w:noProof/>
                <w:webHidden/>
              </w:rPr>
              <w:t>10</w:t>
            </w:r>
            <w:r w:rsidR="00847231">
              <w:rPr>
                <w:noProof/>
                <w:webHidden/>
              </w:rPr>
              <w:fldChar w:fldCharType="end"/>
            </w:r>
          </w:hyperlink>
        </w:p>
        <w:p w14:paraId="10A6D6D0" w14:textId="2BF851F7" w:rsidR="00847231" w:rsidRDefault="007953A7">
          <w:pPr>
            <w:pStyle w:val="TOC2"/>
            <w:tabs>
              <w:tab w:val="left" w:pos="880"/>
              <w:tab w:val="right" w:leader="dot" w:pos="9350"/>
            </w:tabs>
            <w:rPr>
              <w:noProof/>
              <w:sz w:val="22"/>
              <w:szCs w:val="22"/>
              <w:lang w:val="en-IN" w:eastAsia="en-IN"/>
            </w:rPr>
          </w:pPr>
          <w:hyperlink w:anchor="_Toc235989877" w:history="1">
            <w:r w:rsidR="00847231" w:rsidRPr="00350E74">
              <w:rPr>
                <w:rStyle w:val="Hyperlink"/>
                <w:noProof/>
              </w:rPr>
              <w:t>4.5.</w:t>
            </w:r>
            <w:r w:rsidR="00847231">
              <w:rPr>
                <w:noProof/>
                <w:sz w:val="22"/>
                <w:szCs w:val="22"/>
                <w:lang w:val="en-IN" w:eastAsia="en-IN"/>
              </w:rPr>
              <w:tab/>
            </w:r>
            <w:r w:rsidR="00847231" w:rsidRPr="00350E74">
              <w:rPr>
                <w:rStyle w:val="Hyperlink"/>
                <w:noProof/>
              </w:rPr>
              <w:t>Exploratory Data Analysis (EDA)</w:t>
            </w:r>
            <w:r w:rsidR="00847231">
              <w:rPr>
                <w:noProof/>
                <w:webHidden/>
              </w:rPr>
              <w:tab/>
            </w:r>
            <w:r w:rsidR="00847231">
              <w:rPr>
                <w:noProof/>
                <w:webHidden/>
              </w:rPr>
              <w:fldChar w:fldCharType="begin"/>
            </w:r>
            <w:r w:rsidR="00847231">
              <w:rPr>
                <w:noProof/>
                <w:webHidden/>
              </w:rPr>
              <w:instrText xml:space="preserve"> PAGEREF _Toc235989877 \h </w:instrText>
            </w:r>
            <w:r w:rsidR="00847231">
              <w:rPr>
                <w:noProof/>
                <w:webHidden/>
              </w:rPr>
            </w:r>
            <w:r w:rsidR="00847231">
              <w:rPr>
                <w:noProof/>
                <w:webHidden/>
              </w:rPr>
              <w:fldChar w:fldCharType="separate"/>
            </w:r>
            <w:r w:rsidR="00847231">
              <w:rPr>
                <w:noProof/>
                <w:webHidden/>
              </w:rPr>
              <w:t>10</w:t>
            </w:r>
            <w:r w:rsidR="00847231">
              <w:rPr>
                <w:noProof/>
                <w:webHidden/>
              </w:rPr>
              <w:fldChar w:fldCharType="end"/>
            </w:r>
          </w:hyperlink>
        </w:p>
        <w:p w14:paraId="6B8B95B1" w14:textId="310D5F38" w:rsidR="00847231" w:rsidRDefault="007953A7">
          <w:pPr>
            <w:pStyle w:val="TOC2"/>
            <w:tabs>
              <w:tab w:val="left" w:pos="880"/>
              <w:tab w:val="right" w:leader="dot" w:pos="9350"/>
            </w:tabs>
            <w:rPr>
              <w:noProof/>
              <w:sz w:val="22"/>
              <w:szCs w:val="22"/>
              <w:lang w:val="en-IN" w:eastAsia="en-IN"/>
            </w:rPr>
          </w:pPr>
          <w:hyperlink w:anchor="_Toc235989878" w:history="1">
            <w:r w:rsidR="00847231" w:rsidRPr="00350E74">
              <w:rPr>
                <w:rStyle w:val="Hyperlink"/>
                <w:noProof/>
              </w:rPr>
              <w:t>4.6.</w:t>
            </w:r>
            <w:r w:rsidR="00847231">
              <w:rPr>
                <w:noProof/>
                <w:sz w:val="22"/>
                <w:szCs w:val="22"/>
                <w:lang w:val="en-IN" w:eastAsia="en-IN"/>
              </w:rPr>
              <w:tab/>
            </w:r>
            <w:r w:rsidR="00847231" w:rsidRPr="00350E74">
              <w:rPr>
                <w:rStyle w:val="Hyperlink"/>
                <w:noProof/>
              </w:rPr>
              <w:t>Predictive Modelling and Forecasting</w:t>
            </w:r>
            <w:r w:rsidR="00847231">
              <w:rPr>
                <w:noProof/>
                <w:webHidden/>
              </w:rPr>
              <w:tab/>
            </w:r>
            <w:r w:rsidR="00847231">
              <w:rPr>
                <w:noProof/>
                <w:webHidden/>
              </w:rPr>
              <w:fldChar w:fldCharType="begin"/>
            </w:r>
            <w:r w:rsidR="00847231">
              <w:rPr>
                <w:noProof/>
                <w:webHidden/>
              </w:rPr>
              <w:instrText xml:space="preserve"> PAGEREF _Toc235989878 \h </w:instrText>
            </w:r>
            <w:r w:rsidR="00847231">
              <w:rPr>
                <w:noProof/>
                <w:webHidden/>
              </w:rPr>
            </w:r>
            <w:r w:rsidR="00847231">
              <w:rPr>
                <w:noProof/>
                <w:webHidden/>
              </w:rPr>
              <w:fldChar w:fldCharType="separate"/>
            </w:r>
            <w:r w:rsidR="00847231">
              <w:rPr>
                <w:noProof/>
                <w:webHidden/>
              </w:rPr>
              <w:t>11</w:t>
            </w:r>
            <w:r w:rsidR="00847231">
              <w:rPr>
                <w:noProof/>
                <w:webHidden/>
              </w:rPr>
              <w:fldChar w:fldCharType="end"/>
            </w:r>
          </w:hyperlink>
        </w:p>
        <w:p w14:paraId="64FAA6FA" w14:textId="1A1BF291" w:rsidR="00847231" w:rsidRDefault="007953A7">
          <w:pPr>
            <w:pStyle w:val="TOC2"/>
            <w:tabs>
              <w:tab w:val="left" w:pos="880"/>
              <w:tab w:val="right" w:leader="dot" w:pos="9350"/>
            </w:tabs>
            <w:rPr>
              <w:noProof/>
              <w:sz w:val="22"/>
              <w:szCs w:val="22"/>
              <w:lang w:val="en-IN" w:eastAsia="en-IN"/>
            </w:rPr>
          </w:pPr>
          <w:hyperlink w:anchor="_Toc235989879" w:history="1">
            <w:r w:rsidR="00847231" w:rsidRPr="00350E74">
              <w:rPr>
                <w:rStyle w:val="Hyperlink"/>
                <w:rFonts w:eastAsia="Times New Roman"/>
                <w:noProof/>
              </w:rPr>
              <w:t>4.7.</w:t>
            </w:r>
            <w:r w:rsidR="00847231">
              <w:rPr>
                <w:noProof/>
                <w:sz w:val="22"/>
                <w:szCs w:val="22"/>
                <w:lang w:val="en-IN" w:eastAsia="en-IN"/>
              </w:rPr>
              <w:tab/>
            </w:r>
            <w:r w:rsidR="00847231" w:rsidRPr="00350E74">
              <w:rPr>
                <w:rStyle w:val="Hyperlink"/>
                <w:rFonts w:eastAsia="Times New Roman"/>
                <w:noProof/>
              </w:rPr>
              <w:t>Justification for Methodology</w:t>
            </w:r>
            <w:r w:rsidR="00847231">
              <w:rPr>
                <w:noProof/>
                <w:webHidden/>
              </w:rPr>
              <w:tab/>
            </w:r>
            <w:r w:rsidR="00847231">
              <w:rPr>
                <w:noProof/>
                <w:webHidden/>
              </w:rPr>
              <w:fldChar w:fldCharType="begin"/>
            </w:r>
            <w:r w:rsidR="00847231">
              <w:rPr>
                <w:noProof/>
                <w:webHidden/>
              </w:rPr>
              <w:instrText xml:space="preserve"> PAGEREF _Toc235989879 \h </w:instrText>
            </w:r>
            <w:r w:rsidR="00847231">
              <w:rPr>
                <w:noProof/>
                <w:webHidden/>
              </w:rPr>
            </w:r>
            <w:r w:rsidR="00847231">
              <w:rPr>
                <w:noProof/>
                <w:webHidden/>
              </w:rPr>
              <w:fldChar w:fldCharType="separate"/>
            </w:r>
            <w:r w:rsidR="00847231">
              <w:rPr>
                <w:noProof/>
                <w:webHidden/>
              </w:rPr>
              <w:t>12</w:t>
            </w:r>
            <w:r w:rsidR="00847231">
              <w:rPr>
                <w:noProof/>
                <w:webHidden/>
              </w:rPr>
              <w:fldChar w:fldCharType="end"/>
            </w:r>
          </w:hyperlink>
        </w:p>
        <w:p w14:paraId="7EE4B270" w14:textId="32D8BFB1" w:rsidR="00847231" w:rsidRDefault="007953A7">
          <w:pPr>
            <w:pStyle w:val="TOC1"/>
            <w:tabs>
              <w:tab w:val="left" w:pos="440"/>
              <w:tab w:val="right" w:leader="dot" w:pos="9350"/>
            </w:tabs>
            <w:rPr>
              <w:noProof/>
              <w:sz w:val="22"/>
              <w:szCs w:val="22"/>
              <w:lang w:val="en-IN" w:eastAsia="en-IN"/>
            </w:rPr>
          </w:pPr>
          <w:hyperlink w:anchor="_Toc235989880" w:history="1">
            <w:r w:rsidR="00847231" w:rsidRPr="00350E74">
              <w:rPr>
                <w:rStyle w:val="Hyperlink"/>
                <w:noProof/>
              </w:rPr>
              <w:t>5.</w:t>
            </w:r>
            <w:r w:rsidR="00847231">
              <w:rPr>
                <w:noProof/>
                <w:sz w:val="22"/>
                <w:szCs w:val="22"/>
                <w:lang w:val="en-IN" w:eastAsia="en-IN"/>
              </w:rPr>
              <w:tab/>
            </w:r>
            <w:r w:rsidR="00847231" w:rsidRPr="00350E74">
              <w:rPr>
                <w:rStyle w:val="Hyperlink"/>
                <w:rFonts w:eastAsia="Times New Roman"/>
                <w:noProof/>
              </w:rPr>
              <w:t>Ethical Considerations</w:t>
            </w:r>
            <w:r w:rsidR="00847231">
              <w:rPr>
                <w:noProof/>
                <w:webHidden/>
              </w:rPr>
              <w:tab/>
            </w:r>
            <w:r w:rsidR="00847231">
              <w:rPr>
                <w:noProof/>
                <w:webHidden/>
              </w:rPr>
              <w:fldChar w:fldCharType="begin"/>
            </w:r>
            <w:r w:rsidR="00847231">
              <w:rPr>
                <w:noProof/>
                <w:webHidden/>
              </w:rPr>
              <w:instrText xml:space="preserve"> PAGEREF _Toc235989880 \h </w:instrText>
            </w:r>
            <w:r w:rsidR="00847231">
              <w:rPr>
                <w:noProof/>
                <w:webHidden/>
              </w:rPr>
            </w:r>
            <w:r w:rsidR="00847231">
              <w:rPr>
                <w:noProof/>
                <w:webHidden/>
              </w:rPr>
              <w:fldChar w:fldCharType="separate"/>
            </w:r>
            <w:r w:rsidR="00847231">
              <w:rPr>
                <w:noProof/>
                <w:webHidden/>
              </w:rPr>
              <w:t>12</w:t>
            </w:r>
            <w:r w:rsidR="00847231">
              <w:rPr>
                <w:noProof/>
                <w:webHidden/>
              </w:rPr>
              <w:fldChar w:fldCharType="end"/>
            </w:r>
          </w:hyperlink>
        </w:p>
        <w:p w14:paraId="269E68ED" w14:textId="15D0FE2E" w:rsidR="00847231" w:rsidRDefault="007953A7">
          <w:pPr>
            <w:pStyle w:val="TOC1"/>
            <w:tabs>
              <w:tab w:val="right" w:leader="dot" w:pos="9350"/>
            </w:tabs>
            <w:rPr>
              <w:noProof/>
              <w:sz w:val="22"/>
              <w:szCs w:val="22"/>
              <w:lang w:val="en-IN" w:eastAsia="en-IN"/>
            </w:rPr>
          </w:pPr>
          <w:hyperlink w:anchor="_Toc235989881" w:history="1">
            <w:r w:rsidR="00847231" w:rsidRPr="00350E74">
              <w:rPr>
                <w:rStyle w:val="Hyperlink"/>
                <w:noProof/>
              </w:rPr>
              <w:t>Reference</w:t>
            </w:r>
            <w:r w:rsidR="00847231">
              <w:rPr>
                <w:noProof/>
                <w:webHidden/>
              </w:rPr>
              <w:tab/>
            </w:r>
            <w:r w:rsidR="00847231">
              <w:rPr>
                <w:noProof/>
                <w:webHidden/>
              </w:rPr>
              <w:fldChar w:fldCharType="begin"/>
            </w:r>
            <w:r w:rsidR="00847231">
              <w:rPr>
                <w:noProof/>
                <w:webHidden/>
              </w:rPr>
              <w:instrText xml:space="preserve"> PAGEREF _Toc235989881 \h </w:instrText>
            </w:r>
            <w:r w:rsidR="00847231">
              <w:rPr>
                <w:noProof/>
                <w:webHidden/>
              </w:rPr>
            </w:r>
            <w:r w:rsidR="00847231">
              <w:rPr>
                <w:noProof/>
                <w:webHidden/>
              </w:rPr>
              <w:fldChar w:fldCharType="separate"/>
            </w:r>
            <w:r w:rsidR="00847231">
              <w:rPr>
                <w:noProof/>
                <w:webHidden/>
              </w:rPr>
              <w:t>14</w:t>
            </w:r>
            <w:r w:rsidR="00847231">
              <w:rPr>
                <w:noProof/>
                <w:webHidden/>
              </w:rPr>
              <w:fldChar w:fldCharType="end"/>
            </w:r>
          </w:hyperlink>
        </w:p>
        <w:p w14:paraId="5AB62006" w14:textId="66EC5439" w:rsidR="00A738F6" w:rsidRDefault="00A738F6">
          <w:r>
            <w:rPr>
              <w:b/>
              <w:bCs/>
              <w:noProof/>
            </w:rPr>
            <w:fldChar w:fldCharType="end"/>
          </w:r>
        </w:p>
      </w:sdtContent>
    </w:sdt>
    <w:p w14:paraId="66F5B77F" w14:textId="7B8D76BF"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D118800" w14:textId="249B69B4"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932E20C" w14:textId="3016E763"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9B792B5" w14:textId="1284307A"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4448292" w14:textId="03521B78"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3ED7837B" w14:textId="366BFC38" w:rsidR="1F538C68" w:rsidRDefault="1F538C68" w:rsidP="00A738F6">
      <w:pPr>
        <w:spacing w:after="200"/>
        <w:jc w:val="both"/>
        <w:rPr>
          <w:rFonts w:ascii="Times New Roman" w:eastAsia="Times New Roman" w:hAnsi="Times New Roman" w:cs="Times New Roman"/>
          <w:b/>
          <w:bCs/>
          <w:color w:val="000000" w:themeColor="text1"/>
          <w:sz w:val="18"/>
          <w:szCs w:val="18"/>
        </w:rPr>
      </w:pPr>
    </w:p>
    <w:p w14:paraId="0F20A2D5" w14:textId="74C1C42F" w:rsidR="3D0D33A7" w:rsidRDefault="3D0D33A7" w:rsidP="0011576E">
      <w:pPr>
        <w:pStyle w:val="Heading1"/>
        <w:numPr>
          <w:ilvl w:val="0"/>
          <w:numId w:val="28"/>
        </w:numPr>
        <w:rPr>
          <w:rFonts w:eastAsia="Times New Roman"/>
        </w:rPr>
      </w:pPr>
      <w:bookmarkStart w:id="1" w:name="_Toc235989862"/>
      <w:r w:rsidRPr="1F538C68">
        <w:rPr>
          <w:rFonts w:eastAsia="Times New Roman"/>
        </w:rPr>
        <w:lastRenderedPageBreak/>
        <w:t>Title</w:t>
      </w:r>
      <w:bookmarkEnd w:id="1"/>
    </w:p>
    <w:p w14:paraId="7A57CDF3" w14:textId="2C288DC3" w:rsidR="0011576E" w:rsidRPr="0011576E" w:rsidRDefault="0011576E" w:rsidP="0011576E">
      <w:pPr>
        <w:rPr>
          <w:lang w:val="en-IN" w:eastAsia="en-US"/>
        </w:rPr>
      </w:pPr>
      <w:r>
        <w:t xml:space="preserve">Forecasting Electricity Carbon Intensity Using Renewable Energy Investments and electricity generation: </w:t>
      </w:r>
      <w:r w:rsidR="001D11FE">
        <w:rPr>
          <w:rFonts w:ascii="Arial" w:hAnsi="Arial" w:cs="Arial"/>
          <w:color w:val="222222"/>
          <w:shd w:val="clear" w:color="auto" w:fill="FFFFFF"/>
        </w:rPr>
        <w:t>A Cross-Country Predictive Analytics Study</w:t>
      </w:r>
    </w:p>
    <w:p w14:paraId="6ABF2688" w14:textId="400F9E2B" w:rsidR="004B501A" w:rsidRDefault="0009381F" w:rsidP="0009381F">
      <w:pPr>
        <w:pStyle w:val="Heading2"/>
        <w:numPr>
          <w:ilvl w:val="1"/>
          <w:numId w:val="28"/>
        </w:numPr>
        <w:rPr>
          <w:rFonts w:eastAsia="Times New Roman"/>
        </w:rPr>
      </w:pPr>
      <w:r>
        <w:rPr>
          <w:rFonts w:eastAsia="Times New Roman"/>
        </w:rPr>
        <w:t xml:space="preserve"> </w:t>
      </w:r>
      <w:bookmarkStart w:id="2" w:name="_Toc235989863"/>
      <w:r w:rsidR="225F5A7B" w:rsidRPr="1F538C68">
        <w:rPr>
          <w:rFonts w:eastAsia="Times New Roman"/>
        </w:rPr>
        <w:t>Research Objective</w:t>
      </w:r>
      <w:bookmarkEnd w:id="2"/>
    </w:p>
    <w:p w14:paraId="1C60369E" w14:textId="77777777" w:rsidR="004020AD" w:rsidRDefault="004020AD" w:rsidP="0011576E">
      <w:pPr>
        <w:rPr>
          <w:lang w:val="en-IN" w:eastAsia="en-US"/>
        </w:rPr>
      </w:pPr>
    </w:p>
    <w:p w14:paraId="75EC1BD7" w14:textId="135986D3" w:rsidR="0011576E" w:rsidRPr="00FC5DAA" w:rsidRDefault="004F09CE" w:rsidP="0011576E">
      <w:pPr>
        <w:rPr>
          <w:sz w:val="20"/>
          <w:szCs w:val="20"/>
          <w:lang w:val="en-IN" w:eastAsia="en-US"/>
        </w:rPr>
      </w:pPr>
      <w:r w:rsidRPr="00FC5DAA">
        <w:rPr>
          <w:sz w:val="20"/>
          <w:szCs w:val="20"/>
        </w:rPr>
        <w:t xml:space="preserve">This study has three clear research objectives. </w:t>
      </w:r>
      <w:r w:rsidR="004020AD" w:rsidRPr="00FC5DAA">
        <w:rPr>
          <w:sz w:val="20"/>
          <w:szCs w:val="20"/>
        </w:rPr>
        <w:t>And the three objective are connected with eachother. They based on the previous</w:t>
      </w:r>
      <w:r w:rsidRPr="00FC5DAA">
        <w:rPr>
          <w:sz w:val="20"/>
          <w:szCs w:val="20"/>
        </w:rPr>
        <w:t xml:space="preserve"> submission</w:t>
      </w:r>
      <w:r w:rsidR="004020AD" w:rsidRPr="00FC5DAA">
        <w:rPr>
          <w:sz w:val="20"/>
          <w:szCs w:val="20"/>
        </w:rPr>
        <w:t>s</w:t>
      </w:r>
      <w:r w:rsidRPr="00FC5DAA">
        <w:rPr>
          <w:sz w:val="20"/>
          <w:szCs w:val="20"/>
        </w:rPr>
        <w:t xml:space="preserve"> and the feedback received. The objectives focus only on data analytics methods. The number of objectives has been kept small so the project can be done within the three-month timeframe.</w:t>
      </w:r>
    </w:p>
    <w:p w14:paraId="3CB32103" w14:textId="5029D6C2" w:rsidR="0011576E" w:rsidRPr="00FC5DAA" w:rsidRDefault="0011576E" w:rsidP="0011576E">
      <w:pPr>
        <w:rPr>
          <w:sz w:val="20"/>
          <w:szCs w:val="20"/>
        </w:rPr>
      </w:pPr>
      <w:r w:rsidRPr="00FC5DAA">
        <w:rPr>
          <w:b/>
          <w:sz w:val="20"/>
          <w:szCs w:val="20"/>
        </w:rPr>
        <w:t>RO1:</w:t>
      </w:r>
      <w:r w:rsidRPr="00FC5DAA">
        <w:rPr>
          <w:sz w:val="20"/>
          <w:szCs w:val="20"/>
        </w:rPr>
        <w:t xml:space="preserve"> </w:t>
      </w:r>
      <w:r w:rsidR="00206582" w:rsidRPr="00206582">
        <w:rPr>
          <w:sz w:val="20"/>
          <w:szCs w:val="20"/>
        </w:rPr>
        <w:t>How do renewable energy investment, electricity generation, and electricity carbon intensity vary across the 22 selected countries over time?</w:t>
      </w:r>
    </w:p>
    <w:p w14:paraId="3BE2786B" w14:textId="4FA02FC7" w:rsidR="0011576E" w:rsidRPr="00FC5DAA" w:rsidRDefault="0011576E" w:rsidP="0011576E">
      <w:pPr>
        <w:rPr>
          <w:sz w:val="20"/>
          <w:szCs w:val="20"/>
        </w:rPr>
      </w:pPr>
      <w:r w:rsidRPr="00FC5DAA">
        <w:rPr>
          <w:b/>
          <w:sz w:val="20"/>
          <w:szCs w:val="20"/>
        </w:rPr>
        <w:t>RO2:</w:t>
      </w:r>
      <w:r w:rsidRPr="00FC5DAA">
        <w:rPr>
          <w:sz w:val="20"/>
          <w:szCs w:val="20"/>
        </w:rPr>
        <w:t xml:space="preserve"> </w:t>
      </w:r>
      <w:r w:rsidR="00206582" w:rsidRPr="00206582">
        <w:rPr>
          <w:sz w:val="20"/>
          <w:szCs w:val="20"/>
        </w:rPr>
        <w:t>Which renewable energy investment and electricity generation variables are most strongly associated with electricity carbon intensity?</w:t>
      </w:r>
    </w:p>
    <w:p w14:paraId="6BB4C068" w14:textId="77777777" w:rsidR="00741147" w:rsidRDefault="0011576E" w:rsidP="0011576E">
      <w:pPr>
        <w:rPr>
          <w:sz w:val="20"/>
          <w:szCs w:val="20"/>
        </w:rPr>
      </w:pPr>
      <w:r w:rsidRPr="00FC5DAA">
        <w:rPr>
          <w:b/>
          <w:sz w:val="20"/>
          <w:szCs w:val="20"/>
        </w:rPr>
        <w:t>RO3:</w:t>
      </w:r>
      <w:r w:rsidRPr="00FC5DAA">
        <w:rPr>
          <w:sz w:val="20"/>
          <w:szCs w:val="20"/>
        </w:rPr>
        <w:t xml:space="preserve"> </w:t>
      </w:r>
      <w:r w:rsidR="00741147" w:rsidRPr="00741147">
        <w:rPr>
          <w:sz w:val="20"/>
          <w:szCs w:val="20"/>
        </w:rPr>
        <w:t>To develop, compare, and evaluate machine learning models for predicting electricity carbon intensity using renewable energy investment, electricity generation, and energy-transition indicators as predictor variables. The best-performing model will be used to forecast electricity carbon intensity for the next three to four years.</w:t>
      </w:r>
    </w:p>
    <w:p w14:paraId="31B1D47C" w14:textId="5E6BE172" w:rsidR="004020AD" w:rsidRPr="00FC5DAA" w:rsidRDefault="004020AD" w:rsidP="0011576E">
      <w:pPr>
        <w:rPr>
          <w:sz w:val="20"/>
          <w:szCs w:val="20"/>
          <w:lang w:val="en-IN" w:eastAsia="en-US"/>
        </w:rPr>
      </w:pPr>
      <w:r w:rsidRPr="00FC5DAA">
        <w:rPr>
          <w:sz w:val="20"/>
          <w:szCs w:val="20"/>
        </w:rPr>
        <w:t xml:space="preserve">The above objectives are strongly connected. </w:t>
      </w:r>
      <w:r w:rsidRPr="00FC5DAA">
        <w:rPr>
          <w:b/>
          <w:sz w:val="20"/>
          <w:szCs w:val="20"/>
        </w:rPr>
        <w:t>Objective 1</w:t>
      </w:r>
      <w:r w:rsidRPr="00FC5DAA">
        <w:rPr>
          <w:sz w:val="20"/>
          <w:szCs w:val="20"/>
        </w:rPr>
        <w:t xml:space="preserve"> creates knowledge about historical trends and creates the foundation for prediction. </w:t>
      </w:r>
      <w:r w:rsidRPr="00FC5DAA">
        <w:rPr>
          <w:b/>
          <w:sz w:val="20"/>
          <w:szCs w:val="20"/>
        </w:rPr>
        <w:t>Objective 2</w:t>
      </w:r>
      <w:r w:rsidRPr="00FC5DAA">
        <w:rPr>
          <w:sz w:val="20"/>
          <w:szCs w:val="20"/>
        </w:rPr>
        <w:t xml:space="preserve"> analyses the results and reveals which technologies of renewable energy make the process of electricity decarbonisation possible. </w:t>
      </w:r>
      <w:r w:rsidRPr="00FC5DAA">
        <w:rPr>
          <w:b/>
          <w:sz w:val="20"/>
          <w:szCs w:val="20"/>
        </w:rPr>
        <w:t>Objective 3</w:t>
      </w:r>
      <w:r w:rsidRPr="00FC5DAA">
        <w:rPr>
          <w:sz w:val="20"/>
          <w:szCs w:val="20"/>
        </w:rPr>
        <w:t xml:space="preserve"> builds machine learning models which predict the electricity carbon intensity in the future. This way, all three objectives together cover the entire data analytics cycle – from data analysis, to prediction and finally to analytical findings, but keeping in mind the Data Analytics area.</w:t>
      </w:r>
    </w:p>
    <w:p w14:paraId="2FF1B34F" w14:textId="37BA0815" w:rsidR="00657C52" w:rsidRPr="0027334F" w:rsidRDefault="225F5A7B" w:rsidP="0011576E">
      <w:pPr>
        <w:pStyle w:val="Heading2"/>
        <w:numPr>
          <w:ilvl w:val="1"/>
          <w:numId w:val="28"/>
        </w:numPr>
        <w:rPr>
          <w:rFonts w:eastAsia="Times New Roman"/>
        </w:rPr>
      </w:pPr>
      <w:bookmarkStart w:id="3" w:name="_Toc235989864"/>
      <w:r w:rsidRPr="1F538C68">
        <w:rPr>
          <w:rFonts w:eastAsia="Times New Roman"/>
        </w:rPr>
        <w:t>Introduction</w:t>
      </w:r>
      <w:bookmarkEnd w:id="3"/>
    </w:p>
    <w:p w14:paraId="1A417ED6" w14:textId="1116CE32" w:rsidR="0027334F" w:rsidRPr="0027334F" w:rsidRDefault="0027334F" w:rsidP="0027334F">
      <w:pPr>
        <w:rPr>
          <w:sz w:val="20"/>
          <w:szCs w:val="20"/>
          <w:lang w:val="en-IN" w:eastAsia="en-US"/>
        </w:rPr>
      </w:pPr>
      <w:r w:rsidRPr="0027334F">
        <w:rPr>
          <w:sz w:val="20"/>
          <w:szCs w:val="20"/>
          <w:lang w:val="en-IN" w:eastAsia="en-US"/>
        </w:rPr>
        <w:t>With the move toward low-carbon electricity systems, there has been a need for robust methods of analysis that can quantify the historical trend, identify relevant influences and make good forecasts. This is because electricity production plays a critical role</w:t>
      </w:r>
      <w:r>
        <w:rPr>
          <w:sz w:val="20"/>
          <w:szCs w:val="20"/>
          <w:lang w:val="en-IN" w:eastAsia="en-US"/>
        </w:rPr>
        <w:t xml:space="preserve"> in the decarbonis</w:t>
      </w:r>
      <w:r w:rsidRPr="0027334F">
        <w:rPr>
          <w:sz w:val="20"/>
          <w:szCs w:val="20"/>
          <w:lang w:val="en-IN" w:eastAsia="en-US"/>
        </w:rPr>
        <w:t>ation process, since low-carbon electricity will help to achieve the electrification of transport, heating, and industry. Some features of the net-zero energy scenarios include very low or net zero electricity system emissions, reduced reliance on unabated fossil fuel, and higher electrification</w:t>
      </w:r>
      <w:r>
        <w:rPr>
          <w:sz w:val="20"/>
          <w:szCs w:val="20"/>
          <w:lang w:val="en-IN" w:eastAsia="en-US"/>
        </w:rPr>
        <w:t xml:space="preserve"> </w:t>
      </w:r>
      <w:r>
        <w:rPr>
          <w:sz w:val="20"/>
          <w:szCs w:val="20"/>
          <w:lang w:val="en-IN" w:eastAsia="en-US"/>
        </w:rPr>
        <w:fldChar w:fldCharType="begin"/>
      </w:r>
      <w:r>
        <w:rPr>
          <w:sz w:val="20"/>
          <w:szCs w:val="20"/>
          <w:lang w:val="en-IN" w:eastAsia="en-US"/>
        </w:rPr>
        <w:instrText xml:space="preserve"> ADDIN ZOTERO_ITEM CSL_CITATION {"citationID":"cHHetYYE","properties":{"unsorted":false,"formattedCitation":"(Intergovernmental Panel On Climate Change (Ipcc), 2023)","plainCitation":"(Intergovernmental Panel On Climate Change (Ipcc), 2023)","noteIndex":0},"citationItems":[{"id":116,"uris":["http://zotero.org/users/local/juvPLahh/items/QCSD29US"],"itemData":{"id":116,"type":"chapter","container-title":"Climate Change 2022 - Mitigation of Climate Change","DOI":"10.1017/9781009157926.008","edition":"1","ISBN":"978-1-009-15792-6","language":"en","license":"https://www.cambridge.org/core/terms","page":"613-746","publisher":"Cambridge University Press","source":"DOI.org (Crossref)","title":"Energy Systems","URL":"https://www.cambridge.org/core/product/identifier/9781009157926%23c6/type/book_part","editor":[{"literal":"Intergovernmental Panel On Climate Change (Ipcc)"}],"accessed":{"date-parts":[["2026",7,25]]},"issued":{"date-parts":[["2023",8,17]]}}}],"schema":"https://github.com/citation-style-language/schema/raw/master/csl-citation.json"} </w:instrText>
      </w:r>
      <w:r>
        <w:rPr>
          <w:sz w:val="20"/>
          <w:szCs w:val="20"/>
          <w:lang w:val="en-IN" w:eastAsia="en-US"/>
        </w:rPr>
        <w:fldChar w:fldCharType="separate"/>
      </w:r>
      <w:r w:rsidRPr="0027334F">
        <w:rPr>
          <w:rFonts w:ascii="Aptos" w:hAnsi="Aptos"/>
          <w:sz w:val="20"/>
        </w:rPr>
        <w:t>(Intergovernmental Panel On Climate Change (Ipcc), 2023)</w:t>
      </w:r>
      <w:r>
        <w:rPr>
          <w:sz w:val="20"/>
          <w:szCs w:val="20"/>
          <w:lang w:val="en-IN" w:eastAsia="en-US"/>
        </w:rPr>
        <w:fldChar w:fldCharType="end"/>
      </w:r>
      <w:r w:rsidRPr="0027334F">
        <w:rPr>
          <w:sz w:val="20"/>
          <w:szCs w:val="20"/>
          <w:lang w:val="en-IN" w:eastAsia="en-US"/>
        </w:rPr>
        <w:t>.</w:t>
      </w:r>
    </w:p>
    <w:p w14:paraId="73F6BF52" w14:textId="36E8C104" w:rsidR="0011576E" w:rsidRDefault="00F72EB8" w:rsidP="0011576E">
      <w:pPr>
        <w:rPr>
          <w:sz w:val="20"/>
          <w:szCs w:val="20"/>
          <w:lang w:val="en-IN" w:eastAsia="en-US"/>
        </w:rPr>
      </w:pPr>
      <w:r w:rsidRPr="00FC5DAA">
        <w:rPr>
          <w:sz w:val="20"/>
          <w:szCs w:val="20"/>
          <w:lang w:val="en-IN" w:eastAsia="en-US"/>
        </w:rPr>
        <w:t>This research is situated mainly in the field of Data Analytic</w:t>
      </w:r>
      <w:r w:rsidR="00FC5DAA">
        <w:rPr>
          <w:sz w:val="20"/>
          <w:szCs w:val="20"/>
          <w:lang w:val="en-IN" w:eastAsia="en-US"/>
        </w:rPr>
        <w:t>s, where the topic of decarbonis</w:t>
      </w:r>
      <w:r w:rsidRPr="00FC5DAA">
        <w:rPr>
          <w:sz w:val="20"/>
          <w:szCs w:val="20"/>
          <w:lang w:val="en-IN" w:eastAsia="en-US"/>
        </w:rPr>
        <w:t>ation of electricity systems becomes an application area. The variable of interest in the analysis will be the carbon intensity of electricity, measured in grams of carbon dioxide emissions per kilowatt hour of electricity produced (gCO2/kWh). This research will combine longitudinal data at the country level regarding public investments in renewable energy, electricity production technologies and carbon intensity.</w:t>
      </w:r>
    </w:p>
    <w:p w14:paraId="6995EF88" w14:textId="3F74A828" w:rsidR="1F538C68" w:rsidRDefault="00B60661" w:rsidP="001B04E4">
      <w:pPr>
        <w:pStyle w:val="Abstract"/>
        <w:ind w:firstLine="0"/>
        <w:rPr>
          <w:rFonts w:asciiTheme="minorHAnsi" w:eastAsiaTheme="minorEastAsia" w:hAnsiTheme="minorHAnsi" w:cstheme="minorBidi"/>
          <w:b w:val="0"/>
          <w:bCs w:val="0"/>
          <w:color w:val="000000" w:themeColor="text1"/>
          <w:sz w:val="20"/>
          <w:szCs w:val="20"/>
        </w:rPr>
      </w:pPr>
      <w:r w:rsidRPr="00B60661">
        <w:rPr>
          <w:rFonts w:asciiTheme="minorHAnsi" w:eastAsiaTheme="minorEastAsia" w:hAnsiTheme="minorHAnsi" w:cstheme="minorBidi"/>
          <w:b w:val="0"/>
          <w:bCs w:val="0"/>
          <w:color w:val="000000" w:themeColor="text1"/>
          <w:sz w:val="20"/>
          <w:szCs w:val="20"/>
        </w:rPr>
        <w:t xml:space="preserve">The </w:t>
      </w:r>
      <w:r>
        <w:rPr>
          <w:rFonts w:asciiTheme="minorHAnsi" w:eastAsiaTheme="minorEastAsia" w:hAnsiTheme="minorHAnsi" w:cstheme="minorBidi"/>
          <w:b w:val="0"/>
          <w:bCs w:val="0"/>
          <w:color w:val="000000" w:themeColor="text1"/>
          <w:sz w:val="20"/>
          <w:szCs w:val="20"/>
        </w:rPr>
        <w:t xml:space="preserve">focus </w:t>
      </w:r>
      <w:r w:rsidRPr="00B60661">
        <w:rPr>
          <w:rFonts w:asciiTheme="minorHAnsi" w:eastAsiaTheme="minorEastAsia" w:hAnsiTheme="minorHAnsi" w:cstheme="minorBidi"/>
          <w:b w:val="0"/>
          <w:bCs w:val="0"/>
          <w:color w:val="000000" w:themeColor="text1"/>
          <w:sz w:val="20"/>
          <w:szCs w:val="20"/>
        </w:rPr>
        <w:t xml:space="preserve">area of the research will be illustrated using data integration, exploratory analysis, feature engineering, statistical analysis, </w:t>
      </w:r>
      <w:r w:rsidR="003174FE">
        <w:rPr>
          <w:rFonts w:asciiTheme="minorHAnsi" w:eastAsiaTheme="minorEastAsia" w:hAnsiTheme="minorHAnsi" w:cstheme="minorBidi"/>
          <w:b w:val="0"/>
          <w:bCs w:val="0"/>
          <w:color w:val="000000" w:themeColor="text1"/>
          <w:sz w:val="20"/>
          <w:szCs w:val="20"/>
        </w:rPr>
        <w:t>modelling</w:t>
      </w:r>
      <w:r w:rsidRPr="00B60661">
        <w:rPr>
          <w:rFonts w:asciiTheme="minorHAnsi" w:eastAsiaTheme="minorEastAsia" w:hAnsiTheme="minorHAnsi" w:cstheme="minorBidi"/>
          <w:b w:val="0"/>
          <w:bCs w:val="0"/>
          <w:color w:val="000000" w:themeColor="text1"/>
          <w:sz w:val="20"/>
          <w:szCs w:val="20"/>
        </w:rPr>
        <w:t xml:space="preserve">, time-aware model validation, and interpretation of results. This research focus is important since studies into the field of Data Analytics in the electricity domain have shown that the areas which need to have more consistent standards include feature selection, benchmarking, and model evaluation. Thus, the major contribution of the present research will not lie in the comparison of </w:t>
      </w:r>
      <w:r w:rsidRPr="00B60661">
        <w:rPr>
          <w:rFonts w:asciiTheme="minorHAnsi" w:eastAsiaTheme="minorEastAsia" w:hAnsiTheme="minorHAnsi" w:cstheme="minorBidi"/>
          <w:b w:val="0"/>
          <w:bCs w:val="0"/>
          <w:color w:val="000000" w:themeColor="text1"/>
          <w:sz w:val="20"/>
          <w:szCs w:val="20"/>
        </w:rPr>
        <w:lastRenderedPageBreak/>
        <w:t>energy policies of different countries. It will be in building an effective framework of prediction of the carbon intensity of the electricity in countries</w:t>
      </w:r>
      <w:r>
        <w:rPr>
          <w:rFonts w:asciiTheme="minorHAnsi" w:eastAsiaTheme="minorEastAsia" w:hAnsiTheme="minorHAnsi" w:cstheme="minorBidi"/>
          <w:b w:val="0"/>
          <w:bCs w:val="0"/>
          <w:color w:val="000000" w:themeColor="text1"/>
          <w:sz w:val="20"/>
          <w:szCs w:val="20"/>
        </w:rPr>
        <w:t xml:space="preserve"> </w:t>
      </w:r>
      <w:r w:rsidRPr="00B60661">
        <w:rPr>
          <w:rFonts w:asciiTheme="minorHAnsi" w:eastAsiaTheme="minorEastAsia" w:hAnsiTheme="minorHAnsi" w:cstheme="minorBidi"/>
          <w:b w:val="0"/>
          <w:bCs w:val="0"/>
          <w:color w:val="000000" w:themeColor="text1"/>
          <w:sz w:val="20"/>
          <w:szCs w:val="20"/>
        </w:rPr>
        <w:fldChar w:fldCharType="begin"/>
      </w:r>
      <w:r w:rsidRPr="00B60661">
        <w:rPr>
          <w:rFonts w:asciiTheme="minorHAnsi" w:eastAsiaTheme="minorEastAsia" w:hAnsiTheme="minorHAnsi" w:cstheme="minorBidi"/>
          <w:b w:val="0"/>
          <w:bCs w:val="0"/>
          <w:color w:val="000000" w:themeColor="text1"/>
          <w:sz w:val="20"/>
          <w:szCs w:val="20"/>
        </w:rPr>
        <w:instrText xml:space="preserve"> ADDIN ZOTERO_ITEM CSL_CITATION {"citationID":"iy2r3YDy","properties":{"unsorted":false,"formattedCitation":"(Scheidt {\\i{}et al.}, 2020)","plainCitation":"(Scheidt et al., 2020)","noteIndex":0},"citationItems":[{"id":95,"uris":["http://zotero.org/users/local/juvPLahh/items/CD998TS4"],"itemData":{"id":95,"type":"article-journal","abstract":"The rapid transformation of the electricity sector increases both the opportunities and the need for Data Analytics. In recent years, various new methods and ﬁelds of application have been emerging. As research is growing and becoming more diverse and specialized, it is essential to integrate and structure the fragmented body of scientiﬁc work. We therefore conduct a systematic review of studies concerned with developing and applying Data Analytics methods in the context of the electricity value chain. First, we provide a quantitative high-level overview of the status quo of Data Analytics research, and show historical literature growth, leading countries in the ﬁeld and the most intensive international collaborations. Then, we qualitatively review over 200 high-impact studies to present an in-depth analysis of the most prominent applications of Data Analytics in each of the electricity sector’s areas: generation, trading, transmission, distribution, and consumption. For each area, we review the state-of-theart Data Analytics applications and methods. In addition, we discuss used data sets, feature selection methods, benchmark methods, evaluation metrics, and model complexity and run time. Summarizing the ﬁndings from the diﬀerent areas, we identify best practices and what researchers in one area can learn from other areas. Finally, we highlight potential for future research.","container-title":"Energy and AI","DOI":"10.1016/j.egyai.2020.100009","ISSN":"26665468","journalAbbreviation":"Energy and AI","language":"en","page":"100009","source":"DOI.org (Crossref)","title":"Data analytics in the electricity sector – A quantitative and qualitative literature review","volume":"1","author":[{"family":"Scheidt","given":"Frederik Vom"},{"family":"Medinová","given":"Hana"},{"family":"Ludwig","given":"Nicole"},{"family":"Richter","given":"Bent"},{"family":"Staudt","given":"Philipp"},{"family":"Weinhardt","given":"Christof"}],"issued":{"date-parts":[["2020",8]]}}}],"schema":"https://github.com/citation-style-language/schema/raw/master/csl-citation.json"} </w:instrText>
      </w:r>
      <w:r w:rsidRPr="00B60661">
        <w:rPr>
          <w:rFonts w:asciiTheme="minorHAnsi" w:eastAsiaTheme="minorEastAsia" w:hAnsiTheme="minorHAnsi" w:cstheme="minorBidi"/>
          <w:b w:val="0"/>
          <w:bCs w:val="0"/>
          <w:color w:val="000000" w:themeColor="text1"/>
          <w:sz w:val="20"/>
          <w:szCs w:val="20"/>
        </w:rPr>
        <w:fldChar w:fldCharType="separate"/>
      </w:r>
      <w:r w:rsidRPr="00B60661">
        <w:rPr>
          <w:rFonts w:ascii="Aptos" w:hAnsi="Aptos"/>
          <w:b w:val="0"/>
          <w:sz w:val="20"/>
          <w:szCs w:val="24"/>
        </w:rPr>
        <w:t xml:space="preserve">(Scheidt </w:t>
      </w:r>
      <w:r w:rsidRPr="00B60661">
        <w:rPr>
          <w:rFonts w:ascii="Aptos" w:hAnsi="Aptos"/>
          <w:b w:val="0"/>
          <w:i/>
          <w:iCs/>
          <w:sz w:val="20"/>
          <w:szCs w:val="24"/>
        </w:rPr>
        <w:t>et al.</w:t>
      </w:r>
      <w:r w:rsidRPr="00B60661">
        <w:rPr>
          <w:rFonts w:ascii="Aptos" w:hAnsi="Aptos"/>
          <w:b w:val="0"/>
          <w:sz w:val="20"/>
          <w:szCs w:val="24"/>
        </w:rPr>
        <w:t>, 2020)</w:t>
      </w:r>
      <w:r w:rsidRPr="00B60661">
        <w:rPr>
          <w:rFonts w:asciiTheme="minorHAnsi" w:eastAsiaTheme="minorEastAsia" w:hAnsiTheme="minorHAnsi" w:cstheme="minorBidi"/>
          <w:b w:val="0"/>
          <w:bCs w:val="0"/>
          <w:color w:val="000000" w:themeColor="text1"/>
          <w:sz w:val="20"/>
          <w:szCs w:val="20"/>
        </w:rPr>
        <w:fldChar w:fldCharType="end"/>
      </w:r>
      <w:r w:rsidRPr="00B60661">
        <w:rPr>
          <w:rFonts w:asciiTheme="minorHAnsi" w:eastAsiaTheme="minorEastAsia" w:hAnsiTheme="minorHAnsi" w:cstheme="minorBidi"/>
          <w:b w:val="0"/>
          <w:bCs w:val="0"/>
          <w:color w:val="000000" w:themeColor="text1"/>
          <w:sz w:val="20"/>
          <w:szCs w:val="20"/>
        </w:rPr>
        <w:t>.</w:t>
      </w:r>
    </w:p>
    <w:p w14:paraId="592687C0" w14:textId="5282BE92" w:rsidR="003174FE" w:rsidRPr="003174FE" w:rsidRDefault="003174FE" w:rsidP="003174FE">
      <w:pPr>
        <w:pStyle w:val="Abstract"/>
        <w:ind w:firstLine="0"/>
        <w:rPr>
          <w:rFonts w:asciiTheme="minorHAnsi" w:eastAsiaTheme="minorEastAsia" w:hAnsiTheme="minorHAnsi" w:cstheme="minorBidi"/>
          <w:b w:val="0"/>
          <w:bCs w:val="0"/>
          <w:color w:val="000000" w:themeColor="text1"/>
          <w:sz w:val="20"/>
          <w:szCs w:val="20"/>
        </w:rPr>
      </w:pPr>
      <w:r w:rsidRPr="003174FE">
        <w:rPr>
          <w:rFonts w:asciiTheme="minorHAnsi" w:eastAsiaTheme="minorEastAsia" w:hAnsiTheme="minorHAnsi" w:cstheme="minorBidi"/>
          <w:b w:val="0"/>
          <w:bCs w:val="0"/>
          <w:color w:val="000000" w:themeColor="text1"/>
          <w:sz w:val="20"/>
          <w:szCs w:val="20"/>
        </w:rPr>
        <w:t>The two secondary datasets that will be used are: Ember's annual electricity dataset</w:t>
      </w:r>
      <w:r>
        <w:rPr>
          <w:rFonts w:asciiTheme="minorHAnsi" w:eastAsiaTheme="minorEastAsia" w:hAnsiTheme="minorHAnsi" w:cstheme="minorBidi"/>
          <w:b w:val="0"/>
          <w:bCs w:val="0"/>
          <w:color w:val="000000" w:themeColor="text1"/>
          <w:sz w:val="20"/>
          <w:szCs w:val="20"/>
        </w:rPr>
        <w:t>, which</w:t>
      </w:r>
      <w:r w:rsidRPr="003174FE">
        <w:rPr>
          <w:rFonts w:asciiTheme="minorHAnsi" w:eastAsiaTheme="minorEastAsia" w:hAnsiTheme="minorHAnsi" w:cstheme="minorBidi"/>
          <w:b w:val="0"/>
          <w:bCs w:val="0"/>
          <w:color w:val="000000" w:themeColor="text1"/>
          <w:sz w:val="20"/>
          <w:szCs w:val="20"/>
        </w:rPr>
        <w:t xml:space="preserve"> will be useful for </w:t>
      </w:r>
      <w:r>
        <w:rPr>
          <w:rFonts w:asciiTheme="minorHAnsi" w:eastAsiaTheme="minorEastAsia" w:hAnsiTheme="minorHAnsi" w:cstheme="minorBidi"/>
          <w:b w:val="0"/>
          <w:bCs w:val="0"/>
          <w:color w:val="000000" w:themeColor="text1"/>
          <w:sz w:val="20"/>
          <w:szCs w:val="20"/>
        </w:rPr>
        <w:t>analysing</w:t>
      </w:r>
      <w:r w:rsidRPr="003174FE">
        <w:rPr>
          <w:rFonts w:asciiTheme="minorHAnsi" w:eastAsiaTheme="minorEastAsia" w:hAnsiTheme="minorHAnsi" w:cstheme="minorBidi"/>
          <w:b w:val="0"/>
          <w:bCs w:val="0"/>
          <w:color w:val="000000" w:themeColor="text1"/>
          <w:sz w:val="20"/>
          <w:szCs w:val="20"/>
        </w:rPr>
        <w:t xml:space="preserve"> electricity generation, electricity generation shares, emissions and emissions intensity. The second source is the international public finance database on renewable energy by IRENA which will offer renewable energy financial flows </w:t>
      </w:r>
      <w:r>
        <w:rPr>
          <w:rFonts w:asciiTheme="minorHAnsi" w:eastAsiaTheme="minorEastAsia" w:hAnsiTheme="minorHAnsi" w:cstheme="minorBidi"/>
          <w:b w:val="0"/>
          <w:bCs w:val="0"/>
          <w:color w:val="000000" w:themeColor="text1"/>
          <w:sz w:val="20"/>
          <w:szCs w:val="20"/>
        </w:rPr>
        <w:t>categorised</w:t>
      </w:r>
      <w:r w:rsidRPr="003174FE">
        <w:rPr>
          <w:rFonts w:asciiTheme="minorHAnsi" w:eastAsiaTheme="minorEastAsia" w:hAnsiTheme="minorHAnsi" w:cstheme="minorBidi"/>
          <w:b w:val="0"/>
          <w:bCs w:val="0"/>
          <w:color w:val="000000" w:themeColor="text1"/>
          <w:sz w:val="20"/>
          <w:szCs w:val="20"/>
        </w:rPr>
        <w:t xml:space="preserve"> according to recipient country, year, technology, finance type, and financial institution.</w:t>
      </w:r>
    </w:p>
    <w:p w14:paraId="3308BFEC" w14:textId="4B44FE3F" w:rsidR="003174FE" w:rsidRPr="00FC5DAA" w:rsidRDefault="003174FE" w:rsidP="003174FE">
      <w:pPr>
        <w:pStyle w:val="Abstract"/>
        <w:ind w:firstLine="0"/>
        <w:rPr>
          <w:rFonts w:asciiTheme="minorHAnsi" w:eastAsiaTheme="minorEastAsia" w:hAnsiTheme="minorHAnsi" w:cstheme="minorBidi"/>
          <w:b w:val="0"/>
          <w:bCs w:val="0"/>
          <w:color w:val="000000" w:themeColor="text1"/>
          <w:sz w:val="20"/>
          <w:szCs w:val="20"/>
        </w:rPr>
      </w:pPr>
      <w:r w:rsidRPr="003174FE">
        <w:rPr>
          <w:rFonts w:asciiTheme="minorHAnsi" w:eastAsiaTheme="minorEastAsia" w:hAnsiTheme="minorHAnsi" w:cstheme="minorBidi"/>
          <w:b w:val="0"/>
          <w:bCs w:val="0"/>
          <w:color w:val="000000" w:themeColor="text1"/>
          <w:sz w:val="20"/>
          <w:szCs w:val="20"/>
        </w:rPr>
        <w:t xml:space="preserve">In order to provide a more specific and achievable scope for the research project, the principal analysis period </w:t>
      </w:r>
      <w:r>
        <w:rPr>
          <w:rFonts w:asciiTheme="minorHAnsi" w:eastAsiaTheme="minorEastAsia" w:hAnsiTheme="minorHAnsi" w:cstheme="minorBidi"/>
          <w:b w:val="0"/>
          <w:bCs w:val="0"/>
          <w:color w:val="000000" w:themeColor="text1"/>
          <w:sz w:val="20"/>
          <w:szCs w:val="20"/>
        </w:rPr>
        <w:t xml:space="preserve">will be </w:t>
      </w:r>
      <w:r w:rsidRPr="003174FE">
        <w:rPr>
          <w:rFonts w:asciiTheme="minorHAnsi" w:eastAsiaTheme="minorEastAsia" w:hAnsiTheme="minorHAnsi" w:cstheme="minorBidi"/>
          <w:b w:val="0"/>
          <w:bCs w:val="0"/>
          <w:color w:val="000000" w:themeColor="text1"/>
          <w:sz w:val="20"/>
          <w:szCs w:val="20"/>
        </w:rPr>
        <w:t xml:space="preserve">chosen, which will provide the common historical period covered by the electricity and investment data </w:t>
      </w:r>
      <w:r>
        <w:rPr>
          <w:rFonts w:asciiTheme="minorHAnsi" w:eastAsiaTheme="minorEastAsia" w:hAnsiTheme="minorHAnsi" w:cstheme="minorBidi"/>
          <w:b w:val="0"/>
          <w:bCs w:val="0"/>
          <w:color w:val="000000" w:themeColor="text1"/>
          <w:sz w:val="20"/>
          <w:szCs w:val="20"/>
        </w:rPr>
        <w:t>sets. The study will analys</w:t>
      </w:r>
      <w:r w:rsidRPr="003174FE">
        <w:rPr>
          <w:rFonts w:asciiTheme="minorHAnsi" w:eastAsiaTheme="minorEastAsia" w:hAnsiTheme="minorHAnsi" w:cstheme="minorBidi"/>
          <w:b w:val="0"/>
          <w:bCs w:val="0"/>
          <w:color w:val="000000" w:themeColor="text1"/>
          <w:sz w:val="20"/>
          <w:szCs w:val="20"/>
        </w:rPr>
        <w:t>e 22 countries, namely: Bolivia, Brazil, China, Cuba, Egypt, Ethiopia, Ghana, India, Indonesia, Mali, Mexico, Morocco, Mozambique, Nepal, Nicaragua, Pakistan, Peru, Philippines, Sri Lanka, Tanzania, Uganda and Vietnam.</w:t>
      </w:r>
    </w:p>
    <w:p w14:paraId="60D686F7" w14:textId="506AB7AB" w:rsidR="001B04E4" w:rsidRDefault="001B04E4" w:rsidP="001B04E4">
      <w:pPr>
        <w:pStyle w:val="Heading1"/>
        <w:rPr>
          <w:rFonts w:eastAsiaTheme="minorEastAsia"/>
        </w:rPr>
      </w:pPr>
      <w:bookmarkStart w:id="4" w:name="_Toc235989865"/>
      <w:r>
        <w:rPr>
          <w:rFonts w:eastAsiaTheme="minorEastAsia"/>
        </w:rPr>
        <w:t>2. Literature Review</w:t>
      </w:r>
      <w:bookmarkEnd w:id="4"/>
    </w:p>
    <w:p w14:paraId="03DA549E" w14:textId="6EE4DCFD" w:rsidR="3244AAFF" w:rsidRDefault="001B04E4" w:rsidP="0009381F">
      <w:pPr>
        <w:pStyle w:val="Heading2"/>
      </w:pPr>
      <w:bookmarkStart w:id="5" w:name="_Toc235989866"/>
      <w:r>
        <w:t xml:space="preserve">2.1. </w:t>
      </w:r>
      <w:r w:rsidR="00AD03AD">
        <w:t xml:space="preserve">Electricity </w:t>
      </w:r>
      <w:r w:rsidR="00F62E9B">
        <w:t>Car</w:t>
      </w:r>
      <w:r w:rsidR="00181625">
        <w:t>bon Intensity as Prediction Target</w:t>
      </w:r>
      <w:bookmarkEnd w:id="5"/>
    </w:p>
    <w:p w14:paraId="2311D7E6" w14:textId="320B5DAB" w:rsidR="00F72EB8" w:rsidRDefault="00F72EB8" w:rsidP="00F72EB8">
      <w:pPr>
        <w:rPr>
          <w:lang w:val="en-IN" w:eastAsia="en-US"/>
        </w:rPr>
      </w:pPr>
    </w:p>
    <w:p w14:paraId="0FD2FF57" w14:textId="66FC696D" w:rsidR="00190133" w:rsidRDefault="00190133" w:rsidP="00F72EB8">
      <w:pPr>
        <w:rPr>
          <w:sz w:val="20"/>
          <w:szCs w:val="20"/>
          <w:lang w:val="en-IN" w:eastAsia="en-US"/>
        </w:rPr>
      </w:pPr>
      <w:r w:rsidRPr="00190133">
        <w:rPr>
          <w:sz w:val="20"/>
          <w:szCs w:val="20"/>
          <w:lang w:val="en-IN" w:eastAsia="en-US"/>
        </w:rPr>
        <w:t xml:space="preserve">Electricity carbon intensity refers to the greenhouse gas emissions associated with </w:t>
      </w:r>
      <w:r w:rsidR="00F62E9B">
        <w:rPr>
          <w:sz w:val="20"/>
          <w:szCs w:val="20"/>
          <w:lang w:val="en-IN" w:eastAsia="en-US"/>
        </w:rPr>
        <w:t xml:space="preserve">the </w:t>
      </w:r>
      <w:r w:rsidRPr="00190133">
        <w:rPr>
          <w:sz w:val="20"/>
          <w:szCs w:val="20"/>
          <w:lang w:val="en-IN" w:eastAsia="en-US"/>
        </w:rPr>
        <w:t>generation of one unit of electricity and is measured in terms of grams of carbon dioxide equivalent per kilowatt hour (gCO2e/kWh). Unlike the total emissions from the electricity sector, carbon intensity adjusts for the quantity of electricity generated. This means th</w:t>
      </w:r>
      <w:r>
        <w:rPr>
          <w:sz w:val="20"/>
          <w:szCs w:val="20"/>
          <w:lang w:val="en-IN" w:eastAsia="en-US"/>
        </w:rPr>
        <w:t>at it becomes possible to analys</w:t>
      </w:r>
      <w:r w:rsidRPr="00190133">
        <w:rPr>
          <w:sz w:val="20"/>
          <w:szCs w:val="20"/>
          <w:lang w:val="en-IN" w:eastAsia="en-US"/>
        </w:rPr>
        <w:t xml:space="preserve">e electricity generating systems of various sizes and their changing emissions performance over time. The proposed study thus takes annual electricity carbon intensity as a continuous target variable. </w:t>
      </w:r>
    </w:p>
    <w:p w14:paraId="7C655B2D" w14:textId="2F7404AD" w:rsidR="00181625" w:rsidRDefault="00181625" w:rsidP="00F72EB8">
      <w:pPr>
        <w:rPr>
          <w:sz w:val="20"/>
          <w:szCs w:val="20"/>
          <w:lang w:val="en-IN" w:eastAsia="en-US"/>
        </w:rPr>
      </w:pPr>
      <w:r w:rsidRPr="00F62E9B">
        <w:rPr>
          <w:sz w:val="20"/>
          <w:szCs w:val="20"/>
          <w:lang w:val="en-IN" w:eastAsia="en-US"/>
        </w:rPr>
        <w:t>Treating electricity carbon intensity as a continuous target variable allows the study to apply supervised regression techniques. Country-year observations can be used to examine whether renewable energy investment, renewable</w:t>
      </w:r>
      <w:r>
        <w:rPr>
          <w:sz w:val="20"/>
          <w:szCs w:val="20"/>
          <w:lang w:val="en-IN" w:eastAsia="en-US"/>
        </w:rPr>
        <w:t xml:space="preserve"> electricity generation, fossil </w:t>
      </w:r>
      <w:r w:rsidRPr="00F62E9B">
        <w:rPr>
          <w:sz w:val="20"/>
          <w:szCs w:val="20"/>
          <w:lang w:val="en-IN" w:eastAsia="en-US"/>
        </w:rPr>
        <w:t xml:space="preserve">fuel generation and technology mix improve predictive accuracy. Appropriate models may include linear regression, random forest, </w:t>
      </w:r>
      <w:r>
        <w:rPr>
          <w:sz w:val="20"/>
          <w:szCs w:val="20"/>
          <w:lang w:val="en-IN" w:eastAsia="en-US"/>
        </w:rPr>
        <w:t xml:space="preserve">auto-regressive, neural model and time series </w:t>
      </w:r>
      <w:r w:rsidRPr="00F62E9B">
        <w:rPr>
          <w:sz w:val="20"/>
          <w:szCs w:val="20"/>
          <w:lang w:val="en-IN" w:eastAsia="en-US"/>
        </w:rPr>
        <w:t xml:space="preserve">based approaches. Their performance can be compared using MAE, RMSE and </w:t>
      </w:r>
      <w:r w:rsidR="002A3159">
        <w:rPr>
          <w:sz w:val="20"/>
          <w:szCs w:val="20"/>
          <w:lang w:val="en-IN" w:eastAsia="en-US"/>
        </w:rPr>
        <w:t>R</w:t>
      </w:r>
      <w:r w:rsidRPr="00F62E9B">
        <w:rPr>
          <w:sz w:val="20"/>
          <w:szCs w:val="20"/>
          <w:lang w:val="en-IN" w:eastAsia="en-US"/>
        </w:rPr>
        <w:t>^2</w:t>
      </w:r>
      <w:r>
        <w:rPr>
          <w:sz w:val="20"/>
          <w:szCs w:val="20"/>
          <w:lang w:val="en-IN" w:eastAsia="en-US"/>
        </w:rPr>
        <w:t xml:space="preserve">, while feature </w:t>
      </w:r>
      <w:r w:rsidRPr="00F62E9B">
        <w:rPr>
          <w:sz w:val="20"/>
          <w:szCs w:val="20"/>
          <w:lang w:val="en-IN" w:eastAsia="en-US"/>
        </w:rPr>
        <w:t>importance methods can identify which energy technologies contribute most strongly to carbon-intensity predictions.</w:t>
      </w:r>
      <w:r w:rsidRPr="00FC5DAA">
        <w:rPr>
          <w:sz w:val="20"/>
          <w:szCs w:val="20"/>
          <w:lang w:val="en-IN" w:eastAsia="en-US"/>
        </w:rPr>
        <w:t xml:space="preserve"> </w:t>
      </w:r>
    </w:p>
    <w:p w14:paraId="6DE2FDD8" w14:textId="44E56E8B" w:rsidR="00190133" w:rsidRPr="00FC5DAA" w:rsidRDefault="00190133" w:rsidP="00F72EB8">
      <w:pPr>
        <w:rPr>
          <w:sz w:val="20"/>
          <w:szCs w:val="20"/>
          <w:lang w:val="en-IN" w:eastAsia="en-US"/>
        </w:rPr>
      </w:pPr>
      <w:r w:rsidRPr="00190133">
        <w:rPr>
          <w:sz w:val="20"/>
          <w:szCs w:val="20"/>
          <w:lang w:val="en-IN" w:eastAsia="en-US"/>
        </w:rPr>
        <w:t>The research con</w:t>
      </w:r>
      <w:r>
        <w:rPr>
          <w:sz w:val="20"/>
          <w:szCs w:val="20"/>
          <w:lang w:val="en-IN" w:eastAsia="en-US"/>
        </w:rPr>
        <w:t xml:space="preserve">ducted by </w:t>
      </w:r>
      <w:r>
        <w:rPr>
          <w:sz w:val="20"/>
          <w:szCs w:val="20"/>
          <w:lang w:val="en-IN" w:eastAsia="en-US"/>
        </w:rPr>
        <w:fldChar w:fldCharType="begin"/>
      </w:r>
      <w:r>
        <w:rPr>
          <w:sz w:val="20"/>
          <w:szCs w:val="20"/>
          <w:lang w:val="en-IN" w:eastAsia="en-US"/>
        </w:rPr>
        <w:instrText xml:space="preserve"> ADDIN ZOTERO_ITEM CSL_CITATION {"citationID":"snjP0hPd","properties":{"unsorted":false,"formattedCitation":"(Unnewehr {\\i{}et al.}, 2022)","plainCitation":"(Unnewehr et al., 2022)","noteIndex":0},"citationItems":[{"id":97,"uris":["http://zotero.org/users/local/juvPLahh/items/PAPQUQ3M"],"itemData":{"id":97,"type":"article-journal","abstract":"Dynamic grid emission factors provide a temporally resolved signal about the carbon intensity of electricity generation in the power system. Since actual carbon dioxide emission measurements are usually lacking, such a signal must be derived from system-speciﬁc emission factors combined with power generation time series. We present a bottom-up method that allows deriving per country and per technology emission factors for European countries based on plant speciﬁc power generation time series and reported emissions from the European emissions trading mechanism. We have matched, 595 fossil generation units and their respective annual emissions. In 2018, these power plants supplied 717 TWh of electricity to the grid, representing approximately 50% of power generation from fossil fuels. Based on this dataset, 42 individual technology and country-speciﬁc emission factors are derived. The resulting values for historical per country carbon intensity of electricity generation are compared with corresponding results from a top-down approach, which uses statistical data on emissions and power generation on national scales. All calculations are based on publicly available data, such that the analysis is transparent and the method can be replicated, adjusted and expanded in a ﬂexible way.","container-title":"Cleaner Energy Systems","DOI":"10.1016/j.cles.2022.100018","ISSN":"27727831","journalAbbreviation":"Cleaner Energy Systems","language":"en","page":"100018","source":"DOI.org (Crossref)","title":"Open-data based carbon emission intensity signals for electricity generation in European countries – top down vs. bottom up approach","volume":"3","author":[{"family":"Unnewehr","given":"Jan Frederick"},{"family":"Weidlich","given":"Anke"},{"family":"Gfüllner","given":"Leonhard"},{"family":"Schäfer","given":"Mirko"}],"issued":{"date-parts":[["2022",12]]}}}],"schema":"https://github.com/citation-style-language/schema/raw/master/csl-citation.json"} </w:instrText>
      </w:r>
      <w:r>
        <w:rPr>
          <w:sz w:val="20"/>
          <w:szCs w:val="20"/>
          <w:lang w:val="en-IN" w:eastAsia="en-US"/>
        </w:rPr>
        <w:fldChar w:fldCharType="separate"/>
      </w:r>
      <w:r w:rsidRPr="00190133">
        <w:rPr>
          <w:rFonts w:ascii="Aptos" w:hAnsi="Aptos" w:cs="Times New Roman"/>
          <w:sz w:val="20"/>
        </w:rPr>
        <w:t xml:space="preserve">Unnewehr </w:t>
      </w:r>
      <w:r w:rsidRPr="00190133">
        <w:rPr>
          <w:rFonts w:ascii="Aptos" w:hAnsi="Aptos" w:cs="Times New Roman"/>
          <w:i/>
          <w:iCs/>
          <w:sz w:val="20"/>
        </w:rPr>
        <w:t>et al.</w:t>
      </w:r>
      <w:r w:rsidRPr="00190133">
        <w:rPr>
          <w:rFonts w:ascii="Aptos" w:hAnsi="Aptos" w:cs="Times New Roman"/>
          <w:sz w:val="20"/>
        </w:rPr>
        <w:t xml:space="preserve"> </w:t>
      </w:r>
      <w:r>
        <w:rPr>
          <w:rFonts w:ascii="Aptos" w:hAnsi="Aptos" w:cs="Times New Roman"/>
          <w:sz w:val="20"/>
        </w:rPr>
        <w:t>(</w:t>
      </w:r>
      <w:r w:rsidRPr="00190133">
        <w:rPr>
          <w:rFonts w:ascii="Aptos" w:hAnsi="Aptos" w:cs="Times New Roman"/>
          <w:sz w:val="20"/>
        </w:rPr>
        <w:t>2022)</w:t>
      </w:r>
      <w:r>
        <w:rPr>
          <w:sz w:val="20"/>
          <w:szCs w:val="20"/>
          <w:lang w:val="en-IN" w:eastAsia="en-US"/>
        </w:rPr>
        <w:fldChar w:fldCharType="end"/>
      </w:r>
      <w:r w:rsidRPr="00190133">
        <w:rPr>
          <w:sz w:val="20"/>
          <w:szCs w:val="20"/>
          <w:lang w:val="en-IN" w:eastAsia="en-US"/>
        </w:rPr>
        <w:t xml:space="preserve"> is pertinent to this proposed research since it highlights the need for employing consistent definitions </w:t>
      </w:r>
      <w:r w:rsidR="00F62E9B">
        <w:rPr>
          <w:sz w:val="20"/>
          <w:szCs w:val="20"/>
          <w:lang w:val="en-IN" w:eastAsia="en-US"/>
        </w:rPr>
        <w:t>to</w:t>
      </w:r>
      <w:r w:rsidRPr="00190133">
        <w:rPr>
          <w:sz w:val="20"/>
          <w:szCs w:val="20"/>
          <w:lang w:val="en-IN" w:eastAsia="en-US"/>
        </w:rPr>
        <w:t xml:space="preserve"> combine country level electricity data. The problem with their study was that they concentrated on building carbon-intensity signals and not on whether renewable energy financing and annual production measures helped in better medium term predictions. This proposed research will employ an already existing annual carbon intensity measure but check for consistency first, before doing the modelling. Country names, years and electricity units, among others, will be made consistent first before combining the datasets.</w:t>
      </w:r>
    </w:p>
    <w:p w14:paraId="0E421B4C" w14:textId="6D3A84E7" w:rsidR="005C2E02" w:rsidRPr="007601C0" w:rsidRDefault="001B04E4" w:rsidP="001B04E4">
      <w:pPr>
        <w:rPr>
          <w:sz w:val="20"/>
          <w:szCs w:val="20"/>
          <w:lang w:val="en-IN" w:eastAsia="en-US"/>
        </w:rPr>
      </w:pPr>
      <w:r w:rsidRPr="00FC5DAA">
        <w:rPr>
          <w:sz w:val="20"/>
          <w:szCs w:val="20"/>
          <w:lang w:val="en-IN" w:eastAsia="en-US"/>
        </w:rPr>
        <w:t xml:space="preserve">These studies have also shown the importance of Data Analytics in the process of </w:t>
      </w:r>
      <w:r w:rsidR="00AD03AD">
        <w:rPr>
          <w:sz w:val="20"/>
          <w:szCs w:val="20"/>
          <w:lang w:val="en-IN" w:eastAsia="en-US"/>
        </w:rPr>
        <w:t>decarbonising</w:t>
      </w:r>
      <w:r w:rsidRPr="00FC5DAA">
        <w:rPr>
          <w:sz w:val="20"/>
          <w:szCs w:val="20"/>
          <w:lang w:val="en-IN" w:eastAsia="en-US"/>
        </w:rPr>
        <w:t xml:space="preserve"> the electricity sector. Carbon intensity could be </w:t>
      </w:r>
      <w:r w:rsidR="00181625">
        <w:rPr>
          <w:sz w:val="20"/>
          <w:szCs w:val="20"/>
          <w:lang w:val="en-IN" w:eastAsia="en-US"/>
        </w:rPr>
        <w:t>modelled</w:t>
      </w:r>
      <w:r w:rsidRPr="00FC5DAA">
        <w:rPr>
          <w:sz w:val="20"/>
          <w:szCs w:val="20"/>
          <w:lang w:val="en-IN" w:eastAsia="en-US"/>
        </w:rPr>
        <w:t xml:space="preserve"> as a continuous target variable using yearly country-level data, along with renewable generation, fossil fuel generation, technological mix, and investments. According to </w:t>
      </w:r>
      <w:r w:rsidRPr="00FC5DAA">
        <w:rPr>
          <w:sz w:val="20"/>
          <w:szCs w:val="20"/>
          <w:lang w:val="en-IN" w:eastAsia="en-US"/>
        </w:rPr>
        <w:fldChar w:fldCharType="begin"/>
      </w:r>
      <w:r w:rsidR="0027334F">
        <w:rPr>
          <w:sz w:val="20"/>
          <w:szCs w:val="20"/>
          <w:lang w:val="en-IN" w:eastAsia="en-US"/>
        </w:rPr>
        <w:instrText xml:space="preserve"> ADDIN ZOTERO_ITEM CSL_CITATION {"citationID":"4d21pQwU","properties":{"unsorted":false,"formattedCitation":"(Scheidt {\\i{}et al.}, 2020)","plainCitation":"(Scheidt et al., 2020)","dontUpdate":true,"noteIndex":0},"citationItems":[{"id":95,"uris":["http://zotero.org/users/local/juvPLahh/items/CD998TS4"],"itemData":{"id":95,"type":"article-journal","abstract":"The rapid transformation of the electricity sector increases both the opportunities and the need for Data Analytics. In recent years, various new methods and ﬁelds of application have been emerging. As research is growing and becoming more diverse and specialized, it is essential to integrate and structure the fragmented body of scientiﬁc work. We therefore conduct a systematic review of studies concerned with developing and applying Data Analytics methods in the context of the electricity value chain. First, we provide a quantitative high-level overview of the status quo of Data Analytics research, and show historical literature growth, leading countries in the ﬁeld and the most intensive international collaborations. Then, we qualitatively review over 200 high-impact studies to present an in-depth analysis of the most prominent applications of Data Analytics in each of the electricity sector’s areas: generation, trading, transmission, distribution, and consumption. For each area, we review the state-of-theart Data Analytics applications and methods. In addition, we discuss used data sets, feature selection methods, benchmark methods, evaluation metrics, and model complexity and run time. Summarizing the ﬁndings from the diﬀerent areas, we identify best practices and what researchers in one area can learn from other areas. Finally, we highlight potential for future research.","container-title":"Energy and AI","DOI":"10.1016/j.egyai.2020.100009","ISSN":"26665468","journalAbbreviation":"Energy and AI","language":"en","page":"100009","source":"DOI.org (Crossref)","title":"Data analytics in the electricity sector – A quantitative and qualitative literature review","volume":"1","author":[{"family":"Scheidt","given":"Frederik Vom"},{"family":"Medinová","given":"Hana"},{"family":"Ludwig","given":"Nicole"},{"family":"Richter","given":"Bent"},{"family":"Staudt","given":"Philipp"},{"family":"Weinhardt","given":"Christof"}],"issued":{"date-parts":[["2020",8]]}}}],"schema":"https://github.com/citation-style-language/schema/raw/master/csl-citation.json"} </w:instrText>
      </w:r>
      <w:r w:rsidRPr="00FC5DAA">
        <w:rPr>
          <w:sz w:val="20"/>
          <w:szCs w:val="20"/>
          <w:lang w:val="en-IN" w:eastAsia="en-US"/>
        </w:rPr>
        <w:fldChar w:fldCharType="separate"/>
      </w:r>
      <w:r w:rsidRPr="00FC5DAA">
        <w:rPr>
          <w:rFonts w:ascii="Aptos" w:hAnsi="Aptos" w:cs="Times New Roman"/>
          <w:sz w:val="20"/>
          <w:szCs w:val="20"/>
        </w:rPr>
        <w:t xml:space="preserve">Scheidt </w:t>
      </w:r>
      <w:r w:rsidRPr="00FC5DAA">
        <w:rPr>
          <w:rFonts w:ascii="Aptos" w:hAnsi="Aptos" w:cs="Times New Roman"/>
          <w:i/>
          <w:iCs/>
          <w:sz w:val="20"/>
          <w:szCs w:val="20"/>
        </w:rPr>
        <w:t>et al.</w:t>
      </w:r>
      <w:r w:rsidRPr="00FC5DAA">
        <w:rPr>
          <w:rFonts w:ascii="Aptos" w:hAnsi="Aptos" w:cs="Times New Roman"/>
          <w:sz w:val="20"/>
          <w:szCs w:val="20"/>
        </w:rPr>
        <w:t xml:space="preserve"> (2020)</w:t>
      </w:r>
      <w:r w:rsidRPr="00FC5DAA">
        <w:rPr>
          <w:sz w:val="20"/>
          <w:szCs w:val="20"/>
          <w:lang w:val="en-IN" w:eastAsia="en-US"/>
        </w:rPr>
        <w:fldChar w:fldCharType="end"/>
      </w:r>
      <w:r w:rsidRPr="00FC5DAA">
        <w:rPr>
          <w:sz w:val="20"/>
          <w:szCs w:val="20"/>
          <w:lang w:val="en-IN" w:eastAsia="en-US"/>
        </w:rPr>
        <w:t xml:space="preserve">, application of Data Analytics is currently used in all processes within the electricity industry ranging from electricity generation to consumption. However, there are problems in feature selection, model comparison, and evaluation, which means that there is a need to improve the </w:t>
      </w:r>
      <w:r w:rsidRPr="00FC5DAA">
        <w:rPr>
          <w:sz w:val="20"/>
          <w:szCs w:val="20"/>
          <w:lang w:val="en-IN" w:eastAsia="en-US"/>
        </w:rPr>
        <w:lastRenderedPageBreak/>
        <w:t>analysis. Therefore, this study will perform the analysis of carbon intensity of electric</w:t>
      </w:r>
      <w:r w:rsidR="007601C0">
        <w:rPr>
          <w:sz w:val="20"/>
          <w:szCs w:val="20"/>
          <w:lang w:val="en-IN" w:eastAsia="en-US"/>
        </w:rPr>
        <w:t>ity using predictive analytics.</w:t>
      </w:r>
    </w:p>
    <w:p w14:paraId="74874573" w14:textId="1DEFAC66" w:rsidR="009054E2" w:rsidRPr="005C2E02" w:rsidRDefault="009054E2" w:rsidP="005C2E02">
      <w:pPr>
        <w:pStyle w:val="Heading2"/>
      </w:pPr>
      <w:bookmarkStart w:id="6" w:name="_Toc235989867"/>
      <w:r>
        <w:t xml:space="preserve">2.2. </w:t>
      </w:r>
      <w:r w:rsidR="00F11AC3">
        <w:t xml:space="preserve">Data-Driven Analysis on </w:t>
      </w:r>
      <w:r>
        <w:t>Renewable-Energy Investment and Carbon-Intensity Reduction</w:t>
      </w:r>
      <w:bookmarkEnd w:id="6"/>
    </w:p>
    <w:p w14:paraId="27F329DF" w14:textId="468102AA" w:rsidR="009054E2" w:rsidRPr="00F9173A" w:rsidRDefault="009054E2" w:rsidP="009054E2">
      <w:pPr>
        <w:rPr>
          <w:sz w:val="20"/>
          <w:szCs w:val="20"/>
          <w:lang w:val="en-IN" w:eastAsia="en-US"/>
        </w:rPr>
      </w:pPr>
      <w:r w:rsidRPr="00F9173A">
        <w:rPr>
          <w:sz w:val="20"/>
          <w:szCs w:val="20"/>
          <w:lang w:val="en-IN" w:eastAsia="en-US"/>
        </w:rPr>
        <w:fldChar w:fldCharType="begin"/>
      </w:r>
      <w:r w:rsidR="0027334F">
        <w:rPr>
          <w:sz w:val="20"/>
          <w:szCs w:val="20"/>
          <w:lang w:val="en-IN" w:eastAsia="en-US"/>
        </w:rPr>
        <w:instrText xml:space="preserve"> ADDIN ZOTERO_ITEM CSL_CITATION {"citationID":"5PuBJInT","properties":{"unsorted":false,"formattedCitation":"(Appiah-Otoo, Chen and Kursah, 2023)","plainCitation":"(Appiah-Otoo, Chen and Kursah, 2023)","dontUpdate":true,"noteIndex":0},"citationItems":[{"id":99,"uris":["http://zotero.org/users/local/juvPLahh/items/HR3NZVKF"],"itemData":{"id":99,"type":"article-journal","abstract":"The adversities of climate change facing the world highlight the importance of reducing the rise of global carbon emissions (CO2E), which is a top priority for policymakers and researchers. Renewable energy is hailed as a remedy to the rise in global CO2E. However, there are persistently low levels of global renewable energy investment (REI). This study, therefore, examines the linear and non-linear effect of REI (measured by solar, wind, small hydropower, geothermal, biomass, marine, and biofuel energy investment) on CO2E using a global dataset from 2004Q1 to 2018Q1. The study also examines the economic growth mechanism through which REI influences CO2E. Using the Ordinarily Least Squares model, the findings show that all the measures of REI significantly increase CO2E from the linear analysis. However, the non-linear analysis showed that solar and wind energy investment have a statistically significant inverted U-shaped relationship with CO2E while small hydropower and biofuel energy investment have a statistically significant U-shaped relationship with CO2E. Thus, solar and wind energy investment reduce CO2E only after attaining a threshold of investment with the threshold value of solar and wind energy investment being 28.125 (representing about $1.64 trillion) and 26.308 (representing about $266.3 billion), respectively. Also, the threshold value of small hydropower and biofuel energy investment beyond which they increase CO2E are 20.071 (representing about $520.9 million) and 22.8 (representing about $7.978 billion), respectively. Finally, solar, wind and geothermal energy investment indirectly reduce CO2E by increasing green economic growth while the reverse exists for biofuel energy investment. Solar and wind energy investment is, therefore, recommended for attaining carbon neutrality targets. Policymakers should incentivize production tax credits, investment tax credits, feed-in-tariffs, subsidies, affordable loans, and research and development to drive solar and wind energy investment.","container-title":"Energy Reports","DOI":"10.1016/j.egyr.2023.10.043","ISSN":"23524847","journalAbbreviation":"Energy Reports","language":"en","page":"3787-3799","source":"DOI.org (Crossref)","title":"Modelling the impact of renewable energy investment on global carbon dioxide emissions","volume":"10","author":[{"family":"Appiah-Otoo","given":"Isaac"},{"family":"Chen","given":"Xudong"},{"family":"Kursah","given":"Matthew Biniyam"}],"issued":{"date-parts":[["2023",11]]}}}],"schema":"https://github.com/citation-style-language/schema/raw/master/csl-citation.json"}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Appiah-Otoo, Chen and Kursah (2023)</w:t>
      </w:r>
      <w:r w:rsidRPr="00F9173A">
        <w:rPr>
          <w:sz w:val="20"/>
          <w:szCs w:val="20"/>
          <w:lang w:val="en-IN" w:eastAsia="en-US"/>
        </w:rPr>
        <w:fldChar w:fldCharType="end"/>
      </w:r>
      <w:r w:rsidRPr="00F9173A">
        <w:rPr>
          <w:sz w:val="20"/>
          <w:szCs w:val="20"/>
          <w:lang w:val="en-IN" w:eastAsia="en-US"/>
        </w:rPr>
        <w:t xml:space="preserve"> </w:t>
      </w:r>
      <w:r w:rsidR="00F9173A" w:rsidRPr="00F9173A">
        <w:rPr>
          <w:sz w:val="20"/>
          <w:szCs w:val="20"/>
          <w:lang w:val="en-IN" w:eastAsia="en-US"/>
        </w:rPr>
        <w:t>analys</w:t>
      </w:r>
      <w:r w:rsidRPr="00F9173A">
        <w:rPr>
          <w:sz w:val="20"/>
          <w:szCs w:val="20"/>
          <w:lang w:val="en-IN" w:eastAsia="en-US"/>
        </w:rPr>
        <w:t>ed both linear and non-linear connections between renewable energy investment and CO2 emissions on a global level. The data included quarterly time series of global data ranging from 2004 to 2018, and renewable investments were classified into solar, wind, small hydropower, geothermal, biomass, marine and biofuel investment. The authors used Ordinary Least Squares regression method, but they transformed variables into logarithmic terms first. Linear models showed that renewable investment was positively correlated with CO2 emissions. Nevertheless, nonlinear analysis revealed threshold effects for different technologies, particularly for solar and wind investments.</w:t>
      </w:r>
    </w:p>
    <w:p w14:paraId="36569642" w14:textId="10197D6E" w:rsidR="009054E2" w:rsidRDefault="009054E2" w:rsidP="009054E2">
      <w:pPr>
        <w:rPr>
          <w:sz w:val="20"/>
          <w:szCs w:val="20"/>
          <w:lang w:val="en-IN" w:eastAsia="en-US"/>
        </w:rPr>
      </w:pPr>
      <w:r w:rsidRPr="00F9173A">
        <w:rPr>
          <w:sz w:val="20"/>
          <w:szCs w:val="20"/>
          <w:lang w:val="en-IN" w:eastAsia="en-US"/>
        </w:rPr>
        <w:t xml:space="preserve">The machine learning approach has also been applied to the analysis of the determinants of investments and production of renewable energy. In their study, </w:t>
      </w:r>
      <w:r w:rsidRPr="00F9173A">
        <w:rPr>
          <w:sz w:val="20"/>
          <w:szCs w:val="20"/>
          <w:lang w:val="en-IN" w:eastAsia="en-US"/>
        </w:rPr>
        <w:fldChar w:fldCharType="begin"/>
      </w:r>
      <w:r w:rsidR="0027334F">
        <w:rPr>
          <w:sz w:val="20"/>
          <w:szCs w:val="20"/>
          <w:lang w:val="en-IN" w:eastAsia="en-US"/>
        </w:rPr>
        <w:instrText xml:space="preserve"> ADDIN ZOTERO_ITEM CSL_CITATION {"citationID":"dFuSQ40L","properties":{"unsorted":false,"formattedCitation":"(Hosein {\\i{}et al.}, 2020)","plainCitation":"(Hosein et al., 2020)","dontUpdate":true,"noteIndex":0},"citationItems":[{"id":101,"uris":["http://zotero.org/users/local/juvPLahh/items/L4MMMF7I"],"itemData":{"id":101,"type":"article-journal","abstract":"In order to combat climate change, many countries have promised to bolster Renewable Energy (RE) production following the Paris Agreement with some countries even setting a goal of 100% by 2025. The reasons are twofold: capitalizing on carbon emissions whilst concomitantly beneﬁting from reduced fossil fuel dependence and the ﬂuctuations associated with imported fuel prices. However, numerous countries have not yet made preparations to increase RE production and integration. In many instances, this reluctance seems to be predominant in energy-rich countries, which typically provide heavy subsidies on electricity prices. With such subsidies, there is no incentive to invest in RE since the time taken to recoup such investments would be signiﬁcant. We develop a model using a Neural Network (NN) regression algorithm to quantitatively illustrate this conjecture and also use it to predict the reduction in electricity price subsidies required to achieve a speciﬁed RE production target. The model was trained using 10 leading metrics from 53 countries. It is envisaged that policymakers and researchers can use this model to plan future RE targets to satisfy the Nationally Determined Contributions (NDC) and determine the required electricity subsidy reductions. The model can easily be modiﬁed to predict what changes in other country factors can be made to stimulate growth in RE production. We illustrate this approach with a sample use case.","container-title":"Energies","DOI":"10.3390/en13174494","ISSN":"1996-1073","issue":"17","journalAbbreviation":"Energies","language":"en","page":"4494","source":"DOI.org (Crossref)","title":"Predicting Renewable Energy Investment Using Machine Learning","volume":"13","author":[{"family":"Hosein","given":"Govinda"},{"family":"Hosein","given":"Patrick"},{"family":"Bahadoorsingh","given":"Sanjay"},{"family":"Martinez","given":"Robert"},{"family":"Sharma","given":"Chandrabhan"}],"issued":{"date-parts":[["2020",8,31]]}}}],"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Hosein et al. (2020)</w:t>
      </w:r>
      <w:r w:rsidRPr="00F9173A">
        <w:rPr>
          <w:sz w:val="20"/>
          <w:szCs w:val="20"/>
          <w:lang w:val="en-IN" w:eastAsia="en-US"/>
        </w:rPr>
        <w:fldChar w:fldCharType="end"/>
      </w:r>
      <w:r w:rsidR="00A94099" w:rsidRPr="00F9173A">
        <w:rPr>
          <w:sz w:val="20"/>
          <w:szCs w:val="20"/>
          <w:lang w:val="en-IN" w:eastAsia="en-US"/>
        </w:rPr>
        <w:t xml:space="preserve"> </w:t>
      </w:r>
      <w:r w:rsidRPr="00F9173A">
        <w:rPr>
          <w:sz w:val="20"/>
          <w:szCs w:val="20"/>
          <w:lang w:val="en-IN" w:eastAsia="en-US"/>
        </w:rPr>
        <w:t>employed a neural network regression model based on 10 features from 53 countries. The inputs for the model were electricity price, population growth, economic metrics, and carbon emission. The authors used the neural network regression model to make predictions about renewable energy production and estimate how much of an electricity price subsidy would be necessary to achieve renewable energy objectives.</w:t>
      </w:r>
    </w:p>
    <w:p w14:paraId="3CED9417" w14:textId="04AD40F3" w:rsidR="001C4C15" w:rsidRPr="00F9173A" w:rsidRDefault="001C4C15" w:rsidP="009054E2">
      <w:pPr>
        <w:rPr>
          <w:sz w:val="20"/>
          <w:szCs w:val="20"/>
          <w:lang w:val="en-IN" w:eastAsia="en-US"/>
        </w:rPr>
      </w:pPr>
      <w:r w:rsidRPr="001C4C15">
        <w:rPr>
          <w:sz w:val="20"/>
          <w:szCs w:val="20"/>
          <w:lang w:val="en-IN" w:eastAsia="en-US"/>
        </w:rPr>
        <w:t>In terms of Data Analytics, investments in renewable energy could be seen as an explanatory variable to predict the carbon intensity of electricity production. Investment in technology-specific variables, such as investments in solar, wind, hydropower and bioenergy, could be added to the variables measuring electricity production to see whether the inclusion of these variables leads to better predictions. The lagged versions of these variables would also need to be included since any investment made one year ago would not necessarily have an impact on electricity production and carbon intensity until some time in the future.</w:t>
      </w:r>
    </w:p>
    <w:p w14:paraId="689A9CBF" w14:textId="43E7BC50" w:rsidR="00226858" w:rsidRDefault="00226858" w:rsidP="001C4C15">
      <w:pPr>
        <w:pStyle w:val="Heading2"/>
      </w:pPr>
      <w:bookmarkStart w:id="7" w:name="_Toc235989868"/>
      <w:r>
        <w:t xml:space="preserve">2.3. </w:t>
      </w:r>
      <w:r w:rsidR="00732142">
        <w:t>Electricity-Generation Technologies as Predictors of Carbon Intensity</w:t>
      </w:r>
      <w:bookmarkEnd w:id="7"/>
    </w:p>
    <w:p w14:paraId="41DCD1EE" w14:textId="52701F6F" w:rsidR="00226858" w:rsidRDefault="00E721E3" w:rsidP="00226858">
      <w:pPr>
        <w:rPr>
          <w:sz w:val="20"/>
          <w:szCs w:val="20"/>
          <w:lang w:val="en-IN" w:eastAsia="en-US"/>
        </w:rPr>
      </w:pPr>
      <w:r w:rsidRPr="00E721E3">
        <w:rPr>
          <w:sz w:val="20"/>
          <w:szCs w:val="20"/>
          <w:lang w:val="en-IN" w:eastAsia="en-US"/>
        </w:rPr>
        <w:t>Prior research has employed various Data Analytics techniques to analyse the impact that electricity-generation technology has on carbon emission and carbon intensity. The data analytics techniques used include feature selection, regression model, autoregressive forecast, decomposition, and electricity system simulation. Reviewing these techniques is important since it enables one to select the appropriate variables, modelling technique, and evaluation process.</w:t>
      </w:r>
      <w:r w:rsidR="00226858" w:rsidRPr="00F9173A">
        <w:rPr>
          <w:sz w:val="20"/>
          <w:szCs w:val="20"/>
          <w:lang w:val="en-IN" w:eastAsia="en-US"/>
        </w:rPr>
        <w:t>.</w:t>
      </w:r>
    </w:p>
    <w:p w14:paraId="5033FAC2" w14:textId="1ADD8DC5" w:rsidR="00E10D67" w:rsidRPr="00F9173A" w:rsidRDefault="00E10D67" w:rsidP="00226858">
      <w:pPr>
        <w:rPr>
          <w:sz w:val="20"/>
          <w:szCs w:val="20"/>
          <w:lang w:val="en-IN" w:eastAsia="en-US"/>
        </w:rPr>
      </w:pPr>
      <w:r w:rsidRPr="002440F2">
        <w:rPr>
          <w:sz w:val="20"/>
          <w:szCs w:val="20"/>
          <w:lang w:val="en-IN" w:eastAsia="en-US"/>
        </w:rPr>
        <w:t xml:space="preserve">From the Data Analytics perspective, the use of many electricity generation variables may cause problems associated with the selection of features and the increase </w:t>
      </w:r>
      <w:r>
        <w:rPr>
          <w:sz w:val="20"/>
          <w:szCs w:val="20"/>
          <w:lang w:val="en-IN" w:eastAsia="en-US"/>
        </w:rPr>
        <w:t xml:space="preserve">in the complexity of the model. </w:t>
      </w:r>
      <w:r>
        <w:rPr>
          <w:sz w:val="20"/>
          <w:szCs w:val="20"/>
          <w:lang w:val="en-IN" w:eastAsia="en-US"/>
        </w:rPr>
        <w:fldChar w:fldCharType="begin"/>
      </w:r>
      <w:r w:rsidR="0027334F">
        <w:rPr>
          <w:sz w:val="20"/>
          <w:szCs w:val="20"/>
          <w:lang w:val="en-IN" w:eastAsia="en-US"/>
        </w:rPr>
        <w:instrText xml:space="preserve"> ADDIN ZOTERO_ITEM CSL_CITATION {"citationID":"eQXdOYM9","properties":{"unsorted":false,"formattedCitation":"(Leerbeck {\\i{}et al.}, 2020)","plainCitation":"(Leerbeck et al., 2020)","dontUpdate":true,"noteIndex":0},"citationItems":[{"id":113,"uris":["http://zotero.org/users/local/juvPLahh/items/PF2EKT2Q"],"itemData":{"id":113,"type":"article","abstract":"A machine learning algorithm is developed to forecast the CO2 emission intensities in electrical power grids in the Danish bidding zone DK2, distinguishing between average and marginal emissions. The analysis was done on data set comprised of a large number (473) of explanatory variables such as power production, demand, import, weather conditions etc. collected from selected neighboring zones. The number was reduced to less than 30 using both LASSO (a penalized linear regression analysis) and a forward feature selection algorithm. Three linear regression models that capture diﬀerent aspects of the data (non-linearities and coupling of variables etc.) were created and combined into a ﬁnal model using Softmax weighted average. Cross-validation is performed for debiasing and autoregressive moving average model (ARIMA) implemented to correct the residuals, making the ﬁnal model the variant with exogenous inputs (ARIMAX). The forecasts with the corresponding uncertainties are given for two time horizons, below and above six hours. Marginal emissions came up highly independent of any conditions in the DK2 zone, suggesting that the marginal generators are located in the neighbouring zones.","DOI":"10.48550/arXiv.2003.05740","language":"en","note":"arXiv:2003.05740 [eess.SP]","number":"arXiv:2003.05740","publisher":"arXiv","source":"arXiv.org","title":"Short-Term Forecasting of CO2 Emission Intensity in Power Grids by Machine Learning","URL":"http://arxiv.org/abs/2003.05740","author":[{"family":"Leerbeck","given":"Kenneth"},{"family":"Bacher","given":"Peder"},{"family":"Junker","given":"Rune"},{"family":"Goranović","given":"Goran"},{"family":"Corradi","given":"Olivier"},{"family":"Ebrahimy","given":"Razgar"},{"family":"Tveit","given":"Anna"},{"family":"Madsen","given":"Henrik"}],"accessed":{"date-parts":[["2026",7,23]]},"issued":{"date-parts":[["2020",3,10]]}}}],"schema":"https://github.com/citation-style-language/schema/raw/master/csl-citation.json"} </w:instrText>
      </w:r>
      <w:r>
        <w:rPr>
          <w:sz w:val="20"/>
          <w:szCs w:val="20"/>
          <w:lang w:val="en-IN" w:eastAsia="en-US"/>
        </w:rPr>
        <w:fldChar w:fldCharType="separate"/>
      </w:r>
      <w:r w:rsidRPr="002440F2">
        <w:rPr>
          <w:rFonts w:ascii="Aptos" w:hAnsi="Aptos" w:cs="Times New Roman"/>
          <w:sz w:val="20"/>
        </w:rPr>
        <w:t xml:space="preserve">Leerbeck </w:t>
      </w:r>
      <w:r w:rsidRPr="002440F2">
        <w:rPr>
          <w:rFonts w:ascii="Aptos" w:hAnsi="Aptos" w:cs="Times New Roman"/>
          <w:i/>
          <w:iCs/>
          <w:sz w:val="20"/>
        </w:rPr>
        <w:t>et al.</w:t>
      </w:r>
      <w:r w:rsidRPr="002440F2">
        <w:rPr>
          <w:rFonts w:ascii="Aptos" w:hAnsi="Aptos" w:cs="Times New Roman"/>
          <w:sz w:val="20"/>
        </w:rPr>
        <w:t xml:space="preserve"> </w:t>
      </w:r>
      <w:r>
        <w:rPr>
          <w:rFonts w:ascii="Aptos" w:hAnsi="Aptos" w:cs="Times New Roman"/>
          <w:sz w:val="20"/>
        </w:rPr>
        <w:t>(</w:t>
      </w:r>
      <w:r w:rsidRPr="002440F2">
        <w:rPr>
          <w:rFonts w:ascii="Aptos" w:hAnsi="Aptos" w:cs="Times New Roman"/>
          <w:sz w:val="20"/>
        </w:rPr>
        <w:t>2020)</w:t>
      </w:r>
      <w:r>
        <w:rPr>
          <w:sz w:val="20"/>
          <w:szCs w:val="20"/>
          <w:lang w:val="en-IN" w:eastAsia="en-US"/>
        </w:rPr>
        <w:fldChar w:fldCharType="end"/>
      </w:r>
      <w:r>
        <w:rPr>
          <w:sz w:val="20"/>
          <w:szCs w:val="20"/>
          <w:lang w:val="en-IN" w:eastAsia="en-US"/>
        </w:rPr>
        <w:t xml:space="preserve"> </w:t>
      </w:r>
      <w:r w:rsidRPr="002440F2">
        <w:rPr>
          <w:sz w:val="20"/>
          <w:szCs w:val="20"/>
          <w:lang w:val="en-IN" w:eastAsia="en-US"/>
        </w:rPr>
        <w:t>developed a machine-learning method for the prediction of the average and marginal CO</w:t>
      </w:r>
      <w:r w:rsidRPr="002440F2">
        <w:rPr>
          <w:rFonts w:ascii="Cambria Math" w:hAnsi="Cambria Math" w:cs="Cambria Math"/>
          <w:sz w:val="20"/>
          <w:szCs w:val="20"/>
          <w:lang w:val="en-IN" w:eastAsia="en-US"/>
        </w:rPr>
        <w:t>₂</w:t>
      </w:r>
      <w:r w:rsidRPr="002440F2">
        <w:rPr>
          <w:sz w:val="20"/>
          <w:szCs w:val="20"/>
          <w:lang w:val="en-IN" w:eastAsia="en-US"/>
        </w:rPr>
        <w:t xml:space="preserve"> emission intensity in a region of the Danish electricity grid. In their </w:t>
      </w:r>
      <w:r>
        <w:rPr>
          <w:sz w:val="20"/>
          <w:szCs w:val="20"/>
          <w:lang w:val="en-IN" w:eastAsia="en-US"/>
        </w:rPr>
        <w:t>dataset</w:t>
      </w:r>
      <w:r w:rsidRPr="002440F2">
        <w:rPr>
          <w:sz w:val="20"/>
          <w:szCs w:val="20"/>
          <w:lang w:val="en-IN" w:eastAsia="en-US"/>
        </w:rPr>
        <w:t>, there were hundreds of explanatory variables related to the electricity production, demand, electricity imports and weather conditions. The researchers employed the Least Absolute Shrinkage and Selection Operator (LASSO) regression as well as forward feature selection in order to decrease the number of predictors prior to the building of the model. The application of cross-validation and autoregressive modeling was used by the researchers in order to consider the time-dependent structure and forecast error. The results of the study have shown that the carbon-intensity prediction should not be only based on the inclusion of all the electricity generation variables into the model; systematic feature selection should be performed.</w:t>
      </w:r>
    </w:p>
    <w:p w14:paraId="77EDEAA3" w14:textId="0D5F40F1" w:rsidR="006315FD" w:rsidRPr="00F9173A" w:rsidRDefault="006315FD" w:rsidP="00226858">
      <w:pPr>
        <w:rPr>
          <w:sz w:val="20"/>
          <w:szCs w:val="20"/>
          <w:lang w:val="en-IN" w:eastAsia="en-US"/>
        </w:rPr>
      </w:pPr>
      <w:r w:rsidRPr="00F9173A">
        <w:rPr>
          <w:sz w:val="20"/>
          <w:szCs w:val="20"/>
          <w:lang w:val="en-IN" w:eastAsia="en-US"/>
        </w:rPr>
        <w:fldChar w:fldCharType="begin"/>
      </w:r>
      <w:r w:rsidR="0027334F">
        <w:rPr>
          <w:sz w:val="20"/>
          <w:szCs w:val="20"/>
          <w:lang w:val="en-IN" w:eastAsia="en-US"/>
        </w:rPr>
        <w:instrText xml:space="preserve"> ADDIN ZOTERO_ITEM CSL_CITATION {"citationID":"uGQPmj2O","properties":{"unsorted":false,"formattedCitation":"(Ma, Liu and Zhang, 2022)","plainCitation":"(Ma, Liu and Zhang, 2022)","dontUpdate":true,"noteIndex":0},"citationItems":[{"id":103,"uris":["http://zotero.org/users/local/juvPLahh/items/PMKJXFJB"],"itemData":{"id":103,"type":"article-journal","abstract":"Promoting technological advancements and energy transitions in electricity generation are crucial for achieving carbon reduction goals. Some studies have examined the effectiveness of these measures by analysing the driving forces of “aggregate carbon intensity” (ACI) change. However, only a few studies have considered the effect of the installed capacity mix and capacity factor. Moreover, such analysis has never been applied at China’s provincial level after 2015. To alleviate this gap, our study applied a temporal and multi-regional spatial IDA-LMDI model to analyse the driving factors of ACI changes and disparities among the provinces of China from 2005 to 2019. The model notably includes the effects of the installed capacity mix, thermal capacity factor, and overall capacity factor. The analysis revealed that the decline in China’s ACI was diminished after 2015, while an ACI rebound was identiﬁed in ﬁve provinces. The changes in the ACI from 2015 to 2019 were mainly driven by the effect of the installed capacity mix rather than by the thermal efﬁciency and thermal capacity factor. The overall capacity factor was the only factor with a negative impact on the ACI change. We also found that its combined effect with the thermal capacity factor on increasing ACI can offset the effect of the installed capacity mix by reducing the ACI in provinces with signiﬁcant additions of renewable energy installed capacity. The analysis of the inﬂuencing factors on the provincial ACI differences revealed that the share of hydropower installed capacity was signiﬁcant. Moreover, the thermal efﬁciency and thermal capacity factor both played key roles in the ACI disparities in northeast, northwest, and central China. Overall, this study paves the way for data-driven measures of China’s carbon peak and carbon neutrality goals by improving the capacity factor of wind and solar power, leveraging the critical impact of hydropower, and narrowing the differences in the thermal power sector among provinces.","container-title":"International Journal of Environmental Research and Public Health","DOI":"10.3390/ijerph19063471","ISSN":"1660-4601","issue":"6","journalAbbreviation":"IJERPH","language":"en","page":"3471","source":"DOI.org (Crossref)","title":"Examining the Effects of Installed Capacity Mix and Capacity Factor on Aggregate Carbon Intensity for Electricity Generation in China","volume":"19","author":[{"family":"Ma","given":"Shiping"},{"family":"Liu","given":"Qianqian"},{"family":"Zhang","given":"Wenzhong"}],"issued":{"date-parts":[["2022",3,15]]}}}],"schema":"https://github.com/citation-style-language/schema/raw/master/csl-citation.json"}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Ma, Liu and Zhang (2022)</w:t>
      </w:r>
      <w:r w:rsidRPr="00F9173A">
        <w:rPr>
          <w:sz w:val="20"/>
          <w:szCs w:val="20"/>
          <w:lang w:val="en-IN" w:eastAsia="en-US"/>
        </w:rPr>
        <w:fldChar w:fldCharType="end"/>
      </w:r>
      <w:r w:rsidRPr="00F9173A">
        <w:rPr>
          <w:sz w:val="20"/>
          <w:szCs w:val="20"/>
          <w:lang w:val="en-IN" w:eastAsia="en-US"/>
        </w:rPr>
        <w:t xml:space="preserve"> </w:t>
      </w:r>
      <w:r w:rsidR="00E721E3" w:rsidRPr="00E721E3">
        <w:rPr>
          <w:sz w:val="20"/>
          <w:szCs w:val="20"/>
          <w:lang w:val="en-IN" w:eastAsia="en-US"/>
        </w:rPr>
        <w:t xml:space="preserve">made use of data that came from China at the province level and covered the years from 2005 to 2019. Instead of using a predictive machine learning algorithm, the researchers </w:t>
      </w:r>
      <w:r w:rsidR="00E721E3" w:rsidRPr="00E721E3">
        <w:rPr>
          <w:sz w:val="20"/>
          <w:szCs w:val="20"/>
          <w:lang w:val="en-IN" w:eastAsia="en-US"/>
        </w:rPr>
        <w:lastRenderedPageBreak/>
        <w:t>utilized temporal and multi-regional Index Decomposition Analysis with the Logarithmic Mean Divisia Index approach. In this way, the researchers were able to decompose the impact of installed-capacity structure and capacity factors on electricity carbon intensity changes.</w:t>
      </w:r>
    </w:p>
    <w:p w14:paraId="6159205F" w14:textId="69D4D7CF" w:rsidR="008452A3" w:rsidRDefault="00D433E9" w:rsidP="00226858">
      <w:pPr>
        <w:rPr>
          <w:sz w:val="20"/>
          <w:szCs w:val="20"/>
          <w:lang w:val="en-IN" w:eastAsia="en-US"/>
        </w:rPr>
      </w:pPr>
      <w:r>
        <w:rPr>
          <w:sz w:val="20"/>
          <w:szCs w:val="20"/>
          <w:lang w:val="en-IN" w:eastAsia="en-US"/>
        </w:rPr>
        <w:fldChar w:fldCharType="begin"/>
      </w:r>
      <w:r w:rsidR="0027334F">
        <w:rPr>
          <w:sz w:val="20"/>
          <w:szCs w:val="20"/>
          <w:lang w:val="en-IN" w:eastAsia="en-US"/>
        </w:rPr>
        <w:instrText xml:space="preserve"> ADDIN ZOTERO_ITEM CSL_CITATION {"citationID":"IAericRO","properties":{"unsorted":false,"formattedCitation":"(Kim {\\i{}et al.}, 2020)","plainCitation":"(Kim et al., 2020)","dontUpdate":true,"noteIndex":0},"citationItems":[{"id":107,"uris":["http://zotero.org/users/local/juvPLahh/items/77TGYI26"],"itemData":{"id":107,"type":"article-journal","abstract":"The purpose of this study is to analyze the factors that aﬀect CO2 emissions in the electricity generation sector in 36 OECD countries during the periods 1995–2008 and 2008–2017. This paper utilized Logarithmic Mean Divisia Index method for decomposing CO2 emission into economic activity, electricity intensity that represents demand policy eﬀort, the share of thermal generation, the mix of thermal generation, thermal eﬃciency that represent supply policy eﬀorts, and carbon emission coeﬃcient. The results showed that EU nations achieved a higher level of CO2 reduction compared to that of non-EU nations. Regarding the policy factors, the decrease in the share of thermal generation served as the key driver, followed by the decrease in electricity intensity via improvements in energy consumption eﬃciency. Most non-EU countries such as South Korea, Chile, Mexico, Turkey, and Japan demonstrated an increasing trend of carbon emission during this period, which could be attributed to the changes in the generation mix on the supply side or the electricity intensity on the demand side. Increase in electricity price was conﬁrmed to cause lower electricity intensity. South Korea had the largest amount of carbon emission among OECD countries and maintained one of the lowest electricity retail prices among OECD countries.","container-title":"Energies","DOI":"10.3390/en13143522","ISSN":"1996-1073","issue":"14","journalAbbreviation":"Energies","language":"en","page":"3522","source":"DOI.org (Crossref)","title":"Decomposition Analysis of CO2 Emission from Electricity Generation: Comparison of OECD Countries before and after the Financial Crisis","title-short":"Decomposition Analysis of CO2 Emission from Electricity Generation","volume":"13","author":[{"family":"Kim","given":"Haein"},{"family":"Kim","given":"Minsang"},{"family":"Kim","given":"Hyunggeun"},{"family":"Park","given":"Sangkyu"}],"issued":{"date-parts":[["2020",7,8]]}}}],"schema":"https://github.com/citation-style-language/schema/raw/master/csl-citation.json"} </w:instrText>
      </w:r>
      <w:r>
        <w:rPr>
          <w:sz w:val="20"/>
          <w:szCs w:val="20"/>
          <w:lang w:val="en-IN" w:eastAsia="en-US"/>
        </w:rPr>
        <w:fldChar w:fldCharType="separate"/>
      </w:r>
      <w:r w:rsidRPr="00D433E9">
        <w:rPr>
          <w:rFonts w:ascii="Aptos" w:hAnsi="Aptos" w:cs="Times New Roman"/>
          <w:sz w:val="20"/>
        </w:rPr>
        <w:t xml:space="preserve">Kim </w:t>
      </w:r>
      <w:r w:rsidRPr="00D433E9">
        <w:rPr>
          <w:rFonts w:ascii="Aptos" w:hAnsi="Aptos" w:cs="Times New Roman"/>
          <w:i/>
          <w:iCs/>
          <w:sz w:val="20"/>
        </w:rPr>
        <w:t>et al.</w:t>
      </w:r>
      <w:r w:rsidRPr="00D433E9">
        <w:rPr>
          <w:rFonts w:ascii="Aptos" w:hAnsi="Aptos" w:cs="Times New Roman"/>
          <w:sz w:val="20"/>
        </w:rPr>
        <w:t xml:space="preserve"> </w:t>
      </w:r>
      <w:r>
        <w:rPr>
          <w:rFonts w:ascii="Aptos" w:hAnsi="Aptos" w:cs="Times New Roman"/>
          <w:sz w:val="20"/>
        </w:rPr>
        <w:t>(</w:t>
      </w:r>
      <w:r w:rsidRPr="00D433E9">
        <w:rPr>
          <w:rFonts w:ascii="Aptos" w:hAnsi="Aptos" w:cs="Times New Roman"/>
          <w:sz w:val="20"/>
        </w:rPr>
        <w:t>2020)</w:t>
      </w:r>
      <w:r>
        <w:rPr>
          <w:sz w:val="20"/>
          <w:szCs w:val="20"/>
          <w:lang w:val="en-IN" w:eastAsia="en-US"/>
        </w:rPr>
        <w:fldChar w:fldCharType="end"/>
      </w:r>
      <w:r w:rsidR="000F6AAD" w:rsidRPr="007E3036">
        <w:rPr>
          <w:sz w:val="20"/>
          <w:szCs w:val="20"/>
          <w:lang w:val="en-IN" w:eastAsia="en-US"/>
        </w:rPr>
        <w:t xml:space="preserve"> </w:t>
      </w:r>
      <w:r w:rsidR="009C6147" w:rsidRPr="009C6147">
        <w:rPr>
          <w:sz w:val="20"/>
          <w:szCs w:val="20"/>
          <w:lang w:val="en-IN" w:eastAsia="en-US"/>
        </w:rPr>
        <w:t>conducted the Logarithmic Mean Divisia Index decomposition analysis on data from 36 OECD countries. This analysis resulted in the identification of various factors that contribute to the emissions in the electricity sector, such as economic growth, electricity intensity, thermal generation share, structure of thermal generation, thermal efficiency, and emissions coefficients. While the research was not aimed at prediction but rather explanation of the process, the identified factors can serve as input for a predictive model.</w:t>
      </w:r>
    </w:p>
    <w:p w14:paraId="4E3CBF42" w14:textId="2F68EA16" w:rsidR="008452A3" w:rsidRDefault="008452A3" w:rsidP="00226858">
      <w:pPr>
        <w:rPr>
          <w:sz w:val="20"/>
          <w:szCs w:val="20"/>
          <w:lang w:val="en-IN" w:eastAsia="en-US"/>
        </w:rPr>
      </w:pPr>
      <w:r>
        <w:rPr>
          <w:sz w:val="20"/>
          <w:szCs w:val="20"/>
          <w:lang w:val="en-IN" w:eastAsia="en-US"/>
        </w:rPr>
        <w:fldChar w:fldCharType="begin"/>
      </w:r>
      <w:r w:rsidR="0027334F">
        <w:rPr>
          <w:sz w:val="20"/>
          <w:szCs w:val="20"/>
          <w:lang w:val="en-IN" w:eastAsia="en-US"/>
        </w:rPr>
        <w:instrText xml:space="preserve"> ADDIN ZOTERO_ITEM CSL_CITATION {"citationID":"uZ1boc1l","properties":{"unsorted":false,"formattedCitation":"(Collins {\\i{}et al.}, 2018)","plainCitation":"(Collins et al., 2018)","dontUpdate":true,"noteIndex":0},"citationItems":[{"id":105,"uris":["http://zotero.org/users/local/juvPLahh/items/UTLNXU69"],"itemData":{"id":105,"type":"article-journal","abstract":"Weather-dependent renewable energy resources are playing a key role in decarbonizing electricity. There is a growing body of analysis on the impacts of wind and solar variability on power system operation. Existing studies tend to use a single or typical year of generation data, which overlooks the substantial year-to-year ﬂuctuation in weather, or to only consider variation in the meteorological inputs, which overlooks the complex response of an interconnected power system. Here, we address these gaps by combining detailed continent-wide modeling of Europe’s future power system with 30 years of historical weather data. The most representative single years are 1989 and 2012, but using multiple years reveals a 5-fold increase in Europe’s inter-annual variability of CO2 emissions and total generation costs from 2015 to 2030. We also ﬁnd that several metrics generalize to linear functions of variable renewable penetration: CO2 emissions, curtailment of renewables, wholesale prices, and total system costs.","container-title":"Joule","DOI":"10.1016/j.joule.2018.06.020","ISSN":"25424351","issue":"10","journalAbbreviation":"Joule","language":"en","page":"2076-2090","source":"DOI.org (Crossref)","title":"Impacts of Inter-annual Wind and Solar Variations on the European Power System","volume":"2","author":[{"family":"Collins","given":"Seán"},{"family":"Deane","given":"Paul"},{"family":"Ó Gallachóir","given":"Brian"},{"family":"Pfenninger","given":"Stefan"},{"family":"Staffell","given":"Iain"}],"issued":{"date-parts":[["2018",10]]}}}],"schema":"https://github.com/citation-style-language/schema/raw/master/csl-citation.json"} </w:instrText>
      </w:r>
      <w:r>
        <w:rPr>
          <w:sz w:val="20"/>
          <w:szCs w:val="20"/>
          <w:lang w:val="en-IN" w:eastAsia="en-US"/>
        </w:rPr>
        <w:fldChar w:fldCharType="separate"/>
      </w:r>
      <w:r w:rsidRPr="008452A3">
        <w:rPr>
          <w:rFonts w:ascii="Aptos" w:hAnsi="Aptos" w:cs="Times New Roman"/>
          <w:sz w:val="20"/>
        </w:rPr>
        <w:t xml:space="preserve">Collins </w:t>
      </w:r>
      <w:r w:rsidRPr="008452A3">
        <w:rPr>
          <w:rFonts w:ascii="Aptos" w:hAnsi="Aptos" w:cs="Times New Roman"/>
          <w:i/>
          <w:iCs/>
          <w:sz w:val="20"/>
        </w:rPr>
        <w:t>et al.</w:t>
      </w:r>
      <w:r w:rsidRPr="008452A3">
        <w:rPr>
          <w:rFonts w:ascii="Aptos" w:hAnsi="Aptos" w:cs="Times New Roman"/>
          <w:sz w:val="20"/>
        </w:rPr>
        <w:t xml:space="preserve"> </w:t>
      </w:r>
      <w:r>
        <w:rPr>
          <w:rFonts w:ascii="Aptos" w:hAnsi="Aptos" w:cs="Times New Roman"/>
          <w:sz w:val="20"/>
        </w:rPr>
        <w:t>(</w:t>
      </w:r>
      <w:r w:rsidRPr="008452A3">
        <w:rPr>
          <w:rFonts w:ascii="Aptos" w:hAnsi="Aptos" w:cs="Times New Roman"/>
          <w:sz w:val="20"/>
        </w:rPr>
        <w:t>2018)</w:t>
      </w:r>
      <w:r>
        <w:rPr>
          <w:sz w:val="20"/>
          <w:szCs w:val="20"/>
          <w:lang w:val="en-IN" w:eastAsia="en-US"/>
        </w:rPr>
        <w:fldChar w:fldCharType="end"/>
      </w:r>
      <w:r w:rsidRPr="008452A3">
        <w:rPr>
          <w:sz w:val="20"/>
          <w:szCs w:val="20"/>
          <w:lang w:val="en-IN" w:eastAsia="en-US"/>
        </w:rPr>
        <w:t xml:space="preserve"> </w:t>
      </w:r>
      <w:r w:rsidR="00144AFA" w:rsidRPr="00144AFA">
        <w:rPr>
          <w:sz w:val="20"/>
          <w:szCs w:val="20"/>
          <w:lang w:val="en-IN" w:eastAsia="en-US"/>
        </w:rPr>
        <w:t>implemented a simulation-based analytical method by using a model of an electricity system for all of Europe alongside 30 years of hourly wind and solar weather data. They found that using just one typical weather year in their analysis could overlook the variability in electricity generation through renewable energy sources. In addition, their study found that the impact of wind and solar penetration could differ at different times due to changes in weather and electricity systems' operations.</w:t>
      </w:r>
    </w:p>
    <w:p w14:paraId="66E912D9" w14:textId="6C9C87BF" w:rsidR="00F11AC3" w:rsidRDefault="00F11AC3" w:rsidP="00226858">
      <w:pPr>
        <w:rPr>
          <w:sz w:val="20"/>
          <w:szCs w:val="20"/>
          <w:lang w:val="en-IN" w:eastAsia="en-US"/>
        </w:rPr>
      </w:pPr>
      <w:r w:rsidRPr="00F11AC3">
        <w:rPr>
          <w:sz w:val="20"/>
          <w:szCs w:val="20"/>
          <w:lang w:val="en-IN" w:eastAsia="en-US"/>
        </w:rPr>
        <w:t>Regression and forecasting models can be compared depending on previous research, such as linear regression, random forest regression, gradient boosting models and autoregressive models. A neural network model can also be used, provided there are enough observations in the dataset after analysis. Models will be compared using a temporal approach for training and testing, and the methods will be compared using MAE, RMSE and R-squared coefficients. Methods for feature importance or model interpretability will then be used to justify why certain electricity generation technologies and investments are most significant for the prediction.</w:t>
      </w:r>
    </w:p>
    <w:p w14:paraId="2D257681" w14:textId="473A9EEB" w:rsidR="0C8EE248" w:rsidRDefault="005C2E02" w:rsidP="005C2E02">
      <w:pPr>
        <w:pStyle w:val="Heading2"/>
      </w:pPr>
      <w:bookmarkStart w:id="8" w:name="_Toc235989869"/>
      <w:r>
        <w:t>2.4. Machine-Learning Models for Carbon-Intensity Forecasting</w:t>
      </w:r>
      <w:bookmarkEnd w:id="8"/>
    </w:p>
    <w:p w14:paraId="2EEF896B" w14:textId="1DC7D07F" w:rsidR="008F392D" w:rsidRPr="005D439E" w:rsidRDefault="008F392D" w:rsidP="008F392D">
      <w:pPr>
        <w:rPr>
          <w:sz w:val="20"/>
          <w:szCs w:val="20"/>
          <w:lang w:val="en-IN" w:eastAsia="en-US"/>
        </w:rPr>
      </w:pPr>
      <w:r w:rsidRPr="005D439E">
        <w:rPr>
          <w:sz w:val="20"/>
          <w:szCs w:val="20"/>
          <w:lang w:val="en-IN" w:eastAsia="en-US"/>
        </w:rPr>
        <w:t>The prediction of carbon intensity may be represented as a regression task where past electricity and energy system factors are employed to forecast future values of carbon intensity. Previous research has made use of time series approaches such as autoregressive models. Contemporary research in the field makes use of regularized regression, ensemble learning, artificial neural networks, and hybrid deep learning systems.</w:t>
      </w:r>
    </w:p>
    <w:p w14:paraId="493AFA80" w14:textId="2A14FBE3" w:rsidR="00BC7C54" w:rsidRDefault="005D439E" w:rsidP="00D5342F">
      <w:pPr>
        <w:pStyle w:val="Abstract"/>
        <w:ind w:firstLine="0"/>
        <w:rPr>
          <w:rFonts w:asciiTheme="minorHAnsi" w:eastAsiaTheme="minorEastAsia" w:hAnsiTheme="minorHAnsi" w:cstheme="minorBidi"/>
          <w:b w:val="0"/>
          <w:bCs w:val="0"/>
          <w:sz w:val="20"/>
          <w:szCs w:val="20"/>
          <w:lang w:val="en-IN" w:eastAsia="en-US"/>
        </w:rPr>
      </w:pPr>
      <w:r w:rsidRPr="005D439E">
        <w:rPr>
          <w:rFonts w:asciiTheme="minorHAnsi" w:eastAsiaTheme="minorEastAsia" w:hAnsiTheme="minorHAnsi" w:cstheme="minorBidi"/>
          <w:b w:val="0"/>
          <w:bCs w:val="0"/>
          <w:sz w:val="20"/>
          <w:szCs w:val="20"/>
          <w:lang w:val="en-IN" w:eastAsia="en-US"/>
        </w:rPr>
        <w:t>Further research in this direction was done by</w:t>
      </w:r>
      <w:r w:rsidRPr="005D439E">
        <w:rPr>
          <w:rFonts w:asciiTheme="minorHAnsi" w:eastAsiaTheme="minorEastAsia" w:hAnsiTheme="minorHAnsi" w:cstheme="minorBidi"/>
          <w:b w:val="0"/>
          <w:bCs w:val="0"/>
          <w:sz w:val="20"/>
          <w:szCs w:val="20"/>
          <w:lang w:val="en-IN" w:eastAsia="en-US"/>
        </w:rPr>
        <w:fldChar w:fldCharType="begin"/>
      </w:r>
      <w:r w:rsidR="0027334F">
        <w:rPr>
          <w:rFonts w:asciiTheme="minorHAnsi" w:eastAsiaTheme="minorEastAsia" w:hAnsiTheme="minorHAnsi" w:cstheme="minorBidi"/>
          <w:b w:val="0"/>
          <w:bCs w:val="0"/>
          <w:sz w:val="20"/>
          <w:szCs w:val="20"/>
          <w:lang w:val="en-IN" w:eastAsia="en-US"/>
        </w:rPr>
        <w:instrText xml:space="preserve"> ADDIN ZOTERO_ITEM CSL_CITATION {"citationID":"hbfUrhps","properties":{"unsorted":false,"formattedCitation":"(Maji, Shenoy and Sitaraman, 2022)","plainCitation":"(Maji, Shenoy and Sitaraman, 2022)","dontUpdate":true,"noteIndex":0},"citationItems":[{"id":109,"uris":["http://zotero.org/users/local/juvPLahh/items/CJKTVJ3G"],"itemData":{"id":109,"type":"paper-conference","abstract":"The ever-increasing demand for energy is resulting in considerable carbon emissions from the electricity grid. In recent years, there has been growing attention on demand-side optimizations to reduce carbon emissions from electricity usage. A vital component of these optimizations is short-term forecasting of the carbon intensity of the grid-supplied electricity. Many recent forecasting techniques focus on day-ahead forecasts, but obtaining such forecasts for longer periods, such as multiple days, while useful, has not gotten much attention. In this paper, we present CarbonCast, a machine-learningbased hierarchical approach that provides multi-day forecasts of the grid’s carbon intensity. CarbonCast uses neural networks to first generate production forecasts for all the electricity-generating sources. It then uses a hybrid CNN-LSTM approach to combine these first-tier forecasts with historical carbon intensity data and weather forecasts to generate a carbon intensity forecast for up to four days. Our results show that such a hierarchical design improves the robustness of the predictions against the uncertainty associated with a longer multi-day forecasting period. We also analyze which factors most influence the carbon intensity forecasts of any region with a specific mixture of electricity-generating sources. We show that CarbonCast’s 4-day forecasts have a MAPE of 4.80–13.93% across six geographically distributed regions while outperforming state-of-the-art methods. Importantly, CarbonCast is the first opensourced tool for multi-day carbon intensity forecasts where the code and data are freely available to the research community.","container-title":"Proceedings of the 9th ACM International Conference on Systems for Energy-Efficient Buildings, Cities, and Transportation","DOI":"10.1145/3563357.3564079","event-title":"BuildSys '22: The 9th ACM International Conference on Systems for Energy-Efficient Buildings, Cities, and Transportation","ISBN":"978-1-4503-9890-9","language":"en","page":"198-207","publisher":"ACM","publisher-place":"Boston Massachusetts","source":"DOI.org (Crossref)","title":"CarbonCast: multi-day forecasting of grid carbon intensity","title-short":"CarbonCast","URL":"https://dl.acm.org/doi/10.1145/3563357.3564079","author":[{"family":"Maji","given":"Diptyaroop"},{"family":"Shenoy","given":"Prashant"},{"family":"Sitaraman","given":"Ramesh K."}],"accessed":{"date-parts":[["2026",7,23]]},"issued":{"date-parts":[["2022",11,9]]}}}],"schema":"https://github.com/citation-style-language/schema/raw/master/csl-citation.json"} </w:instrText>
      </w:r>
      <w:r w:rsidRPr="005D439E">
        <w:rPr>
          <w:rFonts w:asciiTheme="minorHAnsi" w:eastAsiaTheme="minorEastAsia" w:hAnsiTheme="minorHAnsi" w:cstheme="minorBidi"/>
          <w:b w:val="0"/>
          <w:bCs w:val="0"/>
          <w:sz w:val="20"/>
          <w:szCs w:val="20"/>
          <w:lang w:val="en-IN" w:eastAsia="en-US"/>
        </w:rPr>
        <w:fldChar w:fldCharType="separate"/>
      </w:r>
      <w:r w:rsidRPr="005D439E">
        <w:rPr>
          <w:rFonts w:asciiTheme="minorHAnsi" w:eastAsiaTheme="minorEastAsia" w:hAnsiTheme="minorHAnsi" w:cstheme="minorBidi"/>
          <w:b w:val="0"/>
          <w:bCs w:val="0"/>
          <w:sz w:val="20"/>
          <w:szCs w:val="20"/>
          <w:lang w:val="en-IN" w:eastAsia="en-US"/>
        </w:rPr>
        <w:t xml:space="preserve"> Maji, Shenoy and Sitaraman (2022)</w:t>
      </w:r>
      <w:r w:rsidRPr="005D439E">
        <w:rPr>
          <w:rFonts w:asciiTheme="minorHAnsi" w:eastAsiaTheme="minorEastAsia" w:hAnsiTheme="minorHAnsi" w:cstheme="minorBidi"/>
          <w:b w:val="0"/>
          <w:bCs w:val="0"/>
          <w:sz w:val="20"/>
          <w:szCs w:val="20"/>
          <w:lang w:val="en-IN" w:eastAsia="en-US"/>
        </w:rPr>
        <w:fldChar w:fldCharType="end"/>
      </w:r>
      <w:r w:rsidRPr="005D439E">
        <w:rPr>
          <w:rFonts w:asciiTheme="minorHAnsi" w:eastAsiaTheme="minorEastAsia" w:hAnsiTheme="minorHAnsi" w:cstheme="minorBidi"/>
          <w:b w:val="0"/>
          <w:bCs w:val="0"/>
          <w:sz w:val="20"/>
          <w:szCs w:val="20"/>
          <w:lang w:val="en-IN" w:eastAsia="en-US"/>
        </w:rPr>
        <w:t>, who developed a hierarchical machine learning system named CarbonCast, able to predict electricity grid carbon intensity up to 96 hours ahead. The first step of the system was to use neural networks to predict the production of different energy sources. In the second step, a Convolutional Neural Network and LSTM hybrid model was used to combine predictions of source production, historic carbon intensity, and weather predictions. In six geographically scattered regions, four-day MAPE for this model varied between 4.80% and 13.93%.</w:t>
      </w:r>
    </w:p>
    <w:p w14:paraId="3C589D74" w14:textId="6197D2F3" w:rsidR="005022C1" w:rsidRDefault="005022C1" w:rsidP="00D5342F">
      <w:pPr>
        <w:pStyle w:val="Abstract"/>
        <w:ind w:firstLine="0"/>
        <w:rPr>
          <w:rFonts w:asciiTheme="minorHAnsi" w:eastAsiaTheme="minorEastAsia" w:hAnsiTheme="minorHAnsi" w:cstheme="minorBidi"/>
          <w:b w:val="0"/>
          <w:bCs w:val="0"/>
          <w:sz w:val="20"/>
          <w:szCs w:val="20"/>
          <w:lang w:val="en-IN" w:eastAsia="en-US"/>
        </w:rPr>
      </w:pPr>
      <w:r w:rsidRPr="005022C1">
        <w:rPr>
          <w:rFonts w:asciiTheme="minorHAnsi" w:eastAsiaTheme="minorEastAsia" w:hAnsiTheme="minorHAnsi" w:cstheme="minorBidi"/>
          <w:b w:val="0"/>
          <w:bCs w:val="0"/>
          <w:sz w:val="20"/>
          <w:szCs w:val="20"/>
          <w:lang w:val="en-IN" w:eastAsia="en-US"/>
        </w:rPr>
        <w:t xml:space="preserve">This is clearly demonstrated in CarbonCast, which shows how hierarchical and hybrid </w:t>
      </w:r>
      <w:r>
        <w:rPr>
          <w:rFonts w:asciiTheme="minorHAnsi" w:eastAsiaTheme="minorEastAsia" w:hAnsiTheme="minorHAnsi" w:cstheme="minorBidi"/>
          <w:b w:val="0"/>
          <w:bCs w:val="0"/>
          <w:sz w:val="20"/>
          <w:szCs w:val="20"/>
          <w:lang w:val="en-IN" w:eastAsia="en-US"/>
        </w:rPr>
        <w:t>modelling</w:t>
      </w:r>
      <w:r w:rsidRPr="005022C1">
        <w:rPr>
          <w:rFonts w:asciiTheme="minorHAnsi" w:eastAsiaTheme="minorEastAsia" w:hAnsiTheme="minorHAnsi" w:cstheme="minorBidi"/>
          <w:b w:val="0"/>
          <w:bCs w:val="0"/>
          <w:sz w:val="20"/>
          <w:szCs w:val="20"/>
          <w:lang w:val="en-IN" w:eastAsia="en-US"/>
        </w:rPr>
        <w:t xml:space="preserve"> can integrate multiple data sources along with temporal dependencies. But in this case, the complexity of the model is backed by huge amounts of data on an hourly basis. In the case of a country-year data set having data on an annual basis, there will not be sufficient sequential data for the complex CNN-LSTM framework.</w:t>
      </w:r>
    </w:p>
    <w:p w14:paraId="18849C21" w14:textId="7835B075" w:rsidR="004D1A1E" w:rsidRDefault="004D1A1E" w:rsidP="00D5342F">
      <w:pPr>
        <w:pStyle w:val="Abstract"/>
        <w:ind w:firstLine="0"/>
        <w:rPr>
          <w:rFonts w:asciiTheme="minorHAnsi" w:eastAsiaTheme="minorEastAsia" w:hAnsiTheme="minorHAnsi" w:cstheme="minorBidi"/>
          <w:b w:val="0"/>
          <w:bCs w:val="0"/>
          <w:sz w:val="20"/>
          <w:szCs w:val="20"/>
          <w:lang w:val="en-IN" w:eastAsia="en-US"/>
        </w:rPr>
      </w:pPr>
      <w:r w:rsidRPr="004D1A1E">
        <w:rPr>
          <w:rFonts w:asciiTheme="minorHAnsi" w:eastAsiaTheme="minorEastAsia" w:hAnsiTheme="minorHAnsi" w:cstheme="minorBidi"/>
          <w:b w:val="0"/>
          <w:bCs w:val="0"/>
          <w:sz w:val="20"/>
          <w:szCs w:val="20"/>
          <w:lang w:val="en-IN" w:eastAsia="en-US"/>
        </w:rPr>
        <w:t>Two strategies for predicting carbon intensity were evaluated by</w:t>
      </w:r>
      <w:r w:rsidR="00D01B41">
        <w:rPr>
          <w:rFonts w:asciiTheme="minorHAnsi" w:eastAsiaTheme="minorEastAsia" w:hAnsiTheme="minorHAnsi" w:cstheme="minorBidi"/>
          <w:b w:val="0"/>
          <w:bCs w:val="0"/>
          <w:sz w:val="20"/>
          <w:szCs w:val="20"/>
          <w:lang w:val="en-IN" w:eastAsia="en-US"/>
        </w:rPr>
        <w:t xml:space="preserve"> </w:t>
      </w:r>
      <w:r w:rsidR="00D01B41" w:rsidRPr="00D01B41">
        <w:rPr>
          <w:rFonts w:asciiTheme="minorHAnsi" w:eastAsiaTheme="minorEastAsia" w:hAnsiTheme="minorHAnsi" w:cstheme="minorBidi"/>
          <w:b w:val="0"/>
          <w:bCs w:val="0"/>
          <w:sz w:val="20"/>
          <w:szCs w:val="20"/>
          <w:lang w:val="en-IN" w:eastAsia="en-US"/>
        </w:rPr>
        <w:fldChar w:fldCharType="begin"/>
      </w:r>
      <w:r w:rsidR="00D01B41" w:rsidRPr="00D01B41">
        <w:rPr>
          <w:rFonts w:asciiTheme="minorHAnsi" w:eastAsiaTheme="minorEastAsia" w:hAnsiTheme="minorHAnsi" w:cstheme="minorBidi"/>
          <w:b w:val="0"/>
          <w:bCs w:val="0"/>
          <w:sz w:val="20"/>
          <w:szCs w:val="20"/>
          <w:lang w:val="en-IN" w:eastAsia="en-US"/>
        </w:rPr>
        <w:instrText xml:space="preserve"> ADDIN ZOTERO_ITEM CSL_CITATION {"citationID":"5j2OCI7v","properties":{"unsorted":false,"formattedCitation":"(Zhang {\\i{}et al.}, 2024)","plainCitation":"(Zhang et al., 2024)","noteIndex":0},"citationItems":[{"id":111,"uris":["http://zotero.org/users/local/juvPLahh/items/RUMPU8GC"],"itemData":{"id":111,"type":"article-journal","abstract":"Accurate carbon intensity forecasts enable consumers to adjust their electricity use, reducing it during high fossil-fuel generation and increasing it when renewables dominate. Existing methods for carbon intensity forecasting can be categorized into a source-disaggregated approach (SDA), focused on delivering individual generation forecasts for each potential source (e.g., wind, browncoal, etc.), and a source-aggregated approach (SAA), attempting to produce a single carbon intensity forecast for the entire system. This research aims to conduct a thorough comparison between SDA and SAA for carbon intensity forecasting, investigating the factors that contribute to variations in performance across two distinct real-world generation scenarios. By employing contemporary machine learning time-series forecasting models, and analyzing data from representative locations with varying fuel mixes and renewable penetration levels, this study provides insights into the key factors that differentiate the performance of each approach in a real-world setting. The results indicate the SAA proves to be more advantageous in scenarios involving increased renewable energy generation, with greater proportions and instances when renewable energy generation faces curtailment or atypical/peaking generation is brought online. While the SDA offers better model interpretability and outperforms in scenarios with increased niche energy generation types, in our experiments, it struggles to produce accurate forecasts when renewable outputs approach zero.","container-title":"Sustainability","DOI":"10.3390/su16198580","ISSN":"2071-1050","issue":"19","journalAbbreviation":"Sustainability","language":"en","page":"8580","source":"DOI.org (Crossref)","title":"Experimental Comparison of Two Main Paradigms for Day-Ahead Average Carbon Intensity Forecasting in Power Grids: A Case Study in Australia","title-short":"Experimental Comparison of Two Main Paradigms for Day-Ahead Average Carbon Intensity Forecasting in Power Grids","volume":"16","author":[{"family":"Zhang","given":"Bowen"},{"family":"Tian","given":"Hongda"},{"family":"Berry","given":"Adam"},{"family":"Huang","given":"Hao"},{"family":"Roussac","given":"A. Craig"}],"issued":{"date-parts":[["2024",10,2]]}}}],"schema":"https://github.com/citation-style-language/schema/raw/master/csl-citation.json"} </w:instrText>
      </w:r>
      <w:r w:rsidR="00D01B41" w:rsidRPr="00D01B41">
        <w:rPr>
          <w:rFonts w:asciiTheme="minorHAnsi" w:eastAsiaTheme="minorEastAsia" w:hAnsiTheme="minorHAnsi" w:cstheme="minorBidi"/>
          <w:b w:val="0"/>
          <w:bCs w:val="0"/>
          <w:sz w:val="20"/>
          <w:szCs w:val="20"/>
          <w:lang w:val="en-IN" w:eastAsia="en-US"/>
        </w:rPr>
        <w:fldChar w:fldCharType="separate"/>
      </w:r>
      <w:r w:rsidR="0027334F" w:rsidRPr="0027334F">
        <w:rPr>
          <w:rFonts w:ascii="Aptos" w:hAnsi="Aptos"/>
          <w:sz w:val="20"/>
          <w:szCs w:val="24"/>
        </w:rPr>
        <w:t xml:space="preserve">(Zhang </w:t>
      </w:r>
      <w:r w:rsidR="0027334F" w:rsidRPr="0027334F">
        <w:rPr>
          <w:rFonts w:ascii="Aptos" w:hAnsi="Aptos"/>
          <w:i/>
          <w:iCs/>
          <w:sz w:val="20"/>
          <w:szCs w:val="24"/>
        </w:rPr>
        <w:t>et al.</w:t>
      </w:r>
      <w:r w:rsidR="0027334F" w:rsidRPr="0027334F">
        <w:rPr>
          <w:rFonts w:ascii="Aptos" w:hAnsi="Aptos"/>
          <w:sz w:val="20"/>
          <w:szCs w:val="24"/>
        </w:rPr>
        <w:t>, 2024)</w:t>
      </w:r>
      <w:r w:rsidR="00D01B41" w:rsidRPr="00D01B41">
        <w:rPr>
          <w:rFonts w:asciiTheme="minorHAnsi" w:eastAsiaTheme="minorEastAsia" w:hAnsiTheme="minorHAnsi" w:cstheme="minorBidi"/>
          <w:b w:val="0"/>
          <w:bCs w:val="0"/>
          <w:sz w:val="20"/>
          <w:szCs w:val="20"/>
          <w:lang w:val="en-IN" w:eastAsia="en-US"/>
        </w:rPr>
        <w:fldChar w:fldCharType="end"/>
      </w:r>
      <w:r w:rsidRPr="004D1A1E">
        <w:rPr>
          <w:rFonts w:asciiTheme="minorHAnsi" w:eastAsiaTheme="minorEastAsia" w:hAnsiTheme="minorHAnsi" w:cstheme="minorBidi"/>
          <w:b w:val="0"/>
          <w:bCs w:val="0"/>
          <w:sz w:val="20"/>
          <w:szCs w:val="20"/>
          <w:lang w:val="en-IN" w:eastAsia="en-US"/>
        </w:rPr>
        <w:t>. The source-disaggregated strategy predicted the generation of each technology separately prior to calculating the carbon intensity, while the source-aggregated strategy predicted the carbon intensity of the entire system of electricity directly. Through the use of Australian electricity data and LSTM models, the authors concluded that the aggregated strategy worked better in cases where there was a lot of renewable generation, curtailment of renewables, and unusual peaking generation.</w:t>
      </w:r>
    </w:p>
    <w:p w14:paraId="5FCC03B3" w14:textId="534C034C" w:rsidR="00D01B41" w:rsidRPr="005D439E" w:rsidRDefault="00D01B41" w:rsidP="00D5342F">
      <w:pPr>
        <w:pStyle w:val="Abstract"/>
        <w:ind w:firstLine="0"/>
        <w:rPr>
          <w:rFonts w:asciiTheme="minorHAnsi" w:eastAsiaTheme="minorEastAsia" w:hAnsiTheme="minorHAnsi" w:cstheme="minorBidi"/>
          <w:b w:val="0"/>
          <w:bCs w:val="0"/>
          <w:sz w:val="20"/>
          <w:szCs w:val="20"/>
          <w:lang w:val="en-IN" w:eastAsia="en-US"/>
        </w:rPr>
      </w:pPr>
      <w:r w:rsidRPr="00D01B41">
        <w:rPr>
          <w:rFonts w:asciiTheme="minorHAnsi" w:eastAsiaTheme="minorEastAsia" w:hAnsiTheme="minorHAnsi" w:cstheme="minorBidi"/>
          <w:b w:val="0"/>
          <w:bCs w:val="0"/>
          <w:sz w:val="20"/>
          <w:szCs w:val="20"/>
          <w:lang w:val="en-IN" w:eastAsia="en-US"/>
        </w:rPr>
        <w:lastRenderedPageBreak/>
        <w:t>Their findings illustrate that model performance is affected by both the selected algorithm and the structure of the analytical problem. Directly predicting carbon intensity may allow the model to learn interactions among generation sources, while separately forecasting each technology can provide clearer explanations of its contribution. This distinction is relevant to the proposed study, where electricity-generation technologies will be used as predictors of a single country-level carbon-intensity target.</w:t>
      </w:r>
    </w:p>
    <w:p w14:paraId="14C58840" w14:textId="11CD8631" w:rsidR="6FB15E52" w:rsidRDefault="6E8B9428" w:rsidP="00FD4F6E">
      <w:pPr>
        <w:pStyle w:val="Heading1"/>
        <w:numPr>
          <w:ilvl w:val="0"/>
          <w:numId w:val="29"/>
        </w:numPr>
      </w:pPr>
      <w:bookmarkStart w:id="9" w:name="_Toc235989870"/>
      <w:r w:rsidRPr="1F538C68">
        <w:t>Research Gaps</w:t>
      </w:r>
      <w:bookmarkEnd w:id="9"/>
    </w:p>
    <w:p w14:paraId="2E11A1AD" w14:textId="3457AAF4" w:rsidR="1F538C68" w:rsidRPr="00473E00" w:rsidRDefault="00473E00" w:rsidP="00473E00">
      <w:pPr>
        <w:spacing w:before="100" w:beforeAutospacing="1" w:after="100" w:afterAutospacing="1" w:line="240" w:lineRule="auto"/>
        <w:rPr>
          <w:sz w:val="20"/>
          <w:szCs w:val="20"/>
          <w:lang w:val="en-IN" w:eastAsia="en-US"/>
        </w:rPr>
      </w:pPr>
      <w:r w:rsidRPr="00473E00">
        <w:rPr>
          <w:sz w:val="20"/>
          <w:szCs w:val="20"/>
          <w:lang w:val="en-IN" w:eastAsia="en-US"/>
        </w:rPr>
        <w:t>Existing literature has generally focused either on renewable-energy investment decisions or on short-term electricity carbon-intensity forecasting using high-frequency grid data. Comparatively limited research has developed predictive models that combine country-level renewable-energy investment and electricity-generation indicators to forecast annual electricity carbon intensity over the medium term. This creates a research gap in understanding whether investment and technology-specific generation variables can improve country-level carbon-intensity predictions across several future years.</w:t>
      </w:r>
    </w:p>
    <w:p w14:paraId="735E11C7" w14:textId="08A4B567" w:rsidR="004B501A" w:rsidRDefault="00FD4F6E" w:rsidP="00FD4F6E">
      <w:pPr>
        <w:pStyle w:val="Heading1"/>
        <w:numPr>
          <w:ilvl w:val="0"/>
          <w:numId w:val="29"/>
        </w:numPr>
        <w:rPr>
          <w:rFonts w:eastAsia="Times New Roman"/>
        </w:rPr>
      </w:pPr>
      <w:bookmarkStart w:id="10" w:name="_Toc235989871"/>
      <w:r>
        <w:t>Proposed Research Methodology</w:t>
      </w:r>
      <w:bookmarkEnd w:id="10"/>
    </w:p>
    <w:p w14:paraId="3D755A12" w14:textId="77777777" w:rsidR="0032473E" w:rsidRDefault="560EDE59" w:rsidP="00FD4F6E">
      <w:pPr>
        <w:pStyle w:val="Heading2"/>
        <w:numPr>
          <w:ilvl w:val="1"/>
          <w:numId w:val="29"/>
        </w:numPr>
      </w:pPr>
      <w:bookmarkStart w:id="11" w:name="_Toc235989872"/>
      <w:r w:rsidRPr="1F538C68">
        <w:t>Research Design</w:t>
      </w:r>
      <w:bookmarkEnd w:id="11"/>
    </w:p>
    <w:p w14:paraId="479782FA" w14:textId="090A03A8" w:rsidR="00FD4F6E" w:rsidRPr="00FD4F6E" w:rsidRDefault="00FD4F6E" w:rsidP="0032473E">
      <w:pPr>
        <w:rPr>
          <w:sz w:val="20"/>
          <w:szCs w:val="20"/>
          <w:lang w:val="en-IN" w:eastAsia="en-US"/>
        </w:rPr>
      </w:pPr>
      <w:r w:rsidRPr="0032473E">
        <w:rPr>
          <w:sz w:val="20"/>
          <w:szCs w:val="20"/>
          <w:lang w:val="en-IN" w:eastAsia="en-US"/>
        </w:rPr>
        <w:t xml:space="preserve">This research will adopt a quantitative research design </w:t>
      </w:r>
      <w:r w:rsidR="00E463C1" w:rsidRPr="0032473E">
        <w:rPr>
          <w:sz w:val="20"/>
          <w:szCs w:val="20"/>
          <w:lang w:val="en-IN" w:eastAsia="en-US"/>
        </w:rPr>
        <w:t xml:space="preserve">utilising secondary, time-series </w:t>
      </w:r>
      <w:r w:rsidR="00C76221" w:rsidRPr="0032473E">
        <w:rPr>
          <w:sz w:val="20"/>
          <w:szCs w:val="20"/>
          <w:lang w:val="en-IN" w:eastAsia="en-US"/>
        </w:rPr>
        <w:t>country</w:t>
      </w:r>
      <w:r w:rsidR="001D11FE">
        <w:rPr>
          <w:sz w:val="20"/>
          <w:szCs w:val="20"/>
          <w:lang w:val="en-IN" w:eastAsia="en-US"/>
        </w:rPr>
        <w:t xml:space="preserve"> </w:t>
      </w:r>
      <w:r w:rsidRPr="0032473E">
        <w:rPr>
          <w:sz w:val="20"/>
          <w:szCs w:val="20"/>
          <w:lang w:val="en-IN" w:eastAsia="en-US"/>
        </w:rPr>
        <w:t>level data. The overarching research design methodology employed will be Data Analytics based on predictions. Electric carbon intensity, expre</w:t>
      </w:r>
      <w:r w:rsidR="009832FD" w:rsidRPr="0032473E">
        <w:rPr>
          <w:sz w:val="20"/>
          <w:szCs w:val="20"/>
          <w:lang w:val="en-IN" w:eastAsia="en-US"/>
        </w:rPr>
        <w:t>ssed as gCO2e/kWh, will be analys</w:t>
      </w:r>
      <w:r w:rsidRPr="0032473E">
        <w:rPr>
          <w:sz w:val="20"/>
          <w:szCs w:val="20"/>
          <w:lang w:val="en-IN" w:eastAsia="en-US"/>
        </w:rPr>
        <w:t>ed as a dependent contin</w:t>
      </w:r>
      <w:r w:rsidR="001D11FE">
        <w:rPr>
          <w:sz w:val="20"/>
          <w:szCs w:val="20"/>
          <w:lang w:val="en-IN" w:eastAsia="en-US"/>
        </w:rPr>
        <w:t xml:space="preserve">uous variable whereas renewable </w:t>
      </w:r>
      <w:r w:rsidRPr="0032473E">
        <w:rPr>
          <w:sz w:val="20"/>
          <w:szCs w:val="20"/>
          <w:lang w:val="en-IN" w:eastAsia="en-US"/>
        </w:rPr>
        <w:t>energy investment, electricity generation by technology, and selected energy transition variables will be used as independent variables.</w:t>
      </w:r>
    </w:p>
    <w:p w14:paraId="22820FD6" w14:textId="2CAA8D4D" w:rsidR="00FD4F6E" w:rsidRDefault="00FD4F6E" w:rsidP="00FD4F6E">
      <w:pPr>
        <w:rPr>
          <w:sz w:val="20"/>
          <w:szCs w:val="20"/>
          <w:lang w:val="en-IN" w:eastAsia="en-US"/>
        </w:rPr>
      </w:pPr>
      <w:r w:rsidRPr="00FD4F6E">
        <w:rPr>
          <w:sz w:val="20"/>
          <w:szCs w:val="20"/>
          <w:lang w:val="en-IN" w:eastAsia="en-US"/>
        </w:rPr>
        <w:t>The an</w:t>
      </w:r>
      <w:r w:rsidR="00C76221">
        <w:rPr>
          <w:sz w:val="20"/>
          <w:szCs w:val="20"/>
          <w:lang w:val="en-IN" w:eastAsia="en-US"/>
        </w:rPr>
        <w:t xml:space="preserve">alysis will be based on country </w:t>
      </w:r>
      <w:r w:rsidRPr="00FD4F6E">
        <w:rPr>
          <w:sz w:val="20"/>
          <w:szCs w:val="20"/>
          <w:lang w:val="en-IN" w:eastAsia="en-US"/>
        </w:rPr>
        <w:t>year observations, i.e. Each row of the resulting data frame will presen</w:t>
      </w:r>
      <w:r w:rsidR="00C76221">
        <w:rPr>
          <w:sz w:val="20"/>
          <w:szCs w:val="20"/>
          <w:lang w:val="en-IN" w:eastAsia="en-US"/>
        </w:rPr>
        <w:t xml:space="preserve">t information for the renewable </w:t>
      </w:r>
      <w:r w:rsidRPr="00FD4F6E">
        <w:rPr>
          <w:sz w:val="20"/>
          <w:szCs w:val="20"/>
          <w:lang w:val="en-IN" w:eastAsia="en-US"/>
        </w:rPr>
        <w:t>energy investment, electricity generation characteristics and electricity carbon intensity for a given country in a certain year. Data will be set up in this manner so as to study not only cross-national but also longitudinal tendencies.</w:t>
      </w:r>
    </w:p>
    <w:p w14:paraId="17E8DA9F" w14:textId="2EC0CE96" w:rsidR="00C76221" w:rsidRPr="00C76221" w:rsidRDefault="00C76221" w:rsidP="00C76221">
      <w:pPr>
        <w:pStyle w:val="Heading2"/>
        <w:rPr>
          <w:lang w:val="en-IN" w:eastAsia="en-US"/>
        </w:rPr>
      </w:pPr>
      <w:bookmarkStart w:id="12" w:name="_Toc235989873"/>
      <w:r w:rsidRPr="00C76221">
        <w:rPr>
          <w:lang w:val="en-IN" w:eastAsia="en-US"/>
        </w:rPr>
        <w:t>The study will have four phases:</w:t>
      </w:r>
      <w:bookmarkEnd w:id="12"/>
    </w:p>
    <w:p w14:paraId="5B17D5DC" w14:textId="77777777"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1</w:t>
      </w:r>
      <w:r w:rsidRPr="00C76221">
        <w:rPr>
          <w:rFonts w:asciiTheme="minorHAnsi" w:eastAsiaTheme="minorEastAsia" w:hAnsiTheme="minorHAnsi" w:cstheme="minorBidi"/>
          <w:sz w:val="20"/>
          <w:szCs w:val="20"/>
          <w:lang w:eastAsia="en-US"/>
        </w:rPr>
        <w:t>- Data collection and integration: Annual total investment in renewable energy, electric power generation and electric power carbon intensity data will be collected from open secondary sources. The individual datasets will be standardized, merged and cleaned based on country and year.</w:t>
      </w:r>
    </w:p>
    <w:p w14:paraId="3C74396E" w14:textId="77777777"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2</w:t>
      </w:r>
      <w:r w:rsidRPr="00C76221">
        <w:rPr>
          <w:rFonts w:asciiTheme="minorHAnsi" w:eastAsiaTheme="minorEastAsia" w:hAnsiTheme="minorHAnsi" w:cstheme="minorBidi"/>
          <w:sz w:val="20"/>
          <w:szCs w:val="20"/>
          <w:lang w:eastAsia="en-US"/>
        </w:rPr>
        <w:t>- Exploratory and statistical analysis: Data exploratory analysis will be used to study historic trends, distributions, missing values, outliers and inter-correlations between investment and electric power generation technologies and carbon intensity.</w:t>
      </w:r>
    </w:p>
    <w:p w14:paraId="51CC0900" w14:textId="2B7227A9"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3</w:t>
      </w:r>
      <w:r w:rsidRPr="00C76221">
        <w:rPr>
          <w:rFonts w:asciiTheme="minorHAnsi" w:eastAsiaTheme="minorEastAsia" w:hAnsiTheme="minorHAnsi" w:cstheme="minorBidi"/>
          <w:sz w:val="20"/>
          <w:szCs w:val="20"/>
          <w:lang w:eastAsia="en-US"/>
        </w:rPr>
        <w:t>- Feature engineering and predictive modelling: Variables will be constructed including generation shares of each technologies, investment and growth rate data and lagged factors. Then different statistical, machine-learning and autoregressive models will be developed and tested comparatively.</w:t>
      </w:r>
    </w:p>
    <w:p w14:paraId="1B822F40" w14:textId="213AC0D6" w:rsid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4</w:t>
      </w:r>
      <w:r w:rsidRPr="00C76221">
        <w:rPr>
          <w:rFonts w:asciiTheme="minorHAnsi" w:eastAsiaTheme="minorEastAsia" w:hAnsiTheme="minorHAnsi" w:cstheme="minorBidi"/>
          <w:sz w:val="20"/>
          <w:szCs w:val="20"/>
          <w:lang w:eastAsia="en-US"/>
        </w:rPr>
        <w:t>- Assessment, interpretation and forecasting: Models will be tested with time-based validation and suitable regression measurements. The selected best model will be interpreted to provide a forecast of electricity c</w:t>
      </w:r>
      <w:r w:rsidR="00896B83">
        <w:rPr>
          <w:rFonts w:asciiTheme="minorHAnsi" w:eastAsiaTheme="minorEastAsia" w:hAnsiTheme="minorHAnsi" w:cstheme="minorBidi"/>
          <w:sz w:val="20"/>
          <w:szCs w:val="20"/>
          <w:lang w:eastAsia="en-US"/>
        </w:rPr>
        <w:t xml:space="preserve">arbon intensity over the next 3 or </w:t>
      </w:r>
      <w:r w:rsidRPr="00C76221">
        <w:rPr>
          <w:rFonts w:asciiTheme="minorHAnsi" w:eastAsiaTheme="minorEastAsia" w:hAnsiTheme="minorHAnsi" w:cstheme="minorBidi"/>
          <w:sz w:val="20"/>
          <w:szCs w:val="20"/>
          <w:lang w:eastAsia="en-US"/>
        </w:rPr>
        <w:t>4 years.</w:t>
      </w:r>
    </w:p>
    <w:p w14:paraId="43E157F9" w14:textId="0503CC64" w:rsidR="00C76221" w:rsidRDefault="00C76221" w:rsidP="00C76221">
      <w:pPr>
        <w:spacing w:before="100" w:beforeAutospacing="1" w:after="100" w:afterAutospacing="1" w:line="240" w:lineRule="auto"/>
        <w:rPr>
          <w:sz w:val="20"/>
          <w:szCs w:val="20"/>
          <w:lang w:val="en-IN" w:eastAsia="en-US"/>
        </w:rPr>
      </w:pPr>
      <w:r w:rsidRPr="00C76221">
        <w:rPr>
          <w:sz w:val="20"/>
          <w:szCs w:val="20"/>
          <w:lang w:val="en-IN" w:eastAsia="en-US"/>
        </w:rPr>
        <w:t xml:space="preserve">This type of method is suitable given that the overall aim of the study is to identify historical patterns, discover what other relevant variables there may be influencing the historical data, test different predictive modelling systems on the data and to then use such models to create future predictions. Qualitative data </w:t>
      </w:r>
      <w:r w:rsidRPr="00C76221">
        <w:rPr>
          <w:sz w:val="20"/>
          <w:szCs w:val="20"/>
          <w:lang w:val="en-IN" w:eastAsia="en-US"/>
        </w:rPr>
        <w:lastRenderedPageBreak/>
        <w:t>collection like questionnaires or interviews are less suitable for these aims, as are the others. Also the method should be workable over three months due to its reliance on current datasets not needing to access new data (people) to complete.</w:t>
      </w:r>
    </w:p>
    <w:p w14:paraId="08229376" w14:textId="0319FB92" w:rsidR="00802DF8" w:rsidRDefault="00C02937" w:rsidP="00C02937">
      <w:pPr>
        <w:pStyle w:val="Heading2"/>
        <w:numPr>
          <w:ilvl w:val="1"/>
          <w:numId w:val="29"/>
        </w:numPr>
      </w:pPr>
      <w:bookmarkStart w:id="13" w:name="_Toc235989874"/>
      <w:r>
        <w:t xml:space="preserve">Data </w:t>
      </w:r>
      <w:r w:rsidR="00802DF8" w:rsidRPr="1F538C68">
        <w:t>Collection Method (Secondary Data)</w:t>
      </w:r>
      <w:bookmarkEnd w:id="13"/>
    </w:p>
    <w:p w14:paraId="784B0F8E" w14:textId="77777777" w:rsidR="00802DF8" w:rsidRPr="00802DF8" w:rsidRDefault="00802DF8" w:rsidP="00802DF8">
      <w:pPr>
        <w:spacing w:after="0" w:line="240" w:lineRule="auto"/>
        <w:rPr>
          <w:sz w:val="20"/>
          <w:szCs w:val="20"/>
          <w:lang w:val="en-IN" w:eastAsia="en-US"/>
        </w:rPr>
      </w:pPr>
      <w:r w:rsidRPr="00802DF8">
        <w:rPr>
          <w:sz w:val="20"/>
          <w:szCs w:val="20"/>
          <w:lang w:val="en-IN" w:eastAsia="en-US"/>
        </w:rPr>
        <w:t>Two primary sources of secondary data will be used in this research.</w:t>
      </w:r>
    </w:p>
    <w:p w14:paraId="72A0A1C2" w14:textId="522702E3" w:rsidR="00802DF8" w:rsidRPr="00802DF8" w:rsidRDefault="00802DF8" w:rsidP="00802DF8">
      <w:pPr>
        <w:pStyle w:val="ListParagraph"/>
        <w:numPr>
          <w:ilvl w:val="0"/>
          <w:numId w:val="30"/>
        </w:numPr>
        <w:spacing w:after="0" w:line="240" w:lineRule="auto"/>
        <w:rPr>
          <w:sz w:val="20"/>
          <w:szCs w:val="20"/>
          <w:lang w:val="en-IN" w:eastAsia="en-US"/>
        </w:rPr>
      </w:pPr>
      <w:r w:rsidRPr="00802DF8">
        <w:rPr>
          <w:sz w:val="20"/>
          <w:szCs w:val="20"/>
          <w:lang w:val="en-IN" w:eastAsia="en-US"/>
        </w:rPr>
        <w:t>Ember annual electricity data set. This data set contain country-level information on electricity generation, share generation, electricity sector emissions and the carbon intensity of electricity. Electricity generation data will include generation by different technologies such as: coal, oil, gas, nuclear power, hydr</w:t>
      </w:r>
      <w:bookmarkStart w:id="14" w:name="_GoBack"/>
      <w:bookmarkEnd w:id="14"/>
      <w:r w:rsidRPr="00802DF8">
        <w:rPr>
          <w:sz w:val="20"/>
          <w:szCs w:val="20"/>
          <w:lang w:val="en-IN" w:eastAsia="en-US"/>
        </w:rPr>
        <w:t>opower, wind, and solar. It would also cover renewable and bio-fuel as the alternative sources available within the data set.</w:t>
      </w:r>
    </w:p>
    <w:p w14:paraId="4FAF8A37" w14:textId="77777777" w:rsidR="00802DF8" w:rsidRPr="00802DF8" w:rsidRDefault="00802DF8" w:rsidP="00802DF8">
      <w:pPr>
        <w:spacing w:after="0" w:line="240" w:lineRule="auto"/>
        <w:rPr>
          <w:sz w:val="20"/>
          <w:szCs w:val="20"/>
          <w:lang w:val="en-IN" w:eastAsia="en-US"/>
        </w:rPr>
      </w:pPr>
    </w:p>
    <w:p w14:paraId="66DFB8D7" w14:textId="5D16F874" w:rsidR="00802DF8" w:rsidRPr="00802DF8" w:rsidRDefault="00802DF8" w:rsidP="00802DF8">
      <w:pPr>
        <w:pStyle w:val="ListParagraph"/>
        <w:numPr>
          <w:ilvl w:val="0"/>
          <w:numId w:val="30"/>
        </w:numPr>
        <w:spacing w:after="0" w:line="240" w:lineRule="auto"/>
        <w:rPr>
          <w:sz w:val="20"/>
          <w:szCs w:val="20"/>
          <w:lang w:val="en-IN" w:eastAsia="en-US"/>
        </w:rPr>
      </w:pPr>
      <w:r w:rsidRPr="00802DF8">
        <w:rPr>
          <w:sz w:val="20"/>
          <w:szCs w:val="20"/>
          <w:lang w:val="en-IN" w:eastAsia="en-US"/>
        </w:rPr>
        <w:t xml:space="preserve"> IRENA international public finance database for renewable energy. This data set contains country-level information on international public flows toward renewable-energy projects in specific regions or country, broken down by year, renewable-energy-technology, type of public finance, and the financing institutions that allocated.</w:t>
      </w:r>
      <w:r>
        <w:rPr>
          <w:sz w:val="20"/>
          <w:szCs w:val="20"/>
          <w:lang w:val="en-IN" w:eastAsia="en-US"/>
        </w:rPr>
        <w:t xml:space="preserve"> </w:t>
      </w:r>
      <w:r w:rsidRPr="00802DF8">
        <w:rPr>
          <w:sz w:val="20"/>
          <w:szCs w:val="20"/>
          <w:lang w:val="en-IN" w:eastAsia="en-US"/>
        </w:rPr>
        <w:t>Get higher-quality out</w:t>
      </w:r>
      <w:r>
        <w:rPr>
          <w:sz w:val="20"/>
          <w:szCs w:val="20"/>
          <w:lang w:val="en-IN" w:eastAsia="en-US"/>
        </w:rPr>
        <w:t>.</w:t>
      </w:r>
    </w:p>
    <w:p w14:paraId="0E1BF0B6" w14:textId="36C08214" w:rsidR="00802DF8" w:rsidRPr="00802DF8" w:rsidRDefault="00802DF8" w:rsidP="001E3A84">
      <w:pPr>
        <w:spacing w:before="100" w:beforeAutospacing="1" w:after="100" w:afterAutospacing="1" w:line="240" w:lineRule="auto"/>
        <w:rPr>
          <w:rFonts w:ascii="Times New Roman" w:eastAsia="Times New Roman" w:hAnsi="Times New Roman" w:cs="Times New Roman"/>
          <w:lang w:val="en-IN" w:eastAsia="en-IN"/>
        </w:rPr>
      </w:pPr>
      <w:r w:rsidRPr="00802DF8">
        <w:rPr>
          <w:b/>
          <w:sz w:val="20"/>
          <w:szCs w:val="20"/>
          <w:lang w:val="en-IN" w:eastAsia="en-US"/>
        </w:rPr>
        <w:t>Variable categories included are:</w:t>
      </w:r>
      <w:r w:rsidRPr="00802DF8">
        <w:rPr>
          <w:b/>
          <w:sz w:val="20"/>
          <w:szCs w:val="20"/>
          <w:lang w:val="en-IN" w:eastAsia="en-US"/>
        </w:rPr>
        <w:br/>
      </w:r>
      <w:r w:rsidR="00C02937">
        <w:rPr>
          <w:sz w:val="20"/>
          <w:szCs w:val="20"/>
          <w:lang w:val="en-IN" w:eastAsia="en-US"/>
        </w:rPr>
        <w:t>1.</w:t>
      </w:r>
      <w:r w:rsidRPr="00802DF8">
        <w:rPr>
          <w:sz w:val="20"/>
          <w:szCs w:val="20"/>
          <w:lang w:val="en-IN" w:eastAsia="en-US"/>
        </w:rPr>
        <w:t xml:space="preserve"> </w:t>
      </w:r>
      <w:r w:rsidR="00C02937">
        <w:rPr>
          <w:b/>
          <w:sz w:val="20"/>
          <w:szCs w:val="20"/>
          <w:lang w:val="en-IN" w:eastAsia="en-US"/>
        </w:rPr>
        <w:t>Ta</w:t>
      </w:r>
      <w:r w:rsidRPr="00C02937">
        <w:rPr>
          <w:b/>
          <w:sz w:val="20"/>
          <w:szCs w:val="20"/>
          <w:lang w:val="en-IN" w:eastAsia="en-US"/>
        </w:rPr>
        <w:t>rget variable:</w:t>
      </w:r>
      <w:r w:rsidRPr="00802DF8">
        <w:rPr>
          <w:sz w:val="20"/>
          <w:szCs w:val="20"/>
          <w:lang w:val="en-IN" w:eastAsia="en-US"/>
        </w:rPr>
        <w:t xml:space="preserve"> annual electricity carbon intensity in gCO</w:t>
      </w:r>
      <w:r w:rsidR="00CA596F">
        <w:rPr>
          <w:sz w:val="20"/>
          <w:szCs w:val="20"/>
          <w:lang w:val="en-IN" w:eastAsia="en-US"/>
        </w:rPr>
        <w:t>2</w:t>
      </w:r>
      <w:r w:rsidRPr="00802DF8">
        <w:rPr>
          <w:sz w:val="20"/>
          <w:szCs w:val="20"/>
          <w:lang w:val="en-IN" w:eastAsia="en-US"/>
        </w:rPr>
        <w:t>e/kWh; Investment variables: total public renewable energy investment and technology-specific investment.</w:t>
      </w:r>
      <w:r w:rsidRPr="00802DF8">
        <w:rPr>
          <w:sz w:val="20"/>
          <w:szCs w:val="20"/>
          <w:lang w:val="en-IN" w:eastAsia="en-US"/>
        </w:rPr>
        <w:br/>
      </w:r>
      <w:r w:rsidR="00C02937">
        <w:rPr>
          <w:sz w:val="20"/>
          <w:szCs w:val="20"/>
          <w:lang w:val="en-IN" w:eastAsia="en-US"/>
        </w:rPr>
        <w:t>2.</w:t>
      </w:r>
      <w:r w:rsidRPr="00802DF8">
        <w:rPr>
          <w:sz w:val="20"/>
          <w:szCs w:val="20"/>
          <w:lang w:val="en-IN" w:eastAsia="en-US"/>
        </w:rPr>
        <w:t xml:space="preserve"> </w:t>
      </w:r>
      <w:r w:rsidRPr="00C02937">
        <w:rPr>
          <w:b/>
          <w:sz w:val="20"/>
          <w:szCs w:val="20"/>
          <w:lang w:val="en-IN" w:eastAsia="en-US"/>
        </w:rPr>
        <w:t>Generation variables:</w:t>
      </w:r>
      <w:r w:rsidRPr="00802DF8">
        <w:rPr>
          <w:sz w:val="20"/>
          <w:szCs w:val="20"/>
          <w:lang w:val="en-IN" w:eastAsia="en-US"/>
        </w:rPr>
        <w:t xml:space="preserve"> electricity generation in electricity generation of fossil fuel, renewables and nuclear based.</w:t>
      </w:r>
      <w:r w:rsidRPr="00802DF8">
        <w:rPr>
          <w:sz w:val="20"/>
          <w:szCs w:val="20"/>
          <w:lang w:val="en-IN" w:eastAsia="en-US"/>
        </w:rPr>
        <w:br/>
      </w:r>
      <w:r w:rsidR="00C02937">
        <w:rPr>
          <w:sz w:val="20"/>
          <w:szCs w:val="20"/>
          <w:lang w:val="en-IN" w:eastAsia="en-US"/>
        </w:rPr>
        <w:t>3.</w:t>
      </w:r>
      <w:r w:rsidRPr="00802DF8">
        <w:rPr>
          <w:sz w:val="20"/>
          <w:szCs w:val="20"/>
          <w:lang w:val="en-IN" w:eastAsia="en-US"/>
        </w:rPr>
        <w:t xml:space="preserve"> </w:t>
      </w:r>
      <w:r w:rsidR="00C02937">
        <w:rPr>
          <w:b/>
          <w:sz w:val="20"/>
          <w:szCs w:val="20"/>
          <w:lang w:val="en-IN" w:eastAsia="en-US"/>
        </w:rPr>
        <w:t>D</w:t>
      </w:r>
      <w:r w:rsidRPr="00C02937">
        <w:rPr>
          <w:b/>
          <w:sz w:val="20"/>
          <w:szCs w:val="20"/>
          <w:lang w:val="en-IN" w:eastAsia="en-US"/>
        </w:rPr>
        <w:t>erived variables:</w:t>
      </w:r>
      <w:r w:rsidRPr="00802DF8">
        <w:rPr>
          <w:sz w:val="20"/>
          <w:szCs w:val="20"/>
          <w:lang w:val="en-IN" w:eastAsia="en-US"/>
        </w:rPr>
        <w:t xml:space="preserve"> renewable share of generation, fossil fuel share, technology-specific share of generation and change in renewable energy generation.</w:t>
      </w:r>
      <w:r w:rsidRPr="00802DF8">
        <w:rPr>
          <w:sz w:val="20"/>
          <w:szCs w:val="20"/>
          <w:lang w:val="en-IN" w:eastAsia="en-US"/>
        </w:rPr>
        <w:br/>
      </w:r>
      <w:r w:rsidR="00C02937">
        <w:rPr>
          <w:sz w:val="20"/>
          <w:szCs w:val="20"/>
          <w:lang w:val="en-IN" w:eastAsia="en-US"/>
        </w:rPr>
        <w:t>4.</w:t>
      </w:r>
      <w:r w:rsidRPr="00802DF8">
        <w:rPr>
          <w:sz w:val="20"/>
          <w:szCs w:val="20"/>
          <w:lang w:val="en-IN" w:eastAsia="en-US"/>
        </w:rPr>
        <w:t xml:space="preserve"> </w:t>
      </w:r>
      <w:r w:rsidR="00C02937">
        <w:rPr>
          <w:b/>
          <w:sz w:val="20"/>
          <w:szCs w:val="20"/>
          <w:lang w:val="en-IN" w:eastAsia="en-US"/>
        </w:rPr>
        <w:t>T</w:t>
      </w:r>
      <w:r w:rsidRPr="00C02937">
        <w:rPr>
          <w:b/>
          <w:sz w:val="20"/>
          <w:szCs w:val="20"/>
          <w:lang w:val="en-IN" w:eastAsia="en-US"/>
        </w:rPr>
        <w:t>ime variables:</w:t>
      </w:r>
      <w:r w:rsidRPr="00802DF8">
        <w:rPr>
          <w:sz w:val="20"/>
          <w:szCs w:val="20"/>
          <w:lang w:val="en-IN" w:eastAsia="en-US"/>
        </w:rPr>
        <w:t xml:space="preserve"> lags in carbon intensity, lagged public investment on renewable energy and lagging renewable energy generation indicator</w:t>
      </w:r>
      <w:r w:rsidRPr="00802DF8">
        <w:rPr>
          <w:rFonts w:ascii="Times New Roman" w:eastAsia="Times New Roman" w:hAnsi="Times New Roman" w:cs="Times New Roman"/>
          <w:lang w:val="en-IN" w:eastAsia="en-IN"/>
        </w:rPr>
        <w:t>.</w:t>
      </w:r>
    </w:p>
    <w:p w14:paraId="7DC4B865" w14:textId="186E350A" w:rsidR="00802DF8" w:rsidRDefault="00C02937" w:rsidP="00C02937">
      <w:pPr>
        <w:pStyle w:val="Heading2"/>
        <w:numPr>
          <w:ilvl w:val="1"/>
          <w:numId w:val="29"/>
        </w:numPr>
      </w:pPr>
      <w:bookmarkStart w:id="15" w:name="_Toc235989875"/>
      <w:r>
        <w:t>Study Population and Country Selection</w:t>
      </w:r>
      <w:bookmarkEnd w:id="15"/>
    </w:p>
    <w:p w14:paraId="56F58531" w14:textId="19C01FC0" w:rsidR="00C02937" w:rsidRDefault="00C02937" w:rsidP="00C02937">
      <w:pPr>
        <w:rPr>
          <w:sz w:val="20"/>
          <w:szCs w:val="20"/>
          <w:lang w:val="en-IN" w:eastAsia="en-US"/>
        </w:rPr>
      </w:pPr>
      <w:r w:rsidRPr="00C02937">
        <w:rPr>
          <w:sz w:val="20"/>
          <w:szCs w:val="20"/>
          <w:lang w:val="en-IN" w:eastAsia="en-US"/>
        </w:rPr>
        <w:t>Target population Countries for which annual renewable energy investment, renewable energy generation and annual carbon-intensity-of-electricity information might be assessed. Coverage varies country by country, year by year. We will rely on purposive country selection rather than random sampling.</w:t>
      </w:r>
    </w:p>
    <w:p w14:paraId="2B4513CD" w14:textId="77777777" w:rsidR="001E3A84" w:rsidRDefault="00C02937" w:rsidP="00C02937">
      <w:pPr>
        <w:spacing w:before="100" w:beforeAutospacing="1" w:after="100" w:afterAutospacing="1" w:line="240" w:lineRule="auto"/>
        <w:rPr>
          <w:sz w:val="20"/>
          <w:szCs w:val="20"/>
          <w:lang w:val="en-IN" w:eastAsia="en-US"/>
        </w:rPr>
      </w:pPr>
      <w:r w:rsidRPr="00C02937">
        <w:rPr>
          <w:sz w:val="20"/>
          <w:szCs w:val="20"/>
          <w:lang w:val="en-IN" w:eastAsia="en-US"/>
        </w:rPr>
        <w:t xml:space="preserve">The first sample set has 22 countries, Bolivia, Brazil, China, Cuba, Egypt, Ethiopia, Ghana, India, Indonesia, Mali, Mexico, Morocco, Mozambique, Nepal, Nicaragua, Pakistan, Peru, Philippines, Sri Lanka, Tanzania, Uganda and Vietnam. </w:t>
      </w:r>
    </w:p>
    <w:p w14:paraId="416B6A5F" w14:textId="0DD12354" w:rsidR="00C02937" w:rsidRDefault="00C02937" w:rsidP="00C02937">
      <w:pPr>
        <w:spacing w:before="100" w:beforeAutospacing="1" w:after="100" w:afterAutospacing="1" w:line="240" w:lineRule="auto"/>
        <w:rPr>
          <w:sz w:val="20"/>
          <w:szCs w:val="20"/>
          <w:lang w:val="en-IN" w:eastAsia="en-US"/>
        </w:rPr>
      </w:pPr>
      <w:r w:rsidRPr="00C02937">
        <w:rPr>
          <w:sz w:val="20"/>
          <w:szCs w:val="20"/>
          <w:lang w:val="en-IN" w:eastAsia="en-US"/>
        </w:rPr>
        <w:br/>
        <w:t>They were picked as they show up in both principal datasets and cover applicable observations of renewable-energy investment, generation of electricity and the impact on carbon intensity. Each country will be evaluated based on the following prior to model estimation:</w:t>
      </w:r>
    </w:p>
    <w:p w14:paraId="49368D13" w14:textId="7AB83C23"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number of common years available;</w:t>
      </w:r>
    </w:p>
    <w:p w14:paraId="4CCEFCC0" w14:textId="3CBDD47C"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percentage of missing observations;</w:t>
      </w:r>
    </w:p>
    <w:p w14:paraId="3BC32C57" w14:textId="1DDE3148"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consistency of measurement units;</w:t>
      </w:r>
    </w:p>
    <w:p w14:paraId="4988D03C" w14:textId="47FD834D"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availability of technology-level investment and generation variables; and</w:t>
      </w:r>
    </w:p>
    <w:p w14:paraId="725415A1" w14:textId="0E7C7DE9" w:rsidR="00BA788B" w:rsidRPr="00BA788B" w:rsidRDefault="00BA788B" w:rsidP="00BA788B">
      <w:pPr>
        <w:pStyle w:val="ListParagraph"/>
        <w:numPr>
          <w:ilvl w:val="0"/>
          <w:numId w:val="35"/>
        </w:numPr>
        <w:spacing w:before="100" w:beforeAutospacing="1" w:after="100" w:afterAutospacing="1" w:line="240" w:lineRule="auto"/>
        <w:rPr>
          <w:sz w:val="20"/>
          <w:szCs w:val="20"/>
          <w:lang w:val="en-IN" w:eastAsia="en-US"/>
        </w:rPr>
      </w:pPr>
      <w:r w:rsidRPr="00BA788B">
        <w:rPr>
          <w:sz w:val="20"/>
          <w:szCs w:val="20"/>
          <w:lang w:val="en-IN" w:eastAsia="en-US"/>
        </w:rPr>
        <w:t>the continuity of its annual time series.</w:t>
      </w:r>
    </w:p>
    <w:p w14:paraId="7A8ECA89" w14:textId="2932D296" w:rsidR="00C02937" w:rsidRPr="00C02937" w:rsidRDefault="004735E9" w:rsidP="004735E9">
      <w:pPr>
        <w:spacing w:line="240" w:lineRule="auto"/>
        <w:rPr>
          <w:sz w:val="20"/>
          <w:szCs w:val="20"/>
          <w:lang w:val="en-IN" w:eastAsia="en-US"/>
        </w:rPr>
      </w:pPr>
      <w:r w:rsidRPr="004735E9">
        <w:rPr>
          <w:sz w:val="20"/>
          <w:szCs w:val="20"/>
          <w:lang w:val="en-IN" w:eastAsia="en-US"/>
        </w:rPr>
        <w:t>Countries with a lack of observations might then be filtered out of the predictive stage, although it's possible that some 'low-observation' countries might still remain for a 'descriptive-only' purpose. The decision to include or exclude certain countries will then be a transparent and noted feature of our output and methodology</w:t>
      </w:r>
    </w:p>
    <w:p w14:paraId="187FBDCB" w14:textId="25F97A2C" w:rsidR="00B8730D" w:rsidRDefault="00B8730D" w:rsidP="004735E9">
      <w:pPr>
        <w:pStyle w:val="Heading2"/>
        <w:numPr>
          <w:ilvl w:val="1"/>
          <w:numId w:val="29"/>
        </w:numPr>
      </w:pPr>
      <w:bookmarkStart w:id="16" w:name="_Toc235989876"/>
      <w:r>
        <w:lastRenderedPageBreak/>
        <w:t>Data Preparation and Preprocessing</w:t>
      </w:r>
      <w:bookmarkEnd w:id="16"/>
    </w:p>
    <w:p w14:paraId="6185C5ED" w14:textId="59FED9C4" w:rsidR="004735E9" w:rsidRPr="004735E9" w:rsidRDefault="004735E9" w:rsidP="004735E9">
      <w:pPr>
        <w:pStyle w:val="NormalWeb"/>
        <w:rPr>
          <w:rFonts w:asciiTheme="minorHAnsi" w:eastAsiaTheme="minorEastAsia" w:hAnsiTheme="minorHAnsi" w:cstheme="minorBidi"/>
          <w:sz w:val="20"/>
          <w:szCs w:val="20"/>
          <w:lang w:eastAsia="en-US"/>
        </w:rPr>
      </w:pPr>
      <w:r w:rsidRPr="004735E9">
        <w:rPr>
          <w:rFonts w:asciiTheme="minorHAnsi" w:eastAsiaTheme="minorEastAsia" w:hAnsiTheme="minorHAnsi" w:cstheme="minorBidi"/>
          <w:sz w:val="20"/>
          <w:szCs w:val="20"/>
          <w:lang w:eastAsia="en-US"/>
        </w:rPr>
        <w:t>Prior to carrying out any statistical analysis and model building the data preparation stage will be performed. We will employ Python for cleaning, merging and validation of data. Initially, the structure of each of the datasets will be identified</w:t>
      </w:r>
      <w:r>
        <w:rPr>
          <w:rFonts w:asciiTheme="minorHAnsi" w:eastAsiaTheme="minorEastAsia" w:hAnsiTheme="minorHAnsi" w:cstheme="minorBidi"/>
          <w:sz w:val="20"/>
          <w:szCs w:val="20"/>
          <w:lang w:eastAsia="en-US"/>
        </w:rPr>
        <w:t xml:space="preserve"> to determine number of</w:t>
      </w:r>
      <w:r w:rsidRPr="004735E9">
        <w:rPr>
          <w:rFonts w:asciiTheme="minorHAnsi" w:eastAsiaTheme="minorEastAsia" w:hAnsiTheme="minorHAnsi" w:cstheme="minorBidi"/>
          <w:sz w:val="20"/>
          <w:szCs w:val="20"/>
          <w:lang w:eastAsia="en-US"/>
        </w:rPr>
        <w:t xml:space="preserve"> records, variables’ names, variables’ units, dates ranges, data types, duplicates, missing values and so on. </w:t>
      </w:r>
    </w:p>
    <w:p w14:paraId="6406ECFD" w14:textId="1FF75DA6" w:rsid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Secondly, we will unify the country names. Names across different files need to be united. For instance, "Vietnam" and "Viet Nam", and "Philippines (the)" and "The Philippines" will all be unify.</w:t>
      </w:r>
    </w:p>
    <w:p w14:paraId="17B855D8" w14:textId="77777777" w:rsidR="004735E9" w:rsidRP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The cleaning process will include:</w:t>
      </w:r>
    </w:p>
    <w:p w14:paraId="15C20D8C"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removing duplicated observations;</w:t>
      </w:r>
    </w:p>
    <w:p w14:paraId="508E71AD"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standardising country names and technology names;</w:t>
      </w:r>
    </w:p>
    <w:p w14:paraId="03ABCE12"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converting year variables into a consistent format;</w:t>
      </w:r>
    </w:p>
    <w:p w14:paraId="710D424E"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converting investment, generation and carbon-intensity fields into numeric values;</w:t>
      </w:r>
    </w:p>
    <w:p w14:paraId="24B5AC43"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standardising measurement units;</w:t>
      </w:r>
    </w:p>
    <w:p w14:paraId="689E5EFA"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identifying missing values and outliers; and</w:t>
      </w:r>
    </w:p>
    <w:p w14:paraId="1EAE9874"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aggregating observations to the country-year-technology level where necessary.</w:t>
      </w:r>
    </w:p>
    <w:p w14:paraId="30CD46D8" w14:textId="570F2C84" w:rsidR="004735E9" w:rsidRP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Investment data with missing values will not be filled in by zero values automatically. The missing values could indicate that the investment was not reported, that the information on the value was missing, or that the source did not include the information on the investment of the country-year observation. The missing values will be coded by zero values in case of explicit statement in the documentation of the dataset that the missing val</w:t>
      </w:r>
      <w:r>
        <w:rPr>
          <w:sz w:val="20"/>
          <w:szCs w:val="20"/>
          <w:lang w:val="en-IN" w:eastAsia="en-US"/>
        </w:rPr>
        <w:t>ue denotes zero financial flow.</w:t>
      </w:r>
    </w:p>
    <w:p w14:paraId="411DF3D3" w14:textId="7B222451" w:rsidR="00631706" w:rsidRPr="001E3A84" w:rsidRDefault="004735E9" w:rsidP="001E3A84">
      <w:pPr>
        <w:spacing w:before="100" w:beforeAutospacing="1" w:after="100" w:afterAutospacing="1" w:line="240" w:lineRule="auto"/>
        <w:rPr>
          <w:sz w:val="20"/>
          <w:szCs w:val="20"/>
          <w:lang w:val="en-IN" w:eastAsia="en-US"/>
        </w:rPr>
      </w:pPr>
      <w:r w:rsidRPr="004735E9">
        <w:rPr>
          <w:sz w:val="20"/>
          <w:szCs w:val="20"/>
          <w:lang w:val="en-IN" w:eastAsia="en-US"/>
        </w:rPr>
        <w:t>The data will be combined into a new clean dataset based on standardised variables for the country and year. Then the technology types will be harmonised to make sure that the investment and electricity gener</w:t>
      </w:r>
      <w:r w:rsidR="001E3A84">
        <w:rPr>
          <w:sz w:val="20"/>
          <w:szCs w:val="20"/>
          <w:lang w:val="en-IN" w:eastAsia="en-US"/>
        </w:rPr>
        <w:t>ation variables are comparable.</w:t>
      </w:r>
    </w:p>
    <w:p w14:paraId="564B14C7" w14:textId="0317D470" w:rsidR="00B8730D" w:rsidRDefault="00B8730D" w:rsidP="00335854">
      <w:pPr>
        <w:pStyle w:val="Heading2"/>
        <w:numPr>
          <w:ilvl w:val="1"/>
          <w:numId w:val="29"/>
        </w:numPr>
      </w:pPr>
      <w:bookmarkStart w:id="17" w:name="_Toc235989877"/>
      <w:r>
        <w:t>Exploratory Data Analysis (EDA)</w:t>
      </w:r>
      <w:bookmarkEnd w:id="17"/>
      <w:r w:rsidR="00896B83">
        <w:br/>
      </w:r>
    </w:p>
    <w:p w14:paraId="25170BA2" w14:textId="5128F3E9" w:rsidR="00896B83" w:rsidRPr="00896B83" w:rsidRDefault="00896B83" w:rsidP="0032473E">
      <w:pPr>
        <w:rPr>
          <w:sz w:val="20"/>
          <w:szCs w:val="20"/>
          <w:lang w:val="en-IN" w:eastAsia="en-US"/>
        </w:rPr>
      </w:pPr>
      <w:r w:rsidRPr="0032473E">
        <w:rPr>
          <w:sz w:val="20"/>
          <w:szCs w:val="20"/>
          <w:lang w:val="en-IN" w:eastAsia="en-US"/>
        </w:rPr>
        <w:t>Exploratory Data Analysis shall be carried out to gain insight into the nature of the final country-year dataset before predictive modelling is done.</w:t>
      </w:r>
    </w:p>
    <w:p w14:paraId="00260518" w14:textId="77777777" w:rsidR="00896B83" w:rsidRPr="00896B83" w:rsidRDefault="00896B83" w:rsidP="0032473E">
      <w:pPr>
        <w:rPr>
          <w:lang w:val="en-IN" w:eastAsia="en-US"/>
        </w:rPr>
      </w:pPr>
      <w:r w:rsidRPr="0032473E">
        <w:rPr>
          <w:sz w:val="20"/>
          <w:szCs w:val="20"/>
          <w:lang w:val="en-IN" w:eastAsia="en-US"/>
        </w:rPr>
        <w:t>The descriptive statistics will include the mean, median, standard deviation, minimum, maximum and interquartile range. Graphical analysis of investment, energy production and carbon intensity will include histograms, box-plots and density plots. Line graphs will be used to compare the trends in time, per country and renewable energy sources</w:t>
      </w:r>
      <w:r w:rsidRPr="00896B83">
        <w:rPr>
          <w:lang w:val="en-IN" w:eastAsia="en-US"/>
        </w:rPr>
        <w:t>.</w:t>
      </w:r>
    </w:p>
    <w:p w14:paraId="4D9E28E2" w14:textId="77777777" w:rsidR="00896B83" w:rsidRPr="00896B83" w:rsidRDefault="00896B83" w:rsidP="00896B83">
      <w:pPr>
        <w:pStyle w:val="Heading2"/>
        <w:rPr>
          <w:rFonts w:asciiTheme="minorHAnsi" w:eastAsiaTheme="minorEastAsia" w:hAnsiTheme="minorHAnsi" w:cstheme="minorBidi"/>
          <w:color w:val="auto"/>
          <w:sz w:val="20"/>
          <w:szCs w:val="20"/>
          <w:lang w:val="en-IN" w:eastAsia="en-US"/>
        </w:rPr>
      </w:pPr>
    </w:p>
    <w:p w14:paraId="597B3D15" w14:textId="7FE5A7B6" w:rsidR="00896B83" w:rsidRDefault="00896B83" w:rsidP="00896B83">
      <w:pPr>
        <w:rPr>
          <w:sz w:val="20"/>
          <w:szCs w:val="20"/>
          <w:lang w:val="en-IN" w:eastAsia="en-US"/>
        </w:rPr>
      </w:pPr>
      <w:r w:rsidRPr="00896B83">
        <w:rPr>
          <w:sz w:val="20"/>
          <w:szCs w:val="20"/>
          <w:lang w:val="en-IN" w:eastAsia="en-US"/>
        </w:rPr>
        <w:t>Correlation analysis will be used to determine the nature and strength of the relationship between the predictors and the carbon intensity of electricity production. Pearson correlation will be employed for the variables that exhibit a linear relationship and normal distribution, while Spearman correlation will be used for skewed distributions.</w:t>
      </w:r>
    </w:p>
    <w:p w14:paraId="5A7F816F" w14:textId="77777777" w:rsidR="00896B83" w:rsidRPr="00896B83" w:rsidRDefault="00896B83" w:rsidP="00896B83">
      <w:pPr>
        <w:spacing w:before="100" w:beforeAutospacing="1" w:after="100" w:afterAutospacing="1" w:line="240" w:lineRule="auto"/>
        <w:rPr>
          <w:sz w:val="20"/>
          <w:szCs w:val="20"/>
          <w:lang w:val="en-IN" w:eastAsia="en-US"/>
        </w:rPr>
      </w:pPr>
      <w:r w:rsidRPr="00896B83">
        <w:rPr>
          <w:sz w:val="20"/>
          <w:szCs w:val="20"/>
          <w:lang w:val="en-IN" w:eastAsia="en-US"/>
        </w:rPr>
        <w:t>Scatter plots and trend lines will be used to examine relationships such as:</w:t>
      </w:r>
    </w:p>
    <w:p w14:paraId="68957256"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renewable-generation share and carbon intensity;</w:t>
      </w:r>
    </w:p>
    <w:p w14:paraId="4850467A"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fossil-fuel-generation share and carbon intensity;</w:t>
      </w:r>
    </w:p>
    <w:p w14:paraId="4AAC8C1D"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renewable-energy investment and carbon intensity; and</w:t>
      </w:r>
    </w:p>
    <w:p w14:paraId="285FF525" w14:textId="791344D0"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lastRenderedPageBreak/>
        <w:t>lagged investment and subsequent renewable generation.</w:t>
      </w:r>
    </w:p>
    <w:p w14:paraId="532854F5" w14:textId="12BDE4CD" w:rsidR="00896B83" w:rsidRPr="00896B83" w:rsidRDefault="00896B83" w:rsidP="00896B83">
      <w:pPr>
        <w:rPr>
          <w:sz w:val="20"/>
          <w:szCs w:val="20"/>
          <w:lang w:val="en-IN" w:eastAsia="en-US"/>
        </w:rPr>
      </w:pPr>
      <w:r w:rsidRPr="00896B83">
        <w:rPr>
          <w:sz w:val="20"/>
          <w:szCs w:val="20"/>
          <w:lang w:val="en-IN" w:eastAsia="en-US"/>
        </w:rPr>
        <w:t>Python packages such as Pandas and NumPy will be used for data manipulation. Plotly can be used for visualisations that are interactive, while Scikit-learn and Statsmodels will help us build models.</w:t>
      </w:r>
    </w:p>
    <w:p w14:paraId="35B3354C" w14:textId="7FD4C178" w:rsidR="560EDE59" w:rsidRDefault="00B8730D" w:rsidP="00335854">
      <w:pPr>
        <w:pStyle w:val="Heading2"/>
        <w:numPr>
          <w:ilvl w:val="1"/>
          <w:numId w:val="29"/>
        </w:numPr>
      </w:pPr>
      <w:bookmarkStart w:id="18" w:name="_Toc235989878"/>
      <w:r>
        <w:t>Predictive Modelling</w:t>
      </w:r>
      <w:r w:rsidR="00152F80">
        <w:t xml:space="preserve"> and </w:t>
      </w:r>
      <w:r w:rsidR="009E5B1F">
        <w:t>Forecasting</w:t>
      </w:r>
      <w:bookmarkEnd w:id="18"/>
    </w:p>
    <w:p w14:paraId="544633DA" w14:textId="6ECDAC01" w:rsidR="00152F80" w:rsidRDefault="00152F80" w:rsidP="00152F80">
      <w:pPr>
        <w:rPr>
          <w:sz w:val="20"/>
          <w:szCs w:val="20"/>
          <w:lang w:val="en-IN" w:eastAsia="en-US"/>
        </w:rPr>
      </w:pPr>
      <w:r w:rsidRPr="00152F80">
        <w:rPr>
          <w:sz w:val="20"/>
          <w:szCs w:val="20"/>
          <w:lang w:val="en-IN" w:eastAsia="en-US"/>
        </w:rPr>
        <w:t>Electricity carbon-intensity prediction will be formulated as a supervised regression task. Multiple models will be constructed to compare linear, nonlinear, and time-series relationships.</w:t>
      </w:r>
    </w:p>
    <w:p w14:paraId="20D0A300" w14:textId="77777777" w:rsidR="00152F80" w:rsidRPr="00152F80" w:rsidRDefault="00152F80" w:rsidP="00152F80">
      <w:pPr>
        <w:spacing w:before="100" w:beforeAutospacing="1" w:after="100" w:afterAutospacing="1" w:line="240" w:lineRule="auto"/>
        <w:rPr>
          <w:sz w:val="20"/>
          <w:szCs w:val="20"/>
          <w:lang w:val="en-IN" w:eastAsia="en-US"/>
        </w:rPr>
      </w:pPr>
      <w:r w:rsidRPr="00152F80">
        <w:rPr>
          <w:sz w:val="20"/>
          <w:szCs w:val="20"/>
          <w:lang w:val="en-IN" w:eastAsia="en-US"/>
        </w:rPr>
        <w:t>The predictive models may include:</w:t>
      </w:r>
    </w:p>
    <w:p w14:paraId="7F09F377" w14:textId="1DCAA914"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M</w:t>
      </w:r>
      <w:r w:rsidR="00152F80" w:rsidRPr="00152F80">
        <w:rPr>
          <w:sz w:val="20"/>
          <w:szCs w:val="20"/>
          <w:lang w:val="en-IN" w:eastAsia="en-US"/>
        </w:rPr>
        <w:t>ultiple linear regression;</w:t>
      </w:r>
    </w:p>
    <w:p w14:paraId="3BCE0C79"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Ridge regression;</w:t>
      </w:r>
    </w:p>
    <w:p w14:paraId="6AC15BB1"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LASSO regression;</w:t>
      </w:r>
    </w:p>
    <w:p w14:paraId="16E7780F"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Elastic Net regression;</w:t>
      </w:r>
    </w:p>
    <w:p w14:paraId="48F59A5C" w14:textId="0499C76C"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R</w:t>
      </w:r>
      <w:r w:rsidR="00152F80" w:rsidRPr="00152F80">
        <w:rPr>
          <w:sz w:val="20"/>
          <w:szCs w:val="20"/>
          <w:lang w:val="en-IN" w:eastAsia="en-US"/>
        </w:rPr>
        <w:t>andom forest regression;</w:t>
      </w:r>
    </w:p>
    <w:p w14:paraId="112F9D22" w14:textId="1047C6EE"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G</w:t>
      </w:r>
      <w:r w:rsidR="00152F80" w:rsidRPr="00152F80">
        <w:rPr>
          <w:sz w:val="20"/>
          <w:szCs w:val="20"/>
          <w:lang w:val="en-IN" w:eastAsia="en-US"/>
        </w:rPr>
        <w:t>radient-boosting regression; and</w:t>
      </w:r>
    </w:p>
    <w:p w14:paraId="24402596" w14:textId="44F0F33E"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A</w:t>
      </w:r>
      <w:r w:rsidR="00152F80" w:rsidRPr="00152F80">
        <w:rPr>
          <w:sz w:val="20"/>
          <w:szCs w:val="20"/>
          <w:lang w:val="en-IN" w:eastAsia="en-US"/>
        </w:rPr>
        <w:t>n autoregressive model using previous carbon-intensity values.</w:t>
      </w:r>
    </w:p>
    <w:p w14:paraId="2082B1A9" w14:textId="2AF1EED6" w:rsidR="00152F80" w:rsidRPr="00152F80" w:rsidRDefault="00152F80" w:rsidP="00152F80">
      <w:pPr>
        <w:rPr>
          <w:sz w:val="20"/>
          <w:szCs w:val="20"/>
          <w:lang w:val="en-IN" w:eastAsia="en-US"/>
        </w:rPr>
      </w:pPr>
      <w:r w:rsidRPr="00152F80">
        <w:rPr>
          <w:sz w:val="20"/>
          <w:szCs w:val="20"/>
          <w:lang w:val="en-IN" w:eastAsia="en-US"/>
        </w:rPr>
        <w:t>Simple linear regression will serve as a simple model to study the direction and magnitude of associations. Ridge, LASSO, and Elastic Net regressions will help address multicollinearity and diminish the effect of unnecessary variables. Random forest and gradient-boosted models will be constructed to explore nonlinear relationships and interactions between investments and elect</w:t>
      </w:r>
      <w:r>
        <w:rPr>
          <w:sz w:val="20"/>
          <w:szCs w:val="20"/>
          <w:lang w:val="en-IN" w:eastAsia="en-US"/>
        </w:rPr>
        <w:t>ricity generation technologies.</w:t>
      </w:r>
    </w:p>
    <w:p w14:paraId="2F54A1E0" w14:textId="21FC56D5" w:rsidR="00152F80" w:rsidRPr="00152F80" w:rsidRDefault="00152F80" w:rsidP="00152F80">
      <w:pPr>
        <w:rPr>
          <w:sz w:val="20"/>
          <w:szCs w:val="20"/>
          <w:lang w:val="en-IN" w:eastAsia="en-US"/>
        </w:rPr>
      </w:pPr>
      <w:r w:rsidRPr="00152F80">
        <w:rPr>
          <w:sz w:val="20"/>
          <w:szCs w:val="20"/>
          <w:lang w:val="en-IN" w:eastAsia="en-US"/>
        </w:rPr>
        <w:t>A regression model with autoregressive terms will be estimated to measure how much explanatory power is gained through the history of carbon intensity. It will make it possible to compare the predictive performance of models based on the history of carbon intensity alone with models that also take into account inves</w:t>
      </w:r>
      <w:r>
        <w:rPr>
          <w:sz w:val="20"/>
          <w:szCs w:val="20"/>
          <w:lang w:val="en-IN" w:eastAsia="en-US"/>
        </w:rPr>
        <w:t>tment and generation variables.</w:t>
      </w:r>
    </w:p>
    <w:p w14:paraId="7D42AEDE" w14:textId="5CD2D46E" w:rsidR="00152F80" w:rsidRPr="00152F80" w:rsidRDefault="00152F80" w:rsidP="00152F80">
      <w:pPr>
        <w:rPr>
          <w:sz w:val="20"/>
          <w:szCs w:val="20"/>
          <w:lang w:val="en-IN" w:eastAsia="en-US"/>
        </w:rPr>
      </w:pPr>
      <w:r w:rsidRPr="00152F80">
        <w:rPr>
          <w:sz w:val="20"/>
          <w:szCs w:val="20"/>
          <w:lang w:val="en-IN" w:eastAsia="en-US"/>
        </w:rPr>
        <w:t>Neural network regression may be applied if the final merged dataset turns out to have a large number of observations. At the same time, it will not necessarily be the primary model. While hourly datasets used in deep learning prediction papers might be quite rich in the number of observations, country-level annual data may contain substantially less observations.</w:t>
      </w:r>
    </w:p>
    <w:p w14:paraId="67962F0D" w14:textId="0CE3D38E" w:rsidR="009E5B1F" w:rsidRPr="009E5B1F" w:rsidRDefault="009E5B1F" w:rsidP="009E5B1F">
      <w:pPr>
        <w:rPr>
          <w:sz w:val="20"/>
          <w:szCs w:val="20"/>
          <w:lang w:val="en-IN" w:eastAsia="en-US"/>
        </w:rPr>
      </w:pPr>
      <w:r w:rsidRPr="009E5B1F">
        <w:rPr>
          <w:sz w:val="20"/>
          <w:szCs w:val="20"/>
          <w:lang w:val="en-IN" w:eastAsia="en-US"/>
        </w:rPr>
        <w:t>The selected model shall be the one that demonstrates the highest test performance and a reasonable level of interpretability. Selection criteria</w:t>
      </w:r>
      <w:r w:rsidR="00574BAE">
        <w:rPr>
          <w:sz w:val="20"/>
          <w:szCs w:val="20"/>
          <w:lang w:val="en-IN" w:eastAsia="en-US"/>
        </w:rPr>
        <w:t xml:space="preserve"> shall not be solely based on R^</w:t>
      </w:r>
      <w:r w:rsidRPr="009E5B1F">
        <w:rPr>
          <w:sz w:val="20"/>
          <w:szCs w:val="20"/>
          <w:lang w:val="en-IN" w:eastAsia="en-US"/>
        </w:rPr>
        <w:t>2. Rather, other factors such as MAE, RMSE, stability in different validation periods, performance in various countries, and overfitting sha</w:t>
      </w:r>
      <w:r w:rsidR="00574BAE">
        <w:rPr>
          <w:sz w:val="20"/>
          <w:szCs w:val="20"/>
          <w:lang w:val="en-IN" w:eastAsia="en-US"/>
        </w:rPr>
        <w:t>ll be taken into consideration.</w:t>
      </w:r>
    </w:p>
    <w:p w14:paraId="263FEB68" w14:textId="7845CD82" w:rsidR="00896B83" w:rsidRDefault="009E5B1F" w:rsidP="009E5B1F">
      <w:pPr>
        <w:rPr>
          <w:sz w:val="20"/>
          <w:szCs w:val="20"/>
          <w:lang w:val="en-IN" w:eastAsia="en-US"/>
        </w:rPr>
      </w:pPr>
      <w:r w:rsidRPr="009E5B1F">
        <w:rPr>
          <w:sz w:val="20"/>
          <w:szCs w:val="20"/>
          <w:lang w:val="en-IN" w:eastAsia="en-US"/>
        </w:rPr>
        <w:t>Selected models shall be employed to make predictions for the next three to four years of electricity carbon intensity. It should be noted, however, that renewable-energy investment and electricity generation data might be unavailable in the future.</w:t>
      </w:r>
    </w:p>
    <w:p w14:paraId="28E9DF13" w14:textId="77777777" w:rsidR="001E3A84" w:rsidRPr="009E5B1F" w:rsidRDefault="001E3A84" w:rsidP="009E5B1F">
      <w:pPr>
        <w:rPr>
          <w:sz w:val="20"/>
          <w:szCs w:val="20"/>
          <w:lang w:val="en-IN" w:eastAsia="en-US"/>
        </w:rPr>
      </w:pPr>
    </w:p>
    <w:p w14:paraId="09CF0FC7" w14:textId="47C5F1BD" w:rsidR="00574BAE" w:rsidRPr="001E3A84" w:rsidRDefault="00574BAE" w:rsidP="00574BAE">
      <w:pPr>
        <w:pStyle w:val="Heading2"/>
        <w:numPr>
          <w:ilvl w:val="1"/>
          <w:numId w:val="29"/>
        </w:numPr>
        <w:rPr>
          <w:rFonts w:eastAsia="Times New Roman"/>
        </w:rPr>
      </w:pPr>
      <w:bookmarkStart w:id="19" w:name="_Toc235989879"/>
      <w:r>
        <w:rPr>
          <w:rFonts w:eastAsia="Times New Roman"/>
        </w:rPr>
        <w:t>Justification for Methodology</w:t>
      </w:r>
      <w:bookmarkEnd w:id="19"/>
    </w:p>
    <w:p w14:paraId="78EC9BB4" w14:textId="6B45051F" w:rsidR="00574BAE" w:rsidRPr="00574BAE" w:rsidRDefault="00574BAE" w:rsidP="00574BAE">
      <w:pPr>
        <w:rPr>
          <w:sz w:val="20"/>
          <w:szCs w:val="20"/>
          <w:lang w:val="en-IN" w:eastAsia="en-US"/>
        </w:rPr>
      </w:pPr>
      <w:r w:rsidRPr="00574BAE">
        <w:rPr>
          <w:sz w:val="20"/>
          <w:szCs w:val="20"/>
          <w:lang w:val="en-IN" w:eastAsia="en-US"/>
        </w:rPr>
        <w:t>Secondary data can be used since the analysis considers the historical records of national electricity systems and renewable energy financial investments over many years. Gathering similar primary data via surveys and interviews will not be able to supply the numeric, technology-level and longitudinal measurements n</w:t>
      </w:r>
      <w:r>
        <w:rPr>
          <w:sz w:val="20"/>
          <w:szCs w:val="20"/>
          <w:lang w:val="en-IN" w:eastAsia="en-US"/>
        </w:rPr>
        <w:t>eeded for predictive modelling.</w:t>
      </w:r>
    </w:p>
    <w:p w14:paraId="294D2993" w14:textId="4A9FDC41" w:rsidR="00574BAE" w:rsidRPr="00574BAE" w:rsidRDefault="00574BAE" w:rsidP="00574BAE">
      <w:pPr>
        <w:rPr>
          <w:sz w:val="20"/>
          <w:szCs w:val="20"/>
          <w:lang w:val="en-IN" w:eastAsia="en-US"/>
        </w:rPr>
      </w:pPr>
      <w:r w:rsidRPr="00574BAE">
        <w:rPr>
          <w:sz w:val="20"/>
          <w:szCs w:val="20"/>
          <w:lang w:val="en-IN" w:eastAsia="en-US"/>
        </w:rPr>
        <w:lastRenderedPageBreak/>
        <w:t>The merging of Ember and IRENA data sets will enable the analysis to examine whether there is predictive value in the investment in renewables while analysing electricity generation. In essence, this will fill the knowledge gap in the literature, whereby investment decisions and carbon-intensity predictions h</w:t>
      </w:r>
      <w:r>
        <w:rPr>
          <w:sz w:val="20"/>
          <w:szCs w:val="20"/>
          <w:lang w:val="en-IN" w:eastAsia="en-US"/>
        </w:rPr>
        <w:t>ave been studied independently.</w:t>
      </w:r>
    </w:p>
    <w:p w14:paraId="1F6F70CB" w14:textId="57B0F049" w:rsidR="00574BAE" w:rsidRPr="00574BAE" w:rsidRDefault="00574BAE" w:rsidP="00574BAE">
      <w:pPr>
        <w:rPr>
          <w:sz w:val="20"/>
          <w:szCs w:val="20"/>
          <w:lang w:val="en-IN" w:eastAsia="en-US"/>
        </w:rPr>
      </w:pPr>
      <w:r w:rsidRPr="00574BAE">
        <w:rPr>
          <w:sz w:val="20"/>
          <w:szCs w:val="20"/>
          <w:lang w:val="en-IN" w:eastAsia="en-US"/>
        </w:rPr>
        <w:t>Multiple modelling approaches are justified because the relationship between the variables might comprise of linear, non-linear and temporal factors. If only one model was chosen, it would not be possible to know if the predictions made were b</w:t>
      </w:r>
      <w:r>
        <w:rPr>
          <w:sz w:val="20"/>
          <w:szCs w:val="20"/>
          <w:lang w:val="en-IN" w:eastAsia="en-US"/>
        </w:rPr>
        <w:t>etter than other simple models.</w:t>
      </w:r>
    </w:p>
    <w:p w14:paraId="4C567FEE" w14:textId="1146E122" w:rsidR="00574BAE" w:rsidRPr="00574BAE" w:rsidRDefault="00574BAE" w:rsidP="00574BAE">
      <w:pPr>
        <w:rPr>
          <w:sz w:val="20"/>
          <w:szCs w:val="20"/>
          <w:lang w:val="en-IN" w:eastAsia="en-US"/>
        </w:rPr>
      </w:pPr>
      <w:r w:rsidRPr="00574BAE">
        <w:rPr>
          <w:sz w:val="20"/>
          <w:szCs w:val="20"/>
          <w:lang w:val="en-IN" w:eastAsia="en-US"/>
        </w:rPr>
        <w:t>Temporal validation is necessary because the goal of the analysis is to make future predictions. The use of randomly selected previous and future years would mean the inclusion of future knowledge and hence unrealistic evaluation of the results.</w:t>
      </w:r>
    </w:p>
    <w:p w14:paraId="6489E1EA" w14:textId="43FD6B39" w:rsidR="004B501A" w:rsidRDefault="6B0D94D6" w:rsidP="00574BAE">
      <w:pPr>
        <w:pStyle w:val="Heading1"/>
        <w:numPr>
          <w:ilvl w:val="0"/>
          <w:numId w:val="29"/>
        </w:numPr>
      </w:pPr>
      <w:bookmarkStart w:id="20" w:name="_Toc235989880"/>
      <w:r w:rsidRPr="1F538C68">
        <w:rPr>
          <w:rFonts w:eastAsia="Times New Roman"/>
        </w:rPr>
        <w:t>Ethical Considerations</w:t>
      </w:r>
      <w:bookmarkEnd w:id="20"/>
      <w:r w:rsidRPr="1F538C68">
        <w:t xml:space="preserve"> </w:t>
      </w:r>
    </w:p>
    <w:p w14:paraId="6C07433E" w14:textId="77777777" w:rsidR="00574BAE" w:rsidRPr="00574BAE" w:rsidRDefault="00574BAE" w:rsidP="00574BAE">
      <w:pPr>
        <w:rPr>
          <w:lang w:val="en-IN" w:eastAsia="en-US"/>
        </w:rPr>
      </w:pPr>
    </w:p>
    <w:p w14:paraId="621AFB8C" w14:textId="161F1628" w:rsidR="00574BAE" w:rsidRPr="00574BAE" w:rsidRDefault="00574BAE" w:rsidP="00574BAE">
      <w:pPr>
        <w:pStyle w:val="ListParagraph"/>
        <w:numPr>
          <w:ilvl w:val="0"/>
          <w:numId w:val="40"/>
        </w:numPr>
        <w:rPr>
          <w:b/>
          <w:sz w:val="20"/>
          <w:szCs w:val="20"/>
          <w:lang w:val="en-IN" w:eastAsia="en-US"/>
        </w:rPr>
      </w:pPr>
      <w:r w:rsidRPr="00574BAE">
        <w:rPr>
          <w:b/>
          <w:sz w:val="20"/>
          <w:szCs w:val="20"/>
          <w:lang w:val="en-IN" w:eastAsia="en-US"/>
        </w:rPr>
        <w:t xml:space="preserve">Ethical Use and Attribution of Secondary Data: </w:t>
      </w:r>
      <w:r w:rsidRPr="00574BAE">
        <w:rPr>
          <w:sz w:val="20"/>
          <w:szCs w:val="20"/>
          <w:lang w:val="en-IN" w:eastAsia="en-US"/>
        </w:rPr>
        <w:t xml:space="preserve">The electricity and investments data will be sourced from reputable public sources like Ember and IRENA. Prior to the use of each dataset, its licensing agreement, access requirements and </w:t>
      </w:r>
      <w:r w:rsidR="0032473E">
        <w:rPr>
          <w:sz w:val="20"/>
          <w:szCs w:val="20"/>
          <w:lang w:val="en-IN" w:eastAsia="en-US"/>
        </w:rPr>
        <w:t>authorised</w:t>
      </w:r>
      <w:r w:rsidRPr="00574BAE">
        <w:rPr>
          <w:sz w:val="20"/>
          <w:szCs w:val="20"/>
          <w:lang w:val="en-IN" w:eastAsia="en-US"/>
        </w:rPr>
        <w:t xml:space="preserve"> use for academic work will be assessed. The datasets, reports, and academic papers will be referenced in the Harvard referencing style. The original source will be referenced even in cases where the researcher has performed data cleaning, aggregation or transformation of the data. Data derived from another study will not be presented as independent data.</w:t>
      </w:r>
    </w:p>
    <w:p w14:paraId="48856914" w14:textId="233B1D7E" w:rsidR="00A738F6" w:rsidRPr="00775A5A" w:rsidRDefault="00574BAE" w:rsidP="002E3E44">
      <w:pPr>
        <w:pStyle w:val="ListParagraph"/>
        <w:numPr>
          <w:ilvl w:val="0"/>
          <w:numId w:val="39"/>
        </w:numPr>
        <w:rPr>
          <w:b/>
          <w:sz w:val="20"/>
          <w:szCs w:val="20"/>
          <w:lang w:val="en-IN" w:eastAsia="en-US"/>
        </w:rPr>
      </w:pPr>
      <w:r w:rsidRPr="00775A5A">
        <w:rPr>
          <w:b/>
          <w:sz w:val="20"/>
          <w:szCs w:val="20"/>
          <w:lang w:val="en-IN" w:eastAsia="en-US"/>
        </w:rPr>
        <w:t>Data Quality and Research Integrity</w:t>
      </w:r>
      <w:r w:rsidR="00775A5A">
        <w:rPr>
          <w:b/>
          <w:sz w:val="20"/>
          <w:szCs w:val="20"/>
          <w:lang w:val="en-IN" w:eastAsia="en-US"/>
        </w:rPr>
        <w:t xml:space="preserve">: </w:t>
      </w:r>
      <w:r w:rsidR="00775A5A" w:rsidRPr="00775A5A">
        <w:rPr>
          <w:sz w:val="20"/>
          <w:szCs w:val="20"/>
          <w:lang w:val="en-IN" w:eastAsia="en-US"/>
        </w:rPr>
        <w:t>The fact that the data is available to the public does not mean that</w:t>
      </w:r>
      <w:r w:rsidR="00775A5A">
        <w:rPr>
          <w:sz w:val="20"/>
          <w:szCs w:val="20"/>
          <w:lang w:val="en-IN" w:eastAsia="en-US"/>
        </w:rPr>
        <w:t xml:space="preserve"> the data is accurate and error </w:t>
      </w:r>
      <w:r w:rsidR="00775A5A" w:rsidRPr="00775A5A">
        <w:rPr>
          <w:sz w:val="20"/>
          <w:szCs w:val="20"/>
          <w:lang w:val="en-IN" w:eastAsia="en-US"/>
        </w:rPr>
        <w:t>free. There are differences among countries concerning reporting, definitions, period of observation, and coverage. The investment data could also reflect only international investments but not all domestic and private investments in renewable energy. The missing data, outliers, and inconsistency in the observations will be addressed appropriately. The missing value in the investment will not be taken as zero.</w:t>
      </w:r>
    </w:p>
    <w:p w14:paraId="2DE71FD3" w14:textId="25FBD2D8" w:rsidR="00775A5A" w:rsidRDefault="00775A5A" w:rsidP="00775A5A">
      <w:pPr>
        <w:pStyle w:val="ListParagraph"/>
        <w:numPr>
          <w:ilvl w:val="0"/>
          <w:numId w:val="39"/>
        </w:numPr>
        <w:rPr>
          <w:sz w:val="20"/>
          <w:szCs w:val="20"/>
          <w:lang w:val="en-IN" w:eastAsia="en-US"/>
        </w:rPr>
      </w:pPr>
      <w:r w:rsidRPr="00775A5A">
        <w:rPr>
          <w:b/>
          <w:sz w:val="20"/>
          <w:szCs w:val="20"/>
          <w:lang w:val="en-IN" w:eastAsia="en-US"/>
        </w:rPr>
        <w:t>Responsible Development of Predictive Models</w:t>
      </w:r>
      <w:r>
        <w:rPr>
          <w:b/>
          <w:sz w:val="20"/>
          <w:szCs w:val="20"/>
          <w:lang w:val="en-IN" w:eastAsia="en-US"/>
        </w:rPr>
        <w:t xml:space="preserve">: </w:t>
      </w:r>
      <w:r w:rsidRPr="00775A5A">
        <w:rPr>
          <w:sz w:val="20"/>
          <w:szCs w:val="20"/>
          <w:lang w:val="en-IN" w:eastAsia="en-US"/>
        </w:rPr>
        <w:t>The predictive models can give erroneous predictions due to the incomplete nature of the data set, overfitting of the model, or because the future conditions will be different from those in the past. The risks associated with the above factors will be reduced by comparing simple and complex models, using temporal validation and testing on unseen data sets. Accuracy of the predictive models cannot be used to demonstrate causation. The feature importance shows only that the variable was important for prediction using the model and does not imply causality.</w:t>
      </w:r>
    </w:p>
    <w:p w14:paraId="59E752B6" w14:textId="6AF863B3" w:rsidR="00722F7C" w:rsidRDefault="00775A5A" w:rsidP="00722F7C">
      <w:pPr>
        <w:pStyle w:val="isselectedend"/>
        <w:numPr>
          <w:ilvl w:val="0"/>
          <w:numId w:val="39"/>
        </w:numPr>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b/>
          <w:sz w:val="20"/>
          <w:szCs w:val="20"/>
          <w:lang w:eastAsia="en-US"/>
        </w:rPr>
        <w:t>EU Artificial Intelligence Act:</w:t>
      </w:r>
      <w:r w:rsidR="00722F7C">
        <w:rPr>
          <w:b/>
          <w:sz w:val="20"/>
          <w:szCs w:val="20"/>
          <w:lang w:eastAsia="en-US"/>
        </w:rPr>
        <w:t xml:space="preserve"> </w:t>
      </w:r>
      <w:r w:rsidR="00722F7C" w:rsidRPr="00722F7C">
        <w:rPr>
          <w:rFonts w:asciiTheme="minorHAnsi" w:eastAsiaTheme="minorEastAsia" w:hAnsiTheme="minorHAnsi" w:cstheme="minorBidi"/>
          <w:sz w:val="20"/>
          <w:szCs w:val="20"/>
          <w:lang w:eastAsia="en-US"/>
        </w:rPr>
        <w:t>The EU Artificial Intelligence Act, Regulation (EU) 2024/1689, uses a risk-based framework and identifies high-risk systems partly according to their intended purpose and the areas listed in Article 6 and Annex III.</w:t>
      </w:r>
    </w:p>
    <w:p w14:paraId="59029397" w14:textId="3B375B02" w:rsidR="00722F7C" w:rsidRDefault="00722F7C" w:rsidP="00722F7C">
      <w:pPr>
        <w:pStyle w:val="NormalWeb"/>
        <w:ind w:left="720"/>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sz w:val="20"/>
          <w:szCs w:val="20"/>
          <w:lang w:eastAsia="en-US"/>
        </w:rPr>
        <w:t>The model developed in this research will be an academic forecasting tool for aggregated country-level electricity carbon intensity. It will not make decisions about individuals, employment access, education, credit, law enforcement, migration or essential public services.</w:t>
      </w:r>
    </w:p>
    <w:p w14:paraId="55AB387D" w14:textId="2A422027" w:rsidR="00722F7C" w:rsidRPr="00112D6F" w:rsidRDefault="00722F7C" w:rsidP="00F031BB">
      <w:pPr>
        <w:pStyle w:val="NormalWeb"/>
        <w:numPr>
          <w:ilvl w:val="0"/>
          <w:numId w:val="39"/>
        </w:numPr>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b/>
          <w:sz w:val="20"/>
          <w:szCs w:val="20"/>
          <w:lang w:eastAsia="en-US"/>
        </w:rPr>
        <w:t>GDPR and Data Protection</w:t>
      </w:r>
      <w:r>
        <w:rPr>
          <w:rFonts w:asciiTheme="minorHAnsi" w:eastAsiaTheme="minorEastAsia" w:hAnsiTheme="minorHAnsi" w:cstheme="minorBidi"/>
          <w:b/>
          <w:sz w:val="20"/>
          <w:szCs w:val="20"/>
          <w:lang w:eastAsia="en-US"/>
        </w:rPr>
        <w:t xml:space="preserve">: </w:t>
      </w:r>
      <w:r w:rsidR="00F031BB" w:rsidRPr="00112D6F">
        <w:rPr>
          <w:rFonts w:asciiTheme="minorHAnsi" w:eastAsiaTheme="minorEastAsia" w:hAnsiTheme="minorHAnsi" w:cstheme="minorBidi"/>
          <w:sz w:val="20"/>
          <w:szCs w:val="20"/>
          <w:lang w:eastAsia="en-US"/>
        </w:rPr>
        <w:t xml:space="preserve">General Data Protection Regulation concerns itself with the processing of personal data. The planned study will employ aggregated economic, investment, generation, and emission metrics at the country level, as opposed to data about specific individuals. Nonetheless, the principle of purpose limitation, data minimization, accuracy, storage limitation, and proper security shall govern the research process. These principles are provided </w:t>
      </w:r>
      <w:r w:rsidR="00F031BB" w:rsidRPr="00112D6F">
        <w:rPr>
          <w:rFonts w:asciiTheme="minorHAnsi" w:eastAsiaTheme="minorEastAsia" w:hAnsiTheme="minorHAnsi" w:cstheme="minorBidi"/>
          <w:sz w:val="20"/>
          <w:szCs w:val="20"/>
          <w:lang w:eastAsia="en-US"/>
        </w:rPr>
        <w:lastRenderedPageBreak/>
        <w:t>for under Article 5 of Regulation (EU) 2016/679. Variables that are pertinent to the study will be collected alone. Personal data should the same happen to come up in a downloaded document will not find its way into the analytical database.</w:t>
      </w:r>
    </w:p>
    <w:p w14:paraId="5615C0A3" w14:textId="77777777" w:rsidR="00722F7C" w:rsidRPr="00722F7C" w:rsidRDefault="00722F7C" w:rsidP="00722F7C">
      <w:pPr>
        <w:pStyle w:val="isselectedend"/>
        <w:ind w:left="720"/>
        <w:rPr>
          <w:rFonts w:asciiTheme="minorHAnsi" w:eastAsiaTheme="minorEastAsia" w:hAnsiTheme="minorHAnsi" w:cstheme="minorBidi"/>
          <w:sz w:val="20"/>
          <w:szCs w:val="20"/>
          <w:lang w:eastAsia="en-US"/>
        </w:rPr>
      </w:pPr>
    </w:p>
    <w:p w14:paraId="73AB13EE" w14:textId="7787ACF9" w:rsidR="00D433E9" w:rsidRDefault="00D433E9" w:rsidP="00D924D7">
      <w:pPr>
        <w:rPr>
          <w:lang w:val="en-IN" w:eastAsia="en-US"/>
        </w:rPr>
      </w:pPr>
    </w:p>
    <w:p w14:paraId="462661D8" w14:textId="785C9872" w:rsidR="00E30D92" w:rsidRDefault="00253F7D" w:rsidP="00D924D7">
      <w:pPr>
        <w:rPr>
          <w:lang w:val="en-IN" w:eastAsia="en-US"/>
        </w:rPr>
      </w:pPr>
      <w:r>
        <w:rPr>
          <w:lang w:val="en-IN" w:eastAsia="en-US"/>
        </w:rPr>
        <w:t xml:space="preserve"> </w:t>
      </w:r>
    </w:p>
    <w:p w14:paraId="1351575C" w14:textId="6A20258F" w:rsidR="00152F80" w:rsidRDefault="00152F80" w:rsidP="00D924D7">
      <w:pPr>
        <w:rPr>
          <w:lang w:val="en-IN" w:eastAsia="en-US"/>
        </w:rPr>
      </w:pPr>
    </w:p>
    <w:p w14:paraId="6E4DE152" w14:textId="5330EF8B" w:rsidR="00152F80" w:rsidRDefault="00152F80" w:rsidP="00D924D7">
      <w:pPr>
        <w:rPr>
          <w:lang w:val="en-IN" w:eastAsia="en-US"/>
        </w:rPr>
      </w:pPr>
    </w:p>
    <w:p w14:paraId="176297F7" w14:textId="37B97349" w:rsidR="00152F80" w:rsidRDefault="00152F80" w:rsidP="00D924D7">
      <w:pPr>
        <w:rPr>
          <w:lang w:val="en-IN" w:eastAsia="en-US"/>
        </w:rPr>
      </w:pPr>
    </w:p>
    <w:p w14:paraId="60889541" w14:textId="7D4238BF" w:rsidR="00152F80" w:rsidRDefault="00152F80" w:rsidP="00D924D7">
      <w:pPr>
        <w:rPr>
          <w:lang w:val="en-IN" w:eastAsia="en-US"/>
        </w:rPr>
      </w:pPr>
    </w:p>
    <w:p w14:paraId="7087F530" w14:textId="01E4A562" w:rsidR="00152F80" w:rsidRDefault="00152F80" w:rsidP="00D924D7">
      <w:pPr>
        <w:rPr>
          <w:lang w:val="en-IN" w:eastAsia="en-US"/>
        </w:rPr>
      </w:pPr>
    </w:p>
    <w:p w14:paraId="3BA95401" w14:textId="6D9CE9EB" w:rsidR="00152F80" w:rsidRDefault="00152F80" w:rsidP="00D924D7">
      <w:pPr>
        <w:rPr>
          <w:lang w:val="en-IN" w:eastAsia="en-US"/>
        </w:rPr>
      </w:pPr>
    </w:p>
    <w:p w14:paraId="37C6D72E" w14:textId="2F6C17BA" w:rsidR="0032473E" w:rsidRDefault="0032473E" w:rsidP="00D924D7">
      <w:pPr>
        <w:rPr>
          <w:lang w:val="en-IN" w:eastAsia="en-US"/>
        </w:rPr>
      </w:pPr>
    </w:p>
    <w:p w14:paraId="60D709C5" w14:textId="31BBCC12" w:rsidR="001E3A84" w:rsidRDefault="001E3A84" w:rsidP="00D924D7">
      <w:pPr>
        <w:rPr>
          <w:lang w:val="en-IN" w:eastAsia="en-US"/>
        </w:rPr>
      </w:pPr>
    </w:p>
    <w:p w14:paraId="0C90ADC7" w14:textId="41500E54" w:rsidR="001E3A84" w:rsidRDefault="001E3A84" w:rsidP="00D924D7">
      <w:pPr>
        <w:rPr>
          <w:lang w:val="en-IN" w:eastAsia="en-US"/>
        </w:rPr>
      </w:pPr>
    </w:p>
    <w:p w14:paraId="37428F4F" w14:textId="031E2DE3" w:rsidR="001E3A84" w:rsidRDefault="001E3A84" w:rsidP="00D924D7">
      <w:pPr>
        <w:rPr>
          <w:lang w:val="en-IN" w:eastAsia="en-US"/>
        </w:rPr>
      </w:pPr>
    </w:p>
    <w:p w14:paraId="37D3003B" w14:textId="696EDCB0" w:rsidR="001E3A84" w:rsidRDefault="001E3A84" w:rsidP="00D924D7">
      <w:pPr>
        <w:rPr>
          <w:lang w:val="en-IN" w:eastAsia="en-US"/>
        </w:rPr>
      </w:pPr>
    </w:p>
    <w:p w14:paraId="5D154804" w14:textId="0B35172B" w:rsidR="001E3A84" w:rsidRDefault="001E3A84" w:rsidP="00D924D7">
      <w:pPr>
        <w:rPr>
          <w:lang w:val="en-IN" w:eastAsia="en-US"/>
        </w:rPr>
      </w:pPr>
    </w:p>
    <w:p w14:paraId="0EC67CCE" w14:textId="69A0D96E" w:rsidR="001E3A84" w:rsidRDefault="001E3A84" w:rsidP="00D924D7">
      <w:pPr>
        <w:rPr>
          <w:lang w:val="en-IN" w:eastAsia="en-US"/>
        </w:rPr>
      </w:pPr>
    </w:p>
    <w:p w14:paraId="5AC22F85" w14:textId="77777777" w:rsidR="001E3A84" w:rsidRDefault="001E3A84" w:rsidP="00D924D7">
      <w:pPr>
        <w:rPr>
          <w:lang w:val="en-IN" w:eastAsia="en-US"/>
        </w:rPr>
      </w:pPr>
    </w:p>
    <w:p w14:paraId="6EEFE19A" w14:textId="01E2C4FA" w:rsidR="0032473E" w:rsidRDefault="0032473E" w:rsidP="00D924D7">
      <w:pPr>
        <w:rPr>
          <w:lang w:val="en-IN" w:eastAsia="en-US"/>
        </w:rPr>
      </w:pPr>
    </w:p>
    <w:p w14:paraId="73AB5DFE" w14:textId="77777777" w:rsidR="0032473E" w:rsidRDefault="0032473E" w:rsidP="00D924D7">
      <w:pPr>
        <w:rPr>
          <w:lang w:val="en-IN" w:eastAsia="en-US"/>
        </w:rPr>
      </w:pPr>
    </w:p>
    <w:p w14:paraId="1C8FB1B6" w14:textId="44CC1D69" w:rsidR="00152F80" w:rsidRDefault="00152F80" w:rsidP="00D924D7">
      <w:pPr>
        <w:rPr>
          <w:lang w:val="en-IN" w:eastAsia="en-US"/>
        </w:rPr>
      </w:pPr>
    </w:p>
    <w:p w14:paraId="65910E6C" w14:textId="5F0E481C" w:rsidR="00152F80" w:rsidRDefault="00152F80" w:rsidP="00D924D7">
      <w:pPr>
        <w:rPr>
          <w:lang w:val="en-IN" w:eastAsia="en-US"/>
        </w:rPr>
      </w:pPr>
    </w:p>
    <w:p w14:paraId="1356F3C9" w14:textId="323BBFEE" w:rsidR="00775A5A" w:rsidRPr="00D924D7" w:rsidRDefault="00775A5A" w:rsidP="00D924D7">
      <w:pPr>
        <w:rPr>
          <w:lang w:val="en-IN" w:eastAsia="en-US"/>
        </w:rPr>
      </w:pPr>
    </w:p>
    <w:p w14:paraId="79F80CBC" w14:textId="425E7413" w:rsidR="1F538C68" w:rsidRDefault="00A738F6" w:rsidP="00025608">
      <w:pPr>
        <w:pStyle w:val="Heading1"/>
      </w:pPr>
      <w:bookmarkStart w:id="21" w:name="_Toc235989881"/>
      <w:r>
        <w:t>Reference</w:t>
      </w:r>
      <w:bookmarkEnd w:id="21"/>
      <w:r w:rsidR="005913AF">
        <w:t>s</w:t>
      </w:r>
    </w:p>
    <w:p w14:paraId="753BC685" w14:textId="77777777" w:rsidR="00025608" w:rsidRPr="00D433E9" w:rsidRDefault="00025608" w:rsidP="00025608">
      <w:pPr>
        <w:rPr>
          <w:sz w:val="18"/>
          <w:szCs w:val="18"/>
          <w:lang w:val="en-IN" w:eastAsia="en-US"/>
        </w:rPr>
      </w:pPr>
    </w:p>
    <w:p w14:paraId="5DFFDDA6" w14:textId="77777777" w:rsidR="00190133" w:rsidRPr="00253F7D" w:rsidRDefault="00F95558" w:rsidP="00190133">
      <w:pPr>
        <w:pStyle w:val="Bibliography"/>
        <w:rPr>
          <w:sz w:val="18"/>
          <w:szCs w:val="18"/>
        </w:rPr>
      </w:pPr>
      <w:r w:rsidRPr="00253F7D">
        <w:rPr>
          <w:sz w:val="18"/>
          <w:szCs w:val="18"/>
        </w:rPr>
        <w:lastRenderedPageBreak/>
        <w:fldChar w:fldCharType="begin"/>
      </w:r>
      <w:r w:rsidR="009647D1" w:rsidRPr="00253F7D">
        <w:rPr>
          <w:sz w:val="18"/>
          <w:szCs w:val="18"/>
        </w:rPr>
        <w:instrText xml:space="preserve"> ADDIN ZOTERO_BIBL {"uncited":[],"omitted":[],"custom":[]} CSL_BIBLIOGRAPHY </w:instrText>
      </w:r>
      <w:r w:rsidRPr="00253F7D">
        <w:rPr>
          <w:sz w:val="18"/>
          <w:szCs w:val="18"/>
        </w:rPr>
        <w:fldChar w:fldCharType="separate"/>
      </w:r>
      <w:r w:rsidR="00190133" w:rsidRPr="00253F7D">
        <w:rPr>
          <w:sz w:val="18"/>
          <w:szCs w:val="18"/>
        </w:rPr>
        <w:t xml:space="preserve">Appiah-Otoo, I., Chen, X. and Kursah, M.B. (2023) ‘Modelling the impact of renewable energy investment on global carbon dioxide emissions’, </w:t>
      </w:r>
      <w:r w:rsidR="00190133" w:rsidRPr="00253F7D">
        <w:rPr>
          <w:i/>
          <w:iCs/>
          <w:sz w:val="18"/>
          <w:szCs w:val="18"/>
        </w:rPr>
        <w:t>Energy Reports</w:t>
      </w:r>
      <w:r w:rsidR="00190133" w:rsidRPr="00253F7D">
        <w:rPr>
          <w:sz w:val="18"/>
          <w:szCs w:val="18"/>
        </w:rPr>
        <w:t>, 10, pp. 3787–3799. Available at: https://doi.org/10.1016/j.egyr.2023.10.043.</w:t>
      </w:r>
    </w:p>
    <w:p w14:paraId="3BE71E6B" w14:textId="77777777" w:rsidR="00190133" w:rsidRPr="00253F7D" w:rsidRDefault="00190133" w:rsidP="00190133">
      <w:pPr>
        <w:pStyle w:val="Bibliography"/>
        <w:rPr>
          <w:sz w:val="18"/>
          <w:szCs w:val="18"/>
        </w:rPr>
      </w:pPr>
      <w:r w:rsidRPr="00253F7D">
        <w:rPr>
          <w:sz w:val="18"/>
          <w:szCs w:val="18"/>
        </w:rPr>
        <w:t xml:space="preserve">Collins, S. </w:t>
      </w:r>
      <w:r w:rsidRPr="00253F7D">
        <w:rPr>
          <w:i/>
          <w:iCs/>
          <w:sz w:val="18"/>
          <w:szCs w:val="18"/>
        </w:rPr>
        <w:t>et al.</w:t>
      </w:r>
      <w:r w:rsidRPr="00253F7D">
        <w:rPr>
          <w:sz w:val="18"/>
          <w:szCs w:val="18"/>
        </w:rPr>
        <w:t xml:space="preserve"> (2018) ‘Impacts of Inter-annual Wind and Solar Variations on the European Power System’, </w:t>
      </w:r>
      <w:r w:rsidRPr="00253F7D">
        <w:rPr>
          <w:i/>
          <w:iCs/>
          <w:sz w:val="18"/>
          <w:szCs w:val="18"/>
        </w:rPr>
        <w:t>Joule</w:t>
      </w:r>
      <w:r w:rsidRPr="00253F7D">
        <w:rPr>
          <w:sz w:val="18"/>
          <w:szCs w:val="18"/>
        </w:rPr>
        <w:t>, 2(10), pp. 2076–2090. Available at: https://doi.org/10.1016/j.joule.2018.06.020.</w:t>
      </w:r>
    </w:p>
    <w:p w14:paraId="2C86C50A" w14:textId="77777777" w:rsidR="00190133" w:rsidRPr="00253F7D" w:rsidRDefault="00190133" w:rsidP="00190133">
      <w:pPr>
        <w:pStyle w:val="Bibliography"/>
        <w:rPr>
          <w:sz w:val="18"/>
          <w:szCs w:val="18"/>
        </w:rPr>
      </w:pPr>
      <w:r w:rsidRPr="00253F7D">
        <w:rPr>
          <w:sz w:val="18"/>
          <w:szCs w:val="18"/>
        </w:rPr>
        <w:t xml:space="preserve">Hosein, G. </w:t>
      </w:r>
      <w:r w:rsidRPr="00253F7D">
        <w:rPr>
          <w:i/>
          <w:iCs/>
          <w:sz w:val="18"/>
          <w:szCs w:val="18"/>
        </w:rPr>
        <w:t>et al.</w:t>
      </w:r>
      <w:r w:rsidRPr="00253F7D">
        <w:rPr>
          <w:sz w:val="18"/>
          <w:szCs w:val="18"/>
        </w:rPr>
        <w:t xml:space="preserve"> (2020) ‘Predicting Renewable Energy Investment Using Machine Learning’, </w:t>
      </w:r>
      <w:r w:rsidRPr="00253F7D">
        <w:rPr>
          <w:i/>
          <w:iCs/>
          <w:sz w:val="18"/>
          <w:szCs w:val="18"/>
        </w:rPr>
        <w:t>Energies</w:t>
      </w:r>
      <w:r w:rsidRPr="00253F7D">
        <w:rPr>
          <w:sz w:val="18"/>
          <w:szCs w:val="18"/>
        </w:rPr>
        <w:t>, 13(17), p. 4494. Available at: https://doi.org/10.3390/en13174494.</w:t>
      </w:r>
    </w:p>
    <w:p w14:paraId="4941E620" w14:textId="77777777" w:rsidR="00190133" w:rsidRPr="00253F7D" w:rsidRDefault="00190133" w:rsidP="00190133">
      <w:pPr>
        <w:pStyle w:val="Bibliography"/>
        <w:rPr>
          <w:sz w:val="18"/>
          <w:szCs w:val="18"/>
        </w:rPr>
      </w:pPr>
      <w:r w:rsidRPr="00253F7D">
        <w:rPr>
          <w:sz w:val="18"/>
          <w:szCs w:val="18"/>
        </w:rPr>
        <w:t xml:space="preserve">Intergovernmental Panel On Climate Change (Ipcc) (ed.) (2023) ‘Energy Systems’, </w:t>
      </w:r>
      <w:r w:rsidRPr="00253F7D">
        <w:rPr>
          <w:i/>
          <w:iCs/>
          <w:sz w:val="18"/>
          <w:szCs w:val="18"/>
        </w:rPr>
        <w:t>Climate Change 2022 - Mitigation of Climate Change</w:t>
      </w:r>
      <w:r w:rsidRPr="00253F7D">
        <w:rPr>
          <w:sz w:val="18"/>
          <w:szCs w:val="18"/>
        </w:rPr>
        <w:t>. 1st edn. Cambridge University Press, pp. 613–746. Available at: https://doi.org/10.1017/9781009157926.008.</w:t>
      </w:r>
    </w:p>
    <w:p w14:paraId="00263D22" w14:textId="77777777" w:rsidR="00190133" w:rsidRPr="00253F7D" w:rsidRDefault="00190133" w:rsidP="00190133">
      <w:pPr>
        <w:pStyle w:val="Bibliography"/>
        <w:rPr>
          <w:sz w:val="18"/>
          <w:szCs w:val="18"/>
        </w:rPr>
      </w:pPr>
      <w:r w:rsidRPr="00253F7D">
        <w:rPr>
          <w:sz w:val="18"/>
          <w:szCs w:val="18"/>
        </w:rPr>
        <w:t xml:space="preserve">Kim, Haein </w:t>
      </w:r>
      <w:r w:rsidRPr="00253F7D">
        <w:rPr>
          <w:i/>
          <w:iCs/>
          <w:sz w:val="18"/>
          <w:szCs w:val="18"/>
        </w:rPr>
        <w:t>et al.</w:t>
      </w:r>
      <w:r w:rsidRPr="00253F7D">
        <w:rPr>
          <w:sz w:val="18"/>
          <w:szCs w:val="18"/>
        </w:rPr>
        <w:t xml:space="preserve"> (2020) ‘Decomposition Analysis of CO2 Emission from Electricity Generation: Comparison of OECD Countries before and after the Financial Crisis’, </w:t>
      </w:r>
      <w:r w:rsidRPr="00253F7D">
        <w:rPr>
          <w:i/>
          <w:iCs/>
          <w:sz w:val="18"/>
          <w:szCs w:val="18"/>
        </w:rPr>
        <w:t>Energies</w:t>
      </w:r>
      <w:r w:rsidRPr="00253F7D">
        <w:rPr>
          <w:sz w:val="18"/>
          <w:szCs w:val="18"/>
        </w:rPr>
        <w:t>, 13(14), p. 3522. Available at: https://doi.org/10.3390/en13143522.</w:t>
      </w:r>
    </w:p>
    <w:p w14:paraId="5603FD38" w14:textId="77777777" w:rsidR="00190133" w:rsidRPr="00253F7D" w:rsidRDefault="00190133" w:rsidP="00190133">
      <w:pPr>
        <w:pStyle w:val="Bibliography"/>
        <w:rPr>
          <w:sz w:val="18"/>
          <w:szCs w:val="18"/>
        </w:rPr>
      </w:pPr>
      <w:r w:rsidRPr="00253F7D">
        <w:rPr>
          <w:sz w:val="18"/>
          <w:szCs w:val="18"/>
        </w:rPr>
        <w:t xml:space="preserve">Leerbeck, K. </w:t>
      </w:r>
      <w:r w:rsidRPr="00253F7D">
        <w:rPr>
          <w:i/>
          <w:iCs/>
          <w:sz w:val="18"/>
          <w:szCs w:val="18"/>
        </w:rPr>
        <w:t>et al.</w:t>
      </w:r>
      <w:r w:rsidRPr="00253F7D">
        <w:rPr>
          <w:sz w:val="18"/>
          <w:szCs w:val="18"/>
        </w:rPr>
        <w:t xml:space="preserve"> (2020) ‘Short-Term Forecasting of CO2 Emission Intensity in Power Grids by Machine Learning’. arXiv. Available at: https://doi.org/10.48550/arXiv.2003.05740.</w:t>
      </w:r>
    </w:p>
    <w:p w14:paraId="72162C34" w14:textId="77777777" w:rsidR="00190133" w:rsidRPr="00253F7D" w:rsidRDefault="00190133" w:rsidP="00190133">
      <w:pPr>
        <w:pStyle w:val="Bibliography"/>
        <w:rPr>
          <w:sz w:val="18"/>
          <w:szCs w:val="18"/>
        </w:rPr>
      </w:pPr>
      <w:r w:rsidRPr="00253F7D">
        <w:rPr>
          <w:sz w:val="18"/>
          <w:szCs w:val="18"/>
        </w:rPr>
        <w:t xml:space="preserve">Ma, S., Liu, Q. and Zhang, W. (2022) ‘Examining the Effects of Installed Capacity Mix and Capacity Factor on Aggregate Carbon Intensity for Electricity Generation in China’, </w:t>
      </w:r>
      <w:r w:rsidRPr="00253F7D">
        <w:rPr>
          <w:i/>
          <w:iCs/>
          <w:sz w:val="18"/>
          <w:szCs w:val="18"/>
        </w:rPr>
        <w:t>International Journal of Environmental Research and Public Health</w:t>
      </w:r>
      <w:r w:rsidRPr="00253F7D">
        <w:rPr>
          <w:sz w:val="18"/>
          <w:szCs w:val="18"/>
        </w:rPr>
        <w:t>, 19(6), p. 3471. Available at: https://doi.org/10.3390/ijerph19063471.</w:t>
      </w:r>
    </w:p>
    <w:p w14:paraId="57AAAD77" w14:textId="77777777" w:rsidR="00190133" w:rsidRPr="00253F7D" w:rsidRDefault="00190133" w:rsidP="00190133">
      <w:pPr>
        <w:pStyle w:val="Bibliography"/>
        <w:rPr>
          <w:sz w:val="18"/>
          <w:szCs w:val="18"/>
        </w:rPr>
      </w:pPr>
      <w:r w:rsidRPr="00253F7D">
        <w:rPr>
          <w:sz w:val="18"/>
          <w:szCs w:val="18"/>
        </w:rPr>
        <w:t xml:space="preserve">Maji, D., Shenoy, P. and Sitaraman, R.K. (2022) ‘CarbonCast: multi-day forecasting of grid carbon intensity’, </w:t>
      </w:r>
      <w:r w:rsidRPr="00253F7D">
        <w:rPr>
          <w:i/>
          <w:iCs/>
          <w:sz w:val="18"/>
          <w:szCs w:val="18"/>
        </w:rPr>
        <w:t>Proceedings of the 9th ACM International Conference on Systems for Energy-Efficient Buildings, Cities, and Transportation</w:t>
      </w:r>
      <w:r w:rsidRPr="00253F7D">
        <w:rPr>
          <w:sz w:val="18"/>
          <w:szCs w:val="18"/>
        </w:rPr>
        <w:t xml:space="preserve">. </w:t>
      </w:r>
      <w:r w:rsidRPr="00253F7D">
        <w:rPr>
          <w:i/>
          <w:iCs/>
          <w:sz w:val="18"/>
          <w:szCs w:val="18"/>
        </w:rPr>
        <w:t>BuildSys ’22: The 9th ACM International Conference on Systems for Energy-Efficient Buildings, Cities, and Transportation</w:t>
      </w:r>
      <w:r w:rsidRPr="00253F7D">
        <w:rPr>
          <w:sz w:val="18"/>
          <w:szCs w:val="18"/>
        </w:rPr>
        <w:t>, Boston Massachusetts: ACM, pp. 198–207. Available at: https://doi.org/10.1145/3563357.3564079.</w:t>
      </w:r>
    </w:p>
    <w:p w14:paraId="49CDA1B2" w14:textId="77777777" w:rsidR="00190133" w:rsidRPr="00253F7D" w:rsidRDefault="00190133" w:rsidP="00190133">
      <w:pPr>
        <w:pStyle w:val="Bibliography"/>
        <w:rPr>
          <w:sz w:val="18"/>
          <w:szCs w:val="18"/>
        </w:rPr>
      </w:pPr>
      <w:r w:rsidRPr="00253F7D">
        <w:rPr>
          <w:sz w:val="18"/>
          <w:szCs w:val="18"/>
        </w:rPr>
        <w:t xml:space="preserve">Scarlat, N., Prussi, M. and Padella, M. (2022) ‘Quantification of the carbon intensity of electricity produced and used in Europe’, </w:t>
      </w:r>
      <w:r w:rsidRPr="00253F7D">
        <w:rPr>
          <w:i/>
          <w:iCs/>
          <w:sz w:val="18"/>
          <w:szCs w:val="18"/>
        </w:rPr>
        <w:t>Applied Energy</w:t>
      </w:r>
      <w:r w:rsidRPr="00253F7D">
        <w:rPr>
          <w:sz w:val="18"/>
          <w:szCs w:val="18"/>
        </w:rPr>
        <w:t>, 305, p. 117901. Available at: https://doi.org/10.1016/j.apenergy.2021.117901.</w:t>
      </w:r>
    </w:p>
    <w:p w14:paraId="70C0FFFB" w14:textId="77777777" w:rsidR="00190133" w:rsidRPr="00253F7D" w:rsidRDefault="00190133" w:rsidP="00190133">
      <w:pPr>
        <w:pStyle w:val="Bibliography"/>
        <w:rPr>
          <w:sz w:val="18"/>
          <w:szCs w:val="18"/>
        </w:rPr>
      </w:pPr>
      <w:r w:rsidRPr="00253F7D">
        <w:rPr>
          <w:sz w:val="18"/>
          <w:szCs w:val="18"/>
        </w:rPr>
        <w:t xml:space="preserve">Scheidt, F.V. </w:t>
      </w:r>
      <w:r w:rsidRPr="00253F7D">
        <w:rPr>
          <w:i/>
          <w:iCs/>
          <w:sz w:val="18"/>
          <w:szCs w:val="18"/>
        </w:rPr>
        <w:t>et al.</w:t>
      </w:r>
      <w:r w:rsidRPr="00253F7D">
        <w:rPr>
          <w:sz w:val="18"/>
          <w:szCs w:val="18"/>
        </w:rPr>
        <w:t xml:space="preserve"> (2020) ‘Data analytics in the electricity sector – A quantitative and qualitative literature review’, </w:t>
      </w:r>
      <w:r w:rsidRPr="00253F7D">
        <w:rPr>
          <w:i/>
          <w:iCs/>
          <w:sz w:val="18"/>
          <w:szCs w:val="18"/>
        </w:rPr>
        <w:t>Energy and AI</w:t>
      </w:r>
      <w:r w:rsidRPr="00253F7D">
        <w:rPr>
          <w:sz w:val="18"/>
          <w:szCs w:val="18"/>
        </w:rPr>
        <w:t>, 1, p. 100009. Available at: https://doi.org/10.1016/j.egyai.2020.100009.</w:t>
      </w:r>
    </w:p>
    <w:p w14:paraId="3729239D" w14:textId="77777777" w:rsidR="00190133" w:rsidRPr="00253F7D" w:rsidRDefault="00190133" w:rsidP="00190133">
      <w:pPr>
        <w:pStyle w:val="Bibliography"/>
        <w:rPr>
          <w:sz w:val="18"/>
          <w:szCs w:val="18"/>
        </w:rPr>
      </w:pPr>
      <w:r w:rsidRPr="00253F7D">
        <w:rPr>
          <w:sz w:val="18"/>
          <w:szCs w:val="18"/>
        </w:rPr>
        <w:t xml:space="preserve">Unnewehr, J.F. </w:t>
      </w:r>
      <w:r w:rsidRPr="00253F7D">
        <w:rPr>
          <w:i/>
          <w:iCs/>
          <w:sz w:val="18"/>
          <w:szCs w:val="18"/>
        </w:rPr>
        <w:t>et al.</w:t>
      </w:r>
      <w:r w:rsidRPr="00253F7D">
        <w:rPr>
          <w:sz w:val="18"/>
          <w:szCs w:val="18"/>
        </w:rPr>
        <w:t xml:space="preserve"> (2022) ‘Open-data based carbon emission intensity signals for electricity generation in European countries – top down vs. bottom up approach’, </w:t>
      </w:r>
      <w:r w:rsidRPr="00253F7D">
        <w:rPr>
          <w:i/>
          <w:iCs/>
          <w:sz w:val="18"/>
          <w:szCs w:val="18"/>
        </w:rPr>
        <w:t>Cleaner Energy Systems</w:t>
      </w:r>
      <w:r w:rsidRPr="00253F7D">
        <w:rPr>
          <w:sz w:val="18"/>
          <w:szCs w:val="18"/>
        </w:rPr>
        <w:t>, 3, p. 100018. Available at: https://doi.org/10.1016/j.cles.2022.100018.</w:t>
      </w:r>
    </w:p>
    <w:p w14:paraId="40481960" w14:textId="77777777" w:rsidR="00190133" w:rsidRPr="00253F7D" w:rsidRDefault="00190133" w:rsidP="00190133">
      <w:pPr>
        <w:pStyle w:val="Bibliography"/>
        <w:rPr>
          <w:sz w:val="18"/>
          <w:szCs w:val="18"/>
        </w:rPr>
      </w:pPr>
      <w:r w:rsidRPr="00253F7D">
        <w:rPr>
          <w:sz w:val="18"/>
          <w:szCs w:val="18"/>
        </w:rPr>
        <w:t xml:space="preserve">Zhang, B. </w:t>
      </w:r>
      <w:r w:rsidRPr="00253F7D">
        <w:rPr>
          <w:i/>
          <w:iCs/>
          <w:sz w:val="18"/>
          <w:szCs w:val="18"/>
        </w:rPr>
        <w:t>et al.</w:t>
      </w:r>
      <w:r w:rsidRPr="00253F7D">
        <w:rPr>
          <w:sz w:val="18"/>
          <w:szCs w:val="18"/>
        </w:rPr>
        <w:t xml:space="preserve"> (2024) ‘Experimental Comparison of Two Main Paradigms for Day-Ahead Average Carbon Intensity Forecasting in Power Grids: A Case Study in Australia’, </w:t>
      </w:r>
      <w:r w:rsidRPr="00253F7D">
        <w:rPr>
          <w:i/>
          <w:iCs/>
          <w:sz w:val="18"/>
          <w:szCs w:val="18"/>
        </w:rPr>
        <w:t>Sustainability</w:t>
      </w:r>
      <w:r w:rsidRPr="00253F7D">
        <w:rPr>
          <w:sz w:val="18"/>
          <w:szCs w:val="18"/>
        </w:rPr>
        <w:t>, 16(19), p. 8580. Available at: https://doi.org/10.3390/su16198580.</w:t>
      </w:r>
    </w:p>
    <w:p w14:paraId="42294038" w14:textId="3EBA9A64" w:rsidR="0042250F" w:rsidRPr="0042250F" w:rsidRDefault="00F95558" w:rsidP="0042250F">
      <w:pPr>
        <w:pStyle w:val="isselectedend"/>
        <w:rPr>
          <w:rFonts w:asciiTheme="minorHAnsi" w:eastAsiaTheme="minorEastAsia" w:hAnsiTheme="minorHAnsi" w:cstheme="minorBidi"/>
          <w:sz w:val="18"/>
          <w:szCs w:val="18"/>
          <w:lang w:val="en-US" w:eastAsia="ja-JP"/>
        </w:rPr>
      </w:pPr>
      <w:r w:rsidRPr="00253F7D">
        <w:rPr>
          <w:sz w:val="18"/>
          <w:szCs w:val="18"/>
        </w:rPr>
        <w:fldChar w:fldCharType="end"/>
      </w:r>
      <w:r w:rsidR="0042250F" w:rsidRPr="0042250F">
        <w:t xml:space="preserve"> </w:t>
      </w:r>
      <w:r w:rsidR="005A28FB" w:rsidRPr="005A28FB">
        <w:rPr>
          <w:rFonts w:asciiTheme="minorHAnsi" w:eastAsiaTheme="minorEastAsia" w:hAnsiTheme="minorHAnsi" w:cstheme="minorBidi"/>
          <w:sz w:val="18"/>
          <w:szCs w:val="18"/>
          <w:lang w:val="en-US" w:eastAsia="ja-JP"/>
        </w:rPr>
        <w:t xml:space="preserve">European Parliament and Council (2016) </w:t>
      </w:r>
      <w:r w:rsidR="005A28FB" w:rsidRPr="005A28FB">
        <w:rPr>
          <w:rFonts w:asciiTheme="minorHAnsi" w:eastAsiaTheme="minorEastAsia" w:hAnsiTheme="minorHAnsi" w:cstheme="minorBidi"/>
          <w:i/>
          <w:iCs/>
          <w:sz w:val="18"/>
          <w:szCs w:val="18"/>
          <w:lang w:val="en-US" w:eastAsia="ja-JP"/>
        </w:rPr>
        <w:t>Regulation (EU) 2016/679 of the European Parliament and of the Council of 27 April 2016 on the protection of natural persons with regard to the processing of personal data and on the free movement of such data</w:t>
      </w:r>
      <w:r w:rsidR="005A28FB" w:rsidRPr="005A28FB">
        <w:rPr>
          <w:rFonts w:asciiTheme="minorHAnsi" w:eastAsiaTheme="minorEastAsia" w:hAnsiTheme="minorHAnsi" w:cstheme="minorBidi"/>
          <w:sz w:val="18"/>
          <w:szCs w:val="18"/>
          <w:lang w:val="en-US" w:eastAsia="ja-JP"/>
        </w:rPr>
        <w:t xml:space="preserve">. Official Journal of the European Union, L119, pp. 1–88. Available at: </w:t>
      </w:r>
      <w:hyperlink r:id="rId8" w:tgtFrame="_new" w:history="1">
        <w:r w:rsidR="005A28FB" w:rsidRPr="005A28FB">
          <w:rPr>
            <w:rFonts w:asciiTheme="minorHAnsi" w:eastAsiaTheme="minorEastAsia" w:hAnsiTheme="minorHAnsi" w:cstheme="minorBidi"/>
            <w:sz w:val="18"/>
            <w:szCs w:val="18"/>
            <w:lang w:val="en-US" w:eastAsia="ja-JP"/>
          </w:rPr>
          <w:t>https://eur-lex.europa.eu/eli/reg/2016/679/oj/eng/</w:t>
        </w:r>
      </w:hyperlink>
      <w:r w:rsidR="005A28FB" w:rsidRPr="005A28FB">
        <w:rPr>
          <w:rFonts w:asciiTheme="minorHAnsi" w:eastAsiaTheme="minorEastAsia" w:hAnsiTheme="minorHAnsi" w:cstheme="minorBidi"/>
          <w:sz w:val="18"/>
          <w:szCs w:val="18"/>
          <w:lang w:val="en-US" w:eastAsia="ja-JP"/>
        </w:rPr>
        <w:t xml:space="preserve"> (Accessed: 26 July 2026).</w:t>
      </w:r>
    </w:p>
    <w:p w14:paraId="7676FD58" w14:textId="77777777" w:rsidR="005A28FB" w:rsidRPr="005A28FB" w:rsidRDefault="005A28FB" w:rsidP="005A28FB">
      <w:pPr>
        <w:pStyle w:val="pdq2pgselectionanchorcontainer"/>
        <w:rPr>
          <w:rFonts w:asciiTheme="minorHAnsi" w:eastAsiaTheme="minorEastAsia" w:hAnsiTheme="minorHAnsi" w:cstheme="minorBidi"/>
          <w:sz w:val="18"/>
          <w:szCs w:val="18"/>
          <w:lang w:val="en-US" w:eastAsia="ja-JP"/>
        </w:rPr>
      </w:pPr>
      <w:r w:rsidRPr="005A28FB">
        <w:rPr>
          <w:rFonts w:asciiTheme="minorHAnsi" w:eastAsiaTheme="minorEastAsia" w:hAnsiTheme="minorHAnsi" w:cstheme="minorBidi"/>
          <w:sz w:val="18"/>
          <w:szCs w:val="18"/>
          <w:lang w:val="en-US" w:eastAsia="ja-JP"/>
        </w:rPr>
        <w:t xml:space="preserve">European Parliament and Council (2024) </w:t>
      </w:r>
      <w:r w:rsidRPr="005A28FB">
        <w:rPr>
          <w:rFonts w:asciiTheme="minorHAnsi" w:eastAsiaTheme="minorEastAsia" w:hAnsiTheme="minorHAnsi" w:cstheme="minorBidi"/>
          <w:i/>
          <w:iCs/>
          <w:sz w:val="18"/>
          <w:szCs w:val="18"/>
          <w:lang w:val="en-US" w:eastAsia="ja-JP"/>
        </w:rPr>
        <w:t>Regulation (EU) 2024/1689 of the European Parliament and of the Council of 13 June 2024 laying down harmonised rules on artificial intelligence</w:t>
      </w:r>
      <w:r w:rsidRPr="005A28FB">
        <w:rPr>
          <w:rFonts w:asciiTheme="minorHAnsi" w:eastAsiaTheme="minorEastAsia" w:hAnsiTheme="minorHAnsi" w:cstheme="minorBidi"/>
          <w:sz w:val="18"/>
          <w:szCs w:val="18"/>
          <w:lang w:val="en-US" w:eastAsia="ja-JP"/>
        </w:rPr>
        <w:t xml:space="preserve">. Official Journal of the European Union, L, 2024/1689. Available at: </w:t>
      </w:r>
      <w:hyperlink r:id="rId9" w:tgtFrame="_new" w:history="1">
        <w:r w:rsidRPr="005A28FB">
          <w:rPr>
            <w:rFonts w:asciiTheme="minorHAnsi" w:eastAsiaTheme="minorEastAsia" w:hAnsiTheme="minorHAnsi" w:cstheme="minorBidi"/>
            <w:sz w:val="18"/>
            <w:szCs w:val="18"/>
            <w:lang w:val="en-US" w:eastAsia="ja-JP"/>
          </w:rPr>
          <w:t>https://eur-lex.europa.eu/eli/reg/2024/1689/oj?locale=en</w:t>
        </w:r>
      </w:hyperlink>
      <w:r w:rsidRPr="005A28FB">
        <w:rPr>
          <w:rFonts w:asciiTheme="minorHAnsi" w:eastAsiaTheme="minorEastAsia" w:hAnsiTheme="minorHAnsi" w:cstheme="minorBidi"/>
          <w:sz w:val="18"/>
          <w:szCs w:val="18"/>
          <w:lang w:val="en-US" w:eastAsia="ja-JP"/>
        </w:rPr>
        <w:t xml:space="preserve"> (Accessed: 26 July 2026).</w:t>
      </w:r>
    </w:p>
    <w:p w14:paraId="0FE159E4" w14:textId="398801A9" w:rsidR="00025608" w:rsidRPr="0042250F" w:rsidRDefault="00025608">
      <w:pPr>
        <w:rPr>
          <w:sz w:val="18"/>
          <w:szCs w:val="18"/>
        </w:rPr>
      </w:pPr>
    </w:p>
    <w:sectPr w:rsidR="00025608" w:rsidRPr="0042250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24EF7" w14:textId="77777777" w:rsidR="0032473E" w:rsidRDefault="0032473E" w:rsidP="001B64D3">
      <w:pPr>
        <w:spacing w:after="0" w:line="240" w:lineRule="auto"/>
      </w:pPr>
      <w:r>
        <w:separator/>
      </w:r>
    </w:p>
  </w:endnote>
  <w:endnote w:type="continuationSeparator" w:id="0">
    <w:p w14:paraId="58F7E5BD" w14:textId="77777777" w:rsidR="0032473E" w:rsidRDefault="0032473E" w:rsidP="001B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602895"/>
      <w:docPartObj>
        <w:docPartGallery w:val="Page Numbers (Bottom of Page)"/>
        <w:docPartUnique/>
      </w:docPartObj>
    </w:sdtPr>
    <w:sdtEndPr>
      <w:rPr>
        <w:noProof/>
      </w:rPr>
    </w:sdtEndPr>
    <w:sdtContent>
      <w:p w14:paraId="0A933796" w14:textId="559D1B64" w:rsidR="0032473E" w:rsidRDefault="0032473E">
        <w:pPr>
          <w:pStyle w:val="Footer"/>
        </w:pPr>
        <w:r>
          <w:fldChar w:fldCharType="begin"/>
        </w:r>
        <w:r>
          <w:instrText xml:space="preserve"> PAGE   \* MERGEFORMAT </w:instrText>
        </w:r>
        <w:r>
          <w:fldChar w:fldCharType="separate"/>
        </w:r>
        <w:r w:rsidR="007953A7">
          <w:rPr>
            <w:noProof/>
          </w:rPr>
          <w:t>2</w:t>
        </w:r>
        <w:r>
          <w:rPr>
            <w:noProof/>
          </w:rPr>
          <w:fldChar w:fldCharType="end"/>
        </w:r>
      </w:p>
    </w:sdtContent>
  </w:sdt>
  <w:p w14:paraId="696175D2" w14:textId="77777777" w:rsidR="0032473E" w:rsidRDefault="0032473E" w:rsidP="001B6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E299A" w14:textId="77777777" w:rsidR="0032473E" w:rsidRDefault="0032473E" w:rsidP="001B64D3">
      <w:pPr>
        <w:spacing w:after="0" w:line="240" w:lineRule="auto"/>
      </w:pPr>
      <w:r>
        <w:separator/>
      </w:r>
    </w:p>
  </w:footnote>
  <w:footnote w:type="continuationSeparator" w:id="0">
    <w:p w14:paraId="28903382" w14:textId="77777777" w:rsidR="0032473E" w:rsidRDefault="0032473E" w:rsidP="001B6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698B"/>
    <w:multiLevelType w:val="hybridMultilevel"/>
    <w:tmpl w:val="7DAA7E46"/>
    <w:lvl w:ilvl="0" w:tplc="A08A7E38">
      <w:start w:val="1"/>
      <w:numFmt w:val="decimal"/>
      <w:lvlText w:val="%1."/>
      <w:lvlJc w:val="left"/>
      <w:pPr>
        <w:ind w:left="720" w:hanging="360"/>
      </w:pPr>
    </w:lvl>
    <w:lvl w:ilvl="1" w:tplc="8E6892D4">
      <w:start w:val="1"/>
      <w:numFmt w:val="lowerLetter"/>
      <w:lvlText w:val="%2."/>
      <w:lvlJc w:val="left"/>
      <w:pPr>
        <w:ind w:left="1440" w:hanging="360"/>
      </w:pPr>
    </w:lvl>
    <w:lvl w:ilvl="2" w:tplc="46CEE4B4">
      <w:start w:val="1"/>
      <w:numFmt w:val="lowerRoman"/>
      <w:lvlText w:val="%3."/>
      <w:lvlJc w:val="right"/>
      <w:pPr>
        <w:ind w:left="2160" w:hanging="180"/>
      </w:pPr>
    </w:lvl>
    <w:lvl w:ilvl="3" w:tplc="6C940AC4">
      <w:start w:val="1"/>
      <w:numFmt w:val="decimal"/>
      <w:lvlText w:val="%4."/>
      <w:lvlJc w:val="left"/>
      <w:pPr>
        <w:ind w:left="2880" w:hanging="360"/>
      </w:pPr>
    </w:lvl>
    <w:lvl w:ilvl="4" w:tplc="6E8C532A">
      <w:start w:val="1"/>
      <w:numFmt w:val="lowerLetter"/>
      <w:lvlText w:val="%5."/>
      <w:lvlJc w:val="left"/>
      <w:pPr>
        <w:ind w:left="3600" w:hanging="360"/>
      </w:pPr>
    </w:lvl>
    <w:lvl w:ilvl="5" w:tplc="E0664C24">
      <w:start w:val="1"/>
      <w:numFmt w:val="lowerRoman"/>
      <w:lvlText w:val="%6."/>
      <w:lvlJc w:val="right"/>
      <w:pPr>
        <w:ind w:left="4320" w:hanging="180"/>
      </w:pPr>
    </w:lvl>
    <w:lvl w:ilvl="6" w:tplc="81BA3028">
      <w:start w:val="1"/>
      <w:numFmt w:val="decimal"/>
      <w:lvlText w:val="%7."/>
      <w:lvlJc w:val="left"/>
      <w:pPr>
        <w:ind w:left="5040" w:hanging="360"/>
      </w:pPr>
    </w:lvl>
    <w:lvl w:ilvl="7" w:tplc="E0A6DA7C">
      <w:start w:val="1"/>
      <w:numFmt w:val="lowerLetter"/>
      <w:lvlText w:val="%8."/>
      <w:lvlJc w:val="left"/>
      <w:pPr>
        <w:ind w:left="5760" w:hanging="360"/>
      </w:pPr>
    </w:lvl>
    <w:lvl w:ilvl="8" w:tplc="4B0CA03C">
      <w:start w:val="1"/>
      <w:numFmt w:val="lowerRoman"/>
      <w:lvlText w:val="%9."/>
      <w:lvlJc w:val="right"/>
      <w:pPr>
        <w:ind w:left="6480" w:hanging="180"/>
      </w:pPr>
    </w:lvl>
  </w:abstractNum>
  <w:abstractNum w:abstractNumId="1" w15:restartNumberingAfterBreak="0">
    <w:nsid w:val="03C717B9"/>
    <w:multiLevelType w:val="hybridMultilevel"/>
    <w:tmpl w:val="A716709A"/>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 w15:restartNumberingAfterBreak="0">
    <w:nsid w:val="06AF64EF"/>
    <w:multiLevelType w:val="hybridMultilevel"/>
    <w:tmpl w:val="A6E4E45E"/>
    <w:lvl w:ilvl="0" w:tplc="A95E220C">
      <w:start w:val="3"/>
      <w:numFmt w:val="decimal"/>
      <w:lvlText w:val="%1."/>
      <w:lvlJc w:val="left"/>
      <w:pPr>
        <w:ind w:left="643" w:hanging="360"/>
      </w:pPr>
    </w:lvl>
    <w:lvl w:ilvl="1" w:tplc="83527C04">
      <w:start w:val="1"/>
      <w:numFmt w:val="lowerLetter"/>
      <w:lvlText w:val="%2."/>
      <w:lvlJc w:val="left"/>
      <w:pPr>
        <w:ind w:left="1363" w:hanging="360"/>
      </w:pPr>
    </w:lvl>
    <w:lvl w:ilvl="2" w:tplc="440E6172">
      <w:start w:val="1"/>
      <w:numFmt w:val="lowerRoman"/>
      <w:lvlText w:val="%3."/>
      <w:lvlJc w:val="right"/>
      <w:pPr>
        <w:ind w:left="2083" w:hanging="180"/>
      </w:pPr>
    </w:lvl>
    <w:lvl w:ilvl="3" w:tplc="AB5A072A">
      <w:start w:val="1"/>
      <w:numFmt w:val="decimal"/>
      <w:lvlText w:val="%4."/>
      <w:lvlJc w:val="left"/>
      <w:pPr>
        <w:ind w:left="2803" w:hanging="360"/>
      </w:pPr>
    </w:lvl>
    <w:lvl w:ilvl="4" w:tplc="4B9622BA">
      <w:start w:val="1"/>
      <w:numFmt w:val="lowerLetter"/>
      <w:lvlText w:val="%5."/>
      <w:lvlJc w:val="left"/>
      <w:pPr>
        <w:ind w:left="3523" w:hanging="360"/>
      </w:pPr>
    </w:lvl>
    <w:lvl w:ilvl="5" w:tplc="8B188F88">
      <w:start w:val="1"/>
      <w:numFmt w:val="lowerRoman"/>
      <w:lvlText w:val="%6."/>
      <w:lvlJc w:val="right"/>
      <w:pPr>
        <w:ind w:left="4243" w:hanging="180"/>
      </w:pPr>
    </w:lvl>
    <w:lvl w:ilvl="6" w:tplc="D8724AC2">
      <w:start w:val="1"/>
      <w:numFmt w:val="decimal"/>
      <w:lvlText w:val="%7."/>
      <w:lvlJc w:val="left"/>
      <w:pPr>
        <w:ind w:left="4963" w:hanging="360"/>
      </w:pPr>
    </w:lvl>
    <w:lvl w:ilvl="7" w:tplc="70DC43D6">
      <w:start w:val="1"/>
      <w:numFmt w:val="lowerLetter"/>
      <w:lvlText w:val="%8."/>
      <w:lvlJc w:val="left"/>
      <w:pPr>
        <w:ind w:left="5683" w:hanging="360"/>
      </w:pPr>
    </w:lvl>
    <w:lvl w:ilvl="8" w:tplc="D9CE491A">
      <w:start w:val="1"/>
      <w:numFmt w:val="lowerRoman"/>
      <w:lvlText w:val="%9."/>
      <w:lvlJc w:val="right"/>
      <w:pPr>
        <w:ind w:left="6403" w:hanging="180"/>
      </w:pPr>
    </w:lvl>
  </w:abstractNum>
  <w:abstractNum w:abstractNumId="3" w15:restartNumberingAfterBreak="0">
    <w:nsid w:val="08CB0C89"/>
    <w:multiLevelType w:val="hybridMultilevel"/>
    <w:tmpl w:val="05A29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748BA"/>
    <w:multiLevelType w:val="hybridMultilevel"/>
    <w:tmpl w:val="F7122D6E"/>
    <w:lvl w:ilvl="0" w:tplc="30E06F94">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EA7043"/>
    <w:multiLevelType w:val="multilevel"/>
    <w:tmpl w:val="0DA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14430"/>
    <w:multiLevelType w:val="hybridMultilevel"/>
    <w:tmpl w:val="69F40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01F1AF"/>
    <w:multiLevelType w:val="hybridMultilevel"/>
    <w:tmpl w:val="ACB29B06"/>
    <w:lvl w:ilvl="0" w:tplc="D96213A0">
      <w:start w:val="1"/>
      <w:numFmt w:val="bullet"/>
      <w:lvlText w:val=""/>
      <w:lvlJc w:val="left"/>
      <w:pPr>
        <w:ind w:left="720" w:hanging="360"/>
      </w:pPr>
      <w:rPr>
        <w:rFonts w:ascii="Symbol" w:hAnsi="Symbol" w:hint="default"/>
      </w:rPr>
    </w:lvl>
    <w:lvl w:ilvl="1" w:tplc="5D1208F0">
      <w:start w:val="1"/>
      <w:numFmt w:val="bullet"/>
      <w:lvlText w:val="o"/>
      <w:lvlJc w:val="left"/>
      <w:pPr>
        <w:ind w:left="1440" w:hanging="360"/>
      </w:pPr>
      <w:rPr>
        <w:rFonts w:ascii="Courier New" w:hAnsi="Courier New" w:hint="default"/>
      </w:rPr>
    </w:lvl>
    <w:lvl w:ilvl="2" w:tplc="4EE410B8">
      <w:start w:val="1"/>
      <w:numFmt w:val="bullet"/>
      <w:lvlText w:val=""/>
      <w:lvlJc w:val="left"/>
      <w:pPr>
        <w:ind w:left="2160" w:hanging="360"/>
      </w:pPr>
      <w:rPr>
        <w:rFonts w:ascii="Wingdings" w:hAnsi="Wingdings" w:hint="default"/>
      </w:rPr>
    </w:lvl>
    <w:lvl w:ilvl="3" w:tplc="9F0AEAC4">
      <w:start w:val="1"/>
      <w:numFmt w:val="bullet"/>
      <w:lvlText w:val=""/>
      <w:lvlJc w:val="left"/>
      <w:pPr>
        <w:ind w:left="2880" w:hanging="360"/>
      </w:pPr>
      <w:rPr>
        <w:rFonts w:ascii="Symbol" w:hAnsi="Symbol" w:hint="default"/>
      </w:rPr>
    </w:lvl>
    <w:lvl w:ilvl="4" w:tplc="1F30D4FE">
      <w:start w:val="1"/>
      <w:numFmt w:val="bullet"/>
      <w:lvlText w:val="o"/>
      <w:lvlJc w:val="left"/>
      <w:pPr>
        <w:ind w:left="3600" w:hanging="360"/>
      </w:pPr>
      <w:rPr>
        <w:rFonts w:ascii="Courier New" w:hAnsi="Courier New" w:hint="default"/>
      </w:rPr>
    </w:lvl>
    <w:lvl w:ilvl="5" w:tplc="A4409D60">
      <w:start w:val="1"/>
      <w:numFmt w:val="bullet"/>
      <w:lvlText w:val=""/>
      <w:lvlJc w:val="left"/>
      <w:pPr>
        <w:ind w:left="4320" w:hanging="360"/>
      </w:pPr>
      <w:rPr>
        <w:rFonts w:ascii="Wingdings" w:hAnsi="Wingdings" w:hint="default"/>
      </w:rPr>
    </w:lvl>
    <w:lvl w:ilvl="6" w:tplc="04BE4EC6">
      <w:start w:val="1"/>
      <w:numFmt w:val="bullet"/>
      <w:lvlText w:val=""/>
      <w:lvlJc w:val="left"/>
      <w:pPr>
        <w:ind w:left="5040" w:hanging="360"/>
      </w:pPr>
      <w:rPr>
        <w:rFonts w:ascii="Symbol" w:hAnsi="Symbol" w:hint="default"/>
      </w:rPr>
    </w:lvl>
    <w:lvl w:ilvl="7" w:tplc="95DCA4A8">
      <w:start w:val="1"/>
      <w:numFmt w:val="bullet"/>
      <w:lvlText w:val="o"/>
      <w:lvlJc w:val="left"/>
      <w:pPr>
        <w:ind w:left="5760" w:hanging="360"/>
      </w:pPr>
      <w:rPr>
        <w:rFonts w:ascii="Courier New" w:hAnsi="Courier New" w:hint="default"/>
      </w:rPr>
    </w:lvl>
    <w:lvl w:ilvl="8" w:tplc="3FD40202">
      <w:start w:val="1"/>
      <w:numFmt w:val="bullet"/>
      <w:lvlText w:val=""/>
      <w:lvlJc w:val="left"/>
      <w:pPr>
        <w:ind w:left="6480" w:hanging="360"/>
      </w:pPr>
      <w:rPr>
        <w:rFonts w:ascii="Wingdings" w:hAnsi="Wingdings" w:hint="default"/>
      </w:rPr>
    </w:lvl>
  </w:abstractNum>
  <w:abstractNum w:abstractNumId="8" w15:restartNumberingAfterBreak="0">
    <w:nsid w:val="1444182A"/>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4A11C36"/>
    <w:multiLevelType w:val="multilevel"/>
    <w:tmpl w:val="1C7643A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77FDC5E"/>
    <w:multiLevelType w:val="hybridMultilevel"/>
    <w:tmpl w:val="D14A89F2"/>
    <w:lvl w:ilvl="0" w:tplc="A4FCF7A8">
      <w:start w:val="2"/>
      <w:numFmt w:val="decimal"/>
      <w:lvlText w:val="%1."/>
      <w:lvlJc w:val="left"/>
      <w:pPr>
        <w:ind w:left="720" w:hanging="360"/>
      </w:pPr>
    </w:lvl>
    <w:lvl w:ilvl="1" w:tplc="80E2CCA8">
      <w:start w:val="1"/>
      <w:numFmt w:val="lowerLetter"/>
      <w:lvlText w:val="%2."/>
      <w:lvlJc w:val="left"/>
      <w:pPr>
        <w:ind w:left="1440" w:hanging="360"/>
      </w:pPr>
    </w:lvl>
    <w:lvl w:ilvl="2" w:tplc="DFF8CE00">
      <w:start w:val="1"/>
      <w:numFmt w:val="lowerRoman"/>
      <w:lvlText w:val="%3."/>
      <w:lvlJc w:val="right"/>
      <w:pPr>
        <w:ind w:left="2160" w:hanging="180"/>
      </w:pPr>
    </w:lvl>
    <w:lvl w:ilvl="3" w:tplc="624467D2">
      <w:start w:val="1"/>
      <w:numFmt w:val="decimal"/>
      <w:lvlText w:val="%4."/>
      <w:lvlJc w:val="left"/>
      <w:pPr>
        <w:ind w:left="2880" w:hanging="360"/>
      </w:pPr>
    </w:lvl>
    <w:lvl w:ilvl="4" w:tplc="430ED266">
      <w:start w:val="1"/>
      <w:numFmt w:val="lowerLetter"/>
      <w:lvlText w:val="%5."/>
      <w:lvlJc w:val="left"/>
      <w:pPr>
        <w:ind w:left="3600" w:hanging="360"/>
      </w:pPr>
    </w:lvl>
    <w:lvl w:ilvl="5" w:tplc="0D12B8DA">
      <w:start w:val="1"/>
      <w:numFmt w:val="lowerRoman"/>
      <w:lvlText w:val="%6."/>
      <w:lvlJc w:val="right"/>
      <w:pPr>
        <w:ind w:left="4320" w:hanging="180"/>
      </w:pPr>
    </w:lvl>
    <w:lvl w:ilvl="6" w:tplc="F3DAADAA">
      <w:start w:val="1"/>
      <w:numFmt w:val="decimal"/>
      <w:lvlText w:val="%7."/>
      <w:lvlJc w:val="left"/>
      <w:pPr>
        <w:ind w:left="5040" w:hanging="360"/>
      </w:pPr>
    </w:lvl>
    <w:lvl w:ilvl="7" w:tplc="C486C622">
      <w:start w:val="1"/>
      <w:numFmt w:val="lowerLetter"/>
      <w:lvlText w:val="%8."/>
      <w:lvlJc w:val="left"/>
      <w:pPr>
        <w:ind w:left="5760" w:hanging="360"/>
      </w:pPr>
    </w:lvl>
    <w:lvl w:ilvl="8" w:tplc="B5C6EF3C">
      <w:start w:val="1"/>
      <w:numFmt w:val="lowerRoman"/>
      <w:lvlText w:val="%9."/>
      <w:lvlJc w:val="right"/>
      <w:pPr>
        <w:ind w:left="6480" w:hanging="180"/>
      </w:pPr>
    </w:lvl>
  </w:abstractNum>
  <w:abstractNum w:abstractNumId="11" w15:restartNumberingAfterBreak="0">
    <w:nsid w:val="18548845"/>
    <w:multiLevelType w:val="hybridMultilevel"/>
    <w:tmpl w:val="F0103DD8"/>
    <w:lvl w:ilvl="0" w:tplc="0B4A4FCE">
      <w:start w:val="1"/>
      <w:numFmt w:val="decimal"/>
      <w:lvlText w:val="%1."/>
      <w:lvlJc w:val="left"/>
      <w:pPr>
        <w:ind w:left="648" w:hanging="360"/>
      </w:pPr>
    </w:lvl>
    <w:lvl w:ilvl="1" w:tplc="074408F0">
      <w:start w:val="1"/>
      <w:numFmt w:val="lowerLetter"/>
      <w:lvlText w:val="%2."/>
      <w:lvlJc w:val="left"/>
      <w:pPr>
        <w:ind w:left="1440" w:hanging="360"/>
      </w:pPr>
    </w:lvl>
    <w:lvl w:ilvl="2" w:tplc="35D828AE">
      <w:start w:val="1"/>
      <w:numFmt w:val="lowerRoman"/>
      <w:lvlText w:val="%3."/>
      <w:lvlJc w:val="right"/>
      <w:pPr>
        <w:ind w:left="2160" w:hanging="180"/>
      </w:pPr>
    </w:lvl>
    <w:lvl w:ilvl="3" w:tplc="F942EB36">
      <w:start w:val="1"/>
      <w:numFmt w:val="decimal"/>
      <w:lvlText w:val="%4."/>
      <w:lvlJc w:val="left"/>
      <w:pPr>
        <w:ind w:left="2880" w:hanging="360"/>
      </w:pPr>
    </w:lvl>
    <w:lvl w:ilvl="4" w:tplc="0EA04FA2">
      <w:start w:val="1"/>
      <w:numFmt w:val="lowerLetter"/>
      <w:lvlText w:val="%5."/>
      <w:lvlJc w:val="left"/>
      <w:pPr>
        <w:ind w:left="3600" w:hanging="360"/>
      </w:pPr>
    </w:lvl>
    <w:lvl w:ilvl="5" w:tplc="67D02D2A">
      <w:start w:val="1"/>
      <w:numFmt w:val="lowerRoman"/>
      <w:lvlText w:val="%6."/>
      <w:lvlJc w:val="right"/>
      <w:pPr>
        <w:ind w:left="4320" w:hanging="180"/>
      </w:pPr>
    </w:lvl>
    <w:lvl w:ilvl="6" w:tplc="E9BC7C38">
      <w:start w:val="1"/>
      <w:numFmt w:val="decimal"/>
      <w:lvlText w:val="%7."/>
      <w:lvlJc w:val="left"/>
      <w:pPr>
        <w:ind w:left="5040" w:hanging="360"/>
      </w:pPr>
    </w:lvl>
    <w:lvl w:ilvl="7" w:tplc="D48EE2F2">
      <w:start w:val="1"/>
      <w:numFmt w:val="lowerLetter"/>
      <w:lvlText w:val="%8."/>
      <w:lvlJc w:val="left"/>
      <w:pPr>
        <w:ind w:left="5760" w:hanging="360"/>
      </w:pPr>
    </w:lvl>
    <w:lvl w:ilvl="8" w:tplc="0ECE55E4">
      <w:start w:val="1"/>
      <w:numFmt w:val="lowerRoman"/>
      <w:lvlText w:val="%9."/>
      <w:lvlJc w:val="right"/>
      <w:pPr>
        <w:ind w:left="6480" w:hanging="180"/>
      </w:pPr>
    </w:lvl>
  </w:abstractNum>
  <w:abstractNum w:abstractNumId="12" w15:restartNumberingAfterBreak="0">
    <w:nsid w:val="224034DD"/>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7956607"/>
    <w:multiLevelType w:val="hybridMultilevel"/>
    <w:tmpl w:val="D20EDF5E"/>
    <w:lvl w:ilvl="0" w:tplc="A0F07FDE">
      <w:start w:val="1"/>
      <w:numFmt w:val="upperLetter"/>
      <w:lvlText w:val="%1."/>
      <w:lvlJc w:val="left"/>
      <w:pPr>
        <w:ind w:left="360" w:hanging="360"/>
      </w:pPr>
    </w:lvl>
    <w:lvl w:ilvl="1" w:tplc="CB4831F0">
      <w:start w:val="1"/>
      <w:numFmt w:val="lowerLetter"/>
      <w:lvlText w:val="%2."/>
      <w:lvlJc w:val="left"/>
      <w:pPr>
        <w:ind w:left="1168" w:hanging="360"/>
      </w:pPr>
    </w:lvl>
    <w:lvl w:ilvl="2" w:tplc="250C9B06">
      <w:start w:val="1"/>
      <w:numFmt w:val="lowerRoman"/>
      <w:lvlText w:val="%3."/>
      <w:lvlJc w:val="right"/>
      <w:pPr>
        <w:ind w:left="1888" w:hanging="180"/>
      </w:pPr>
    </w:lvl>
    <w:lvl w:ilvl="3" w:tplc="A2EE278C">
      <w:start w:val="1"/>
      <w:numFmt w:val="decimal"/>
      <w:lvlText w:val="%4."/>
      <w:lvlJc w:val="left"/>
      <w:pPr>
        <w:ind w:left="2608" w:hanging="360"/>
      </w:pPr>
    </w:lvl>
    <w:lvl w:ilvl="4" w:tplc="AA52B24E">
      <w:start w:val="1"/>
      <w:numFmt w:val="lowerLetter"/>
      <w:lvlText w:val="%5."/>
      <w:lvlJc w:val="left"/>
      <w:pPr>
        <w:ind w:left="3328" w:hanging="360"/>
      </w:pPr>
    </w:lvl>
    <w:lvl w:ilvl="5" w:tplc="EE7C996A">
      <w:start w:val="1"/>
      <w:numFmt w:val="lowerRoman"/>
      <w:lvlText w:val="%6."/>
      <w:lvlJc w:val="right"/>
      <w:pPr>
        <w:ind w:left="4048" w:hanging="180"/>
      </w:pPr>
    </w:lvl>
    <w:lvl w:ilvl="6" w:tplc="E4E2742C">
      <w:start w:val="1"/>
      <w:numFmt w:val="decimal"/>
      <w:lvlText w:val="%7."/>
      <w:lvlJc w:val="left"/>
      <w:pPr>
        <w:ind w:left="4768" w:hanging="360"/>
      </w:pPr>
    </w:lvl>
    <w:lvl w:ilvl="7" w:tplc="559A9016">
      <w:start w:val="1"/>
      <w:numFmt w:val="lowerLetter"/>
      <w:lvlText w:val="%8."/>
      <w:lvlJc w:val="left"/>
      <w:pPr>
        <w:ind w:left="5488" w:hanging="360"/>
      </w:pPr>
    </w:lvl>
    <w:lvl w:ilvl="8" w:tplc="010223BA">
      <w:start w:val="1"/>
      <w:numFmt w:val="lowerRoman"/>
      <w:lvlText w:val="%9."/>
      <w:lvlJc w:val="right"/>
      <w:pPr>
        <w:ind w:left="6208" w:hanging="180"/>
      </w:pPr>
    </w:lvl>
  </w:abstractNum>
  <w:abstractNum w:abstractNumId="14" w15:restartNumberingAfterBreak="0">
    <w:nsid w:val="2DE44983"/>
    <w:multiLevelType w:val="multilevel"/>
    <w:tmpl w:val="CE8E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D53E7"/>
    <w:multiLevelType w:val="hybridMultilevel"/>
    <w:tmpl w:val="22C647AC"/>
    <w:lvl w:ilvl="0" w:tplc="D4A431B0">
      <w:numFmt w:val="bullet"/>
      <w:lvlText w:val=""/>
      <w:lvlJc w:val="left"/>
      <w:pPr>
        <w:ind w:left="536" w:hanging="360"/>
      </w:pPr>
      <w:rPr>
        <w:rFonts w:ascii="Aptos" w:eastAsiaTheme="minorEastAsia" w:hAnsi="Aptos" w:cstheme="minorBidi"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16" w15:restartNumberingAfterBreak="0">
    <w:nsid w:val="34A34C1C"/>
    <w:multiLevelType w:val="hybridMultilevel"/>
    <w:tmpl w:val="FF30721E"/>
    <w:lvl w:ilvl="0" w:tplc="68586EB6">
      <w:start w:val="7"/>
      <w:numFmt w:val="decimal"/>
      <w:lvlText w:val="%1."/>
      <w:lvlJc w:val="left"/>
      <w:pPr>
        <w:ind w:left="720" w:hanging="360"/>
      </w:pPr>
    </w:lvl>
    <w:lvl w:ilvl="1" w:tplc="99B2E81C">
      <w:start w:val="1"/>
      <w:numFmt w:val="lowerLetter"/>
      <w:lvlText w:val="%2."/>
      <w:lvlJc w:val="left"/>
      <w:pPr>
        <w:ind w:left="1440" w:hanging="360"/>
      </w:pPr>
    </w:lvl>
    <w:lvl w:ilvl="2" w:tplc="1A3CE29E">
      <w:start w:val="1"/>
      <w:numFmt w:val="lowerRoman"/>
      <w:lvlText w:val="%3."/>
      <w:lvlJc w:val="right"/>
      <w:pPr>
        <w:ind w:left="2160" w:hanging="180"/>
      </w:pPr>
    </w:lvl>
    <w:lvl w:ilvl="3" w:tplc="4FCC9436">
      <w:start w:val="1"/>
      <w:numFmt w:val="decimal"/>
      <w:lvlText w:val="%4."/>
      <w:lvlJc w:val="left"/>
      <w:pPr>
        <w:ind w:left="2880" w:hanging="360"/>
      </w:pPr>
    </w:lvl>
    <w:lvl w:ilvl="4" w:tplc="619ADDCA">
      <w:start w:val="1"/>
      <w:numFmt w:val="lowerLetter"/>
      <w:lvlText w:val="%5."/>
      <w:lvlJc w:val="left"/>
      <w:pPr>
        <w:ind w:left="3600" w:hanging="360"/>
      </w:pPr>
    </w:lvl>
    <w:lvl w:ilvl="5" w:tplc="365CC9A4">
      <w:start w:val="1"/>
      <w:numFmt w:val="lowerRoman"/>
      <w:lvlText w:val="%6."/>
      <w:lvlJc w:val="right"/>
      <w:pPr>
        <w:ind w:left="4320" w:hanging="180"/>
      </w:pPr>
    </w:lvl>
    <w:lvl w:ilvl="6" w:tplc="39222B8A">
      <w:start w:val="1"/>
      <w:numFmt w:val="decimal"/>
      <w:lvlText w:val="%7."/>
      <w:lvlJc w:val="left"/>
      <w:pPr>
        <w:ind w:left="5040" w:hanging="360"/>
      </w:pPr>
    </w:lvl>
    <w:lvl w:ilvl="7" w:tplc="CA1AFEEE">
      <w:start w:val="1"/>
      <w:numFmt w:val="lowerLetter"/>
      <w:lvlText w:val="%8."/>
      <w:lvlJc w:val="left"/>
      <w:pPr>
        <w:ind w:left="5760" w:hanging="360"/>
      </w:pPr>
    </w:lvl>
    <w:lvl w:ilvl="8" w:tplc="9F4A6B2A">
      <w:start w:val="1"/>
      <w:numFmt w:val="lowerRoman"/>
      <w:lvlText w:val="%9."/>
      <w:lvlJc w:val="right"/>
      <w:pPr>
        <w:ind w:left="6480" w:hanging="180"/>
      </w:pPr>
    </w:lvl>
  </w:abstractNum>
  <w:abstractNum w:abstractNumId="17" w15:restartNumberingAfterBreak="0">
    <w:nsid w:val="3BD8128F"/>
    <w:multiLevelType w:val="hybridMultilevel"/>
    <w:tmpl w:val="A268D7C0"/>
    <w:lvl w:ilvl="0" w:tplc="D4A431B0">
      <w:numFmt w:val="bullet"/>
      <w:lvlText w:val=""/>
      <w:lvlJc w:val="left"/>
      <w:pPr>
        <w:ind w:left="448" w:hanging="360"/>
      </w:pPr>
      <w:rPr>
        <w:rFonts w:ascii="Aptos" w:eastAsiaTheme="minorEastAsia" w:hAnsi="Aptos" w:cstheme="minorBidi" w:hint="default"/>
      </w:rPr>
    </w:lvl>
    <w:lvl w:ilvl="1" w:tplc="40090003" w:tentative="1">
      <w:start w:val="1"/>
      <w:numFmt w:val="bullet"/>
      <w:lvlText w:val="o"/>
      <w:lvlJc w:val="left"/>
      <w:pPr>
        <w:ind w:left="1168" w:hanging="360"/>
      </w:pPr>
      <w:rPr>
        <w:rFonts w:ascii="Courier New" w:hAnsi="Courier New" w:cs="Courier New" w:hint="default"/>
      </w:rPr>
    </w:lvl>
    <w:lvl w:ilvl="2" w:tplc="40090005" w:tentative="1">
      <w:start w:val="1"/>
      <w:numFmt w:val="bullet"/>
      <w:lvlText w:val=""/>
      <w:lvlJc w:val="left"/>
      <w:pPr>
        <w:ind w:left="1888" w:hanging="360"/>
      </w:pPr>
      <w:rPr>
        <w:rFonts w:ascii="Wingdings" w:hAnsi="Wingdings" w:hint="default"/>
      </w:rPr>
    </w:lvl>
    <w:lvl w:ilvl="3" w:tplc="40090001" w:tentative="1">
      <w:start w:val="1"/>
      <w:numFmt w:val="bullet"/>
      <w:lvlText w:val=""/>
      <w:lvlJc w:val="left"/>
      <w:pPr>
        <w:ind w:left="2608" w:hanging="360"/>
      </w:pPr>
      <w:rPr>
        <w:rFonts w:ascii="Symbol" w:hAnsi="Symbol" w:hint="default"/>
      </w:rPr>
    </w:lvl>
    <w:lvl w:ilvl="4" w:tplc="40090003" w:tentative="1">
      <w:start w:val="1"/>
      <w:numFmt w:val="bullet"/>
      <w:lvlText w:val="o"/>
      <w:lvlJc w:val="left"/>
      <w:pPr>
        <w:ind w:left="3328" w:hanging="360"/>
      </w:pPr>
      <w:rPr>
        <w:rFonts w:ascii="Courier New" w:hAnsi="Courier New" w:cs="Courier New" w:hint="default"/>
      </w:rPr>
    </w:lvl>
    <w:lvl w:ilvl="5" w:tplc="40090005" w:tentative="1">
      <w:start w:val="1"/>
      <w:numFmt w:val="bullet"/>
      <w:lvlText w:val=""/>
      <w:lvlJc w:val="left"/>
      <w:pPr>
        <w:ind w:left="4048" w:hanging="360"/>
      </w:pPr>
      <w:rPr>
        <w:rFonts w:ascii="Wingdings" w:hAnsi="Wingdings" w:hint="default"/>
      </w:rPr>
    </w:lvl>
    <w:lvl w:ilvl="6" w:tplc="40090001" w:tentative="1">
      <w:start w:val="1"/>
      <w:numFmt w:val="bullet"/>
      <w:lvlText w:val=""/>
      <w:lvlJc w:val="left"/>
      <w:pPr>
        <w:ind w:left="4768" w:hanging="360"/>
      </w:pPr>
      <w:rPr>
        <w:rFonts w:ascii="Symbol" w:hAnsi="Symbol" w:hint="default"/>
      </w:rPr>
    </w:lvl>
    <w:lvl w:ilvl="7" w:tplc="40090003" w:tentative="1">
      <w:start w:val="1"/>
      <w:numFmt w:val="bullet"/>
      <w:lvlText w:val="o"/>
      <w:lvlJc w:val="left"/>
      <w:pPr>
        <w:ind w:left="5488" w:hanging="360"/>
      </w:pPr>
      <w:rPr>
        <w:rFonts w:ascii="Courier New" w:hAnsi="Courier New" w:cs="Courier New" w:hint="default"/>
      </w:rPr>
    </w:lvl>
    <w:lvl w:ilvl="8" w:tplc="40090005" w:tentative="1">
      <w:start w:val="1"/>
      <w:numFmt w:val="bullet"/>
      <w:lvlText w:val=""/>
      <w:lvlJc w:val="left"/>
      <w:pPr>
        <w:ind w:left="6208" w:hanging="360"/>
      </w:pPr>
      <w:rPr>
        <w:rFonts w:ascii="Wingdings" w:hAnsi="Wingdings" w:hint="default"/>
      </w:rPr>
    </w:lvl>
  </w:abstractNum>
  <w:abstractNum w:abstractNumId="18" w15:restartNumberingAfterBreak="0">
    <w:nsid w:val="3DA63D2C"/>
    <w:multiLevelType w:val="hybridMultilevel"/>
    <w:tmpl w:val="3266E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C03BB6"/>
    <w:multiLevelType w:val="hybridMultilevel"/>
    <w:tmpl w:val="03F4F708"/>
    <w:lvl w:ilvl="0" w:tplc="D4A431B0">
      <w:numFmt w:val="bullet"/>
      <w:lvlText w:val=""/>
      <w:lvlJc w:val="left"/>
      <w:pPr>
        <w:ind w:left="536" w:hanging="360"/>
      </w:pPr>
      <w:rPr>
        <w:rFonts w:ascii="Aptos" w:eastAsiaTheme="minorEastAsia" w:hAnsi="Aptos" w:cstheme="minorBidi"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0" w15:restartNumberingAfterBreak="0">
    <w:nsid w:val="4589545B"/>
    <w:multiLevelType w:val="hybridMultilevel"/>
    <w:tmpl w:val="89283246"/>
    <w:lvl w:ilvl="0" w:tplc="F5A445C2">
      <w:start w:val="1"/>
      <w:numFmt w:val="upperRoman"/>
      <w:lvlText w:val="%1."/>
      <w:lvlJc w:val="left"/>
      <w:pPr>
        <w:ind w:left="992" w:hanging="720"/>
      </w:pPr>
    </w:lvl>
    <w:lvl w:ilvl="1" w:tplc="A9F0F046">
      <w:start w:val="1"/>
      <w:numFmt w:val="lowerLetter"/>
      <w:lvlText w:val="%2."/>
      <w:lvlJc w:val="left"/>
      <w:pPr>
        <w:ind w:left="1440" w:hanging="360"/>
      </w:pPr>
    </w:lvl>
    <w:lvl w:ilvl="2" w:tplc="3C946A3E">
      <w:start w:val="1"/>
      <w:numFmt w:val="lowerRoman"/>
      <w:lvlText w:val="%3."/>
      <w:lvlJc w:val="right"/>
      <w:pPr>
        <w:ind w:left="2160" w:hanging="180"/>
      </w:pPr>
    </w:lvl>
    <w:lvl w:ilvl="3" w:tplc="6E6EF8A8">
      <w:start w:val="1"/>
      <w:numFmt w:val="decimal"/>
      <w:lvlText w:val="%4."/>
      <w:lvlJc w:val="left"/>
      <w:pPr>
        <w:ind w:left="2880" w:hanging="360"/>
      </w:pPr>
    </w:lvl>
    <w:lvl w:ilvl="4" w:tplc="0E1459E8">
      <w:start w:val="1"/>
      <w:numFmt w:val="lowerLetter"/>
      <w:lvlText w:val="%5."/>
      <w:lvlJc w:val="left"/>
      <w:pPr>
        <w:ind w:left="3600" w:hanging="360"/>
      </w:pPr>
    </w:lvl>
    <w:lvl w:ilvl="5" w:tplc="959034D0">
      <w:start w:val="1"/>
      <w:numFmt w:val="lowerRoman"/>
      <w:lvlText w:val="%6."/>
      <w:lvlJc w:val="right"/>
      <w:pPr>
        <w:ind w:left="4320" w:hanging="180"/>
      </w:pPr>
    </w:lvl>
    <w:lvl w:ilvl="6" w:tplc="9022E838">
      <w:start w:val="1"/>
      <w:numFmt w:val="decimal"/>
      <w:lvlText w:val="%7."/>
      <w:lvlJc w:val="left"/>
      <w:pPr>
        <w:ind w:left="5040" w:hanging="360"/>
      </w:pPr>
    </w:lvl>
    <w:lvl w:ilvl="7" w:tplc="39FCC556">
      <w:start w:val="1"/>
      <w:numFmt w:val="lowerLetter"/>
      <w:lvlText w:val="%8."/>
      <w:lvlJc w:val="left"/>
      <w:pPr>
        <w:ind w:left="5760" w:hanging="360"/>
      </w:pPr>
    </w:lvl>
    <w:lvl w:ilvl="8" w:tplc="199E375A">
      <w:start w:val="1"/>
      <w:numFmt w:val="lowerRoman"/>
      <w:lvlText w:val="%9."/>
      <w:lvlJc w:val="right"/>
      <w:pPr>
        <w:ind w:left="6480" w:hanging="180"/>
      </w:pPr>
    </w:lvl>
  </w:abstractNum>
  <w:abstractNum w:abstractNumId="21" w15:restartNumberingAfterBreak="0">
    <w:nsid w:val="479E3922"/>
    <w:multiLevelType w:val="multilevel"/>
    <w:tmpl w:val="0FCC4FD8"/>
    <w:lvl w:ilvl="0">
      <w:numFmt w:val="bullet"/>
      <w:lvlText w:val=""/>
      <w:lvlJc w:val="left"/>
      <w:pPr>
        <w:ind w:left="720" w:hanging="360"/>
      </w:pPr>
      <w:rPr>
        <w:rFonts w:ascii="Aptos" w:eastAsiaTheme="minorEastAsia" w:hAnsi="Aptos" w:cstheme="minorBid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88F5D81"/>
    <w:multiLevelType w:val="multilevel"/>
    <w:tmpl w:val="33546DF4"/>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4B606483"/>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C7F59DC"/>
    <w:multiLevelType w:val="hybridMultilevel"/>
    <w:tmpl w:val="8AFEDB4A"/>
    <w:lvl w:ilvl="0" w:tplc="D4A431B0">
      <w:numFmt w:val="bullet"/>
      <w:lvlText w:val=""/>
      <w:lvlJc w:val="left"/>
      <w:pPr>
        <w:ind w:left="448" w:hanging="360"/>
      </w:pPr>
      <w:rPr>
        <w:rFonts w:ascii="Aptos" w:eastAsiaTheme="minorEastAsia" w:hAnsi="Aptos" w:cstheme="minorBidi" w:hint="default"/>
      </w:rPr>
    </w:lvl>
    <w:lvl w:ilvl="1" w:tplc="40090003" w:tentative="1">
      <w:start w:val="1"/>
      <w:numFmt w:val="bullet"/>
      <w:lvlText w:val="o"/>
      <w:lvlJc w:val="left"/>
      <w:pPr>
        <w:ind w:left="1168" w:hanging="360"/>
      </w:pPr>
      <w:rPr>
        <w:rFonts w:ascii="Courier New" w:hAnsi="Courier New" w:cs="Courier New" w:hint="default"/>
      </w:rPr>
    </w:lvl>
    <w:lvl w:ilvl="2" w:tplc="40090005" w:tentative="1">
      <w:start w:val="1"/>
      <w:numFmt w:val="bullet"/>
      <w:lvlText w:val=""/>
      <w:lvlJc w:val="left"/>
      <w:pPr>
        <w:ind w:left="1888" w:hanging="360"/>
      </w:pPr>
      <w:rPr>
        <w:rFonts w:ascii="Wingdings" w:hAnsi="Wingdings" w:hint="default"/>
      </w:rPr>
    </w:lvl>
    <w:lvl w:ilvl="3" w:tplc="40090001" w:tentative="1">
      <w:start w:val="1"/>
      <w:numFmt w:val="bullet"/>
      <w:lvlText w:val=""/>
      <w:lvlJc w:val="left"/>
      <w:pPr>
        <w:ind w:left="2608" w:hanging="360"/>
      </w:pPr>
      <w:rPr>
        <w:rFonts w:ascii="Symbol" w:hAnsi="Symbol" w:hint="default"/>
      </w:rPr>
    </w:lvl>
    <w:lvl w:ilvl="4" w:tplc="40090003" w:tentative="1">
      <w:start w:val="1"/>
      <w:numFmt w:val="bullet"/>
      <w:lvlText w:val="o"/>
      <w:lvlJc w:val="left"/>
      <w:pPr>
        <w:ind w:left="3328" w:hanging="360"/>
      </w:pPr>
      <w:rPr>
        <w:rFonts w:ascii="Courier New" w:hAnsi="Courier New" w:cs="Courier New" w:hint="default"/>
      </w:rPr>
    </w:lvl>
    <w:lvl w:ilvl="5" w:tplc="40090005" w:tentative="1">
      <w:start w:val="1"/>
      <w:numFmt w:val="bullet"/>
      <w:lvlText w:val=""/>
      <w:lvlJc w:val="left"/>
      <w:pPr>
        <w:ind w:left="4048" w:hanging="360"/>
      </w:pPr>
      <w:rPr>
        <w:rFonts w:ascii="Wingdings" w:hAnsi="Wingdings" w:hint="default"/>
      </w:rPr>
    </w:lvl>
    <w:lvl w:ilvl="6" w:tplc="40090001" w:tentative="1">
      <w:start w:val="1"/>
      <w:numFmt w:val="bullet"/>
      <w:lvlText w:val=""/>
      <w:lvlJc w:val="left"/>
      <w:pPr>
        <w:ind w:left="4768" w:hanging="360"/>
      </w:pPr>
      <w:rPr>
        <w:rFonts w:ascii="Symbol" w:hAnsi="Symbol" w:hint="default"/>
      </w:rPr>
    </w:lvl>
    <w:lvl w:ilvl="7" w:tplc="40090003" w:tentative="1">
      <w:start w:val="1"/>
      <w:numFmt w:val="bullet"/>
      <w:lvlText w:val="o"/>
      <w:lvlJc w:val="left"/>
      <w:pPr>
        <w:ind w:left="5488" w:hanging="360"/>
      </w:pPr>
      <w:rPr>
        <w:rFonts w:ascii="Courier New" w:hAnsi="Courier New" w:cs="Courier New" w:hint="default"/>
      </w:rPr>
    </w:lvl>
    <w:lvl w:ilvl="8" w:tplc="40090005" w:tentative="1">
      <w:start w:val="1"/>
      <w:numFmt w:val="bullet"/>
      <w:lvlText w:val=""/>
      <w:lvlJc w:val="left"/>
      <w:pPr>
        <w:ind w:left="6208" w:hanging="360"/>
      </w:pPr>
      <w:rPr>
        <w:rFonts w:ascii="Wingdings" w:hAnsi="Wingdings" w:hint="default"/>
      </w:rPr>
    </w:lvl>
  </w:abstractNum>
  <w:abstractNum w:abstractNumId="25" w15:restartNumberingAfterBreak="0">
    <w:nsid w:val="4D42274A"/>
    <w:multiLevelType w:val="hybridMultilevel"/>
    <w:tmpl w:val="0040D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612828"/>
    <w:multiLevelType w:val="hybridMultilevel"/>
    <w:tmpl w:val="88105488"/>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7" w15:restartNumberingAfterBreak="0">
    <w:nsid w:val="5659FDD7"/>
    <w:multiLevelType w:val="hybridMultilevel"/>
    <w:tmpl w:val="58C8786E"/>
    <w:lvl w:ilvl="0" w:tplc="78DE7304">
      <w:start w:val="1"/>
      <w:numFmt w:val="bullet"/>
      <w:lvlText w:val=""/>
      <w:lvlJc w:val="left"/>
      <w:pPr>
        <w:ind w:left="720" w:hanging="360"/>
      </w:pPr>
      <w:rPr>
        <w:rFonts w:ascii="Symbol" w:hAnsi="Symbol" w:hint="default"/>
      </w:rPr>
    </w:lvl>
    <w:lvl w:ilvl="1" w:tplc="DA64CDB8">
      <w:start w:val="1"/>
      <w:numFmt w:val="bullet"/>
      <w:lvlText w:val="o"/>
      <w:lvlJc w:val="left"/>
      <w:pPr>
        <w:ind w:left="1440" w:hanging="360"/>
      </w:pPr>
      <w:rPr>
        <w:rFonts w:ascii="Courier New" w:hAnsi="Courier New" w:hint="default"/>
      </w:rPr>
    </w:lvl>
    <w:lvl w:ilvl="2" w:tplc="92A43818">
      <w:start w:val="1"/>
      <w:numFmt w:val="bullet"/>
      <w:lvlText w:val=""/>
      <w:lvlJc w:val="left"/>
      <w:pPr>
        <w:ind w:left="2160" w:hanging="360"/>
      </w:pPr>
      <w:rPr>
        <w:rFonts w:ascii="Wingdings" w:hAnsi="Wingdings" w:hint="default"/>
      </w:rPr>
    </w:lvl>
    <w:lvl w:ilvl="3" w:tplc="6410345E">
      <w:start w:val="1"/>
      <w:numFmt w:val="bullet"/>
      <w:lvlText w:val=""/>
      <w:lvlJc w:val="left"/>
      <w:pPr>
        <w:ind w:left="2880" w:hanging="360"/>
      </w:pPr>
      <w:rPr>
        <w:rFonts w:ascii="Symbol" w:hAnsi="Symbol" w:hint="default"/>
      </w:rPr>
    </w:lvl>
    <w:lvl w:ilvl="4" w:tplc="7CA0A3B2">
      <w:start w:val="1"/>
      <w:numFmt w:val="bullet"/>
      <w:lvlText w:val="o"/>
      <w:lvlJc w:val="left"/>
      <w:pPr>
        <w:ind w:left="3600" w:hanging="360"/>
      </w:pPr>
      <w:rPr>
        <w:rFonts w:ascii="Courier New" w:hAnsi="Courier New" w:hint="default"/>
      </w:rPr>
    </w:lvl>
    <w:lvl w:ilvl="5" w:tplc="4FDAC92A">
      <w:start w:val="1"/>
      <w:numFmt w:val="bullet"/>
      <w:lvlText w:val=""/>
      <w:lvlJc w:val="left"/>
      <w:pPr>
        <w:ind w:left="4320" w:hanging="360"/>
      </w:pPr>
      <w:rPr>
        <w:rFonts w:ascii="Wingdings" w:hAnsi="Wingdings" w:hint="default"/>
      </w:rPr>
    </w:lvl>
    <w:lvl w:ilvl="6" w:tplc="C82CE516">
      <w:start w:val="1"/>
      <w:numFmt w:val="bullet"/>
      <w:lvlText w:val=""/>
      <w:lvlJc w:val="left"/>
      <w:pPr>
        <w:ind w:left="5040" w:hanging="360"/>
      </w:pPr>
      <w:rPr>
        <w:rFonts w:ascii="Symbol" w:hAnsi="Symbol" w:hint="default"/>
      </w:rPr>
    </w:lvl>
    <w:lvl w:ilvl="7" w:tplc="2C66B9DE">
      <w:start w:val="1"/>
      <w:numFmt w:val="bullet"/>
      <w:lvlText w:val="o"/>
      <w:lvlJc w:val="left"/>
      <w:pPr>
        <w:ind w:left="5760" w:hanging="360"/>
      </w:pPr>
      <w:rPr>
        <w:rFonts w:ascii="Courier New" w:hAnsi="Courier New" w:hint="default"/>
      </w:rPr>
    </w:lvl>
    <w:lvl w:ilvl="8" w:tplc="301ABE42">
      <w:start w:val="1"/>
      <w:numFmt w:val="bullet"/>
      <w:lvlText w:val=""/>
      <w:lvlJc w:val="left"/>
      <w:pPr>
        <w:ind w:left="6480" w:hanging="360"/>
      </w:pPr>
      <w:rPr>
        <w:rFonts w:ascii="Wingdings" w:hAnsi="Wingdings" w:hint="default"/>
      </w:rPr>
    </w:lvl>
  </w:abstractNum>
  <w:abstractNum w:abstractNumId="28" w15:restartNumberingAfterBreak="0">
    <w:nsid w:val="56A54C3E"/>
    <w:multiLevelType w:val="hybridMultilevel"/>
    <w:tmpl w:val="7026ED1E"/>
    <w:lvl w:ilvl="0" w:tplc="4B405BAE">
      <w:start w:val="1"/>
      <w:numFmt w:val="bullet"/>
      <w:lvlText w:val=""/>
      <w:lvlJc w:val="left"/>
      <w:pPr>
        <w:ind w:left="720" w:hanging="360"/>
      </w:pPr>
      <w:rPr>
        <w:rFonts w:ascii="Symbol" w:hAnsi="Symbol" w:hint="default"/>
      </w:rPr>
    </w:lvl>
    <w:lvl w:ilvl="1" w:tplc="BBCE59B8">
      <w:start w:val="1"/>
      <w:numFmt w:val="bullet"/>
      <w:lvlText w:val="o"/>
      <w:lvlJc w:val="left"/>
      <w:pPr>
        <w:ind w:left="1440" w:hanging="360"/>
      </w:pPr>
      <w:rPr>
        <w:rFonts w:ascii="Courier New" w:hAnsi="Courier New" w:hint="default"/>
      </w:rPr>
    </w:lvl>
    <w:lvl w:ilvl="2" w:tplc="7E6ED902">
      <w:start w:val="1"/>
      <w:numFmt w:val="bullet"/>
      <w:lvlText w:val=""/>
      <w:lvlJc w:val="left"/>
      <w:pPr>
        <w:ind w:left="2160" w:hanging="360"/>
      </w:pPr>
      <w:rPr>
        <w:rFonts w:ascii="Wingdings" w:hAnsi="Wingdings" w:hint="default"/>
      </w:rPr>
    </w:lvl>
    <w:lvl w:ilvl="3" w:tplc="B8DA308A">
      <w:start w:val="1"/>
      <w:numFmt w:val="bullet"/>
      <w:lvlText w:val=""/>
      <w:lvlJc w:val="left"/>
      <w:pPr>
        <w:ind w:left="2880" w:hanging="360"/>
      </w:pPr>
      <w:rPr>
        <w:rFonts w:ascii="Symbol" w:hAnsi="Symbol" w:hint="default"/>
      </w:rPr>
    </w:lvl>
    <w:lvl w:ilvl="4" w:tplc="74787DAC">
      <w:start w:val="1"/>
      <w:numFmt w:val="bullet"/>
      <w:lvlText w:val="o"/>
      <w:lvlJc w:val="left"/>
      <w:pPr>
        <w:ind w:left="3600" w:hanging="360"/>
      </w:pPr>
      <w:rPr>
        <w:rFonts w:ascii="Courier New" w:hAnsi="Courier New" w:hint="default"/>
      </w:rPr>
    </w:lvl>
    <w:lvl w:ilvl="5" w:tplc="CF965B4A">
      <w:start w:val="1"/>
      <w:numFmt w:val="bullet"/>
      <w:lvlText w:val=""/>
      <w:lvlJc w:val="left"/>
      <w:pPr>
        <w:ind w:left="4320" w:hanging="360"/>
      </w:pPr>
      <w:rPr>
        <w:rFonts w:ascii="Wingdings" w:hAnsi="Wingdings" w:hint="default"/>
      </w:rPr>
    </w:lvl>
    <w:lvl w:ilvl="6" w:tplc="81A296AE">
      <w:start w:val="1"/>
      <w:numFmt w:val="bullet"/>
      <w:lvlText w:val=""/>
      <w:lvlJc w:val="left"/>
      <w:pPr>
        <w:ind w:left="5040" w:hanging="360"/>
      </w:pPr>
      <w:rPr>
        <w:rFonts w:ascii="Symbol" w:hAnsi="Symbol" w:hint="default"/>
      </w:rPr>
    </w:lvl>
    <w:lvl w:ilvl="7" w:tplc="2B10845A">
      <w:start w:val="1"/>
      <w:numFmt w:val="bullet"/>
      <w:lvlText w:val="o"/>
      <w:lvlJc w:val="left"/>
      <w:pPr>
        <w:ind w:left="5760" w:hanging="360"/>
      </w:pPr>
      <w:rPr>
        <w:rFonts w:ascii="Courier New" w:hAnsi="Courier New" w:hint="default"/>
      </w:rPr>
    </w:lvl>
    <w:lvl w:ilvl="8" w:tplc="E648F430">
      <w:start w:val="1"/>
      <w:numFmt w:val="bullet"/>
      <w:lvlText w:val=""/>
      <w:lvlJc w:val="left"/>
      <w:pPr>
        <w:ind w:left="6480" w:hanging="360"/>
      </w:pPr>
      <w:rPr>
        <w:rFonts w:ascii="Wingdings" w:hAnsi="Wingdings" w:hint="default"/>
      </w:rPr>
    </w:lvl>
  </w:abstractNum>
  <w:abstractNum w:abstractNumId="29" w15:restartNumberingAfterBreak="0">
    <w:nsid w:val="57577105"/>
    <w:multiLevelType w:val="hybridMultilevel"/>
    <w:tmpl w:val="495CA8E2"/>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0" w15:restartNumberingAfterBreak="0">
    <w:nsid w:val="58BB3F08"/>
    <w:multiLevelType w:val="hybridMultilevel"/>
    <w:tmpl w:val="B470DA9C"/>
    <w:lvl w:ilvl="0" w:tplc="30E06F94">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DB53649"/>
    <w:multiLevelType w:val="hybridMultilevel"/>
    <w:tmpl w:val="7C040DDE"/>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2" w15:restartNumberingAfterBreak="0">
    <w:nsid w:val="64C667DF"/>
    <w:multiLevelType w:val="hybridMultilevel"/>
    <w:tmpl w:val="A3FECA16"/>
    <w:lvl w:ilvl="0" w:tplc="5C96714E">
      <w:start w:val="1"/>
      <w:numFmt w:val="decimal"/>
      <w:lvlText w:val="%1."/>
      <w:lvlJc w:val="left"/>
      <w:pPr>
        <w:ind w:left="1984" w:hanging="360"/>
      </w:pPr>
    </w:lvl>
    <w:lvl w:ilvl="1" w:tplc="447C97E2">
      <w:start w:val="1"/>
      <w:numFmt w:val="lowerLetter"/>
      <w:lvlText w:val="%2."/>
      <w:lvlJc w:val="left"/>
      <w:pPr>
        <w:ind w:left="2704" w:hanging="360"/>
      </w:pPr>
    </w:lvl>
    <w:lvl w:ilvl="2" w:tplc="255CC83C">
      <w:start w:val="1"/>
      <w:numFmt w:val="lowerRoman"/>
      <w:lvlText w:val="%3."/>
      <w:lvlJc w:val="right"/>
      <w:pPr>
        <w:ind w:left="3424" w:hanging="180"/>
      </w:pPr>
    </w:lvl>
    <w:lvl w:ilvl="3" w:tplc="221CD80E">
      <w:start w:val="1"/>
      <w:numFmt w:val="decimal"/>
      <w:lvlText w:val="%4."/>
      <w:lvlJc w:val="left"/>
      <w:pPr>
        <w:ind w:left="4144" w:hanging="360"/>
      </w:pPr>
    </w:lvl>
    <w:lvl w:ilvl="4" w:tplc="2564B05E">
      <w:start w:val="1"/>
      <w:numFmt w:val="lowerLetter"/>
      <w:lvlText w:val="%5."/>
      <w:lvlJc w:val="left"/>
      <w:pPr>
        <w:ind w:left="4864" w:hanging="360"/>
      </w:pPr>
    </w:lvl>
    <w:lvl w:ilvl="5" w:tplc="BA76C5A0">
      <w:start w:val="1"/>
      <w:numFmt w:val="lowerRoman"/>
      <w:lvlText w:val="%6."/>
      <w:lvlJc w:val="right"/>
      <w:pPr>
        <w:ind w:left="5584" w:hanging="180"/>
      </w:pPr>
    </w:lvl>
    <w:lvl w:ilvl="6" w:tplc="35602142">
      <w:start w:val="1"/>
      <w:numFmt w:val="decimal"/>
      <w:lvlText w:val="%7."/>
      <w:lvlJc w:val="left"/>
      <w:pPr>
        <w:ind w:left="6304" w:hanging="360"/>
      </w:pPr>
    </w:lvl>
    <w:lvl w:ilvl="7" w:tplc="3E5A722E">
      <w:start w:val="1"/>
      <w:numFmt w:val="lowerLetter"/>
      <w:lvlText w:val="%8."/>
      <w:lvlJc w:val="left"/>
      <w:pPr>
        <w:ind w:left="7024" w:hanging="360"/>
      </w:pPr>
    </w:lvl>
    <w:lvl w:ilvl="8" w:tplc="EDCA0C9A">
      <w:start w:val="1"/>
      <w:numFmt w:val="lowerRoman"/>
      <w:lvlText w:val="%9."/>
      <w:lvlJc w:val="right"/>
      <w:pPr>
        <w:ind w:left="7744" w:hanging="180"/>
      </w:pPr>
    </w:lvl>
  </w:abstractNum>
  <w:abstractNum w:abstractNumId="33" w15:restartNumberingAfterBreak="0">
    <w:nsid w:val="71227672"/>
    <w:multiLevelType w:val="hybridMultilevel"/>
    <w:tmpl w:val="693A68D8"/>
    <w:lvl w:ilvl="0" w:tplc="44189786">
      <w:start w:val="1"/>
      <w:numFmt w:val="decimal"/>
      <w:lvlText w:val="%1."/>
      <w:lvlJc w:val="left"/>
      <w:pPr>
        <w:ind w:left="1264" w:hanging="360"/>
      </w:pPr>
      <w:rPr>
        <w:rFonts w:hint="default"/>
      </w:rPr>
    </w:lvl>
    <w:lvl w:ilvl="1" w:tplc="40090019" w:tentative="1">
      <w:start w:val="1"/>
      <w:numFmt w:val="lowerLetter"/>
      <w:lvlText w:val="%2."/>
      <w:lvlJc w:val="left"/>
      <w:pPr>
        <w:ind w:left="1984" w:hanging="360"/>
      </w:pPr>
    </w:lvl>
    <w:lvl w:ilvl="2" w:tplc="4009001B" w:tentative="1">
      <w:start w:val="1"/>
      <w:numFmt w:val="lowerRoman"/>
      <w:lvlText w:val="%3."/>
      <w:lvlJc w:val="right"/>
      <w:pPr>
        <w:ind w:left="2704" w:hanging="180"/>
      </w:pPr>
    </w:lvl>
    <w:lvl w:ilvl="3" w:tplc="4009000F" w:tentative="1">
      <w:start w:val="1"/>
      <w:numFmt w:val="decimal"/>
      <w:lvlText w:val="%4."/>
      <w:lvlJc w:val="left"/>
      <w:pPr>
        <w:ind w:left="3424" w:hanging="360"/>
      </w:pPr>
    </w:lvl>
    <w:lvl w:ilvl="4" w:tplc="40090019" w:tentative="1">
      <w:start w:val="1"/>
      <w:numFmt w:val="lowerLetter"/>
      <w:lvlText w:val="%5."/>
      <w:lvlJc w:val="left"/>
      <w:pPr>
        <w:ind w:left="4144" w:hanging="360"/>
      </w:pPr>
    </w:lvl>
    <w:lvl w:ilvl="5" w:tplc="4009001B" w:tentative="1">
      <w:start w:val="1"/>
      <w:numFmt w:val="lowerRoman"/>
      <w:lvlText w:val="%6."/>
      <w:lvlJc w:val="right"/>
      <w:pPr>
        <w:ind w:left="4864" w:hanging="180"/>
      </w:pPr>
    </w:lvl>
    <w:lvl w:ilvl="6" w:tplc="4009000F" w:tentative="1">
      <w:start w:val="1"/>
      <w:numFmt w:val="decimal"/>
      <w:lvlText w:val="%7."/>
      <w:lvlJc w:val="left"/>
      <w:pPr>
        <w:ind w:left="5584" w:hanging="360"/>
      </w:pPr>
    </w:lvl>
    <w:lvl w:ilvl="7" w:tplc="40090019" w:tentative="1">
      <w:start w:val="1"/>
      <w:numFmt w:val="lowerLetter"/>
      <w:lvlText w:val="%8."/>
      <w:lvlJc w:val="left"/>
      <w:pPr>
        <w:ind w:left="6304" w:hanging="360"/>
      </w:pPr>
    </w:lvl>
    <w:lvl w:ilvl="8" w:tplc="4009001B" w:tentative="1">
      <w:start w:val="1"/>
      <w:numFmt w:val="lowerRoman"/>
      <w:lvlText w:val="%9."/>
      <w:lvlJc w:val="right"/>
      <w:pPr>
        <w:ind w:left="7024" w:hanging="180"/>
      </w:pPr>
    </w:lvl>
  </w:abstractNum>
  <w:abstractNum w:abstractNumId="34" w15:restartNumberingAfterBreak="0">
    <w:nsid w:val="780D6A78"/>
    <w:multiLevelType w:val="hybridMultilevel"/>
    <w:tmpl w:val="5760649C"/>
    <w:lvl w:ilvl="0" w:tplc="2C6A3018">
      <w:start w:val="1"/>
      <w:numFmt w:val="decimal"/>
      <w:lvlText w:val="%1."/>
      <w:lvlJc w:val="left"/>
      <w:pPr>
        <w:ind w:left="812" w:hanging="360"/>
      </w:pPr>
      <w:rPr>
        <w:rFonts w:hint="default"/>
      </w:rPr>
    </w:lvl>
    <w:lvl w:ilvl="1" w:tplc="40090019" w:tentative="1">
      <w:start w:val="1"/>
      <w:numFmt w:val="lowerLetter"/>
      <w:lvlText w:val="%2."/>
      <w:lvlJc w:val="left"/>
      <w:pPr>
        <w:ind w:left="1532" w:hanging="360"/>
      </w:pPr>
    </w:lvl>
    <w:lvl w:ilvl="2" w:tplc="4009001B" w:tentative="1">
      <w:start w:val="1"/>
      <w:numFmt w:val="lowerRoman"/>
      <w:lvlText w:val="%3."/>
      <w:lvlJc w:val="right"/>
      <w:pPr>
        <w:ind w:left="2252" w:hanging="180"/>
      </w:pPr>
    </w:lvl>
    <w:lvl w:ilvl="3" w:tplc="4009000F" w:tentative="1">
      <w:start w:val="1"/>
      <w:numFmt w:val="decimal"/>
      <w:lvlText w:val="%4."/>
      <w:lvlJc w:val="left"/>
      <w:pPr>
        <w:ind w:left="2972" w:hanging="360"/>
      </w:pPr>
    </w:lvl>
    <w:lvl w:ilvl="4" w:tplc="40090019" w:tentative="1">
      <w:start w:val="1"/>
      <w:numFmt w:val="lowerLetter"/>
      <w:lvlText w:val="%5."/>
      <w:lvlJc w:val="left"/>
      <w:pPr>
        <w:ind w:left="3692" w:hanging="360"/>
      </w:pPr>
    </w:lvl>
    <w:lvl w:ilvl="5" w:tplc="4009001B" w:tentative="1">
      <w:start w:val="1"/>
      <w:numFmt w:val="lowerRoman"/>
      <w:lvlText w:val="%6."/>
      <w:lvlJc w:val="right"/>
      <w:pPr>
        <w:ind w:left="4412" w:hanging="180"/>
      </w:pPr>
    </w:lvl>
    <w:lvl w:ilvl="6" w:tplc="4009000F" w:tentative="1">
      <w:start w:val="1"/>
      <w:numFmt w:val="decimal"/>
      <w:lvlText w:val="%7."/>
      <w:lvlJc w:val="left"/>
      <w:pPr>
        <w:ind w:left="5132" w:hanging="360"/>
      </w:pPr>
    </w:lvl>
    <w:lvl w:ilvl="7" w:tplc="40090019" w:tentative="1">
      <w:start w:val="1"/>
      <w:numFmt w:val="lowerLetter"/>
      <w:lvlText w:val="%8."/>
      <w:lvlJc w:val="left"/>
      <w:pPr>
        <w:ind w:left="5852" w:hanging="360"/>
      </w:pPr>
    </w:lvl>
    <w:lvl w:ilvl="8" w:tplc="4009001B" w:tentative="1">
      <w:start w:val="1"/>
      <w:numFmt w:val="lowerRoman"/>
      <w:lvlText w:val="%9."/>
      <w:lvlJc w:val="right"/>
      <w:pPr>
        <w:ind w:left="6572" w:hanging="180"/>
      </w:pPr>
    </w:lvl>
  </w:abstractNum>
  <w:abstractNum w:abstractNumId="35" w15:restartNumberingAfterBreak="0">
    <w:nsid w:val="79AC1FC3"/>
    <w:multiLevelType w:val="hybridMultilevel"/>
    <w:tmpl w:val="53AC66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BED1136"/>
    <w:multiLevelType w:val="hybridMultilevel"/>
    <w:tmpl w:val="F81855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7040D8"/>
    <w:multiLevelType w:val="hybridMultilevel"/>
    <w:tmpl w:val="86CEFCA2"/>
    <w:lvl w:ilvl="0" w:tplc="9490DAE2">
      <w:start w:val="3"/>
      <w:numFmt w:val="upperLetter"/>
      <w:lvlText w:val="%1."/>
      <w:lvlJc w:val="left"/>
      <w:pPr>
        <w:ind w:left="632" w:hanging="360"/>
      </w:pPr>
    </w:lvl>
    <w:lvl w:ilvl="1" w:tplc="9186615C">
      <w:start w:val="1"/>
      <w:numFmt w:val="lowerLetter"/>
      <w:lvlText w:val="%2."/>
      <w:lvlJc w:val="left"/>
      <w:pPr>
        <w:ind w:left="1440" w:hanging="360"/>
      </w:pPr>
    </w:lvl>
    <w:lvl w:ilvl="2" w:tplc="8C80774C">
      <w:start w:val="1"/>
      <w:numFmt w:val="lowerRoman"/>
      <w:lvlText w:val="%3."/>
      <w:lvlJc w:val="right"/>
      <w:pPr>
        <w:ind w:left="2160" w:hanging="180"/>
      </w:pPr>
    </w:lvl>
    <w:lvl w:ilvl="3" w:tplc="20EA3066">
      <w:start w:val="1"/>
      <w:numFmt w:val="decimal"/>
      <w:lvlText w:val="%4."/>
      <w:lvlJc w:val="left"/>
      <w:pPr>
        <w:ind w:left="2880" w:hanging="360"/>
      </w:pPr>
    </w:lvl>
    <w:lvl w:ilvl="4" w:tplc="3A66D2FC">
      <w:start w:val="1"/>
      <w:numFmt w:val="lowerLetter"/>
      <w:lvlText w:val="%5."/>
      <w:lvlJc w:val="left"/>
      <w:pPr>
        <w:ind w:left="3600" w:hanging="360"/>
      </w:pPr>
    </w:lvl>
    <w:lvl w:ilvl="5" w:tplc="9F66BA00">
      <w:start w:val="1"/>
      <w:numFmt w:val="lowerRoman"/>
      <w:lvlText w:val="%6."/>
      <w:lvlJc w:val="right"/>
      <w:pPr>
        <w:ind w:left="4320" w:hanging="180"/>
      </w:pPr>
    </w:lvl>
    <w:lvl w:ilvl="6" w:tplc="4ABC89E6">
      <w:start w:val="1"/>
      <w:numFmt w:val="decimal"/>
      <w:lvlText w:val="%7."/>
      <w:lvlJc w:val="left"/>
      <w:pPr>
        <w:ind w:left="5040" w:hanging="360"/>
      </w:pPr>
    </w:lvl>
    <w:lvl w:ilvl="7" w:tplc="D6E49DC8">
      <w:start w:val="1"/>
      <w:numFmt w:val="lowerLetter"/>
      <w:lvlText w:val="%8."/>
      <w:lvlJc w:val="left"/>
      <w:pPr>
        <w:ind w:left="5760" w:hanging="360"/>
      </w:pPr>
    </w:lvl>
    <w:lvl w:ilvl="8" w:tplc="B3986B3A">
      <w:start w:val="1"/>
      <w:numFmt w:val="lowerRoman"/>
      <w:lvlText w:val="%9."/>
      <w:lvlJc w:val="right"/>
      <w:pPr>
        <w:ind w:left="6480" w:hanging="180"/>
      </w:pPr>
    </w:lvl>
  </w:abstractNum>
  <w:abstractNum w:abstractNumId="38" w15:restartNumberingAfterBreak="0">
    <w:nsid w:val="7E000E37"/>
    <w:multiLevelType w:val="hybridMultilevel"/>
    <w:tmpl w:val="FF1ECDE6"/>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9" w15:restartNumberingAfterBreak="0">
    <w:nsid w:val="7E1C4A4D"/>
    <w:multiLevelType w:val="multilevel"/>
    <w:tmpl w:val="6F7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2"/>
  </w:num>
  <w:num w:numId="3">
    <w:abstractNumId w:val="7"/>
  </w:num>
  <w:num w:numId="4">
    <w:abstractNumId w:val="28"/>
  </w:num>
  <w:num w:numId="5">
    <w:abstractNumId w:val="27"/>
  </w:num>
  <w:num w:numId="6">
    <w:abstractNumId w:val="0"/>
  </w:num>
  <w:num w:numId="7">
    <w:abstractNumId w:val="2"/>
  </w:num>
  <w:num w:numId="8">
    <w:abstractNumId w:val="10"/>
  </w:num>
  <w:num w:numId="9">
    <w:abstractNumId w:val="37"/>
  </w:num>
  <w:num w:numId="10">
    <w:abstractNumId w:val="11"/>
  </w:num>
  <w:num w:numId="11">
    <w:abstractNumId w:val="20"/>
  </w:num>
  <w:num w:numId="12">
    <w:abstractNumId w:val="13"/>
  </w:num>
  <w:num w:numId="13">
    <w:abstractNumId w:val="34"/>
  </w:num>
  <w:num w:numId="14">
    <w:abstractNumId w:val="36"/>
  </w:num>
  <w:num w:numId="15">
    <w:abstractNumId w:val="38"/>
  </w:num>
  <w:num w:numId="16">
    <w:abstractNumId w:val="24"/>
  </w:num>
  <w:num w:numId="17">
    <w:abstractNumId w:val="19"/>
  </w:num>
  <w:num w:numId="18">
    <w:abstractNumId w:val="26"/>
  </w:num>
  <w:num w:numId="19">
    <w:abstractNumId w:val="31"/>
  </w:num>
  <w:num w:numId="20">
    <w:abstractNumId w:val="17"/>
  </w:num>
  <w:num w:numId="21">
    <w:abstractNumId w:val="15"/>
  </w:num>
  <w:num w:numId="22">
    <w:abstractNumId w:val="1"/>
  </w:num>
  <w:num w:numId="23">
    <w:abstractNumId w:val="6"/>
  </w:num>
  <w:num w:numId="24">
    <w:abstractNumId w:val="29"/>
  </w:num>
  <w:num w:numId="25">
    <w:abstractNumId w:val="33"/>
  </w:num>
  <w:num w:numId="26">
    <w:abstractNumId w:val="35"/>
  </w:num>
  <w:num w:numId="27">
    <w:abstractNumId w:val="25"/>
  </w:num>
  <w:num w:numId="28">
    <w:abstractNumId w:val="22"/>
  </w:num>
  <w:num w:numId="29">
    <w:abstractNumId w:val="9"/>
  </w:num>
  <w:num w:numId="30">
    <w:abstractNumId w:val="18"/>
  </w:num>
  <w:num w:numId="31">
    <w:abstractNumId w:val="3"/>
  </w:num>
  <w:num w:numId="32">
    <w:abstractNumId w:val="4"/>
  </w:num>
  <w:num w:numId="33">
    <w:abstractNumId w:val="30"/>
  </w:num>
  <w:num w:numId="34">
    <w:abstractNumId w:val="21"/>
  </w:num>
  <w:num w:numId="35">
    <w:abstractNumId w:val="23"/>
  </w:num>
  <w:num w:numId="36">
    <w:abstractNumId w:val="14"/>
  </w:num>
  <w:num w:numId="37">
    <w:abstractNumId w:val="39"/>
  </w:num>
  <w:num w:numId="38">
    <w:abstractNumId w:val="5"/>
  </w:num>
  <w:num w:numId="39">
    <w:abstractNumId w:val="12"/>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1B318B"/>
    <w:rsid w:val="00025608"/>
    <w:rsid w:val="00026A36"/>
    <w:rsid w:val="00034209"/>
    <w:rsid w:val="00051672"/>
    <w:rsid w:val="0009381F"/>
    <w:rsid w:val="000A53B7"/>
    <w:rsid w:val="000C5225"/>
    <w:rsid w:val="000C6890"/>
    <w:rsid w:val="000F43C6"/>
    <w:rsid w:val="000F6AAD"/>
    <w:rsid w:val="00112D6F"/>
    <w:rsid w:val="0011576E"/>
    <w:rsid w:val="00135E9E"/>
    <w:rsid w:val="00144AFA"/>
    <w:rsid w:val="00145CD7"/>
    <w:rsid w:val="00152F80"/>
    <w:rsid w:val="00155DDE"/>
    <w:rsid w:val="00156404"/>
    <w:rsid w:val="00181625"/>
    <w:rsid w:val="00182297"/>
    <w:rsid w:val="00190133"/>
    <w:rsid w:val="00192F35"/>
    <w:rsid w:val="001A0003"/>
    <w:rsid w:val="001B04E4"/>
    <w:rsid w:val="001B49ED"/>
    <w:rsid w:val="001B64D3"/>
    <w:rsid w:val="001C4C15"/>
    <w:rsid w:val="001D11FE"/>
    <w:rsid w:val="001E3A84"/>
    <w:rsid w:val="00206582"/>
    <w:rsid w:val="00226858"/>
    <w:rsid w:val="00226974"/>
    <w:rsid w:val="002440F2"/>
    <w:rsid w:val="00245BA2"/>
    <w:rsid w:val="00253F7D"/>
    <w:rsid w:val="002676CB"/>
    <w:rsid w:val="0027334F"/>
    <w:rsid w:val="002A3159"/>
    <w:rsid w:val="002A74F7"/>
    <w:rsid w:val="002D3F2C"/>
    <w:rsid w:val="002E3E44"/>
    <w:rsid w:val="002F5107"/>
    <w:rsid w:val="003174FE"/>
    <w:rsid w:val="0032473E"/>
    <w:rsid w:val="00327B15"/>
    <w:rsid w:val="00335854"/>
    <w:rsid w:val="00350D7E"/>
    <w:rsid w:val="00380A35"/>
    <w:rsid w:val="003D7F37"/>
    <w:rsid w:val="003F3C29"/>
    <w:rsid w:val="004020AD"/>
    <w:rsid w:val="0042250F"/>
    <w:rsid w:val="00464E5B"/>
    <w:rsid w:val="004735E9"/>
    <w:rsid w:val="00473E00"/>
    <w:rsid w:val="004A4CCA"/>
    <w:rsid w:val="004A54EB"/>
    <w:rsid w:val="004B501A"/>
    <w:rsid w:val="004D1A1E"/>
    <w:rsid w:val="004F09CE"/>
    <w:rsid w:val="005022C1"/>
    <w:rsid w:val="005027AE"/>
    <w:rsid w:val="00546C71"/>
    <w:rsid w:val="00574BAE"/>
    <w:rsid w:val="00580453"/>
    <w:rsid w:val="005913AF"/>
    <w:rsid w:val="005A28FB"/>
    <w:rsid w:val="005C2E02"/>
    <w:rsid w:val="005D439E"/>
    <w:rsid w:val="006259AE"/>
    <w:rsid w:val="006315FD"/>
    <w:rsid w:val="00631706"/>
    <w:rsid w:val="00657C52"/>
    <w:rsid w:val="00674931"/>
    <w:rsid w:val="0069107E"/>
    <w:rsid w:val="00722F7C"/>
    <w:rsid w:val="00731468"/>
    <w:rsid w:val="00732142"/>
    <w:rsid w:val="00732D84"/>
    <w:rsid w:val="00741147"/>
    <w:rsid w:val="007601C0"/>
    <w:rsid w:val="00775A5A"/>
    <w:rsid w:val="00775CA9"/>
    <w:rsid w:val="007934EB"/>
    <w:rsid w:val="007953A7"/>
    <w:rsid w:val="007C1AD1"/>
    <w:rsid w:val="007E3036"/>
    <w:rsid w:val="00802A49"/>
    <w:rsid w:val="00802DF8"/>
    <w:rsid w:val="0081300E"/>
    <w:rsid w:val="008452A3"/>
    <w:rsid w:val="00847231"/>
    <w:rsid w:val="00871468"/>
    <w:rsid w:val="00872943"/>
    <w:rsid w:val="00876B03"/>
    <w:rsid w:val="00896B83"/>
    <w:rsid w:val="008F1DFA"/>
    <w:rsid w:val="008F392D"/>
    <w:rsid w:val="009054E2"/>
    <w:rsid w:val="009647D1"/>
    <w:rsid w:val="009832FD"/>
    <w:rsid w:val="009A0CB2"/>
    <w:rsid w:val="009B4C17"/>
    <w:rsid w:val="009C6147"/>
    <w:rsid w:val="009D4096"/>
    <w:rsid w:val="009E5B1F"/>
    <w:rsid w:val="00A02E18"/>
    <w:rsid w:val="00A20707"/>
    <w:rsid w:val="00A2371F"/>
    <w:rsid w:val="00A437C0"/>
    <w:rsid w:val="00A459A1"/>
    <w:rsid w:val="00A62CFE"/>
    <w:rsid w:val="00A738F6"/>
    <w:rsid w:val="00A85BC8"/>
    <w:rsid w:val="00A90E14"/>
    <w:rsid w:val="00A94099"/>
    <w:rsid w:val="00AA238D"/>
    <w:rsid w:val="00AA56CF"/>
    <w:rsid w:val="00AD03AD"/>
    <w:rsid w:val="00AD416C"/>
    <w:rsid w:val="00B03C4C"/>
    <w:rsid w:val="00B1336D"/>
    <w:rsid w:val="00B4382E"/>
    <w:rsid w:val="00B557FA"/>
    <w:rsid w:val="00B60661"/>
    <w:rsid w:val="00B8730D"/>
    <w:rsid w:val="00BA788B"/>
    <w:rsid w:val="00BC7C54"/>
    <w:rsid w:val="00C02937"/>
    <w:rsid w:val="00C23367"/>
    <w:rsid w:val="00C419C3"/>
    <w:rsid w:val="00C619EF"/>
    <w:rsid w:val="00C76221"/>
    <w:rsid w:val="00C7665B"/>
    <w:rsid w:val="00C773A3"/>
    <w:rsid w:val="00C86FDD"/>
    <w:rsid w:val="00CA596F"/>
    <w:rsid w:val="00CE5AE7"/>
    <w:rsid w:val="00CF6B72"/>
    <w:rsid w:val="00D01B41"/>
    <w:rsid w:val="00D433E9"/>
    <w:rsid w:val="00D5342F"/>
    <w:rsid w:val="00D924D7"/>
    <w:rsid w:val="00D95D47"/>
    <w:rsid w:val="00D96127"/>
    <w:rsid w:val="00DA4945"/>
    <w:rsid w:val="00DA5FCA"/>
    <w:rsid w:val="00DD0A9F"/>
    <w:rsid w:val="00DD4246"/>
    <w:rsid w:val="00E10D67"/>
    <w:rsid w:val="00E30D92"/>
    <w:rsid w:val="00E35360"/>
    <w:rsid w:val="00E4631D"/>
    <w:rsid w:val="00E463C1"/>
    <w:rsid w:val="00E55E27"/>
    <w:rsid w:val="00E60AE7"/>
    <w:rsid w:val="00E721E3"/>
    <w:rsid w:val="00E92B01"/>
    <w:rsid w:val="00EC015F"/>
    <w:rsid w:val="00EC67B2"/>
    <w:rsid w:val="00F031BB"/>
    <w:rsid w:val="00F11AC3"/>
    <w:rsid w:val="00F21B16"/>
    <w:rsid w:val="00F33C44"/>
    <w:rsid w:val="00F6158F"/>
    <w:rsid w:val="00F61A76"/>
    <w:rsid w:val="00F62E9B"/>
    <w:rsid w:val="00F72EB8"/>
    <w:rsid w:val="00F9173A"/>
    <w:rsid w:val="00F95558"/>
    <w:rsid w:val="00FC5DAA"/>
    <w:rsid w:val="00FD4F6E"/>
    <w:rsid w:val="00FE6F6F"/>
    <w:rsid w:val="00FF66DD"/>
    <w:rsid w:val="019465D1"/>
    <w:rsid w:val="030AAAA5"/>
    <w:rsid w:val="03E1E159"/>
    <w:rsid w:val="04DC969E"/>
    <w:rsid w:val="04F8BDCC"/>
    <w:rsid w:val="0501C2D1"/>
    <w:rsid w:val="095F21BE"/>
    <w:rsid w:val="0B164AC2"/>
    <w:rsid w:val="0B1FE750"/>
    <w:rsid w:val="0B89D0AE"/>
    <w:rsid w:val="0C8EE248"/>
    <w:rsid w:val="0DF74D5C"/>
    <w:rsid w:val="0E854B19"/>
    <w:rsid w:val="109A7806"/>
    <w:rsid w:val="13DC298F"/>
    <w:rsid w:val="163FCEB3"/>
    <w:rsid w:val="19C5E535"/>
    <w:rsid w:val="1A812429"/>
    <w:rsid w:val="1C74DF8B"/>
    <w:rsid w:val="1D9A3783"/>
    <w:rsid w:val="1DC662DA"/>
    <w:rsid w:val="1DE930D2"/>
    <w:rsid w:val="1E4EAFC7"/>
    <w:rsid w:val="1F13E116"/>
    <w:rsid w:val="1F1F1F31"/>
    <w:rsid w:val="1F397D7B"/>
    <w:rsid w:val="1F538C68"/>
    <w:rsid w:val="1FAB17F9"/>
    <w:rsid w:val="1FEF5975"/>
    <w:rsid w:val="2165FDB8"/>
    <w:rsid w:val="2175A4B6"/>
    <w:rsid w:val="21E7CBA4"/>
    <w:rsid w:val="225F5A7B"/>
    <w:rsid w:val="2444FFB7"/>
    <w:rsid w:val="2608695D"/>
    <w:rsid w:val="271A3379"/>
    <w:rsid w:val="292FF653"/>
    <w:rsid w:val="2C1FB2C4"/>
    <w:rsid w:val="2CE14556"/>
    <w:rsid w:val="2DE2084C"/>
    <w:rsid w:val="2E10EB37"/>
    <w:rsid w:val="2E401D6F"/>
    <w:rsid w:val="2F00D032"/>
    <w:rsid w:val="312EE39E"/>
    <w:rsid w:val="3244AAFF"/>
    <w:rsid w:val="32A84ABA"/>
    <w:rsid w:val="33EB1BAC"/>
    <w:rsid w:val="377FE945"/>
    <w:rsid w:val="38818ED7"/>
    <w:rsid w:val="38F1F517"/>
    <w:rsid w:val="3966C389"/>
    <w:rsid w:val="3A7A0230"/>
    <w:rsid w:val="3AD2AC8B"/>
    <w:rsid w:val="3AF5A23A"/>
    <w:rsid w:val="3B10EA83"/>
    <w:rsid w:val="3B48D071"/>
    <w:rsid w:val="3B59714C"/>
    <w:rsid w:val="3B608C0E"/>
    <w:rsid w:val="3BB67D2D"/>
    <w:rsid w:val="3CA57B0B"/>
    <w:rsid w:val="3D0D33A7"/>
    <w:rsid w:val="3D96A7F9"/>
    <w:rsid w:val="3E4AF288"/>
    <w:rsid w:val="3E81100D"/>
    <w:rsid w:val="3E814D18"/>
    <w:rsid w:val="3F03D9D3"/>
    <w:rsid w:val="3F1C323C"/>
    <w:rsid w:val="3FB4A814"/>
    <w:rsid w:val="421B318B"/>
    <w:rsid w:val="43656165"/>
    <w:rsid w:val="437613FD"/>
    <w:rsid w:val="43BA6C4C"/>
    <w:rsid w:val="44F4C5BE"/>
    <w:rsid w:val="44FDEE0B"/>
    <w:rsid w:val="45E166B9"/>
    <w:rsid w:val="46A62F81"/>
    <w:rsid w:val="470B7206"/>
    <w:rsid w:val="48173D20"/>
    <w:rsid w:val="4B999EB0"/>
    <w:rsid w:val="4CB29FC3"/>
    <w:rsid w:val="4E9DBB81"/>
    <w:rsid w:val="4F34A367"/>
    <w:rsid w:val="4F5D9888"/>
    <w:rsid w:val="50E93FE4"/>
    <w:rsid w:val="51472854"/>
    <w:rsid w:val="5448A2BD"/>
    <w:rsid w:val="5460C4EF"/>
    <w:rsid w:val="560EDE59"/>
    <w:rsid w:val="576BF98E"/>
    <w:rsid w:val="5860BBDB"/>
    <w:rsid w:val="59181627"/>
    <w:rsid w:val="5B1FA36F"/>
    <w:rsid w:val="5BFD3450"/>
    <w:rsid w:val="5C33B212"/>
    <w:rsid w:val="5C5565C7"/>
    <w:rsid w:val="5C5D31C3"/>
    <w:rsid w:val="5EF6624C"/>
    <w:rsid w:val="5FA094EF"/>
    <w:rsid w:val="61E9C01A"/>
    <w:rsid w:val="623FDF85"/>
    <w:rsid w:val="63E47FA1"/>
    <w:rsid w:val="64037DD8"/>
    <w:rsid w:val="645FDFEC"/>
    <w:rsid w:val="64E2CD1B"/>
    <w:rsid w:val="65FD1E66"/>
    <w:rsid w:val="66A5BCE7"/>
    <w:rsid w:val="679D57D5"/>
    <w:rsid w:val="683E48DB"/>
    <w:rsid w:val="6A276791"/>
    <w:rsid w:val="6B0D94D6"/>
    <w:rsid w:val="6E8B9428"/>
    <w:rsid w:val="6F092C4B"/>
    <w:rsid w:val="6FB15E52"/>
    <w:rsid w:val="70F43CF7"/>
    <w:rsid w:val="7190B13D"/>
    <w:rsid w:val="71B2E843"/>
    <w:rsid w:val="72223A58"/>
    <w:rsid w:val="7374F17F"/>
    <w:rsid w:val="738B8525"/>
    <w:rsid w:val="75305CA5"/>
    <w:rsid w:val="758719E4"/>
    <w:rsid w:val="75DF8BCA"/>
    <w:rsid w:val="7638169B"/>
    <w:rsid w:val="769CEFFB"/>
    <w:rsid w:val="78273944"/>
    <w:rsid w:val="786A3E2D"/>
    <w:rsid w:val="790000A3"/>
    <w:rsid w:val="7953A52B"/>
    <w:rsid w:val="7B7B1103"/>
    <w:rsid w:val="7B7E3862"/>
    <w:rsid w:val="7BBD54C6"/>
    <w:rsid w:val="7DE17267"/>
    <w:rsid w:val="7DE1E1C4"/>
    <w:rsid w:val="7DF28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318B"/>
  <w15:chartTrackingRefBased/>
  <w15:docId w15:val="{C934934F-1824-40AA-A9D2-6D453DB5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3C4C"/>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val="en-IN" w:eastAsia="en-US"/>
    </w:rPr>
  </w:style>
  <w:style w:type="paragraph" w:styleId="Heading2">
    <w:name w:val="heading 2"/>
    <w:basedOn w:val="Normal"/>
    <w:next w:val="Normal"/>
    <w:link w:val="Heading2Char"/>
    <w:uiPriority w:val="9"/>
    <w:unhideWhenUsed/>
    <w:qFormat/>
    <w:rsid w:val="00A738F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E3E4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uiPriority w:val="99"/>
    <w:unhideWhenUsed/>
    <w:rsid w:val="6A276791"/>
    <w:pPr>
      <w:spacing w:after="0" w:line="240" w:lineRule="auto"/>
    </w:pPr>
    <w:rPr>
      <w:rFonts w:ascii="Consolas" w:hAnsi="Consolas"/>
      <w:sz w:val="20"/>
      <w:szCs w:val="20"/>
    </w:rPr>
  </w:style>
  <w:style w:type="paragraph" w:styleId="BodyText">
    <w:name w:val="Body Text"/>
    <w:basedOn w:val="Normal"/>
    <w:uiPriority w:val="99"/>
    <w:unhideWhenUsed/>
    <w:rsid w:val="6A276791"/>
    <w:pPr>
      <w:spacing w:after="120"/>
    </w:pPr>
  </w:style>
  <w:style w:type="paragraph" w:customStyle="1" w:styleId="Abstract">
    <w:name w:val="Abstract"/>
    <w:basedOn w:val="Normal"/>
    <w:uiPriority w:val="1"/>
    <w:rsid w:val="6A276791"/>
    <w:pPr>
      <w:spacing w:after="200"/>
      <w:ind w:firstLine="272"/>
      <w:jc w:val="both"/>
    </w:pPr>
    <w:rPr>
      <w:rFonts w:ascii="Times New Roman" w:eastAsia="SimSun" w:hAnsi="Times New Roman" w:cs="Times New Roman"/>
      <w:b/>
      <w:bCs/>
      <w:sz w:val="18"/>
      <w:szCs w:val="18"/>
    </w:rPr>
  </w:style>
  <w:style w:type="paragraph" w:customStyle="1" w:styleId="Keywords">
    <w:name w:val="Keywords"/>
    <w:basedOn w:val="Normal"/>
    <w:uiPriority w:val="1"/>
    <w:qFormat/>
    <w:rsid w:val="6A276791"/>
    <w:pPr>
      <w:spacing w:after="120"/>
      <w:ind w:firstLine="274"/>
      <w:jc w:val="both"/>
    </w:pPr>
    <w:rPr>
      <w:rFonts w:ascii="Times New Roman" w:eastAsia="SimSun" w:hAnsi="Times New Roman" w:cs="Times New Roman"/>
      <w:b/>
      <w:bCs/>
      <w:i/>
      <w:iCs/>
      <w:sz w:val="18"/>
      <w:szCs w:val="18"/>
    </w:rPr>
  </w:style>
  <w:style w:type="character" w:styleId="Hyperlink">
    <w:name w:val="Hyperlink"/>
    <w:basedOn w:val="DefaultParagraphFont"/>
    <w:uiPriority w:val="99"/>
    <w:unhideWhenUsed/>
    <w:rsid w:val="1F538C68"/>
    <w:rPr>
      <w:color w:val="467886"/>
      <w:u w:val="single"/>
    </w:rPr>
  </w:style>
  <w:style w:type="paragraph" w:styleId="ListParagraph">
    <w:name w:val="List Paragraph"/>
    <w:basedOn w:val="Normal"/>
    <w:uiPriority w:val="34"/>
    <w:qFormat/>
    <w:rsid w:val="1F538C68"/>
    <w:pPr>
      <w:ind w:left="720"/>
      <w:contextualSpacing/>
    </w:pPr>
  </w:style>
  <w:style w:type="paragraph" w:styleId="Bibliography">
    <w:name w:val="Bibliography"/>
    <w:basedOn w:val="Normal"/>
    <w:next w:val="Normal"/>
    <w:uiPriority w:val="37"/>
    <w:unhideWhenUsed/>
    <w:rsid w:val="00F95558"/>
    <w:pPr>
      <w:spacing w:after="240" w:line="240" w:lineRule="auto"/>
    </w:pPr>
  </w:style>
  <w:style w:type="character" w:styleId="Emphasis">
    <w:name w:val="Emphasis"/>
    <w:basedOn w:val="DefaultParagraphFont"/>
    <w:uiPriority w:val="20"/>
    <w:qFormat/>
    <w:rsid w:val="00F6158F"/>
    <w:rPr>
      <w:i/>
      <w:iCs/>
    </w:rPr>
  </w:style>
  <w:style w:type="character" w:customStyle="1" w:styleId="output-sentence">
    <w:name w:val="output-sentence"/>
    <w:basedOn w:val="DefaultParagraphFont"/>
    <w:rsid w:val="00BC7C54"/>
  </w:style>
  <w:style w:type="character" w:customStyle="1" w:styleId="muibox-root">
    <w:name w:val="muibox-root"/>
    <w:basedOn w:val="DefaultParagraphFont"/>
    <w:rsid w:val="00BC7C54"/>
  </w:style>
  <w:style w:type="character" w:customStyle="1" w:styleId="extn-css-0">
    <w:name w:val="extn-css-0"/>
    <w:basedOn w:val="DefaultParagraphFont"/>
    <w:rsid w:val="00BC7C54"/>
  </w:style>
  <w:style w:type="character" w:customStyle="1" w:styleId="extn-css-1tmeul0">
    <w:name w:val="extn-css-1tmeul0"/>
    <w:basedOn w:val="DefaultParagraphFont"/>
    <w:rsid w:val="00BC7C54"/>
  </w:style>
  <w:style w:type="character" w:customStyle="1" w:styleId="extn-css-1g9q2al">
    <w:name w:val="extn-css-1g9q2al"/>
    <w:basedOn w:val="DefaultParagraphFont"/>
    <w:rsid w:val="00BC7C54"/>
  </w:style>
  <w:style w:type="character" w:customStyle="1" w:styleId="extn-css-lq4jk2">
    <w:name w:val="extn-css-lq4jk2"/>
    <w:basedOn w:val="DefaultParagraphFont"/>
    <w:rsid w:val="00BC7C54"/>
  </w:style>
  <w:style w:type="character" w:customStyle="1" w:styleId="extn-css-10o52y0">
    <w:name w:val="extn-css-10o52y0"/>
    <w:basedOn w:val="DefaultParagraphFont"/>
    <w:rsid w:val="00BC7C54"/>
  </w:style>
  <w:style w:type="character" w:customStyle="1" w:styleId="extn-css-h5d7i9">
    <w:name w:val="extn-css-h5d7i9"/>
    <w:basedOn w:val="DefaultParagraphFont"/>
    <w:rsid w:val="00BC7C54"/>
  </w:style>
  <w:style w:type="paragraph" w:styleId="NoSpacing">
    <w:name w:val="No Spacing"/>
    <w:uiPriority w:val="1"/>
    <w:qFormat/>
    <w:rsid w:val="00BC7C54"/>
    <w:pPr>
      <w:spacing w:after="0" w:line="240" w:lineRule="auto"/>
    </w:pPr>
  </w:style>
  <w:style w:type="character" w:customStyle="1" w:styleId="Heading1Char">
    <w:name w:val="Heading 1 Char"/>
    <w:basedOn w:val="DefaultParagraphFont"/>
    <w:link w:val="Heading1"/>
    <w:uiPriority w:val="9"/>
    <w:rsid w:val="00B03C4C"/>
    <w:rPr>
      <w:rFonts w:asciiTheme="majorHAnsi" w:eastAsiaTheme="majorEastAsia" w:hAnsiTheme="majorHAnsi" w:cstheme="majorBidi"/>
      <w:color w:val="0F4761" w:themeColor="accent1" w:themeShade="BF"/>
      <w:sz w:val="32"/>
      <w:szCs w:val="32"/>
      <w:lang w:val="en-IN" w:eastAsia="en-US"/>
    </w:rPr>
  </w:style>
  <w:style w:type="table" w:customStyle="1" w:styleId="TableGrid">
    <w:name w:val="TableGrid"/>
    <w:rsid w:val="00B03C4C"/>
    <w:pPr>
      <w:spacing w:after="0" w:line="240" w:lineRule="auto"/>
    </w:pPr>
    <w:rPr>
      <w:sz w:val="22"/>
      <w:szCs w:val="22"/>
      <w:lang w:val="en-IE" w:eastAsia="en-IE"/>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738F6"/>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A738F6"/>
    <w:pPr>
      <w:outlineLvl w:val="9"/>
    </w:pPr>
    <w:rPr>
      <w:lang w:val="en-US"/>
    </w:rPr>
  </w:style>
  <w:style w:type="paragraph" w:styleId="TOC1">
    <w:name w:val="toc 1"/>
    <w:basedOn w:val="Normal"/>
    <w:next w:val="Normal"/>
    <w:autoRedefine/>
    <w:uiPriority w:val="39"/>
    <w:unhideWhenUsed/>
    <w:rsid w:val="00A738F6"/>
    <w:pPr>
      <w:spacing w:after="100"/>
    </w:pPr>
  </w:style>
  <w:style w:type="paragraph" w:styleId="TOC2">
    <w:name w:val="toc 2"/>
    <w:basedOn w:val="Normal"/>
    <w:next w:val="Normal"/>
    <w:autoRedefine/>
    <w:uiPriority w:val="39"/>
    <w:unhideWhenUsed/>
    <w:rsid w:val="00A738F6"/>
    <w:pPr>
      <w:spacing w:after="100"/>
      <w:ind w:left="240"/>
    </w:pPr>
  </w:style>
  <w:style w:type="paragraph" w:styleId="Title">
    <w:name w:val="Title"/>
    <w:basedOn w:val="Normal"/>
    <w:next w:val="Normal"/>
    <w:link w:val="TitleChar"/>
    <w:uiPriority w:val="10"/>
    <w:qFormat/>
    <w:rsid w:val="001B64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D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B6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D3"/>
  </w:style>
  <w:style w:type="paragraph" w:styleId="Footer">
    <w:name w:val="footer"/>
    <w:basedOn w:val="Normal"/>
    <w:link w:val="FooterChar"/>
    <w:uiPriority w:val="99"/>
    <w:unhideWhenUsed/>
    <w:rsid w:val="001B6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D3"/>
  </w:style>
  <w:style w:type="character" w:customStyle="1" w:styleId="Heading3Char">
    <w:name w:val="Heading 3 Char"/>
    <w:basedOn w:val="DefaultParagraphFont"/>
    <w:link w:val="Heading3"/>
    <w:uiPriority w:val="9"/>
    <w:semiHidden/>
    <w:rsid w:val="002E3E44"/>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2E3E44"/>
    <w:pPr>
      <w:spacing w:before="100" w:beforeAutospacing="1" w:after="100" w:afterAutospacing="1" w:line="240" w:lineRule="auto"/>
    </w:pPr>
    <w:rPr>
      <w:rFonts w:ascii="Times New Roman" w:eastAsia="Times New Roman" w:hAnsi="Times New Roman" w:cs="Times New Roman"/>
      <w:lang w:val="en-IN" w:eastAsia="en-IN"/>
    </w:rPr>
  </w:style>
  <w:style w:type="character" w:styleId="HTMLCode">
    <w:name w:val="HTML Code"/>
    <w:basedOn w:val="DefaultParagraphFont"/>
    <w:uiPriority w:val="99"/>
    <w:semiHidden/>
    <w:unhideWhenUsed/>
    <w:rsid w:val="00D96127"/>
    <w:rPr>
      <w:rFonts w:ascii="Courier New" w:eastAsia="Times New Roman" w:hAnsi="Courier New" w:cs="Courier New"/>
      <w:sz w:val="20"/>
      <w:szCs w:val="20"/>
    </w:rPr>
  </w:style>
  <w:style w:type="character" w:customStyle="1" w:styleId="katex-mathml">
    <w:name w:val="katex-mathml"/>
    <w:basedOn w:val="DefaultParagraphFont"/>
    <w:rsid w:val="00F62E9B"/>
  </w:style>
  <w:style w:type="character" w:customStyle="1" w:styleId="mord">
    <w:name w:val="mord"/>
    <w:basedOn w:val="DefaultParagraphFont"/>
    <w:rsid w:val="00F62E9B"/>
  </w:style>
  <w:style w:type="character" w:customStyle="1" w:styleId="cursor-pointer">
    <w:name w:val="cursor-pointer"/>
    <w:basedOn w:val="DefaultParagraphFont"/>
    <w:rsid w:val="00802DF8"/>
  </w:style>
  <w:style w:type="character" w:customStyle="1" w:styleId="bg-green-100">
    <w:name w:val="bg-green-100"/>
    <w:basedOn w:val="DefaultParagraphFont"/>
    <w:rsid w:val="00802DF8"/>
  </w:style>
  <w:style w:type="paragraph" w:customStyle="1" w:styleId="isselectedend">
    <w:name w:val="isselectedend"/>
    <w:basedOn w:val="Normal"/>
    <w:rsid w:val="004735E9"/>
    <w:pPr>
      <w:spacing w:before="100" w:beforeAutospacing="1" w:after="100" w:afterAutospacing="1" w:line="240" w:lineRule="auto"/>
    </w:pPr>
    <w:rPr>
      <w:rFonts w:ascii="Times New Roman" w:eastAsia="Times New Roman" w:hAnsi="Times New Roman" w:cs="Times New Roman"/>
      <w:lang w:val="en-IN" w:eastAsia="en-IN"/>
    </w:rPr>
  </w:style>
  <w:style w:type="paragraph" w:customStyle="1" w:styleId="pdq2pgselectionanchorcontainer">
    <w:name w:val="pdq2pg_selectionanchorcontainer"/>
    <w:basedOn w:val="Normal"/>
    <w:rsid w:val="005A28FB"/>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00948">
      <w:bodyDiv w:val="1"/>
      <w:marLeft w:val="0"/>
      <w:marRight w:val="0"/>
      <w:marTop w:val="0"/>
      <w:marBottom w:val="0"/>
      <w:divBdr>
        <w:top w:val="none" w:sz="0" w:space="0" w:color="auto"/>
        <w:left w:val="none" w:sz="0" w:space="0" w:color="auto"/>
        <w:bottom w:val="none" w:sz="0" w:space="0" w:color="auto"/>
        <w:right w:val="none" w:sz="0" w:space="0" w:color="auto"/>
      </w:divBdr>
    </w:div>
    <w:div w:id="41682362">
      <w:bodyDiv w:val="1"/>
      <w:marLeft w:val="0"/>
      <w:marRight w:val="0"/>
      <w:marTop w:val="0"/>
      <w:marBottom w:val="0"/>
      <w:divBdr>
        <w:top w:val="none" w:sz="0" w:space="0" w:color="auto"/>
        <w:left w:val="none" w:sz="0" w:space="0" w:color="auto"/>
        <w:bottom w:val="none" w:sz="0" w:space="0" w:color="auto"/>
        <w:right w:val="none" w:sz="0" w:space="0" w:color="auto"/>
      </w:divBdr>
    </w:div>
    <w:div w:id="238830899">
      <w:bodyDiv w:val="1"/>
      <w:marLeft w:val="0"/>
      <w:marRight w:val="0"/>
      <w:marTop w:val="0"/>
      <w:marBottom w:val="0"/>
      <w:divBdr>
        <w:top w:val="none" w:sz="0" w:space="0" w:color="auto"/>
        <w:left w:val="none" w:sz="0" w:space="0" w:color="auto"/>
        <w:bottom w:val="none" w:sz="0" w:space="0" w:color="auto"/>
        <w:right w:val="none" w:sz="0" w:space="0" w:color="auto"/>
      </w:divBdr>
    </w:div>
    <w:div w:id="353774198">
      <w:bodyDiv w:val="1"/>
      <w:marLeft w:val="0"/>
      <w:marRight w:val="0"/>
      <w:marTop w:val="0"/>
      <w:marBottom w:val="0"/>
      <w:divBdr>
        <w:top w:val="none" w:sz="0" w:space="0" w:color="auto"/>
        <w:left w:val="none" w:sz="0" w:space="0" w:color="auto"/>
        <w:bottom w:val="none" w:sz="0" w:space="0" w:color="auto"/>
        <w:right w:val="none" w:sz="0" w:space="0" w:color="auto"/>
      </w:divBdr>
    </w:div>
    <w:div w:id="399642986">
      <w:bodyDiv w:val="1"/>
      <w:marLeft w:val="0"/>
      <w:marRight w:val="0"/>
      <w:marTop w:val="0"/>
      <w:marBottom w:val="0"/>
      <w:divBdr>
        <w:top w:val="none" w:sz="0" w:space="0" w:color="auto"/>
        <w:left w:val="none" w:sz="0" w:space="0" w:color="auto"/>
        <w:bottom w:val="none" w:sz="0" w:space="0" w:color="auto"/>
        <w:right w:val="none" w:sz="0" w:space="0" w:color="auto"/>
      </w:divBdr>
    </w:div>
    <w:div w:id="647511766">
      <w:bodyDiv w:val="1"/>
      <w:marLeft w:val="0"/>
      <w:marRight w:val="0"/>
      <w:marTop w:val="0"/>
      <w:marBottom w:val="0"/>
      <w:divBdr>
        <w:top w:val="none" w:sz="0" w:space="0" w:color="auto"/>
        <w:left w:val="none" w:sz="0" w:space="0" w:color="auto"/>
        <w:bottom w:val="none" w:sz="0" w:space="0" w:color="auto"/>
        <w:right w:val="none" w:sz="0" w:space="0" w:color="auto"/>
      </w:divBdr>
    </w:div>
    <w:div w:id="674725421">
      <w:bodyDiv w:val="1"/>
      <w:marLeft w:val="0"/>
      <w:marRight w:val="0"/>
      <w:marTop w:val="0"/>
      <w:marBottom w:val="0"/>
      <w:divBdr>
        <w:top w:val="none" w:sz="0" w:space="0" w:color="auto"/>
        <w:left w:val="none" w:sz="0" w:space="0" w:color="auto"/>
        <w:bottom w:val="none" w:sz="0" w:space="0" w:color="auto"/>
        <w:right w:val="none" w:sz="0" w:space="0" w:color="auto"/>
      </w:divBdr>
      <w:divsChild>
        <w:div w:id="1886023279">
          <w:marLeft w:val="0"/>
          <w:marRight w:val="0"/>
          <w:marTop w:val="0"/>
          <w:marBottom w:val="0"/>
          <w:divBdr>
            <w:top w:val="none" w:sz="0" w:space="0" w:color="auto"/>
            <w:left w:val="none" w:sz="0" w:space="0" w:color="auto"/>
            <w:bottom w:val="none" w:sz="0" w:space="0" w:color="auto"/>
            <w:right w:val="none" w:sz="0" w:space="0" w:color="auto"/>
          </w:divBdr>
          <w:divsChild>
            <w:div w:id="1150563401">
              <w:marLeft w:val="0"/>
              <w:marRight w:val="0"/>
              <w:marTop w:val="0"/>
              <w:marBottom w:val="0"/>
              <w:divBdr>
                <w:top w:val="none" w:sz="0" w:space="0" w:color="auto"/>
                <w:left w:val="none" w:sz="0" w:space="0" w:color="auto"/>
                <w:bottom w:val="none" w:sz="0" w:space="0" w:color="auto"/>
                <w:right w:val="none" w:sz="0" w:space="0" w:color="auto"/>
              </w:divBdr>
              <w:divsChild>
                <w:div w:id="119735184">
                  <w:marLeft w:val="0"/>
                  <w:marRight w:val="0"/>
                  <w:marTop w:val="0"/>
                  <w:marBottom w:val="0"/>
                  <w:divBdr>
                    <w:top w:val="none" w:sz="0" w:space="0" w:color="auto"/>
                    <w:left w:val="none" w:sz="0" w:space="0" w:color="auto"/>
                    <w:bottom w:val="none" w:sz="0" w:space="0" w:color="auto"/>
                    <w:right w:val="none" w:sz="0" w:space="0" w:color="auto"/>
                  </w:divBdr>
                  <w:divsChild>
                    <w:div w:id="1209730571">
                      <w:marLeft w:val="0"/>
                      <w:marRight w:val="0"/>
                      <w:marTop w:val="0"/>
                      <w:marBottom w:val="0"/>
                      <w:divBdr>
                        <w:top w:val="none" w:sz="0" w:space="0" w:color="auto"/>
                        <w:left w:val="none" w:sz="0" w:space="0" w:color="auto"/>
                        <w:bottom w:val="none" w:sz="0" w:space="0" w:color="auto"/>
                        <w:right w:val="none" w:sz="0" w:space="0" w:color="auto"/>
                      </w:divBdr>
                    </w:div>
                    <w:div w:id="1478641786">
                      <w:marLeft w:val="0"/>
                      <w:marRight w:val="0"/>
                      <w:marTop w:val="0"/>
                      <w:marBottom w:val="0"/>
                      <w:divBdr>
                        <w:top w:val="none" w:sz="0" w:space="0" w:color="auto"/>
                        <w:left w:val="none" w:sz="0" w:space="0" w:color="auto"/>
                        <w:bottom w:val="none" w:sz="0" w:space="0" w:color="auto"/>
                        <w:right w:val="none" w:sz="0" w:space="0" w:color="auto"/>
                      </w:divBdr>
                    </w:div>
                    <w:div w:id="1060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1409">
          <w:marLeft w:val="0"/>
          <w:marRight w:val="0"/>
          <w:marTop w:val="240"/>
          <w:marBottom w:val="0"/>
          <w:divBdr>
            <w:top w:val="none" w:sz="0" w:space="0" w:color="auto"/>
            <w:left w:val="none" w:sz="0" w:space="0" w:color="auto"/>
            <w:bottom w:val="none" w:sz="0" w:space="0" w:color="auto"/>
            <w:right w:val="none" w:sz="0" w:space="0" w:color="auto"/>
          </w:divBdr>
        </w:div>
      </w:divsChild>
    </w:div>
    <w:div w:id="796722266">
      <w:bodyDiv w:val="1"/>
      <w:marLeft w:val="0"/>
      <w:marRight w:val="0"/>
      <w:marTop w:val="0"/>
      <w:marBottom w:val="0"/>
      <w:divBdr>
        <w:top w:val="none" w:sz="0" w:space="0" w:color="auto"/>
        <w:left w:val="none" w:sz="0" w:space="0" w:color="auto"/>
        <w:bottom w:val="none" w:sz="0" w:space="0" w:color="auto"/>
        <w:right w:val="none" w:sz="0" w:space="0" w:color="auto"/>
      </w:divBdr>
    </w:div>
    <w:div w:id="1068501840">
      <w:bodyDiv w:val="1"/>
      <w:marLeft w:val="0"/>
      <w:marRight w:val="0"/>
      <w:marTop w:val="0"/>
      <w:marBottom w:val="0"/>
      <w:divBdr>
        <w:top w:val="none" w:sz="0" w:space="0" w:color="auto"/>
        <w:left w:val="none" w:sz="0" w:space="0" w:color="auto"/>
        <w:bottom w:val="none" w:sz="0" w:space="0" w:color="auto"/>
        <w:right w:val="none" w:sz="0" w:space="0" w:color="auto"/>
      </w:divBdr>
    </w:div>
    <w:div w:id="1073353775">
      <w:bodyDiv w:val="1"/>
      <w:marLeft w:val="0"/>
      <w:marRight w:val="0"/>
      <w:marTop w:val="0"/>
      <w:marBottom w:val="0"/>
      <w:divBdr>
        <w:top w:val="none" w:sz="0" w:space="0" w:color="auto"/>
        <w:left w:val="none" w:sz="0" w:space="0" w:color="auto"/>
        <w:bottom w:val="none" w:sz="0" w:space="0" w:color="auto"/>
        <w:right w:val="none" w:sz="0" w:space="0" w:color="auto"/>
      </w:divBdr>
    </w:div>
    <w:div w:id="1120538403">
      <w:bodyDiv w:val="1"/>
      <w:marLeft w:val="0"/>
      <w:marRight w:val="0"/>
      <w:marTop w:val="0"/>
      <w:marBottom w:val="0"/>
      <w:divBdr>
        <w:top w:val="none" w:sz="0" w:space="0" w:color="auto"/>
        <w:left w:val="none" w:sz="0" w:space="0" w:color="auto"/>
        <w:bottom w:val="none" w:sz="0" w:space="0" w:color="auto"/>
        <w:right w:val="none" w:sz="0" w:space="0" w:color="auto"/>
      </w:divBdr>
      <w:divsChild>
        <w:div w:id="2128423083">
          <w:marLeft w:val="0"/>
          <w:marRight w:val="0"/>
          <w:marTop w:val="0"/>
          <w:marBottom w:val="0"/>
          <w:divBdr>
            <w:top w:val="none" w:sz="0" w:space="0" w:color="auto"/>
            <w:left w:val="none" w:sz="0" w:space="0" w:color="auto"/>
            <w:bottom w:val="none" w:sz="0" w:space="0" w:color="auto"/>
            <w:right w:val="none" w:sz="0" w:space="0" w:color="auto"/>
          </w:divBdr>
          <w:divsChild>
            <w:div w:id="818268">
              <w:marLeft w:val="0"/>
              <w:marRight w:val="0"/>
              <w:marTop w:val="0"/>
              <w:marBottom w:val="0"/>
              <w:divBdr>
                <w:top w:val="none" w:sz="0" w:space="0" w:color="auto"/>
                <w:left w:val="none" w:sz="0" w:space="0" w:color="auto"/>
                <w:bottom w:val="none" w:sz="0" w:space="0" w:color="auto"/>
                <w:right w:val="none" w:sz="0" w:space="0" w:color="auto"/>
              </w:divBdr>
              <w:divsChild>
                <w:div w:id="1952278168">
                  <w:marLeft w:val="0"/>
                  <w:marRight w:val="0"/>
                  <w:marTop w:val="0"/>
                  <w:marBottom w:val="0"/>
                  <w:divBdr>
                    <w:top w:val="none" w:sz="0" w:space="0" w:color="auto"/>
                    <w:left w:val="none" w:sz="0" w:space="0" w:color="auto"/>
                    <w:bottom w:val="none" w:sz="0" w:space="0" w:color="auto"/>
                    <w:right w:val="none" w:sz="0" w:space="0" w:color="auto"/>
                  </w:divBdr>
                  <w:divsChild>
                    <w:div w:id="1298797899">
                      <w:marLeft w:val="0"/>
                      <w:marRight w:val="0"/>
                      <w:marTop w:val="0"/>
                      <w:marBottom w:val="0"/>
                      <w:divBdr>
                        <w:top w:val="none" w:sz="0" w:space="0" w:color="auto"/>
                        <w:left w:val="none" w:sz="0" w:space="0" w:color="auto"/>
                        <w:bottom w:val="none" w:sz="0" w:space="0" w:color="auto"/>
                        <w:right w:val="none" w:sz="0" w:space="0" w:color="auto"/>
                      </w:divBdr>
                      <w:divsChild>
                        <w:div w:id="178280883">
                          <w:marLeft w:val="0"/>
                          <w:marRight w:val="0"/>
                          <w:marTop w:val="0"/>
                          <w:marBottom w:val="0"/>
                          <w:divBdr>
                            <w:top w:val="none" w:sz="0" w:space="0" w:color="auto"/>
                            <w:left w:val="none" w:sz="0" w:space="0" w:color="auto"/>
                            <w:bottom w:val="none" w:sz="0" w:space="0" w:color="auto"/>
                            <w:right w:val="none" w:sz="0" w:space="0" w:color="auto"/>
                          </w:divBdr>
                          <w:divsChild>
                            <w:div w:id="755247911">
                              <w:marLeft w:val="0"/>
                              <w:marRight w:val="0"/>
                              <w:marTop w:val="0"/>
                              <w:marBottom w:val="0"/>
                              <w:divBdr>
                                <w:top w:val="none" w:sz="0" w:space="0" w:color="auto"/>
                                <w:left w:val="none" w:sz="0" w:space="0" w:color="auto"/>
                                <w:bottom w:val="none" w:sz="0" w:space="0" w:color="auto"/>
                                <w:right w:val="none" w:sz="0" w:space="0" w:color="auto"/>
                              </w:divBdr>
                              <w:divsChild>
                                <w:div w:id="616914071">
                                  <w:marLeft w:val="0"/>
                                  <w:marRight w:val="0"/>
                                  <w:marTop w:val="0"/>
                                  <w:marBottom w:val="0"/>
                                  <w:divBdr>
                                    <w:top w:val="none" w:sz="0" w:space="0" w:color="auto"/>
                                    <w:left w:val="none" w:sz="0" w:space="0" w:color="auto"/>
                                    <w:bottom w:val="none" w:sz="0" w:space="0" w:color="auto"/>
                                    <w:right w:val="none" w:sz="0" w:space="0" w:color="auto"/>
                                  </w:divBdr>
                                  <w:divsChild>
                                    <w:div w:id="434208074">
                                      <w:marLeft w:val="0"/>
                                      <w:marRight w:val="0"/>
                                      <w:marTop w:val="0"/>
                                      <w:marBottom w:val="0"/>
                                      <w:divBdr>
                                        <w:top w:val="none" w:sz="0" w:space="0" w:color="auto"/>
                                        <w:left w:val="none" w:sz="0" w:space="0" w:color="auto"/>
                                        <w:bottom w:val="none" w:sz="0" w:space="0" w:color="auto"/>
                                        <w:right w:val="none" w:sz="0" w:space="0" w:color="auto"/>
                                      </w:divBdr>
                                      <w:divsChild>
                                        <w:div w:id="169557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651665">
      <w:bodyDiv w:val="1"/>
      <w:marLeft w:val="0"/>
      <w:marRight w:val="0"/>
      <w:marTop w:val="0"/>
      <w:marBottom w:val="0"/>
      <w:divBdr>
        <w:top w:val="none" w:sz="0" w:space="0" w:color="auto"/>
        <w:left w:val="none" w:sz="0" w:space="0" w:color="auto"/>
        <w:bottom w:val="none" w:sz="0" w:space="0" w:color="auto"/>
        <w:right w:val="none" w:sz="0" w:space="0" w:color="auto"/>
      </w:divBdr>
    </w:div>
    <w:div w:id="1256984893">
      <w:bodyDiv w:val="1"/>
      <w:marLeft w:val="0"/>
      <w:marRight w:val="0"/>
      <w:marTop w:val="0"/>
      <w:marBottom w:val="0"/>
      <w:divBdr>
        <w:top w:val="none" w:sz="0" w:space="0" w:color="auto"/>
        <w:left w:val="none" w:sz="0" w:space="0" w:color="auto"/>
        <w:bottom w:val="none" w:sz="0" w:space="0" w:color="auto"/>
        <w:right w:val="none" w:sz="0" w:space="0" w:color="auto"/>
      </w:divBdr>
    </w:div>
    <w:div w:id="1323050190">
      <w:bodyDiv w:val="1"/>
      <w:marLeft w:val="0"/>
      <w:marRight w:val="0"/>
      <w:marTop w:val="0"/>
      <w:marBottom w:val="0"/>
      <w:divBdr>
        <w:top w:val="none" w:sz="0" w:space="0" w:color="auto"/>
        <w:left w:val="none" w:sz="0" w:space="0" w:color="auto"/>
        <w:bottom w:val="none" w:sz="0" w:space="0" w:color="auto"/>
        <w:right w:val="none" w:sz="0" w:space="0" w:color="auto"/>
      </w:divBdr>
    </w:div>
    <w:div w:id="1472139086">
      <w:bodyDiv w:val="1"/>
      <w:marLeft w:val="0"/>
      <w:marRight w:val="0"/>
      <w:marTop w:val="0"/>
      <w:marBottom w:val="0"/>
      <w:divBdr>
        <w:top w:val="none" w:sz="0" w:space="0" w:color="auto"/>
        <w:left w:val="none" w:sz="0" w:space="0" w:color="auto"/>
        <w:bottom w:val="none" w:sz="0" w:space="0" w:color="auto"/>
        <w:right w:val="none" w:sz="0" w:space="0" w:color="auto"/>
      </w:divBdr>
    </w:div>
    <w:div w:id="1480421593">
      <w:bodyDiv w:val="1"/>
      <w:marLeft w:val="0"/>
      <w:marRight w:val="0"/>
      <w:marTop w:val="0"/>
      <w:marBottom w:val="0"/>
      <w:divBdr>
        <w:top w:val="none" w:sz="0" w:space="0" w:color="auto"/>
        <w:left w:val="none" w:sz="0" w:space="0" w:color="auto"/>
        <w:bottom w:val="none" w:sz="0" w:space="0" w:color="auto"/>
        <w:right w:val="none" w:sz="0" w:space="0" w:color="auto"/>
      </w:divBdr>
    </w:div>
    <w:div w:id="1723947412">
      <w:bodyDiv w:val="1"/>
      <w:marLeft w:val="0"/>
      <w:marRight w:val="0"/>
      <w:marTop w:val="0"/>
      <w:marBottom w:val="0"/>
      <w:divBdr>
        <w:top w:val="none" w:sz="0" w:space="0" w:color="auto"/>
        <w:left w:val="none" w:sz="0" w:space="0" w:color="auto"/>
        <w:bottom w:val="none" w:sz="0" w:space="0" w:color="auto"/>
        <w:right w:val="none" w:sz="0" w:space="0" w:color="auto"/>
      </w:divBdr>
    </w:div>
    <w:div w:id="1732580415">
      <w:bodyDiv w:val="1"/>
      <w:marLeft w:val="0"/>
      <w:marRight w:val="0"/>
      <w:marTop w:val="0"/>
      <w:marBottom w:val="0"/>
      <w:divBdr>
        <w:top w:val="none" w:sz="0" w:space="0" w:color="auto"/>
        <w:left w:val="none" w:sz="0" w:space="0" w:color="auto"/>
        <w:bottom w:val="none" w:sz="0" w:space="0" w:color="auto"/>
        <w:right w:val="none" w:sz="0" w:space="0" w:color="auto"/>
      </w:divBdr>
    </w:div>
    <w:div w:id="1948073411">
      <w:bodyDiv w:val="1"/>
      <w:marLeft w:val="0"/>
      <w:marRight w:val="0"/>
      <w:marTop w:val="0"/>
      <w:marBottom w:val="0"/>
      <w:divBdr>
        <w:top w:val="none" w:sz="0" w:space="0" w:color="auto"/>
        <w:left w:val="none" w:sz="0" w:space="0" w:color="auto"/>
        <w:bottom w:val="none" w:sz="0" w:space="0" w:color="auto"/>
        <w:right w:val="none" w:sz="0" w:space="0" w:color="auto"/>
      </w:divBdr>
    </w:div>
    <w:div w:id="2053263863">
      <w:bodyDiv w:val="1"/>
      <w:marLeft w:val="0"/>
      <w:marRight w:val="0"/>
      <w:marTop w:val="0"/>
      <w:marBottom w:val="0"/>
      <w:divBdr>
        <w:top w:val="none" w:sz="0" w:space="0" w:color="auto"/>
        <w:left w:val="none" w:sz="0" w:space="0" w:color="auto"/>
        <w:bottom w:val="none" w:sz="0" w:space="0" w:color="auto"/>
        <w:right w:val="none" w:sz="0" w:space="0" w:color="auto"/>
      </w:divBdr>
    </w:div>
    <w:div w:id="206818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16/679/oj/eng/?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ur-lex.europa.eu/eli/reg/2024/1689/oj?locale=en&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9C7F9A7-CA63-4853-BE70-549B52FBD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10823</TotalTime>
  <Pages>14</Pages>
  <Words>10397</Words>
  <Characters>59266</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Sanjay Kuriakose</dc:creator>
  <cp:keywords/>
  <dc:description/>
  <cp:lastModifiedBy>Arnold Sanjay Kuriakose</cp:lastModifiedBy>
  <cp:revision>35</cp:revision>
  <dcterms:created xsi:type="dcterms:W3CDTF">2026-04-24T20:39:00Z</dcterms:created>
  <dcterms:modified xsi:type="dcterms:W3CDTF">2026-10-25T22:43:00Z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df7064f8-12d9-40b0-97e6-8b3b9fda659b</vt:lpwstr>
  </property>
  <property fmtid="{D5CDD505-2E9C-101B-9397-08002B2CF9AE}" pid="3" name="ZOTERO_PREF_1">
    <vt:lpwstr>&lt;data data-version="3" zotero-version="9.0.6"&gt;&lt;session id="YJgTCUfc"/&gt;&lt;style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