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5C1F593C"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E744D21" w:rsidR="00A57C25" w:rsidRPr="00A57C25" w:rsidRDefault="00B16541" w:rsidP="00F40353">
            <w:pPr>
              <w:spacing w:line="480" w:lineRule="auto"/>
              <w:rPr>
                <w:color w:val="000000" w:themeColor="text1"/>
                <w:sz w:val="32"/>
                <w:szCs w:val="32"/>
              </w:rPr>
            </w:pPr>
            <w:r>
              <w:rPr>
                <w:color w:val="000000" w:themeColor="text1"/>
                <w:sz w:val="32"/>
                <w:szCs w:val="32"/>
              </w:rPr>
              <w:t>29/03/2024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5D231285" w:rsidR="00A57C25" w:rsidRPr="00A57C25" w:rsidRDefault="00EC4E9D" w:rsidP="00F40353">
            <w:pPr>
              <w:spacing w:line="480" w:lineRule="auto"/>
              <w:rPr>
                <w:color w:val="000000" w:themeColor="text1"/>
                <w:sz w:val="32"/>
                <w:szCs w:val="32"/>
              </w:rPr>
            </w:pPr>
            <w:r>
              <w:rPr>
                <w:color w:val="000000" w:themeColor="text1"/>
                <w:sz w:val="32"/>
                <w:szCs w:val="32"/>
              </w:rPr>
              <w:t>2</w:t>
            </w:r>
            <w:r w:rsidR="009A24ED">
              <w:rPr>
                <w:color w:val="000000" w:themeColor="text1"/>
                <w:sz w:val="32"/>
                <w:szCs w:val="32"/>
              </w:rPr>
              <w:t>9</w:t>
            </w:r>
            <w:r>
              <w:rPr>
                <w:color w:val="000000" w:themeColor="text1"/>
                <w:sz w:val="32"/>
                <w:szCs w:val="32"/>
              </w:rPr>
              <w:t>/03/2024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A437EA">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69EEA602" w14:textId="101DF8B6" w:rsidR="002F648E"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340283" w:history="1">
            <w:r w:rsidR="002F648E" w:rsidRPr="00CA66A2">
              <w:rPr>
                <w:rStyle w:val="Hyperlink"/>
                <w:noProof/>
              </w:rPr>
              <w:t>Introduction</w:t>
            </w:r>
            <w:r w:rsidR="002F648E">
              <w:rPr>
                <w:noProof/>
                <w:webHidden/>
              </w:rPr>
              <w:tab/>
            </w:r>
            <w:r w:rsidR="002F648E">
              <w:rPr>
                <w:noProof/>
                <w:webHidden/>
              </w:rPr>
              <w:fldChar w:fldCharType="begin"/>
            </w:r>
            <w:r w:rsidR="002F648E">
              <w:rPr>
                <w:noProof/>
                <w:webHidden/>
              </w:rPr>
              <w:instrText xml:space="preserve"> PAGEREF _Toc162340283 \h </w:instrText>
            </w:r>
            <w:r w:rsidR="002F648E">
              <w:rPr>
                <w:noProof/>
                <w:webHidden/>
              </w:rPr>
            </w:r>
            <w:r w:rsidR="002F648E">
              <w:rPr>
                <w:noProof/>
                <w:webHidden/>
              </w:rPr>
              <w:fldChar w:fldCharType="separate"/>
            </w:r>
            <w:r w:rsidR="002F648E">
              <w:rPr>
                <w:noProof/>
                <w:webHidden/>
              </w:rPr>
              <w:t>2</w:t>
            </w:r>
            <w:r w:rsidR="002F648E">
              <w:rPr>
                <w:noProof/>
                <w:webHidden/>
              </w:rPr>
              <w:fldChar w:fldCharType="end"/>
            </w:r>
          </w:hyperlink>
        </w:p>
        <w:p w14:paraId="03637D7C" w14:textId="42DEB9C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4" w:history="1">
            <w:r w:rsidR="002F648E" w:rsidRPr="00CA66A2">
              <w:rPr>
                <w:rStyle w:val="Hyperlink"/>
                <w:noProof/>
              </w:rPr>
              <w:t>Objectives</w:t>
            </w:r>
            <w:r w:rsidR="002F648E">
              <w:rPr>
                <w:noProof/>
                <w:webHidden/>
              </w:rPr>
              <w:tab/>
            </w:r>
            <w:r w:rsidR="002F648E">
              <w:rPr>
                <w:noProof/>
                <w:webHidden/>
              </w:rPr>
              <w:fldChar w:fldCharType="begin"/>
            </w:r>
            <w:r w:rsidR="002F648E">
              <w:rPr>
                <w:noProof/>
                <w:webHidden/>
              </w:rPr>
              <w:instrText xml:space="preserve"> PAGEREF _Toc162340284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1AD1C0F6" w14:textId="248BDFA3"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5" w:history="1">
            <w:r w:rsidR="002F648E" w:rsidRPr="00CA66A2">
              <w:rPr>
                <w:rStyle w:val="Hyperlink"/>
                <w:noProof/>
              </w:rPr>
              <w:t>Defining the Problem</w:t>
            </w:r>
            <w:r w:rsidR="002F648E">
              <w:rPr>
                <w:noProof/>
                <w:webHidden/>
              </w:rPr>
              <w:tab/>
            </w:r>
            <w:r w:rsidR="002F648E">
              <w:rPr>
                <w:noProof/>
                <w:webHidden/>
              </w:rPr>
              <w:fldChar w:fldCharType="begin"/>
            </w:r>
            <w:r w:rsidR="002F648E">
              <w:rPr>
                <w:noProof/>
                <w:webHidden/>
              </w:rPr>
              <w:instrText xml:space="preserve"> PAGEREF _Toc162340285 \h </w:instrText>
            </w:r>
            <w:r w:rsidR="002F648E">
              <w:rPr>
                <w:noProof/>
                <w:webHidden/>
              </w:rPr>
            </w:r>
            <w:r w:rsidR="002F648E">
              <w:rPr>
                <w:noProof/>
                <w:webHidden/>
              </w:rPr>
              <w:fldChar w:fldCharType="separate"/>
            </w:r>
            <w:r w:rsidR="002F648E">
              <w:rPr>
                <w:noProof/>
                <w:webHidden/>
              </w:rPr>
              <w:t>3</w:t>
            </w:r>
            <w:r w:rsidR="002F648E">
              <w:rPr>
                <w:noProof/>
                <w:webHidden/>
              </w:rPr>
              <w:fldChar w:fldCharType="end"/>
            </w:r>
          </w:hyperlink>
        </w:p>
        <w:p w14:paraId="7BE458B5" w14:textId="1E418B76"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6" w:history="1">
            <w:r w:rsidR="002F648E" w:rsidRPr="00CA66A2">
              <w:rPr>
                <w:rStyle w:val="Hyperlink"/>
                <w:noProof/>
              </w:rPr>
              <w:t>Scope</w:t>
            </w:r>
            <w:r w:rsidR="002F648E">
              <w:rPr>
                <w:noProof/>
                <w:webHidden/>
              </w:rPr>
              <w:tab/>
            </w:r>
            <w:r w:rsidR="002F648E">
              <w:rPr>
                <w:noProof/>
                <w:webHidden/>
              </w:rPr>
              <w:fldChar w:fldCharType="begin"/>
            </w:r>
            <w:r w:rsidR="002F648E">
              <w:rPr>
                <w:noProof/>
                <w:webHidden/>
              </w:rPr>
              <w:instrText xml:space="preserve"> PAGEREF _Toc162340286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022C1291" w14:textId="5BD6CFFA"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7" w:history="1">
            <w:r w:rsidR="002F648E" w:rsidRPr="00CA66A2">
              <w:rPr>
                <w:rStyle w:val="Hyperlink"/>
                <w:noProof/>
              </w:rPr>
              <w:t>Data Sources</w:t>
            </w:r>
            <w:r w:rsidR="002F648E">
              <w:rPr>
                <w:noProof/>
                <w:webHidden/>
              </w:rPr>
              <w:tab/>
            </w:r>
            <w:r w:rsidR="002F648E">
              <w:rPr>
                <w:noProof/>
                <w:webHidden/>
              </w:rPr>
              <w:fldChar w:fldCharType="begin"/>
            </w:r>
            <w:r w:rsidR="002F648E">
              <w:rPr>
                <w:noProof/>
                <w:webHidden/>
              </w:rPr>
              <w:instrText xml:space="preserve"> PAGEREF _Toc162340287 \h </w:instrText>
            </w:r>
            <w:r w:rsidR="002F648E">
              <w:rPr>
                <w:noProof/>
                <w:webHidden/>
              </w:rPr>
            </w:r>
            <w:r w:rsidR="002F648E">
              <w:rPr>
                <w:noProof/>
                <w:webHidden/>
              </w:rPr>
              <w:fldChar w:fldCharType="separate"/>
            </w:r>
            <w:r w:rsidR="002F648E">
              <w:rPr>
                <w:noProof/>
                <w:webHidden/>
              </w:rPr>
              <w:t>4</w:t>
            </w:r>
            <w:r w:rsidR="002F648E">
              <w:rPr>
                <w:noProof/>
                <w:webHidden/>
              </w:rPr>
              <w:fldChar w:fldCharType="end"/>
            </w:r>
          </w:hyperlink>
        </w:p>
        <w:p w14:paraId="6FD0ED0F" w14:textId="64AFD588"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8" w:history="1">
            <w:r w:rsidR="002F648E" w:rsidRPr="00CA66A2">
              <w:rPr>
                <w:rStyle w:val="Hyperlink"/>
                <w:noProof/>
              </w:rPr>
              <w:t>Ethical Considerations</w:t>
            </w:r>
            <w:r w:rsidR="002F648E">
              <w:rPr>
                <w:noProof/>
                <w:webHidden/>
              </w:rPr>
              <w:tab/>
            </w:r>
            <w:r w:rsidR="002F648E">
              <w:rPr>
                <w:noProof/>
                <w:webHidden/>
              </w:rPr>
              <w:fldChar w:fldCharType="begin"/>
            </w:r>
            <w:r w:rsidR="002F648E">
              <w:rPr>
                <w:noProof/>
                <w:webHidden/>
              </w:rPr>
              <w:instrText xml:space="preserve"> PAGEREF _Toc162340288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3D2354FC" w14:textId="5560FC12" w:rsidR="002F648E" w:rsidRDefault="00000000">
          <w:pPr>
            <w:pStyle w:val="TOC1"/>
            <w:tabs>
              <w:tab w:val="right" w:leader="dot" w:pos="9016"/>
            </w:tabs>
            <w:rPr>
              <w:rFonts w:asciiTheme="minorHAnsi" w:eastAsiaTheme="minorEastAsia" w:hAnsiTheme="minorHAnsi"/>
              <w:noProof/>
              <w:sz w:val="24"/>
              <w:szCs w:val="24"/>
              <w:lang w:val="en-GB" w:eastAsia="en-GB"/>
            </w:rPr>
          </w:pPr>
          <w:hyperlink w:anchor="_Toc162340289" w:history="1">
            <w:r w:rsidR="002F648E" w:rsidRPr="00CA66A2">
              <w:rPr>
                <w:rStyle w:val="Hyperlink"/>
                <w:noProof/>
              </w:rPr>
              <w:t>Github link</w:t>
            </w:r>
            <w:r w:rsidR="002F648E">
              <w:rPr>
                <w:noProof/>
                <w:webHidden/>
              </w:rPr>
              <w:tab/>
            </w:r>
            <w:r w:rsidR="002F648E">
              <w:rPr>
                <w:noProof/>
                <w:webHidden/>
              </w:rPr>
              <w:fldChar w:fldCharType="begin"/>
            </w:r>
            <w:r w:rsidR="002F648E">
              <w:rPr>
                <w:noProof/>
                <w:webHidden/>
              </w:rPr>
              <w:instrText xml:space="preserve"> PAGEREF _Toc162340289 \h </w:instrText>
            </w:r>
            <w:r w:rsidR="002F648E">
              <w:rPr>
                <w:noProof/>
                <w:webHidden/>
              </w:rPr>
            </w:r>
            <w:r w:rsidR="002F648E">
              <w:rPr>
                <w:noProof/>
                <w:webHidden/>
              </w:rPr>
              <w:fldChar w:fldCharType="separate"/>
            </w:r>
            <w:r w:rsidR="002F648E">
              <w:rPr>
                <w:noProof/>
                <w:webHidden/>
              </w:rPr>
              <w:t>5</w:t>
            </w:r>
            <w:r w:rsidR="002F648E">
              <w:rPr>
                <w:noProof/>
                <w:webHidden/>
              </w:rPr>
              <w:fldChar w:fldCharType="end"/>
            </w:r>
          </w:hyperlink>
        </w:p>
        <w:p w14:paraId="77548948" w14:textId="0F800DC2"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340283"/>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340284"/>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340285"/>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340286"/>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340287"/>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 xml:space="preserve">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w:t>
      </w:r>
      <w:r w:rsidR="00EF00A2" w:rsidRPr="00EF00A2">
        <w:rPr>
          <w:rFonts w:cs="Calibri"/>
          <w:sz w:val="28"/>
          <w:szCs w:val="28"/>
        </w:rPr>
        <w:lastRenderedPageBreak/>
        <w:t>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340288"/>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28E30630" w:rsidR="00F00047" w:rsidRDefault="00F00047" w:rsidP="00C50325">
      <w:pPr>
        <w:pStyle w:val="Heading1"/>
      </w:pPr>
    </w:p>
    <w:p w14:paraId="6FE15FC0" w14:textId="77777777" w:rsidR="00E60722" w:rsidRPr="006E7A71" w:rsidRDefault="00E60722">
      <w:pPr>
        <w:rPr>
          <w:lang w:val="en-GB"/>
        </w:rPr>
      </w:pPr>
    </w:p>
    <w:sectPr w:rsidR="00E60722" w:rsidRPr="006E7A71" w:rsidSect="00A437EA">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3F62" w14:textId="77777777" w:rsidR="00A437EA" w:rsidRDefault="00A437EA" w:rsidP="00E60722">
      <w:pPr>
        <w:spacing w:after="0" w:line="240" w:lineRule="auto"/>
      </w:pPr>
      <w:r>
        <w:separator/>
      </w:r>
    </w:p>
  </w:endnote>
  <w:endnote w:type="continuationSeparator" w:id="0">
    <w:p w14:paraId="6ABE4753" w14:textId="77777777" w:rsidR="00A437EA" w:rsidRDefault="00A437E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9B54" w14:textId="77777777" w:rsidR="00A437EA" w:rsidRDefault="00A437EA" w:rsidP="00E60722">
      <w:pPr>
        <w:spacing w:after="0" w:line="240" w:lineRule="auto"/>
      </w:pPr>
      <w:r>
        <w:separator/>
      </w:r>
    </w:p>
  </w:footnote>
  <w:footnote w:type="continuationSeparator" w:id="0">
    <w:p w14:paraId="257F8E2A" w14:textId="77777777" w:rsidR="00A437EA" w:rsidRDefault="00A437E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01C81"/>
    <w:rsid w:val="00125848"/>
    <w:rsid w:val="0019364E"/>
    <w:rsid w:val="001A2CD2"/>
    <w:rsid w:val="001C6C6E"/>
    <w:rsid w:val="001C6D2D"/>
    <w:rsid w:val="001D08C0"/>
    <w:rsid w:val="0021295A"/>
    <w:rsid w:val="00226E03"/>
    <w:rsid w:val="00262890"/>
    <w:rsid w:val="002B4C89"/>
    <w:rsid w:val="002F648E"/>
    <w:rsid w:val="003506EA"/>
    <w:rsid w:val="00362B0F"/>
    <w:rsid w:val="00364729"/>
    <w:rsid w:val="003855BF"/>
    <w:rsid w:val="003916F1"/>
    <w:rsid w:val="003D5255"/>
    <w:rsid w:val="003F65A4"/>
    <w:rsid w:val="004005EA"/>
    <w:rsid w:val="0044208D"/>
    <w:rsid w:val="004760DE"/>
    <w:rsid w:val="004902C7"/>
    <w:rsid w:val="00505830"/>
    <w:rsid w:val="0058301E"/>
    <w:rsid w:val="00590C88"/>
    <w:rsid w:val="005931DB"/>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3389A"/>
    <w:rsid w:val="00865A16"/>
    <w:rsid w:val="008B0509"/>
    <w:rsid w:val="009031D7"/>
    <w:rsid w:val="00945513"/>
    <w:rsid w:val="00950C01"/>
    <w:rsid w:val="00977E81"/>
    <w:rsid w:val="00986790"/>
    <w:rsid w:val="00994E18"/>
    <w:rsid w:val="009A24ED"/>
    <w:rsid w:val="009B5CA1"/>
    <w:rsid w:val="009E0054"/>
    <w:rsid w:val="009E2C50"/>
    <w:rsid w:val="009E5434"/>
    <w:rsid w:val="00A437EA"/>
    <w:rsid w:val="00A57C25"/>
    <w:rsid w:val="00A64246"/>
    <w:rsid w:val="00A926F8"/>
    <w:rsid w:val="00AB21ED"/>
    <w:rsid w:val="00AD005F"/>
    <w:rsid w:val="00AD7214"/>
    <w:rsid w:val="00AE025A"/>
    <w:rsid w:val="00B16541"/>
    <w:rsid w:val="00B43296"/>
    <w:rsid w:val="00BA63FF"/>
    <w:rsid w:val="00BB64C2"/>
    <w:rsid w:val="00C059BD"/>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6369</TotalTime>
  <Pages>6</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21</cp:revision>
  <dcterms:created xsi:type="dcterms:W3CDTF">2024-03-20T20:06:00Z</dcterms:created>
  <dcterms:modified xsi:type="dcterms:W3CDTF">2024-03-29T07:06:00Z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