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C9F59" w14:textId="4956CBC6" w:rsidR="004D678D" w:rsidRPr="00190CA5" w:rsidRDefault="00190CA5">
      <w:pPr>
        <w:rPr>
          <w:b/>
          <w:bCs/>
        </w:rPr>
      </w:pPr>
      <w:r w:rsidRPr="00190CA5">
        <w:rPr>
          <w:b/>
          <w:bCs/>
        </w:rPr>
        <w:t>Project Title</w:t>
      </w:r>
    </w:p>
    <w:p w14:paraId="6A6CE80F" w14:textId="04CC8504" w:rsidR="00190CA5" w:rsidRDefault="00853FF5">
      <w:r>
        <w:t>‘</w:t>
      </w:r>
      <w:r w:rsidR="005248B8">
        <w:t>Predicting the optimal time to sell a property across Cork City and County</w:t>
      </w:r>
      <w:r>
        <w:t>’</w:t>
      </w:r>
      <w:r w:rsidR="005248B8">
        <w:t>. This is a data driven approach for Property Investment Ltd.</w:t>
      </w:r>
    </w:p>
    <w:p w14:paraId="6E1FCDBF" w14:textId="77777777" w:rsidR="00190CA5" w:rsidRDefault="00190CA5"/>
    <w:p w14:paraId="4080B29A" w14:textId="533D552E" w:rsidR="00190CA5" w:rsidRPr="00190CA5" w:rsidRDefault="00190CA5">
      <w:pPr>
        <w:rPr>
          <w:b/>
          <w:bCs/>
        </w:rPr>
      </w:pPr>
      <w:r w:rsidRPr="00190CA5">
        <w:rPr>
          <w:b/>
          <w:bCs/>
        </w:rPr>
        <w:t>Introduction</w:t>
      </w:r>
    </w:p>
    <w:p w14:paraId="13FDC05B" w14:textId="2DB74625" w:rsidR="00190CA5" w:rsidRDefault="00853FF5">
      <w:r>
        <w:t xml:space="preserve">Property Investment Ltd. is a property investment company based in Cork. The company owns 20 properties around Cork City and County comprising of both houses and apartments. The company was started in 1982 and built up its property portfolio over time. It has amassed the 20 properties over this period; the last property being purchased in the early 2000s before the Celtic Tiger and the crash. The value of these properties has risen drastically since that point. </w:t>
      </w:r>
      <w:r w:rsidR="003D5CC0">
        <w:t xml:space="preserve">Residential properties in the 1980s was €45,223, as of June 2023 that figure now stands at €318,000. </w:t>
      </w:r>
      <w:r w:rsidR="003D5CC0">
        <w:fldChar w:fldCharType="begin"/>
      </w:r>
      <w:r w:rsidR="003D5CC0">
        <w:instrText xml:space="preserve"> ADDIN ZOTERO_ITEM CSL_CITATION {"citationID":"gMNw2z66","properties":{"unsorted":false,"formattedCitation":"({\\i{}Residential Property Prices Economy Ireland and the EU at 50 - Central Statistics Office}, 2023)","plainCitation":"(Residential Property Prices Economy Ireland and the EU at 50 - Central Statistics Office, 2023)","noteIndex":0},"citationItems":[{"id":210,"uris":["http://zotero.org/users/local/QBRbeKka/items/VFH6NZUH"],"itemData":{"id":210,"type":"webpage","language":"en","publisher":"CSO","title":"Residential Property Prices Economy Ireland and the EU at 50 - Central Statistics Office","URL":"https://www.cso.ie/en/releasesandpublications/ep/p-ieu50/irelandandtheeuat50/economy/residentialpropertyprices/","accessed":{"date-parts":[["2026",10,17]]},"issued":{"date-parts":[["2023",10,17]]}}}],"schema":"https://github.com/citation-style-language/schema/raw/master/csl-citation.json"} </w:instrText>
      </w:r>
      <w:r w:rsidR="003D5CC0">
        <w:fldChar w:fldCharType="separate"/>
      </w:r>
      <w:r w:rsidR="003D5CC0" w:rsidRPr="003D5CC0">
        <w:rPr>
          <w:rFonts w:ascii="Aptos" w:hAnsi="Aptos" w:cs="Times New Roman"/>
          <w:kern w:val="0"/>
        </w:rPr>
        <w:t>(</w:t>
      </w:r>
      <w:r w:rsidR="003D5CC0" w:rsidRPr="003D5CC0">
        <w:rPr>
          <w:rFonts w:ascii="Aptos" w:hAnsi="Aptos" w:cs="Times New Roman"/>
          <w:i/>
          <w:iCs/>
          <w:kern w:val="0"/>
        </w:rPr>
        <w:t>Residential Property Prices Economy Ireland and the EU at 50 - Central Statistics Office</w:t>
      </w:r>
      <w:r w:rsidR="003D5CC0" w:rsidRPr="003D5CC0">
        <w:rPr>
          <w:rFonts w:ascii="Aptos" w:hAnsi="Aptos" w:cs="Times New Roman"/>
          <w:kern w:val="0"/>
        </w:rPr>
        <w:t>, 2023)</w:t>
      </w:r>
      <w:r w:rsidR="003D5CC0">
        <w:fldChar w:fldCharType="end"/>
      </w:r>
      <w:r w:rsidR="003D5CC0">
        <w:t xml:space="preserve">. </w:t>
      </w:r>
      <w:r>
        <w:t xml:space="preserve">Cork has one of the fastest growing property prices in Ireland, in fact Dublin is the only place that beats it. In Cork City alone prices have risen by 1.2% in the last 3 months. The asking price is now €420,000 for a second hand 3-bedroom semi detached house. </w:t>
      </w:r>
      <w:r>
        <w:fldChar w:fldCharType="begin"/>
      </w:r>
      <w:r>
        <w:instrText xml:space="preserve"> ADDIN ZOTERO_ITEM CSL_CITATION {"citationID":"WbAs0UoK","properties":{"unsorted":false,"formattedCitation":"(Fox, 2026)","plainCitation":"(Fox, 2026)","noteIndex":0},"citationItems":[{"id":208,"uris":["http://zotero.org/users/local/QBRbeKka/items/HAVVQVKI"],"itemData":{"id":208,"type":"webpage","abstract":"Average house prices in Cork city have increased by 1.2% in the past three months, according to a national survey conducted by the Real Estate Alliance (REA).","container-title":"Cork Independent","language":"en-US","title":"House prices rise again across Cork","URL":"https://www.corkindependent.com/2026/06/23/house-prices-rise-again-across-cork/","author":[{"family":"Fox","given":"Steven"}],"accessed":{"date-parts":[["2026",10,13]]},"issued":{"date-parts":[["2026",6,23]]}}}],"schema":"https://github.com/citation-style-language/schema/raw/master/csl-citation.json"} </w:instrText>
      </w:r>
      <w:r>
        <w:fldChar w:fldCharType="separate"/>
      </w:r>
      <w:r w:rsidRPr="00853FF5">
        <w:rPr>
          <w:rFonts w:ascii="Aptos" w:hAnsi="Aptos"/>
        </w:rPr>
        <w:t>(Fox, 2026)</w:t>
      </w:r>
      <w:r>
        <w:fldChar w:fldCharType="end"/>
      </w:r>
    </w:p>
    <w:p w14:paraId="06B51E14" w14:textId="77777777" w:rsidR="00190CA5" w:rsidRDefault="00190CA5"/>
    <w:p w14:paraId="213367BE" w14:textId="77777777" w:rsidR="00190CA5" w:rsidRDefault="00190CA5"/>
    <w:p w14:paraId="26163012" w14:textId="7C49E277" w:rsidR="00190CA5" w:rsidRPr="00190CA5" w:rsidRDefault="00190CA5">
      <w:pPr>
        <w:rPr>
          <w:b/>
          <w:bCs/>
        </w:rPr>
      </w:pPr>
      <w:r w:rsidRPr="00190CA5">
        <w:rPr>
          <w:b/>
          <w:bCs/>
        </w:rPr>
        <w:t>Problem Definition</w:t>
      </w:r>
    </w:p>
    <w:p w14:paraId="492A22BA" w14:textId="24D17D65" w:rsidR="00190CA5" w:rsidRDefault="00853FF5">
      <w:r>
        <w:t xml:space="preserve">The pressing issue for Property Investment Ltd. are the new </w:t>
      </w:r>
      <w:r w:rsidR="00900F53">
        <w:t xml:space="preserve">rent controls that are having a huge impact on landlords. </w:t>
      </w:r>
      <w:r w:rsidR="003D5CC0">
        <w:t>Previously, residential property had been viewed as the smart long-term investment plan but changes in regulatory controls have</w:t>
      </w:r>
      <w:r w:rsidR="00900F53">
        <w:t xml:space="preserve"> resulted in landlords leaving the market. </w:t>
      </w:r>
      <w:r w:rsidR="004B267B">
        <w:t xml:space="preserve">These changes have been strict rent caps, longer-term tenancies and changes in terms of termination of contracts meaning that it is harder for the tenant to be evicted. Very good for renters but can be hard when landlords need to sell on the house or change rents </w:t>
      </w:r>
      <w:proofErr w:type="gramStart"/>
      <w:r w:rsidR="004B267B">
        <w:t>in order to</w:t>
      </w:r>
      <w:proofErr w:type="gramEnd"/>
      <w:r w:rsidR="004B267B">
        <w:t xml:space="preserve"> maintain repayments. This has forced landlords to look at the option of selling but the time in which you sell can have an impact on your return of investment. </w:t>
      </w:r>
      <w:r w:rsidR="004B267B">
        <w:fldChar w:fldCharType="begin"/>
      </w:r>
      <w:r w:rsidR="004B267B">
        <w:instrText xml:space="preserve"> ADDIN ZOTERO_ITEM CSL_CITATION {"citationID":"JK6A9Wz6","properties":{"unsorted":false,"formattedCitation":"({\\i{}Why So Many Landlords Are Selling in 2026 \\uc0\\u8212{} And What It Means for the Market \\uc0\\u8211{} Keane Thompson}, no date)","plainCitation":"(Why So Many Landlords Are Selling in 2026 — And What It Means for the Market – Keane Thompson, no date)","noteIndex":0},"citationItems":[{"id":212,"uris":["http://zotero.org/users/local/QBRbeKka/items/XDPFNJ8T"],"itemData":{"id":212,"type":"webpage","title":"Why So Many Landlords Are Selling in 2026 — And What It Means for the Market – Keane Thompson","URL":"https://keanethompson.ie/why-so-many-landlords-are-selling-in-2026-and-what-it-means-for-the-market/","accessed":{"date-parts":[["2026",10,17]]}}}],"schema":"https://github.com/citation-style-language/schema/raw/master/csl-citation.json"} </w:instrText>
      </w:r>
      <w:r w:rsidR="004B267B">
        <w:fldChar w:fldCharType="separate"/>
      </w:r>
      <w:r w:rsidR="004B267B" w:rsidRPr="004B267B">
        <w:rPr>
          <w:rFonts w:ascii="Aptos" w:hAnsi="Aptos" w:cs="Times New Roman"/>
          <w:kern w:val="0"/>
        </w:rPr>
        <w:t>(</w:t>
      </w:r>
      <w:r w:rsidR="004B267B" w:rsidRPr="004B267B">
        <w:rPr>
          <w:rFonts w:ascii="Aptos" w:hAnsi="Aptos" w:cs="Times New Roman"/>
          <w:i/>
          <w:iCs/>
          <w:kern w:val="0"/>
        </w:rPr>
        <w:t>Why So Many Landlords Are Selling in 2026 — And What It Means for the Market – Keane Thompson</w:t>
      </w:r>
      <w:r w:rsidR="004B267B" w:rsidRPr="004B267B">
        <w:rPr>
          <w:rFonts w:ascii="Aptos" w:hAnsi="Aptos" w:cs="Times New Roman"/>
          <w:kern w:val="0"/>
        </w:rPr>
        <w:t>, no date)</w:t>
      </w:r>
      <w:r w:rsidR="004B267B">
        <w:fldChar w:fldCharType="end"/>
      </w:r>
      <w:r w:rsidR="004B267B">
        <w:t xml:space="preserve">. The problem for Property Investment Ltd., is that the company relies on agent advice to inform them of when is the right time to sell. This may not be backed by data to prove whether it is the best time to sell for the company to maximise the returns. By doing some data analysis on publicly available data, it is possible to reveal that there are seasonal and regional patterns in terms of historic </w:t>
      </w:r>
      <w:r w:rsidR="005C772F">
        <w:t xml:space="preserve">sales </w:t>
      </w:r>
      <w:r w:rsidR="00F76828">
        <w:t>price,</w:t>
      </w:r>
      <w:r w:rsidR="004B267B">
        <w:t xml:space="preserve"> and a predictive modelling approach </w:t>
      </w:r>
      <w:r w:rsidR="005C772F">
        <w:t xml:space="preserve">estimate an expected price for a given property, location and time of year. </w:t>
      </w:r>
    </w:p>
    <w:p w14:paraId="740C4F45" w14:textId="77777777" w:rsidR="00190CA5" w:rsidRDefault="00190CA5"/>
    <w:p w14:paraId="0F1403D5" w14:textId="77777777" w:rsidR="00190CA5" w:rsidRDefault="00190CA5"/>
    <w:p w14:paraId="7218F775" w14:textId="3C57A3B2" w:rsidR="00190CA5" w:rsidRPr="00190CA5" w:rsidRDefault="00190CA5">
      <w:pPr>
        <w:rPr>
          <w:b/>
          <w:bCs/>
        </w:rPr>
      </w:pPr>
      <w:r w:rsidRPr="00190CA5">
        <w:rPr>
          <w:b/>
          <w:bCs/>
        </w:rPr>
        <w:t>Aim and Objectives</w:t>
      </w:r>
    </w:p>
    <w:p w14:paraId="08DBE026" w14:textId="37759549" w:rsidR="00190CA5" w:rsidRDefault="00F76828">
      <w:r>
        <w:t xml:space="preserve">The aim of this project is to develop a predictive solution to help Property Investment Ltd, decide on when is the best time to sell each of its 20 properties. </w:t>
      </w:r>
    </w:p>
    <w:p w14:paraId="689F529B" w14:textId="14CBDADE" w:rsidR="00F76828" w:rsidRDefault="00F76828">
      <w:r>
        <w:t>The objectives of this capstone project are:</w:t>
      </w:r>
    </w:p>
    <w:p w14:paraId="4A01C35D" w14:textId="1887D174" w:rsidR="00F76828" w:rsidRDefault="000C35D3" w:rsidP="00F76828">
      <w:pPr>
        <w:pStyle w:val="ListParagraph"/>
        <w:numPr>
          <w:ilvl w:val="0"/>
          <w:numId w:val="1"/>
        </w:numPr>
      </w:pPr>
      <w:r>
        <w:t>Collect and</w:t>
      </w:r>
      <w:r w:rsidR="00F76828">
        <w:t xml:space="preserve"> clean Cork residential property sales over the last 10 years.</w:t>
      </w:r>
    </w:p>
    <w:p w14:paraId="3CEA9305" w14:textId="01BDED76" w:rsidR="00F76828" w:rsidRDefault="00F76828" w:rsidP="00F76828">
      <w:pPr>
        <w:pStyle w:val="ListParagraph"/>
        <w:numPr>
          <w:ilvl w:val="0"/>
          <w:numId w:val="1"/>
        </w:numPr>
      </w:pPr>
      <w:r>
        <w:lastRenderedPageBreak/>
        <w:t>Make location a feature from the dataset, Eircode’s are widely available from 2022-2026 but prior to this they are not used.</w:t>
      </w:r>
    </w:p>
    <w:p w14:paraId="5E1B8F6C" w14:textId="14D00639" w:rsidR="00F76828" w:rsidRDefault="00F76828" w:rsidP="00F76828">
      <w:pPr>
        <w:pStyle w:val="ListParagraph"/>
        <w:numPr>
          <w:ilvl w:val="0"/>
          <w:numId w:val="1"/>
        </w:numPr>
      </w:pPr>
      <w:r>
        <w:t>Analyse the sale prices to identify any trends in terms of seasonality, region or property time</w:t>
      </w:r>
      <w:r w:rsidR="000C35D3">
        <w:t>.</w:t>
      </w:r>
    </w:p>
    <w:p w14:paraId="7DA2A5AD" w14:textId="7021E169" w:rsidR="000C35D3" w:rsidRDefault="000C35D3" w:rsidP="00F76828">
      <w:pPr>
        <w:pStyle w:val="ListParagraph"/>
        <w:numPr>
          <w:ilvl w:val="0"/>
          <w:numId w:val="1"/>
        </w:numPr>
      </w:pPr>
      <w:r>
        <w:t>Create a dashboard recommending the best timeframe for Property Investment Ltd. to sell their portfolio.</w:t>
      </w:r>
    </w:p>
    <w:p w14:paraId="75E3ABC9" w14:textId="77777777" w:rsidR="00190CA5" w:rsidRDefault="00190CA5"/>
    <w:p w14:paraId="188B175A" w14:textId="77777777" w:rsidR="00190CA5" w:rsidRDefault="00190CA5"/>
    <w:p w14:paraId="15F4FF40" w14:textId="342B47A5" w:rsidR="00190CA5" w:rsidRPr="00190CA5" w:rsidRDefault="00190CA5">
      <w:pPr>
        <w:rPr>
          <w:b/>
          <w:bCs/>
        </w:rPr>
      </w:pPr>
      <w:r w:rsidRPr="00190CA5">
        <w:rPr>
          <w:b/>
          <w:bCs/>
        </w:rPr>
        <w:t>Scope</w:t>
      </w:r>
    </w:p>
    <w:p w14:paraId="1ECBADD4" w14:textId="77777777" w:rsidR="0076088D" w:rsidRDefault="0076088D">
      <w:r>
        <w:t>The scope of this model will be:</w:t>
      </w:r>
    </w:p>
    <w:p w14:paraId="6EE6465E" w14:textId="14BA10B0" w:rsidR="00190CA5" w:rsidRDefault="0076088D" w:rsidP="0076088D">
      <w:pPr>
        <w:pStyle w:val="ListParagraph"/>
        <w:numPr>
          <w:ilvl w:val="0"/>
          <w:numId w:val="2"/>
        </w:numPr>
      </w:pPr>
      <w:r>
        <w:t>The residential sales price of properties in Cork from 2015 to mid-2026.</w:t>
      </w:r>
    </w:p>
    <w:p w14:paraId="146C46A0" w14:textId="411EE211" w:rsidR="0076088D" w:rsidRDefault="0076088D" w:rsidP="0076088D">
      <w:pPr>
        <w:pStyle w:val="ListParagraph"/>
        <w:numPr>
          <w:ilvl w:val="0"/>
          <w:numId w:val="2"/>
        </w:numPr>
      </w:pPr>
      <w:r>
        <w:t>Both second-hand and new properties.</w:t>
      </w:r>
    </w:p>
    <w:p w14:paraId="421CEB12" w14:textId="555D1FD9" w:rsidR="0076088D" w:rsidRDefault="0076088D" w:rsidP="0076088D">
      <w:pPr>
        <w:pStyle w:val="ListParagraph"/>
        <w:numPr>
          <w:ilvl w:val="0"/>
          <w:numId w:val="2"/>
        </w:numPr>
      </w:pPr>
      <w:r>
        <w:t>The time of year of each of the property sales during 2015-2026.</w:t>
      </w:r>
    </w:p>
    <w:p w14:paraId="6F231F5C" w14:textId="15230636" w:rsidR="0076088D" w:rsidRDefault="0076088D" w:rsidP="0076088D">
      <w:r>
        <w:t>Excluded from this model:</w:t>
      </w:r>
    </w:p>
    <w:p w14:paraId="79CCCFED" w14:textId="709BB620" w:rsidR="0076088D" w:rsidRDefault="0076088D" w:rsidP="0076088D">
      <w:pPr>
        <w:pStyle w:val="ListParagraph"/>
        <w:numPr>
          <w:ilvl w:val="0"/>
          <w:numId w:val="3"/>
        </w:numPr>
      </w:pPr>
      <w:r>
        <w:t>The sales price of a residential property from other counties.</w:t>
      </w:r>
    </w:p>
    <w:p w14:paraId="4A676E9C" w14:textId="20A6D1DA" w:rsidR="0076088D" w:rsidRDefault="0076088D" w:rsidP="0076088D">
      <w:pPr>
        <w:pStyle w:val="ListParagraph"/>
        <w:numPr>
          <w:ilvl w:val="0"/>
          <w:numId w:val="3"/>
        </w:numPr>
      </w:pPr>
      <w:r>
        <w:t>The sales price of a residential property outside of 2015-2026 timeline.</w:t>
      </w:r>
    </w:p>
    <w:p w14:paraId="614D85E8" w14:textId="58BB95BF" w:rsidR="0076088D" w:rsidRDefault="0076088D" w:rsidP="0076088D">
      <w:pPr>
        <w:pStyle w:val="ListParagraph"/>
        <w:numPr>
          <w:ilvl w:val="0"/>
          <w:numId w:val="3"/>
        </w:numPr>
      </w:pPr>
      <w:r>
        <w:t xml:space="preserve">The rental income ascertained from the property. </w:t>
      </w:r>
    </w:p>
    <w:p w14:paraId="789E5DD9" w14:textId="1FDC0486" w:rsidR="00190CA5" w:rsidRDefault="0055013F">
      <w:r>
        <w:t>The scope of this is sufficient to cover over two semesters and I will outline methodology below.</w:t>
      </w:r>
    </w:p>
    <w:p w14:paraId="3B110693" w14:textId="77777777" w:rsidR="00190CA5" w:rsidRDefault="00190CA5"/>
    <w:p w14:paraId="11637EA5" w14:textId="77777777" w:rsidR="00190CA5" w:rsidRDefault="00190CA5"/>
    <w:p w14:paraId="46125511" w14:textId="4CE7EFBF" w:rsidR="00190CA5" w:rsidRPr="00190CA5" w:rsidRDefault="00190CA5">
      <w:pPr>
        <w:rPr>
          <w:b/>
          <w:bCs/>
        </w:rPr>
      </w:pPr>
      <w:r w:rsidRPr="00190CA5">
        <w:rPr>
          <w:b/>
          <w:bCs/>
        </w:rPr>
        <w:t xml:space="preserve">Methodology </w:t>
      </w:r>
    </w:p>
    <w:p w14:paraId="06FD375F" w14:textId="4A316059" w:rsidR="0055013F" w:rsidRDefault="0055013F">
      <w:r>
        <w:t xml:space="preserve">The method behind this project is to use publicly available data from the </w:t>
      </w:r>
      <w:r w:rsidR="002972E9">
        <w:t>propertypriceregister.ie and</w:t>
      </w:r>
      <w:r>
        <w:t xml:space="preserve"> along with any available dataset from the CSO on market trends during that </w:t>
      </w:r>
      <w:proofErr w:type="gramStart"/>
      <w:r>
        <w:t>time period</w:t>
      </w:r>
      <w:proofErr w:type="gramEnd"/>
      <w:r>
        <w:t xml:space="preserve">. I will identify a suitable dataset to use for this analysis; I will then clean this dataset and make it more useful for this analysis. Looking at the dataset, Eircode’s came in roughly in 2022. The property sales before this </w:t>
      </w:r>
      <w:proofErr w:type="gramStart"/>
      <w:r>
        <w:t>time period</w:t>
      </w:r>
      <w:proofErr w:type="gramEnd"/>
      <w:r>
        <w:t xml:space="preserve"> do not have any Eircode’s. To make my location analysis, I will derive the location from a town lookup learned from the 2022-2026 dataset and apply this to the 2015-2021 data. During this preparation step I will also look to remove any duplicate or any null values which have not disclosed the sales price.</w:t>
      </w:r>
    </w:p>
    <w:p w14:paraId="0F486324" w14:textId="257C579C" w:rsidR="00190CA5" w:rsidRDefault="0055013F">
      <w:r>
        <w:t xml:space="preserve">The features that I will be looking for are, region, property type, new or second-hand, year, month and price. This will allow me to analyse based on price trends, seasonality by knowing sale month and to compare regions by Eircode. </w:t>
      </w:r>
    </w:p>
    <w:p w14:paraId="6643441C" w14:textId="499C0B24" w:rsidR="005B246E" w:rsidRDefault="00E15786">
      <w:r>
        <w:t xml:space="preserve">I will look to use a few different types of models in the hopes of finding the best one. Linear regression will be used as a benchmark to compare other models against. Linear regression is good but not the best for this type of analysis, therefore for any model to be defined as the best for this example needs to at a minimum outperform linear regression. Linear regression isn’t the best choice for the final prediction because optimal selling time rarely follow straight lines, for example interest rate changes can cause varying impacts to the market, it is not linear.  </w:t>
      </w:r>
      <w:r w:rsidR="00926702">
        <w:t xml:space="preserve">I will use the results from the linear regression model as comparison against other models such as Random Forest </w:t>
      </w:r>
      <w:r w:rsidR="002972E9">
        <w:t xml:space="preserve">or time-series models like SARIMAX. </w:t>
      </w:r>
      <w:r w:rsidR="008F21B4">
        <w:fldChar w:fldCharType="begin"/>
      </w:r>
      <w:r w:rsidR="00926702">
        <w:instrText xml:space="preserve"> ADDIN ZOTERO_ITEM CSL_CITATION {"citationID":"LnEcRRuE","properties":{"unsorted":false,"formattedCitation":"(Duca, Muellbauer and Murphy, 2021; European Central Bank., 2023)","plainCitation":"(Duca, Muellbauer and Murphy, 2021; European Central Bank., 2023)","noteIndex":0},"citationItems":[{"id":214,"uris":["http://zotero.org/users/local/QBRbeKka/items/ILHD3XHY"],"itemData":{"id":214,"type":"article-journal","abstract":"The role of real estate during the global financial and economic crisis has prompted efforts to better incorporate housing and financial channels into macro models, improve housing models, develop macroprudential tools, and reform the financial system. This article provides an overview of major, recent contributions to the literature in relation to earlier research on what drives housing prices and how they affect economic activity. Particularly emphasized are studies, both theoretical and more strongly evidence-based, that connect housing markets with credit markets, house price expectations, financial stability, and the wider economy. The literature reveals much diversity in the international and regional behavior of house prices and the need to improve data tracking key housing supply and demand influences. Also reviewed are studies examining how monetary, macroprudential, and other policies affect house prices and access to housing. This survey is designed to help readers navigate the plethora of recent studies and understand the unsettled issues and avenues for further research. The findings should be of interest to policy makers concerned with financial stability as well as those dealing with the role of housing in the wider economy (JEL E32, E44, E63, G01, G21, R31).","archive_location":"152372601","container-title":"Journal of Economic Literature","DOI":"10.1257/jel.20201325","ISSN":"0022-0515","issue":"3","journalAbbreviation":"Journal of Economic Literature","language":"eng","page":"773-864","publisher":"American Economic Association","source":"EBSCOhost","title":"What Drives House Price Cycles? International Experience and Policy Issues.","title-short":"What Drives House Price Cycles?","volume":"59","author":[{"family":"Duca","given":"John V."},{"family":"Muellbauer","given":"John"},{"family":"Murphy","given":"Anthony"}],"issued":{"date-parts":[["2021",9,1]]}}},{"id":217,"uris":["http://zotero.org/users/local/QBRbeKka/items/FHGL7A8Q"],"itemData":{"id":217,"type":"book","abstract":"The acceleration of house price growth amidst falling interest rates to record-low levels across euro area countries between 2015 and 2021 has sparked renewed interest in the link between the two variables. Asset-pricing theory suggests that real house prices respond to changes in real interest rates in a non-linear fashion. This non-linearity should be especially pronounced at very low real interest rates. Most existing empirical studies estimate models with a constant semi-elasticity, thereby ruling out by design the potential non-linearities between house prices and interest rates. To address this issue, we estimate a panel model for the euro area countries with a constant interest rate elasticity (as opposed to a constant semi-elasticity), which is consistent with asset pricing theory. Our empirical results suggest that, in a low interest rate environment such as the period between 2015 and 2021, non-linearities in the house price response to interest rate changes are important: an increase of real interest rates from ultra-low levels could lead to downward pressure on real house prices three to eight times higher than the literature suggests.","DOI":"10.2866/657427","language":"en","publisher":"Publications Office","publisher-place":"LU","source":"DOI.org (CSL JSON)","title":"House prices and ultra-low interest rates: exploring the non linear nexus.","title-short":"House prices and ultra-low interest rates","URL":"https://data.europa.eu/doi/10.2866/657427","author":[{"literal":"European Central Bank."}],"accessed":{"date-parts":[["2026",10,17]]},"issued":{"date-parts":[["2023"]]}}}],"schema":"https://github.com/citation-style-language/schema/raw/master/csl-citation.json"} </w:instrText>
      </w:r>
      <w:r w:rsidR="008F21B4">
        <w:fldChar w:fldCharType="separate"/>
      </w:r>
      <w:r w:rsidR="00926702" w:rsidRPr="00926702">
        <w:rPr>
          <w:rFonts w:ascii="Aptos" w:hAnsi="Aptos"/>
        </w:rPr>
        <w:t xml:space="preserve">(Duca, </w:t>
      </w:r>
      <w:proofErr w:type="spellStart"/>
      <w:r w:rsidR="00926702" w:rsidRPr="00926702">
        <w:rPr>
          <w:rFonts w:ascii="Aptos" w:hAnsi="Aptos"/>
        </w:rPr>
        <w:t>Muellbauer</w:t>
      </w:r>
      <w:proofErr w:type="spellEnd"/>
      <w:r w:rsidR="00926702" w:rsidRPr="00926702">
        <w:rPr>
          <w:rFonts w:ascii="Aptos" w:hAnsi="Aptos"/>
        </w:rPr>
        <w:t xml:space="preserve"> and Murphy, 2021; </w:t>
      </w:r>
      <w:r w:rsidR="00926702" w:rsidRPr="00926702">
        <w:rPr>
          <w:rFonts w:ascii="Aptos" w:hAnsi="Aptos"/>
        </w:rPr>
        <w:lastRenderedPageBreak/>
        <w:t>European Central Bank., 2023)</w:t>
      </w:r>
      <w:r w:rsidR="008F21B4">
        <w:fldChar w:fldCharType="end"/>
      </w:r>
      <w:r w:rsidR="008F21B4">
        <w:t>.</w:t>
      </w:r>
      <w:r w:rsidR="002972E9">
        <w:t xml:space="preserve"> I will compare model performance by using Mean Absolute Error (MAE) to give on average how far off is the prediction and Root Mean Squared Error (RMSE) will give the magnitude of error, weighted towards larger errors which will help to see </w:t>
      </w:r>
      <w:r w:rsidR="005B246E">
        <w:t>anomalies</w:t>
      </w:r>
      <w:r w:rsidR="002972E9">
        <w:t xml:space="preserve"> in the mode</w:t>
      </w:r>
      <w:r w:rsidR="005B246E">
        <w:t xml:space="preserve">l. </w:t>
      </w:r>
    </w:p>
    <w:p w14:paraId="11B3F1B2" w14:textId="77777777" w:rsidR="0074088A" w:rsidRDefault="0074088A" w:rsidP="0074088A">
      <w:pPr>
        <w:pStyle w:val="Caption"/>
      </w:pPr>
      <w:r>
        <w:rPr>
          <w:noProof/>
        </w:rPr>
        <mc:AlternateContent>
          <mc:Choice Requires="wpg">
            <w:drawing>
              <wp:inline distT="0" distB="0" distL="0" distR="0" wp14:anchorId="1856B28D" wp14:editId="6ABE91A3">
                <wp:extent cx="4808220" cy="5859780"/>
                <wp:effectExtent l="0" t="0" r="11430" b="26670"/>
                <wp:docPr id="2108431464"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8220" cy="5859780"/>
                          <a:chOff x="549800" y="298396"/>
                          <a:chExt cx="4808274" cy="5859834"/>
                        </a:xfrm>
                      </wpg:grpSpPr>
                      <wps:wsp>
                        <wps:cNvPr id="11" name="Register"/>
                        <wps:cNvSpPr/>
                        <wps:spPr>
                          <a:xfrm>
                            <a:off x="549800" y="306346"/>
                            <a:ext cx="1238250" cy="462280"/>
                          </a:xfrm>
                          <a:prstGeom prst="roundRect">
                            <a:avLst>
                              <a:gd name="adj" fmla="val 14000"/>
                            </a:avLst>
                          </a:prstGeom>
                          <a:solidFill>
                            <a:srgbClr val="E1F5EE"/>
                          </a:solidFill>
                          <a:ln w="12700">
                            <a:solidFill>
                              <a:srgbClr val="0F6E56"/>
                            </a:solidFill>
                          </a:ln>
                        </wps:spPr>
                        <wps:txbx>
                          <w:txbxContent>
                            <w:p w14:paraId="6A901D3B" w14:textId="77777777" w:rsidR="0074088A" w:rsidRDefault="0074088A" w:rsidP="0074088A">
                              <w:pPr>
                                <w:spacing w:after="0" w:line="240" w:lineRule="auto"/>
                                <w:jc w:val="center"/>
                              </w:pPr>
                              <w:r>
                                <w:rPr>
                                  <w:rFonts w:ascii="Arial" w:hAnsi="Arial" w:cs="Arial"/>
                                  <w:b/>
                                  <w:bCs/>
                                  <w:color w:val="085041"/>
                                  <w:sz w:val="19"/>
                                  <w:szCs w:val="19"/>
                                </w:rPr>
                                <w:t>Register</w:t>
                              </w:r>
                            </w:p>
                            <w:p w14:paraId="35BE4BE2" w14:textId="77777777" w:rsidR="0074088A" w:rsidRDefault="0074088A" w:rsidP="0074088A">
                              <w:pPr>
                                <w:spacing w:after="0" w:line="240" w:lineRule="auto"/>
                                <w:jc w:val="center"/>
                              </w:pPr>
                              <w:r>
                                <w:rPr>
                                  <w:rFonts w:ascii="Arial" w:hAnsi="Arial" w:cs="Arial"/>
                                  <w:color w:val="0F6E56"/>
                                  <w:sz w:val="16"/>
                                  <w:szCs w:val="16"/>
                                </w:rPr>
                                <w:t>Firm records</w:t>
                              </w:r>
                            </w:p>
                          </w:txbxContent>
                        </wps:txbx>
                        <wps:bodyPr rot="0" vert="horz" wrap="square" lIns="45720" tIns="0" rIns="45720" bIns="0" anchor="ctr" anchorCtr="0">
                          <a:noAutofit/>
                        </wps:bodyPr>
                      </wps:wsp>
                      <wps:wsp>
                        <wps:cNvPr id="12" name="Connector 12"/>
                        <wps:cNvCnPr/>
                        <wps:spPr>
                          <a:xfrm>
                            <a:off x="1041704" y="792480"/>
                            <a:ext cx="0" cy="214630"/>
                          </a:xfrm>
                          <a:prstGeom prst="straightConnector1">
                            <a:avLst/>
                          </a:prstGeom>
                          <a:ln w="19050">
                            <a:solidFill>
                              <a:srgbClr val="5F5E5A"/>
                            </a:solidFill>
                          </a:ln>
                        </wps:spPr>
                        <wps:bodyPr/>
                      </wps:wsp>
                      <wps:wsp>
                        <wps:cNvPr id="13" name="CSO"/>
                        <wps:cNvSpPr/>
                        <wps:spPr>
                          <a:xfrm>
                            <a:off x="2382520" y="298396"/>
                            <a:ext cx="1238250" cy="462280"/>
                          </a:xfrm>
                          <a:prstGeom prst="roundRect">
                            <a:avLst>
                              <a:gd name="adj" fmla="val 14000"/>
                            </a:avLst>
                          </a:prstGeom>
                          <a:solidFill>
                            <a:srgbClr val="E1F5EE"/>
                          </a:solidFill>
                          <a:ln w="12700">
                            <a:solidFill>
                              <a:srgbClr val="0F6E56"/>
                            </a:solidFill>
                          </a:ln>
                        </wps:spPr>
                        <wps:txbx>
                          <w:txbxContent>
                            <w:p w14:paraId="0C133025" w14:textId="77777777" w:rsidR="0074088A" w:rsidRDefault="0074088A" w:rsidP="0074088A">
                              <w:pPr>
                                <w:spacing w:after="0" w:line="240" w:lineRule="auto"/>
                                <w:jc w:val="center"/>
                              </w:pPr>
                              <w:r>
                                <w:rPr>
                                  <w:rFonts w:ascii="Arial" w:hAnsi="Arial" w:cs="Arial"/>
                                  <w:b/>
                                  <w:bCs/>
                                  <w:color w:val="085041"/>
                                  <w:sz w:val="19"/>
                                  <w:szCs w:val="19"/>
                                </w:rPr>
                                <w:t>CSO</w:t>
                              </w:r>
                            </w:p>
                            <w:p w14:paraId="572AAE9E" w14:textId="77777777" w:rsidR="0074088A" w:rsidRDefault="0074088A" w:rsidP="0074088A">
                              <w:pPr>
                                <w:spacing w:after="0" w:line="240" w:lineRule="auto"/>
                                <w:jc w:val="center"/>
                              </w:pPr>
                              <w:r>
                                <w:rPr>
                                  <w:rFonts w:ascii="Arial" w:hAnsi="Arial" w:cs="Arial"/>
                                  <w:color w:val="0F6E56"/>
                                  <w:sz w:val="16"/>
                                  <w:szCs w:val="16"/>
                                </w:rPr>
                                <w:t>Propertyregister.ie</w:t>
                              </w:r>
                            </w:p>
                          </w:txbxContent>
                        </wps:txbx>
                        <wps:bodyPr rot="0" vert="horz" wrap="square" lIns="45720" tIns="0" rIns="45720" bIns="0" anchor="ctr" anchorCtr="0">
                          <a:noAutofit/>
                        </wps:bodyPr>
                      </wps:wsp>
                      <wps:wsp>
                        <wps:cNvPr id="14" name="Connector 14"/>
                        <wps:cNvCnPr/>
                        <wps:spPr>
                          <a:xfrm>
                            <a:off x="2971788" y="775529"/>
                            <a:ext cx="0" cy="214630"/>
                          </a:xfrm>
                          <a:prstGeom prst="straightConnector1">
                            <a:avLst/>
                          </a:prstGeom>
                          <a:ln w="19050">
                            <a:solidFill>
                              <a:srgbClr val="5F5E5A"/>
                            </a:solidFill>
                          </a:ln>
                        </wps:spPr>
                        <wps:bodyPr/>
                      </wps:wsp>
                      <wps:wsp>
                        <wps:cNvPr id="15" name="Central Bank / ECB"/>
                        <wps:cNvSpPr/>
                        <wps:spPr>
                          <a:xfrm>
                            <a:off x="4119824" y="306346"/>
                            <a:ext cx="1238250" cy="462280"/>
                          </a:xfrm>
                          <a:prstGeom prst="roundRect">
                            <a:avLst>
                              <a:gd name="adj" fmla="val 14000"/>
                            </a:avLst>
                          </a:prstGeom>
                          <a:solidFill>
                            <a:srgbClr val="E1F5EE"/>
                          </a:solidFill>
                          <a:ln w="12700">
                            <a:solidFill>
                              <a:srgbClr val="0F6E56"/>
                            </a:solidFill>
                          </a:ln>
                        </wps:spPr>
                        <wps:txbx>
                          <w:txbxContent>
                            <w:p w14:paraId="28B6BAD3" w14:textId="77777777" w:rsidR="0074088A" w:rsidRDefault="0074088A" w:rsidP="0074088A">
                              <w:pPr>
                                <w:spacing w:after="0" w:line="240" w:lineRule="auto"/>
                                <w:jc w:val="center"/>
                              </w:pPr>
                              <w:r>
                                <w:rPr>
                                  <w:rFonts w:ascii="Arial" w:hAnsi="Arial" w:cs="Arial"/>
                                  <w:b/>
                                  <w:bCs/>
                                  <w:color w:val="085041"/>
                                  <w:sz w:val="19"/>
                                  <w:szCs w:val="19"/>
                                </w:rPr>
                                <w:t>Central Bank / ECB</w:t>
                              </w:r>
                            </w:p>
                            <w:p w14:paraId="0529FD62" w14:textId="77777777" w:rsidR="0074088A" w:rsidRDefault="0074088A" w:rsidP="0074088A">
                              <w:pPr>
                                <w:spacing w:after="0" w:line="240" w:lineRule="auto"/>
                                <w:jc w:val="center"/>
                              </w:pPr>
                              <w:r>
                                <w:rPr>
                                  <w:rFonts w:ascii="Arial" w:hAnsi="Arial" w:cs="Arial"/>
                                  <w:color w:val="0F6E56"/>
                                  <w:sz w:val="16"/>
                                  <w:szCs w:val="16"/>
                                </w:rPr>
                                <w:t>Rates, credit</w:t>
                              </w:r>
                            </w:p>
                          </w:txbxContent>
                        </wps:txbx>
                        <wps:bodyPr rot="0" vert="horz" wrap="square" lIns="45720" tIns="0" rIns="45720" bIns="0" anchor="ctr" anchorCtr="0">
                          <a:noAutofit/>
                        </wps:bodyPr>
                      </wps:wsp>
                      <wps:wsp>
                        <wps:cNvPr id="16" name="Connector 16"/>
                        <wps:cNvCnPr/>
                        <wps:spPr>
                          <a:xfrm>
                            <a:off x="4603778" y="775530"/>
                            <a:ext cx="0" cy="214630"/>
                          </a:xfrm>
                          <a:prstGeom prst="straightConnector1">
                            <a:avLst/>
                          </a:prstGeom>
                          <a:ln w="19050">
                            <a:solidFill>
                              <a:srgbClr val="5F5E5A"/>
                            </a:solidFill>
                          </a:ln>
                        </wps:spPr>
                        <wps:bodyPr/>
                      </wps:wsp>
                      <wps:wsp>
                        <wps:cNvPr id="19" name="Connector 19"/>
                        <wps:cNvCnPr/>
                        <wps:spPr>
                          <a:xfrm flipV="1">
                            <a:off x="1041698" y="990112"/>
                            <a:ext cx="3547318" cy="7998"/>
                          </a:xfrm>
                          <a:prstGeom prst="straightConnector1">
                            <a:avLst/>
                          </a:prstGeom>
                          <a:ln w="19050">
                            <a:solidFill>
                              <a:srgbClr val="5F5E5A"/>
                            </a:solidFill>
                          </a:ln>
                        </wps:spPr>
                        <wps:bodyPr/>
                      </wps:wsp>
                      <wps:wsp>
                        <wps:cNvPr id="20" name="Connector 20"/>
                        <wps:cNvCnPr/>
                        <wps:spPr>
                          <a:xfrm>
                            <a:off x="2971800" y="1007110"/>
                            <a:ext cx="0" cy="231140"/>
                          </a:xfrm>
                          <a:prstGeom prst="straightConnector1">
                            <a:avLst/>
                          </a:prstGeom>
                          <a:ln w="19050">
                            <a:solidFill>
                              <a:srgbClr val="5F5E5A"/>
                            </a:solidFill>
                            <a:tailEnd type="triangle" w="med" len="med"/>
                          </a:ln>
                        </wps:spPr>
                        <wps:bodyPr/>
                      </wps:wsp>
                      <wps:wsp>
                        <wps:cNvPr id="21" name="Ingestion"/>
                        <wps:cNvSpPr/>
                        <wps:spPr>
                          <a:xfrm>
                            <a:off x="1651000" y="1238250"/>
                            <a:ext cx="2641600" cy="462280"/>
                          </a:xfrm>
                          <a:prstGeom prst="roundRect">
                            <a:avLst>
                              <a:gd name="adj" fmla="val 14000"/>
                            </a:avLst>
                          </a:prstGeom>
                          <a:solidFill>
                            <a:srgbClr val="EEEDFE"/>
                          </a:solidFill>
                          <a:ln w="12700">
                            <a:solidFill>
                              <a:srgbClr val="534AB7"/>
                            </a:solidFill>
                          </a:ln>
                        </wps:spPr>
                        <wps:txbx>
                          <w:txbxContent>
                            <w:p w14:paraId="55756CF0" w14:textId="77777777" w:rsidR="0074088A" w:rsidRDefault="0074088A" w:rsidP="0074088A">
                              <w:pPr>
                                <w:spacing w:after="0" w:line="240" w:lineRule="auto"/>
                                <w:jc w:val="center"/>
                              </w:pPr>
                              <w:r>
                                <w:rPr>
                                  <w:rFonts w:ascii="Arial" w:hAnsi="Arial" w:cs="Arial"/>
                                  <w:b/>
                                  <w:bCs/>
                                  <w:color w:val="3C3489"/>
                                  <w:sz w:val="21"/>
                                  <w:szCs w:val="21"/>
                                </w:rPr>
                                <w:t>Ingestion</w:t>
                              </w:r>
                            </w:p>
                          </w:txbxContent>
                        </wps:txbx>
                        <wps:bodyPr rot="0" vert="horz" wrap="square" lIns="45720" tIns="0" rIns="45720" bIns="0" anchor="ctr" anchorCtr="0">
                          <a:noAutofit/>
                        </wps:bodyPr>
                      </wps:wsp>
                      <wps:wsp>
                        <wps:cNvPr id="22" name="Connector 22"/>
                        <wps:cNvCnPr/>
                        <wps:spPr>
                          <a:xfrm>
                            <a:off x="2971800" y="1700530"/>
                            <a:ext cx="0" cy="280670"/>
                          </a:xfrm>
                          <a:prstGeom prst="straightConnector1">
                            <a:avLst/>
                          </a:prstGeom>
                          <a:ln w="19050">
                            <a:solidFill>
                              <a:srgbClr val="5F5E5A"/>
                            </a:solidFill>
                            <a:tailEnd type="triangle" w="med" len="med"/>
                          </a:ln>
                        </wps:spPr>
                        <wps:bodyPr/>
                      </wps:wsp>
                      <wps:wsp>
                        <wps:cNvPr id="23" name="Cleaning and feature engineering"/>
                        <wps:cNvSpPr/>
                        <wps:spPr>
                          <a:xfrm>
                            <a:off x="1651000" y="1981200"/>
                            <a:ext cx="2641600" cy="462280"/>
                          </a:xfrm>
                          <a:prstGeom prst="roundRect">
                            <a:avLst>
                              <a:gd name="adj" fmla="val 14000"/>
                            </a:avLst>
                          </a:prstGeom>
                          <a:solidFill>
                            <a:srgbClr val="EEEDFE"/>
                          </a:solidFill>
                          <a:ln w="12700">
                            <a:solidFill>
                              <a:srgbClr val="534AB7"/>
                            </a:solidFill>
                          </a:ln>
                        </wps:spPr>
                        <wps:txbx>
                          <w:txbxContent>
                            <w:p w14:paraId="18AC57FE" w14:textId="77777777" w:rsidR="0074088A" w:rsidRDefault="0074088A" w:rsidP="0074088A">
                              <w:pPr>
                                <w:spacing w:after="0" w:line="240" w:lineRule="auto"/>
                                <w:jc w:val="center"/>
                              </w:pPr>
                              <w:r>
                                <w:rPr>
                                  <w:rFonts w:ascii="Arial" w:hAnsi="Arial" w:cs="Arial"/>
                                  <w:b/>
                                  <w:bCs/>
                                  <w:color w:val="3C3489"/>
                                  <w:sz w:val="21"/>
                                  <w:szCs w:val="21"/>
                                </w:rPr>
                                <w:t>Cleaning data</w:t>
                              </w:r>
                            </w:p>
                          </w:txbxContent>
                        </wps:txbx>
                        <wps:bodyPr rot="0" vert="horz" wrap="square" lIns="45720" tIns="0" rIns="45720" bIns="0" anchor="ctr" anchorCtr="0">
                          <a:noAutofit/>
                        </wps:bodyPr>
                      </wps:wsp>
                      <wps:wsp>
                        <wps:cNvPr id="24" name="Connector 24"/>
                        <wps:cNvCnPr/>
                        <wps:spPr>
                          <a:xfrm>
                            <a:off x="2971800" y="2443480"/>
                            <a:ext cx="0" cy="280670"/>
                          </a:xfrm>
                          <a:prstGeom prst="straightConnector1">
                            <a:avLst/>
                          </a:prstGeom>
                          <a:ln w="19050">
                            <a:solidFill>
                              <a:srgbClr val="5F5E5A"/>
                            </a:solidFill>
                            <a:tailEnd type="triangle" w="med" len="med"/>
                          </a:ln>
                        </wps:spPr>
                        <wps:bodyPr/>
                      </wps:wsp>
                      <wps:wsp>
                        <wps:cNvPr id="25" name="Exploratory analysis"/>
                        <wps:cNvSpPr/>
                        <wps:spPr>
                          <a:xfrm>
                            <a:off x="1651000" y="2724150"/>
                            <a:ext cx="2641600" cy="462280"/>
                          </a:xfrm>
                          <a:prstGeom prst="roundRect">
                            <a:avLst>
                              <a:gd name="adj" fmla="val 14000"/>
                            </a:avLst>
                          </a:prstGeom>
                          <a:solidFill>
                            <a:srgbClr val="EEEDFE"/>
                          </a:solidFill>
                          <a:ln w="12700">
                            <a:solidFill>
                              <a:srgbClr val="534AB7"/>
                            </a:solidFill>
                          </a:ln>
                        </wps:spPr>
                        <wps:txbx>
                          <w:txbxContent>
                            <w:p w14:paraId="0DBB1386" w14:textId="77777777" w:rsidR="0074088A" w:rsidRDefault="0074088A" w:rsidP="0074088A">
                              <w:pPr>
                                <w:spacing w:after="0" w:line="240" w:lineRule="auto"/>
                                <w:jc w:val="center"/>
                              </w:pPr>
                              <w:r>
                                <w:rPr>
                                  <w:rFonts w:ascii="Arial" w:hAnsi="Arial" w:cs="Arial"/>
                                  <w:b/>
                                  <w:bCs/>
                                  <w:color w:val="3C3489"/>
                                  <w:sz w:val="21"/>
                                  <w:szCs w:val="21"/>
                                </w:rPr>
                                <w:t>Exploratory analysis</w:t>
                              </w:r>
                            </w:p>
                            <w:p w14:paraId="5CE8B632" w14:textId="77777777" w:rsidR="0074088A" w:rsidRDefault="0074088A" w:rsidP="0074088A">
                              <w:pPr>
                                <w:spacing w:after="0" w:line="240" w:lineRule="auto"/>
                                <w:jc w:val="center"/>
                              </w:pPr>
                              <w:r>
                                <w:rPr>
                                  <w:rFonts w:ascii="Arial" w:hAnsi="Arial" w:cs="Arial"/>
                                  <w:color w:val="534AB7"/>
                                  <w:sz w:val="18"/>
                                  <w:szCs w:val="18"/>
                                </w:rPr>
                                <w:t>Trends, correlations, gaps</w:t>
                              </w:r>
                            </w:p>
                          </w:txbxContent>
                        </wps:txbx>
                        <wps:bodyPr rot="0" vert="horz" wrap="square" lIns="45720" tIns="0" rIns="45720" bIns="0" anchor="ctr" anchorCtr="0">
                          <a:noAutofit/>
                        </wps:bodyPr>
                      </wps:wsp>
                      <wps:wsp>
                        <wps:cNvPr id="26" name="Connector 26"/>
                        <wps:cNvCnPr/>
                        <wps:spPr>
                          <a:xfrm>
                            <a:off x="2971800" y="3186430"/>
                            <a:ext cx="0" cy="280670"/>
                          </a:xfrm>
                          <a:prstGeom prst="straightConnector1">
                            <a:avLst/>
                          </a:prstGeom>
                          <a:ln w="19050">
                            <a:solidFill>
                              <a:srgbClr val="5F5E5A"/>
                            </a:solidFill>
                            <a:tailEnd type="triangle" w="med" len="med"/>
                          </a:ln>
                        </wps:spPr>
                        <wps:bodyPr/>
                      </wps:wsp>
                      <wps:wsp>
                        <wps:cNvPr id="27" name="Model training and evaluation"/>
                        <wps:cNvSpPr/>
                        <wps:spPr>
                          <a:xfrm>
                            <a:off x="1651000" y="3467100"/>
                            <a:ext cx="2641600" cy="462280"/>
                          </a:xfrm>
                          <a:prstGeom prst="roundRect">
                            <a:avLst>
                              <a:gd name="adj" fmla="val 14000"/>
                            </a:avLst>
                          </a:prstGeom>
                          <a:solidFill>
                            <a:srgbClr val="EEEDFE"/>
                          </a:solidFill>
                          <a:ln w="12700">
                            <a:solidFill>
                              <a:srgbClr val="534AB7"/>
                            </a:solidFill>
                          </a:ln>
                        </wps:spPr>
                        <wps:txbx>
                          <w:txbxContent>
                            <w:p w14:paraId="06897D02" w14:textId="77777777" w:rsidR="0074088A" w:rsidRDefault="0074088A" w:rsidP="0074088A">
                              <w:pPr>
                                <w:spacing w:after="0" w:line="240" w:lineRule="auto"/>
                                <w:jc w:val="center"/>
                              </w:pPr>
                              <w:r>
                                <w:rPr>
                                  <w:rFonts w:ascii="Arial" w:hAnsi="Arial" w:cs="Arial"/>
                                  <w:b/>
                                  <w:bCs/>
                                  <w:color w:val="3C3489"/>
                                  <w:sz w:val="21"/>
                                  <w:szCs w:val="21"/>
                                </w:rPr>
                                <w:t>Model training and evaluation</w:t>
                              </w:r>
                            </w:p>
                            <w:p w14:paraId="638D5A71" w14:textId="77777777" w:rsidR="0074088A" w:rsidRDefault="0074088A" w:rsidP="0074088A">
                              <w:pPr>
                                <w:spacing w:after="0" w:line="240" w:lineRule="auto"/>
                                <w:jc w:val="center"/>
                              </w:pPr>
                              <w:proofErr w:type="spellStart"/>
                              <w:r>
                                <w:rPr>
                                  <w:rFonts w:ascii="Arial" w:hAnsi="Arial" w:cs="Arial"/>
                                  <w:color w:val="534AB7"/>
                                  <w:sz w:val="18"/>
                                  <w:szCs w:val="18"/>
                                </w:rPr>
                                <w:t>Backtesting</w:t>
                              </w:r>
                              <w:proofErr w:type="spellEnd"/>
                              <w:r>
                                <w:rPr>
                                  <w:rFonts w:ascii="Arial" w:hAnsi="Arial" w:cs="Arial"/>
                                  <w:color w:val="534AB7"/>
                                  <w:sz w:val="18"/>
                                  <w:szCs w:val="18"/>
                                </w:rPr>
                                <w:t>, model selection</w:t>
                              </w:r>
                            </w:p>
                          </w:txbxContent>
                        </wps:txbx>
                        <wps:bodyPr rot="0" vert="horz" wrap="square" lIns="45720" tIns="0" rIns="45720" bIns="0" anchor="ctr" anchorCtr="0">
                          <a:noAutofit/>
                        </wps:bodyPr>
                      </wps:wsp>
                      <wps:wsp>
                        <wps:cNvPr id="28" name="Connector 28"/>
                        <wps:cNvCnPr/>
                        <wps:spPr>
                          <a:xfrm>
                            <a:off x="2971800" y="3929380"/>
                            <a:ext cx="0" cy="280670"/>
                          </a:xfrm>
                          <a:prstGeom prst="straightConnector1">
                            <a:avLst/>
                          </a:prstGeom>
                          <a:ln w="19050">
                            <a:solidFill>
                              <a:srgbClr val="5F5E5A"/>
                            </a:solidFill>
                            <a:tailEnd type="triangle" w="med" len="med"/>
                          </a:ln>
                        </wps:spPr>
                        <wps:bodyPr/>
                      </wps:wsp>
                      <wps:wsp>
                        <wps:cNvPr id="29" name="Forecasting"/>
                        <wps:cNvSpPr/>
                        <wps:spPr>
                          <a:xfrm>
                            <a:off x="1651000" y="4210050"/>
                            <a:ext cx="2641600" cy="462280"/>
                          </a:xfrm>
                          <a:prstGeom prst="roundRect">
                            <a:avLst>
                              <a:gd name="adj" fmla="val 14000"/>
                            </a:avLst>
                          </a:prstGeom>
                          <a:solidFill>
                            <a:srgbClr val="EEEDFE"/>
                          </a:solidFill>
                          <a:ln w="12700">
                            <a:solidFill>
                              <a:srgbClr val="534AB7"/>
                            </a:solidFill>
                          </a:ln>
                        </wps:spPr>
                        <wps:txbx>
                          <w:txbxContent>
                            <w:p w14:paraId="0C240E3F" w14:textId="77777777" w:rsidR="0074088A" w:rsidRDefault="0074088A" w:rsidP="0074088A">
                              <w:pPr>
                                <w:spacing w:after="0" w:line="240" w:lineRule="auto"/>
                                <w:jc w:val="center"/>
                              </w:pPr>
                              <w:r>
                                <w:rPr>
                                  <w:rFonts w:ascii="Arial" w:hAnsi="Arial" w:cs="Arial"/>
                                  <w:b/>
                                  <w:bCs/>
                                  <w:color w:val="3C3489"/>
                                  <w:sz w:val="21"/>
                                  <w:szCs w:val="21"/>
                                </w:rPr>
                                <w:t>Forecasting</w:t>
                              </w:r>
                            </w:p>
                            <w:p w14:paraId="5E4331AB" w14:textId="77777777" w:rsidR="0074088A" w:rsidRDefault="0074088A" w:rsidP="0074088A">
                              <w:pPr>
                                <w:spacing w:after="0" w:line="240" w:lineRule="auto"/>
                                <w:jc w:val="center"/>
                              </w:pPr>
                              <w:r>
                                <w:rPr>
                                  <w:rFonts w:ascii="Arial" w:hAnsi="Arial" w:cs="Arial"/>
                                  <w:color w:val="534AB7"/>
                                  <w:sz w:val="18"/>
                                  <w:szCs w:val="18"/>
                                </w:rPr>
                                <w:t>Projections and scenarios</w:t>
                              </w:r>
                            </w:p>
                          </w:txbxContent>
                        </wps:txbx>
                        <wps:bodyPr rot="0" vert="horz" wrap="square" lIns="45720" tIns="0" rIns="45720" bIns="0" anchor="ctr" anchorCtr="0">
                          <a:noAutofit/>
                        </wps:bodyPr>
                      </wps:wsp>
                      <wps:wsp>
                        <wps:cNvPr id="30" name="Connector 30"/>
                        <wps:cNvCnPr/>
                        <wps:spPr>
                          <a:xfrm>
                            <a:off x="2971800" y="4672330"/>
                            <a:ext cx="0" cy="280670"/>
                          </a:xfrm>
                          <a:prstGeom prst="straightConnector1">
                            <a:avLst/>
                          </a:prstGeom>
                          <a:ln w="19050">
                            <a:solidFill>
                              <a:srgbClr val="5F5E5A"/>
                            </a:solidFill>
                            <a:tailEnd type="triangle" w="med" len="med"/>
                          </a:ln>
                        </wps:spPr>
                        <wps:bodyPr/>
                      </wps:wsp>
                      <wps:wsp>
                        <wps:cNvPr id="31" name="Streamlit dashboard"/>
                        <wps:cNvSpPr/>
                        <wps:spPr>
                          <a:xfrm>
                            <a:off x="1651000" y="4953000"/>
                            <a:ext cx="2641600" cy="462280"/>
                          </a:xfrm>
                          <a:prstGeom prst="roundRect">
                            <a:avLst>
                              <a:gd name="adj" fmla="val 14000"/>
                            </a:avLst>
                          </a:prstGeom>
                          <a:solidFill>
                            <a:srgbClr val="EEEDFE"/>
                          </a:solidFill>
                          <a:ln w="12700">
                            <a:solidFill>
                              <a:srgbClr val="534AB7"/>
                            </a:solidFill>
                          </a:ln>
                        </wps:spPr>
                        <wps:txbx>
                          <w:txbxContent>
                            <w:p w14:paraId="5F2F0D93" w14:textId="77777777" w:rsidR="0074088A" w:rsidRDefault="0074088A" w:rsidP="0074088A">
                              <w:pPr>
                                <w:spacing w:after="0" w:line="240" w:lineRule="auto"/>
                                <w:jc w:val="center"/>
                              </w:pPr>
                              <w:proofErr w:type="spellStart"/>
                              <w:r>
                                <w:rPr>
                                  <w:rFonts w:ascii="Arial" w:hAnsi="Arial" w:cs="Arial"/>
                                  <w:b/>
                                  <w:bCs/>
                                  <w:color w:val="3C3489"/>
                                  <w:sz w:val="21"/>
                                  <w:szCs w:val="21"/>
                                </w:rPr>
                                <w:t>Streamlit</w:t>
                              </w:r>
                              <w:proofErr w:type="spellEnd"/>
                              <w:r>
                                <w:rPr>
                                  <w:rFonts w:ascii="Arial" w:hAnsi="Arial" w:cs="Arial"/>
                                  <w:b/>
                                  <w:bCs/>
                                  <w:color w:val="3C3489"/>
                                  <w:sz w:val="21"/>
                                  <w:szCs w:val="21"/>
                                </w:rPr>
                                <w:t xml:space="preserve"> dashboard</w:t>
                              </w:r>
                            </w:p>
                            <w:p w14:paraId="2B28AFE6" w14:textId="77777777" w:rsidR="0074088A" w:rsidRDefault="0074088A" w:rsidP="0074088A">
                              <w:pPr>
                                <w:spacing w:after="0" w:line="240" w:lineRule="auto"/>
                                <w:jc w:val="center"/>
                              </w:pPr>
                              <w:r>
                                <w:rPr>
                                  <w:rFonts w:ascii="Arial" w:hAnsi="Arial" w:cs="Arial"/>
                                  <w:color w:val="534AB7"/>
                                  <w:sz w:val="18"/>
                                  <w:szCs w:val="18"/>
                                </w:rPr>
                                <w:t>Interactive charts, filters</w:t>
                              </w:r>
                            </w:p>
                          </w:txbxContent>
                        </wps:txbx>
                        <wps:bodyPr rot="0" vert="horz" wrap="square" lIns="45720" tIns="0" rIns="45720" bIns="0" anchor="ctr" anchorCtr="0">
                          <a:noAutofit/>
                        </wps:bodyPr>
                      </wps:wsp>
                      <wps:wsp>
                        <wps:cNvPr id="32" name="Connector 32"/>
                        <wps:cNvCnPr/>
                        <wps:spPr>
                          <a:xfrm>
                            <a:off x="2971800" y="5415280"/>
                            <a:ext cx="0" cy="280670"/>
                          </a:xfrm>
                          <a:prstGeom prst="straightConnector1">
                            <a:avLst/>
                          </a:prstGeom>
                          <a:ln w="19050">
                            <a:solidFill>
                              <a:srgbClr val="5F5E5A"/>
                            </a:solidFill>
                            <a:tailEnd type="triangle" w="med" len="med"/>
                          </a:ln>
                        </wps:spPr>
                        <wps:bodyPr/>
                      </wps:wsp>
                      <wps:wsp>
                        <wps:cNvPr id="33" name="Firm decision-makers"/>
                        <wps:cNvSpPr/>
                        <wps:spPr>
                          <a:xfrm>
                            <a:off x="1651000" y="5695950"/>
                            <a:ext cx="2641600" cy="462280"/>
                          </a:xfrm>
                          <a:prstGeom prst="roundRect">
                            <a:avLst>
                              <a:gd name="adj" fmla="val 14000"/>
                            </a:avLst>
                          </a:prstGeom>
                          <a:solidFill>
                            <a:srgbClr val="F1EFE8"/>
                          </a:solidFill>
                          <a:ln w="12700">
                            <a:solidFill>
                              <a:srgbClr val="5F5E5A"/>
                            </a:solidFill>
                          </a:ln>
                        </wps:spPr>
                        <wps:txbx>
                          <w:txbxContent>
                            <w:p w14:paraId="7A54F7F4" w14:textId="376A25BB" w:rsidR="0074088A" w:rsidRDefault="0074088A" w:rsidP="0074088A">
                              <w:pPr>
                                <w:spacing w:after="0" w:line="240" w:lineRule="auto"/>
                                <w:jc w:val="center"/>
                              </w:pPr>
                              <w:r>
                                <w:rPr>
                                  <w:rFonts w:ascii="Arial" w:hAnsi="Arial" w:cs="Arial"/>
                                  <w:b/>
                                  <w:bCs/>
                                  <w:color w:val="2C2C2A"/>
                                  <w:sz w:val="21"/>
                                  <w:szCs w:val="21"/>
                                </w:rPr>
                                <w:t>Firm decision</w:t>
                              </w:r>
                              <w:r>
                                <w:rPr>
                                  <w:rFonts w:ascii="Arial" w:hAnsi="Arial" w:cs="Arial"/>
                                  <w:b/>
                                  <w:bCs/>
                                  <w:color w:val="2C2C2A"/>
                                  <w:sz w:val="21"/>
                                  <w:szCs w:val="21"/>
                                </w:rPr>
                                <w:t xml:space="preserve"> </w:t>
                              </w:r>
                              <w:r>
                                <w:rPr>
                                  <w:rFonts w:ascii="Arial" w:hAnsi="Arial" w:cs="Arial"/>
                                  <w:b/>
                                  <w:bCs/>
                                  <w:color w:val="2C2C2A"/>
                                  <w:sz w:val="21"/>
                                  <w:szCs w:val="21"/>
                                </w:rPr>
                                <w:t>makers</w:t>
                              </w:r>
                            </w:p>
                            <w:p w14:paraId="28B9396A" w14:textId="77777777" w:rsidR="0074088A" w:rsidRDefault="0074088A" w:rsidP="0074088A">
                              <w:pPr>
                                <w:spacing w:after="0" w:line="240" w:lineRule="auto"/>
                                <w:jc w:val="center"/>
                              </w:pPr>
                              <w:r>
                                <w:rPr>
                                  <w:rFonts w:ascii="Arial" w:hAnsi="Arial" w:cs="Arial"/>
                                  <w:color w:val="5F5E5A"/>
                                  <w:sz w:val="18"/>
                                  <w:szCs w:val="18"/>
                                </w:rPr>
                                <w:t>Planning and strategy</w:t>
                              </w:r>
                            </w:p>
                          </w:txbxContent>
                        </wps:txbx>
                        <wps:bodyPr rot="0" vert="horz" wrap="square" lIns="45720" tIns="0" rIns="45720" bIns="0" anchor="ctr" anchorCtr="0">
                          <a:noAutofit/>
                        </wps:bodyPr>
                      </wps:wsp>
                    </wpg:wgp>
                  </a:graphicData>
                </a:graphic>
              </wp:inline>
            </w:drawing>
          </mc:Choice>
          <mc:Fallback>
            <w:pict>
              <v:group w14:anchorId="1856B28D" id="Group 25" o:spid="_x0000_s1026" style="width:378.6pt;height:461.4pt;mso-position-horizontal-relative:char;mso-position-vertical-relative:line" coordorigin="5498,2983" coordsize="48082,58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">
                <v:roundrect id="Register" o:spid="_x0000_s1027" style="position:absolute;left:5498;top:3063;width:12382;height:4623;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" fillcolor="#e1f5ee" strokecolor="#0f6e56" strokeweight="1pt">
                  <v:textbox inset="3.6pt,0,3.6pt,0">
                    <w:txbxContent>
                      <w:p w14:paraId="6A901D3B" w14:textId="77777777" w:rsidR="0074088A" w:rsidRDefault="0074088A" w:rsidP="0074088A">
                        <w:pPr>
                          <w:spacing w:after="0" w:line="240" w:lineRule="auto"/>
                          <w:jc w:val="center"/>
                        </w:pPr>
                        <w:r>
                          <w:rPr>
                            <w:rFonts w:ascii="Arial" w:hAnsi="Arial" w:cs="Arial"/>
                            <w:b/>
                            <w:bCs/>
                            <w:color w:val="085041"/>
                            <w:sz w:val="19"/>
                            <w:szCs w:val="19"/>
                          </w:rPr>
                          <w:t>Register</w:t>
                        </w:r>
                      </w:p>
                      <w:p w14:paraId="35BE4BE2" w14:textId="77777777" w:rsidR="0074088A" w:rsidRDefault="0074088A" w:rsidP="0074088A">
                        <w:pPr>
                          <w:spacing w:after="0" w:line="240" w:lineRule="auto"/>
                          <w:jc w:val="center"/>
                        </w:pPr>
                        <w:r>
                          <w:rPr>
                            <w:rFonts w:ascii="Arial" w:hAnsi="Arial" w:cs="Arial"/>
                            <w:color w:val="0F6E56"/>
                            <w:sz w:val="16"/>
                            <w:szCs w:val="16"/>
                          </w:rPr>
                          <w:t>Firm records</w:t>
                        </w:r>
                      </w:p>
                    </w:txbxContent>
                  </v:textbox>
                </v:roundrect>
                <v:shapetype id="_x0000_t32" coordsize="21600,21600" o:spt="32" o:oned="t" path="m,l21600,21600e" filled="f">
                  <v:path arrowok="t" fillok="f" o:connecttype="none"/>
                  <o:lock v:ext="edit" shapetype="t"/>
                </v:shapetype>
                <v:shape id="Connector 12" o:spid="_x0000_s1028" type="#_x0000_t32" style="position:absolute;left:10417;top:7924;width:0;height:21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" strokecolor="#5f5e5a" strokeweight="1.5pt"/>
                <v:roundrect id="CSO" o:spid="_x0000_s1029" style="position:absolute;left:23825;top:2983;width:12382;height:4623;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" fillcolor="#e1f5ee" strokecolor="#0f6e56" strokeweight="1pt">
                  <v:textbox inset="3.6pt,0,3.6pt,0">
                    <w:txbxContent>
                      <w:p w14:paraId="0C133025" w14:textId="77777777" w:rsidR="0074088A" w:rsidRDefault="0074088A" w:rsidP="0074088A">
                        <w:pPr>
                          <w:spacing w:after="0" w:line="240" w:lineRule="auto"/>
                          <w:jc w:val="center"/>
                        </w:pPr>
                        <w:r>
                          <w:rPr>
                            <w:rFonts w:ascii="Arial" w:hAnsi="Arial" w:cs="Arial"/>
                            <w:b/>
                            <w:bCs/>
                            <w:color w:val="085041"/>
                            <w:sz w:val="19"/>
                            <w:szCs w:val="19"/>
                          </w:rPr>
                          <w:t>CSO</w:t>
                        </w:r>
                      </w:p>
                      <w:p w14:paraId="572AAE9E" w14:textId="77777777" w:rsidR="0074088A" w:rsidRDefault="0074088A" w:rsidP="0074088A">
                        <w:pPr>
                          <w:spacing w:after="0" w:line="240" w:lineRule="auto"/>
                          <w:jc w:val="center"/>
                        </w:pPr>
                        <w:r>
                          <w:rPr>
                            <w:rFonts w:ascii="Arial" w:hAnsi="Arial" w:cs="Arial"/>
                            <w:color w:val="0F6E56"/>
                            <w:sz w:val="16"/>
                            <w:szCs w:val="16"/>
                          </w:rPr>
                          <w:t>Propertyregister.ie</w:t>
                        </w:r>
                      </w:p>
                    </w:txbxContent>
                  </v:textbox>
                </v:roundrect>
                <v:shape id="Connector 14" o:spid="_x0000_s1030" type="#_x0000_t32" style="position:absolute;left:29717;top:7755;width:0;height:21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" strokecolor="#5f5e5a" strokeweight="1.5pt"/>
                <v:roundrect id="Central Bank / ECB" o:spid="_x0000_s1031" style="position:absolute;left:41198;top:3063;width:12382;height:4623;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" fillcolor="#e1f5ee" strokecolor="#0f6e56" strokeweight="1pt">
                  <v:textbox inset="3.6pt,0,3.6pt,0">
                    <w:txbxContent>
                      <w:p w14:paraId="28B6BAD3" w14:textId="77777777" w:rsidR="0074088A" w:rsidRDefault="0074088A" w:rsidP="0074088A">
                        <w:pPr>
                          <w:spacing w:after="0" w:line="240" w:lineRule="auto"/>
                          <w:jc w:val="center"/>
                        </w:pPr>
                        <w:r>
                          <w:rPr>
                            <w:rFonts w:ascii="Arial" w:hAnsi="Arial" w:cs="Arial"/>
                            <w:b/>
                            <w:bCs/>
                            <w:color w:val="085041"/>
                            <w:sz w:val="19"/>
                            <w:szCs w:val="19"/>
                          </w:rPr>
                          <w:t>Central Bank / ECB</w:t>
                        </w:r>
                      </w:p>
                      <w:p w14:paraId="0529FD62" w14:textId="77777777" w:rsidR="0074088A" w:rsidRDefault="0074088A" w:rsidP="0074088A">
                        <w:pPr>
                          <w:spacing w:after="0" w:line="240" w:lineRule="auto"/>
                          <w:jc w:val="center"/>
                        </w:pPr>
                        <w:r>
                          <w:rPr>
                            <w:rFonts w:ascii="Arial" w:hAnsi="Arial" w:cs="Arial"/>
                            <w:color w:val="0F6E56"/>
                            <w:sz w:val="16"/>
                            <w:szCs w:val="16"/>
                          </w:rPr>
                          <w:t>Rates, credit</w:t>
                        </w:r>
                      </w:p>
                    </w:txbxContent>
                  </v:textbox>
                </v:roundrect>
                <v:shape id="Connector 16" o:spid="_x0000_s1032" type="#_x0000_t32" style="position:absolute;left:46037;top:7755;width:0;height:21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" strokecolor="#5f5e5a" strokeweight="1.5pt"/>
                <v:shape id="Connector 19" o:spid="_x0000_s1033" type="#_x0000_t32" style="position:absolute;left:10416;top:9901;width:35474;height: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" strokecolor="#5f5e5a" strokeweight="1.5pt"/>
                <v:shape id="Connector 20" o:spid="_x0000_s1034" type="#_x0000_t32" style="position:absolute;left:29718;top:10071;width:0;height:23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" strokecolor="#5f5e5a" strokeweight="1.5pt">
                  <v:stroke endarrow="block"/>
                </v:shape>
                <v:roundrect id="Ingestion" o:spid="_x0000_s1035" style="position:absolute;left:16510;top:12382;width:26416;height:4623;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" fillcolor="#eeedfe" strokecolor="#534ab7" strokeweight="1pt">
                  <v:textbox inset="3.6pt,0,3.6pt,0">
                    <w:txbxContent>
                      <w:p w14:paraId="55756CF0" w14:textId="77777777" w:rsidR="0074088A" w:rsidRDefault="0074088A" w:rsidP="0074088A">
                        <w:pPr>
                          <w:spacing w:after="0" w:line="240" w:lineRule="auto"/>
                          <w:jc w:val="center"/>
                        </w:pPr>
                        <w:r>
                          <w:rPr>
                            <w:rFonts w:ascii="Arial" w:hAnsi="Arial" w:cs="Arial"/>
                            <w:b/>
                            <w:bCs/>
                            <w:color w:val="3C3489"/>
                            <w:sz w:val="21"/>
                            <w:szCs w:val="21"/>
                          </w:rPr>
                          <w:t>Ingestion</w:t>
                        </w:r>
                      </w:p>
                    </w:txbxContent>
                  </v:textbox>
                </v:roundrect>
                <v:shape id="Connector 22" o:spid="_x0000_s1036" type="#_x0000_t32" style="position:absolute;left:29718;top:17005;width:0;height:2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" strokecolor="#5f5e5a" strokeweight="1.5pt">
                  <v:stroke endarrow="block"/>
                </v:shape>
                <v:roundrect id="Cleaning and feature engineering" o:spid="_x0000_s1037" style="position:absolute;left:16510;top:19812;width:26416;height:4622;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" fillcolor="#eeedfe" strokecolor="#534ab7" strokeweight="1pt">
                  <v:textbox inset="3.6pt,0,3.6pt,0">
                    <w:txbxContent>
                      <w:p w14:paraId="18AC57FE" w14:textId="77777777" w:rsidR="0074088A" w:rsidRDefault="0074088A" w:rsidP="0074088A">
                        <w:pPr>
                          <w:spacing w:after="0" w:line="240" w:lineRule="auto"/>
                          <w:jc w:val="center"/>
                        </w:pPr>
                        <w:r>
                          <w:rPr>
                            <w:rFonts w:ascii="Arial" w:hAnsi="Arial" w:cs="Arial"/>
                            <w:b/>
                            <w:bCs/>
                            <w:color w:val="3C3489"/>
                            <w:sz w:val="21"/>
                            <w:szCs w:val="21"/>
                          </w:rPr>
                          <w:t>Cleaning data</w:t>
                        </w:r>
                      </w:p>
                    </w:txbxContent>
                  </v:textbox>
                </v:roundrect>
                <v:shape id="Connector 24" o:spid="_x0000_s1038" type="#_x0000_t32" style="position:absolute;left:29718;top:24434;width:0;height:2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" strokecolor="#5f5e5a" strokeweight="1.5pt">
                  <v:stroke endarrow="block"/>
                </v:shape>
                <v:roundrect id="Exploratory analysis" o:spid="_x0000_s1039" style="position:absolute;left:16510;top:27241;width:26416;height:4623;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" fillcolor="#eeedfe" strokecolor="#534ab7" strokeweight="1pt">
                  <v:textbox inset="3.6pt,0,3.6pt,0">
                    <w:txbxContent>
                      <w:p w14:paraId="0DBB1386" w14:textId="77777777" w:rsidR="0074088A" w:rsidRDefault="0074088A" w:rsidP="0074088A">
                        <w:pPr>
                          <w:spacing w:after="0" w:line="240" w:lineRule="auto"/>
                          <w:jc w:val="center"/>
                        </w:pPr>
                        <w:r>
                          <w:rPr>
                            <w:rFonts w:ascii="Arial" w:hAnsi="Arial" w:cs="Arial"/>
                            <w:b/>
                            <w:bCs/>
                            <w:color w:val="3C3489"/>
                            <w:sz w:val="21"/>
                            <w:szCs w:val="21"/>
                          </w:rPr>
                          <w:t>Exploratory analysis</w:t>
                        </w:r>
                      </w:p>
                      <w:p w14:paraId="5CE8B632" w14:textId="77777777" w:rsidR="0074088A" w:rsidRDefault="0074088A" w:rsidP="0074088A">
                        <w:pPr>
                          <w:spacing w:after="0" w:line="240" w:lineRule="auto"/>
                          <w:jc w:val="center"/>
                        </w:pPr>
                        <w:r>
                          <w:rPr>
                            <w:rFonts w:ascii="Arial" w:hAnsi="Arial" w:cs="Arial"/>
                            <w:color w:val="534AB7"/>
                            <w:sz w:val="18"/>
                            <w:szCs w:val="18"/>
                          </w:rPr>
                          <w:t>Trends, correlations, gaps</w:t>
                        </w:r>
                      </w:p>
                    </w:txbxContent>
                  </v:textbox>
                </v:roundrect>
                <v:shape id="Connector 26" o:spid="_x0000_s1040" type="#_x0000_t32" style="position:absolute;left:29718;top:31864;width:0;height:2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" strokecolor="#5f5e5a" strokeweight="1.5pt">
                  <v:stroke endarrow="block"/>
                </v:shape>
                <v:roundrect id="Model training and evaluation" o:spid="_x0000_s1041" style="position:absolute;left:16510;top:34671;width:26416;height:4622;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" fillcolor="#eeedfe" strokecolor="#534ab7" strokeweight="1pt">
                  <v:textbox inset="3.6pt,0,3.6pt,0">
                    <w:txbxContent>
                      <w:p w14:paraId="06897D02" w14:textId="77777777" w:rsidR="0074088A" w:rsidRDefault="0074088A" w:rsidP="0074088A">
                        <w:pPr>
                          <w:spacing w:after="0" w:line="240" w:lineRule="auto"/>
                          <w:jc w:val="center"/>
                        </w:pPr>
                        <w:r>
                          <w:rPr>
                            <w:rFonts w:ascii="Arial" w:hAnsi="Arial" w:cs="Arial"/>
                            <w:b/>
                            <w:bCs/>
                            <w:color w:val="3C3489"/>
                            <w:sz w:val="21"/>
                            <w:szCs w:val="21"/>
                          </w:rPr>
                          <w:t>Model training and evaluation</w:t>
                        </w:r>
                      </w:p>
                      <w:p w14:paraId="638D5A71" w14:textId="77777777" w:rsidR="0074088A" w:rsidRDefault="0074088A" w:rsidP="0074088A">
                        <w:pPr>
                          <w:spacing w:after="0" w:line="240" w:lineRule="auto"/>
                          <w:jc w:val="center"/>
                        </w:pPr>
                        <w:proofErr w:type="spellStart"/>
                        <w:r>
                          <w:rPr>
                            <w:rFonts w:ascii="Arial" w:hAnsi="Arial" w:cs="Arial"/>
                            <w:color w:val="534AB7"/>
                            <w:sz w:val="18"/>
                            <w:szCs w:val="18"/>
                          </w:rPr>
                          <w:t>Backtesting</w:t>
                        </w:r>
                        <w:proofErr w:type="spellEnd"/>
                        <w:r>
                          <w:rPr>
                            <w:rFonts w:ascii="Arial" w:hAnsi="Arial" w:cs="Arial"/>
                            <w:color w:val="534AB7"/>
                            <w:sz w:val="18"/>
                            <w:szCs w:val="18"/>
                          </w:rPr>
                          <w:t>, model selection</w:t>
                        </w:r>
                      </w:p>
                    </w:txbxContent>
                  </v:textbox>
                </v:roundrect>
                <v:shape id="Connector 28" o:spid="_x0000_s1042" type="#_x0000_t32" style="position:absolute;left:29718;top:39293;width:0;height:2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" strokecolor="#5f5e5a" strokeweight="1.5pt">
                  <v:stroke endarrow="block"/>
                </v:shape>
                <v:roundrect id="Forecasting" o:spid="_x0000_s1043" style="position:absolute;left:16510;top:42100;width:26416;height:4623;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" fillcolor="#eeedfe" strokecolor="#534ab7" strokeweight="1pt">
                  <v:textbox inset="3.6pt,0,3.6pt,0">
                    <w:txbxContent>
                      <w:p w14:paraId="0C240E3F" w14:textId="77777777" w:rsidR="0074088A" w:rsidRDefault="0074088A" w:rsidP="0074088A">
                        <w:pPr>
                          <w:spacing w:after="0" w:line="240" w:lineRule="auto"/>
                          <w:jc w:val="center"/>
                        </w:pPr>
                        <w:r>
                          <w:rPr>
                            <w:rFonts w:ascii="Arial" w:hAnsi="Arial" w:cs="Arial"/>
                            <w:b/>
                            <w:bCs/>
                            <w:color w:val="3C3489"/>
                            <w:sz w:val="21"/>
                            <w:szCs w:val="21"/>
                          </w:rPr>
                          <w:t>Forecasting</w:t>
                        </w:r>
                      </w:p>
                      <w:p w14:paraId="5E4331AB" w14:textId="77777777" w:rsidR="0074088A" w:rsidRDefault="0074088A" w:rsidP="0074088A">
                        <w:pPr>
                          <w:spacing w:after="0" w:line="240" w:lineRule="auto"/>
                          <w:jc w:val="center"/>
                        </w:pPr>
                        <w:r>
                          <w:rPr>
                            <w:rFonts w:ascii="Arial" w:hAnsi="Arial" w:cs="Arial"/>
                            <w:color w:val="534AB7"/>
                            <w:sz w:val="18"/>
                            <w:szCs w:val="18"/>
                          </w:rPr>
                          <w:t>Projections and scenarios</w:t>
                        </w:r>
                      </w:p>
                    </w:txbxContent>
                  </v:textbox>
                </v:roundrect>
                <v:shape id="Connector 30" o:spid="_x0000_s1044" type="#_x0000_t32" style="position:absolute;left:29718;top:46723;width:0;height:2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" strokecolor="#5f5e5a" strokeweight="1.5pt">
                  <v:stroke endarrow="block"/>
                </v:shape>
                <v:roundrect id="Streamlit dashboard" o:spid="_x0000_s1045" style="position:absolute;left:16510;top:49530;width:26416;height:4622;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" fillcolor="#eeedfe" strokecolor="#534ab7" strokeweight="1pt">
                  <v:textbox inset="3.6pt,0,3.6pt,0">
                    <w:txbxContent>
                      <w:p w14:paraId="5F2F0D93" w14:textId="77777777" w:rsidR="0074088A" w:rsidRDefault="0074088A" w:rsidP="0074088A">
                        <w:pPr>
                          <w:spacing w:after="0" w:line="240" w:lineRule="auto"/>
                          <w:jc w:val="center"/>
                        </w:pPr>
                        <w:proofErr w:type="spellStart"/>
                        <w:r>
                          <w:rPr>
                            <w:rFonts w:ascii="Arial" w:hAnsi="Arial" w:cs="Arial"/>
                            <w:b/>
                            <w:bCs/>
                            <w:color w:val="3C3489"/>
                            <w:sz w:val="21"/>
                            <w:szCs w:val="21"/>
                          </w:rPr>
                          <w:t>Streamlit</w:t>
                        </w:r>
                        <w:proofErr w:type="spellEnd"/>
                        <w:r>
                          <w:rPr>
                            <w:rFonts w:ascii="Arial" w:hAnsi="Arial" w:cs="Arial"/>
                            <w:b/>
                            <w:bCs/>
                            <w:color w:val="3C3489"/>
                            <w:sz w:val="21"/>
                            <w:szCs w:val="21"/>
                          </w:rPr>
                          <w:t xml:space="preserve"> dashboard</w:t>
                        </w:r>
                      </w:p>
                      <w:p w14:paraId="2B28AFE6" w14:textId="77777777" w:rsidR="0074088A" w:rsidRDefault="0074088A" w:rsidP="0074088A">
                        <w:pPr>
                          <w:spacing w:after="0" w:line="240" w:lineRule="auto"/>
                          <w:jc w:val="center"/>
                        </w:pPr>
                        <w:r>
                          <w:rPr>
                            <w:rFonts w:ascii="Arial" w:hAnsi="Arial" w:cs="Arial"/>
                            <w:color w:val="534AB7"/>
                            <w:sz w:val="18"/>
                            <w:szCs w:val="18"/>
                          </w:rPr>
                          <w:t>Interactive charts, filters</w:t>
                        </w:r>
                      </w:p>
                    </w:txbxContent>
                  </v:textbox>
                </v:roundrect>
                <v:shape id="Connector 32" o:spid="_x0000_s1046" type="#_x0000_t32" style="position:absolute;left:29718;top:54152;width:0;height:2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" strokecolor="#5f5e5a" strokeweight="1.5pt">
                  <v:stroke endarrow="block"/>
                </v:shape>
                <v:roundrect id="Firm decision-makers" o:spid="_x0000_s1047" style="position:absolute;left:16510;top:56959;width:26416;height:4623;visibility:visible;mso-wrap-style:square;v-text-anchor:middle" arcsize="917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" fillcolor="#f1efe8" strokecolor="#5f5e5a" strokeweight="1pt">
                  <v:textbox inset="3.6pt,0,3.6pt,0">
                    <w:txbxContent>
                      <w:p w14:paraId="7A54F7F4" w14:textId="376A25BB" w:rsidR="0074088A" w:rsidRDefault="0074088A" w:rsidP="0074088A">
                        <w:pPr>
                          <w:spacing w:after="0" w:line="240" w:lineRule="auto"/>
                          <w:jc w:val="center"/>
                        </w:pPr>
                        <w:r>
                          <w:rPr>
                            <w:rFonts w:ascii="Arial" w:hAnsi="Arial" w:cs="Arial"/>
                            <w:b/>
                            <w:bCs/>
                            <w:color w:val="2C2C2A"/>
                            <w:sz w:val="21"/>
                            <w:szCs w:val="21"/>
                          </w:rPr>
                          <w:t>Firm decision</w:t>
                        </w:r>
                        <w:r>
                          <w:rPr>
                            <w:rFonts w:ascii="Arial" w:hAnsi="Arial" w:cs="Arial"/>
                            <w:b/>
                            <w:bCs/>
                            <w:color w:val="2C2C2A"/>
                            <w:sz w:val="21"/>
                            <w:szCs w:val="21"/>
                          </w:rPr>
                          <w:t xml:space="preserve"> </w:t>
                        </w:r>
                        <w:r>
                          <w:rPr>
                            <w:rFonts w:ascii="Arial" w:hAnsi="Arial" w:cs="Arial"/>
                            <w:b/>
                            <w:bCs/>
                            <w:color w:val="2C2C2A"/>
                            <w:sz w:val="21"/>
                            <w:szCs w:val="21"/>
                          </w:rPr>
                          <w:t>makers</w:t>
                        </w:r>
                      </w:p>
                      <w:p w14:paraId="28B9396A" w14:textId="77777777" w:rsidR="0074088A" w:rsidRDefault="0074088A" w:rsidP="0074088A">
                        <w:pPr>
                          <w:spacing w:after="0" w:line="240" w:lineRule="auto"/>
                          <w:jc w:val="center"/>
                        </w:pPr>
                        <w:r>
                          <w:rPr>
                            <w:rFonts w:ascii="Arial" w:hAnsi="Arial" w:cs="Arial"/>
                            <w:color w:val="5F5E5A"/>
                            <w:sz w:val="18"/>
                            <w:szCs w:val="18"/>
                          </w:rPr>
                          <w:t>Planning and strategy</w:t>
                        </w:r>
                      </w:p>
                    </w:txbxContent>
                  </v:textbox>
                </v:roundrect>
                <w10:anchorlock/>
              </v:group>
            </w:pict>
          </mc:Fallback>
        </mc:AlternateContent>
      </w:r>
    </w:p>
    <w:p w14:paraId="0756D4BF" w14:textId="09B2214B" w:rsidR="005B246E" w:rsidRDefault="0074088A" w:rsidP="0074088A">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w:t>
      </w:r>
      <w:r w:rsidRPr="00B90D8C">
        <w:t>High-Level Architectural Diagram (Claude)</w:t>
      </w:r>
    </w:p>
    <w:p w14:paraId="6136B455" w14:textId="77777777" w:rsidR="0074088A" w:rsidRDefault="0074088A">
      <w:pPr>
        <w:rPr>
          <w:b/>
          <w:bCs/>
        </w:rPr>
      </w:pPr>
    </w:p>
    <w:p w14:paraId="43CB684A" w14:textId="77777777" w:rsidR="0074088A" w:rsidRDefault="0074088A">
      <w:pPr>
        <w:rPr>
          <w:b/>
          <w:bCs/>
        </w:rPr>
      </w:pPr>
    </w:p>
    <w:p w14:paraId="7FF4577F" w14:textId="77777777" w:rsidR="0074088A" w:rsidRDefault="0074088A">
      <w:pPr>
        <w:rPr>
          <w:b/>
          <w:bCs/>
        </w:rPr>
      </w:pPr>
    </w:p>
    <w:p w14:paraId="71E061D6" w14:textId="6D6CBF50" w:rsidR="00190CA5" w:rsidRPr="00190CA5" w:rsidRDefault="00190CA5">
      <w:pPr>
        <w:rPr>
          <w:b/>
          <w:bCs/>
        </w:rPr>
      </w:pPr>
      <w:r w:rsidRPr="00190CA5">
        <w:rPr>
          <w:b/>
          <w:bCs/>
        </w:rPr>
        <w:t>Data Sources</w:t>
      </w:r>
    </w:p>
    <w:p w14:paraId="43EB9ED0" w14:textId="77777777" w:rsidR="00190CA5" w:rsidRDefault="00190CA5"/>
    <w:p w14:paraId="04EFC565" w14:textId="77777777" w:rsidR="00190CA5" w:rsidRDefault="00190CA5"/>
    <w:p w14:paraId="75397334" w14:textId="77777777" w:rsidR="00190CA5" w:rsidRDefault="00190CA5"/>
    <w:p w14:paraId="2B692C82" w14:textId="08D962DD" w:rsidR="00190CA5" w:rsidRPr="00190CA5" w:rsidRDefault="00190CA5">
      <w:pPr>
        <w:rPr>
          <w:b/>
          <w:bCs/>
        </w:rPr>
      </w:pPr>
      <w:r w:rsidRPr="00190CA5">
        <w:rPr>
          <w:b/>
          <w:bCs/>
        </w:rPr>
        <w:t xml:space="preserve">Expected Deliverables </w:t>
      </w:r>
    </w:p>
    <w:p w14:paraId="570D9BCD" w14:textId="77777777" w:rsidR="00190CA5" w:rsidRDefault="00190CA5"/>
    <w:p w14:paraId="4929EFCF" w14:textId="77777777" w:rsidR="00190CA5" w:rsidRDefault="00190CA5"/>
    <w:p w14:paraId="37358743" w14:textId="77777777" w:rsidR="00190CA5" w:rsidRDefault="00190CA5"/>
    <w:p w14:paraId="6B201539" w14:textId="77777777" w:rsidR="00190CA5" w:rsidRDefault="00190CA5"/>
    <w:p w14:paraId="7F2BE3E6" w14:textId="6B637F0C" w:rsidR="00190CA5" w:rsidRPr="00190CA5" w:rsidRDefault="00190CA5">
      <w:pPr>
        <w:rPr>
          <w:b/>
          <w:bCs/>
        </w:rPr>
      </w:pPr>
      <w:r w:rsidRPr="00190CA5">
        <w:rPr>
          <w:b/>
          <w:bCs/>
        </w:rPr>
        <w:t>Project Timeline</w:t>
      </w:r>
    </w:p>
    <w:p w14:paraId="26E32D8D" w14:textId="77777777" w:rsidR="00190CA5" w:rsidRDefault="00190CA5"/>
    <w:p w14:paraId="17C3A2EA" w14:textId="77777777" w:rsidR="00190CA5" w:rsidRDefault="00190CA5"/>
    <w:p w14:paraId="086F6518" w14:textId="77777777" w:rsidR="00190CA5" w:rsidRDefault="00190CA5"/>
    <w:p w14:paraId="114CAFFD" w14:textId="77777777" w:rsidR="00190CA5" w:rsidRDefault="00190CA5"/>
    <w:p w14:paraId="44742948" w14:textId="77777777" w:rsidR="00190CA5" w:rsidRDefault="00190CA5"/>
    <w:p w14:paraId="0DD34C0B" w14:textId="77777777" w:rsidR="00190CA5" w:rsidRDefault="00190CA5"/>
    <w:p w14:paraId="4FE5992C" w14:textId="1DE10B8E" w:rsidR="00190CA5" w:rsidRDefault="00190CA5">
      <w:pPr>
        <w:rPr>
          <w:b/>
          <w:bCs/>
        </w:rPr>
      </w:pPr>
      <w:r w:rsidRPr="00190CA5">
        <w:rPr>
          <w:b/>
          <w:bCs/>
        </w:rPr>
        <w:t>Ethical and Legal Considerations</w:t>
      </w:r>
    </w:p>
    <w:p w14:paraId="211A7746" w14:textId="77777777" w:rsidR="00190CA5" w:rsidRDefault="00190CA5">
      <w:pPr>
        <w:rPr>
          <w:b/>
          <w:bCs/>
        </w:rPr>
      </w:pPr>
    </w:p>
    <w:p w14:paraId="37D98CDD" w14:textId="77777777" w:rsidR="00190CA5" w:rsidRDefault="00190CA5">
      <w:pPr>
        <w:rPr>
          <w:b/>
          <w:bCs/>
        </w:rPr>
      </w:pPr>
    </w:p>
    <w:p w14:paraId="35F3B5FD" w14:textId="77777777" w:rsidR="00190CA5" w:rsidRDefault="00190CA5">
      <w:pPr>
        <w:rPr>
          <w:b/>
          <w:bCs/>
        </w:rPr>
      </w:pPr>
    </w:p>
    <w:p w14:paraId="5A893FC8" w14:textId="77777777" w:rsidR="00190CA5" w:rsidRDefault="00190CA5">
      <w:pPr>
        <w:rPr>
          <w:b/>
          <w:bCs/>
        </w:rPr>
      </w:pPr>
    </w:p>
    <w:p w14:paraId="40F70599" w14:textId="77777777" w:rsidR="00190CA5" w:rsidRDefault="00190CA5">
      <w:pPr>
        <w:rPr>
          <w:b/>
          <w:bCs/>
        </w:rPr>
      </w:pPr>
    </w:p>
    <w:p w14:paraId="646C6055" w14:textId="77777777" w:rsidR="00190CA5" w:rsidRDefault="00190CA5">
      <w:pPr>
        <w:rPr>
          <w:b/>
          <w:bCs/>
        </w:rPr>
      </w:pPr>
    </w:p>
    <w:p w14:paraId="3F021C3C" w14:textId="77777777" w:rsidR="00190CA5" w:rsidRDefault="00190CA5">
      <w:pPr>
        <w:rPr>
          <w:b/>
          <w:bCs/>
        </w:rPr>
      </w:pPr>
    </w:p>
    <w:p w14:paraId="1C6C0937" w14:textId="77777777" w:rsidR="00190CA5" w:rsidRDefault="00190CA5">
      <w:pPr>
        <w:rPr>
          <w:b/>
          <w:bCs/>
        </w:rPr>
      </w:pPr>
    </w:p>
    <w:p w14:paraId="5A9E59A7" w14:textId="77777777" w:rsidR="00190CA5" w:rsidRDefault="00190CA5">
      <w:pPr>
        <w:rPr>
          <w:b/>
          <w:bCs/>
        </w:rPr>
      </w:pPr>
    </w:p>
    <w:p w14:paraId="0FDA637C" w14:textId="77777777" w:rsidR="00190CA5" w:rsidRDefault="00190CA5">
      <w:pPr>
        <w:rPr>
          <w:b/>
          <w:bCs/>
        </w:rPr>
      </w:pPr>
    </w:p>
    <w:p w14:paraId="235299A6" w14:textId="77777777" w:rsidR="00190CA5" w:rsidRDefault="00190CA5">
      <w:pPr>
        <w:rPr>
          <w:b/>
          <w:bCs/>
        </w:rPr>
      </w:pPr>
    </w:p>
    <w:p w14:paraId="6C74AFAB" w14:textId="77777777" w:rsidR="00190CA5" w:rsidRDefault="00190CA5">
      <w:pPr>
        <w:rPr>
          <w:b/>
          <w:bCs/>
        </w:rPr>
      </w:pPr>
    </w:p>
    <w:p w14:paraId="0D173DED" w14:textId="77777777" w:rsidR="00190CA5" w:rsidRDefault="00190CA5">
      <w:pPr>
        <w:rPr>
          <w:b/>
          <w:bCs/>
        </w:rPr>
      </w:pPr>
    </w:p>
    <w:p w14:paraId="17520AFB" w14:textId="77777777" w:rsidR="00190CA5" w:rsidRDefault="00190CA5">
      <w:pPr>
        <w:rPr>
          <w:b/>
          <w:bCs/>
        </w:rPr>
      </w:pPr>
    </w:p>
    <w:p w14:paraId="4CB41C93" w14:textId="77777777" w:rsidR="00190CA5" w:rsidRDefault="00190CA5">
      <w:pPr>
        <w:rPr>
          <w:b/>
          <w:bCs/>
        </w:rPr>
      </w:pPr>
    </w:p>
    <w:p w14:paraId="3818CDE6" w14:textId="77777777" w:rsidR="00190CA5" w:rsidRDefault="00190CA5">
      <w:pPr>
        <w:rPr>
          <w:b/>
          <w:bCs/>
        </w:rPr>
      </w:pPr>
    </w:p>
    <w:p w14:paraId="4C4D1715" w14:textId="0D67DB95" w:rsidR="00190CA5" w:rsidRDefault="00190CA5">
      <w:pPr>
        <w:rPr>
          <w:b/>
          <w:bCs/>
        </w:rPr>
      </w:pPr>
      <w:r>
        <w:rPr>
          <w:b/>
          <w:bCs/>
        </w:rPr>
        <w:t>References:</w:t>
      </w:r>
    </w:p>
    <w:p w14:paraId="7ED68B08" w14:textId="77777777" w:rsidR="00926702" w:rsidRPr="00926702" w:rsidRDefault="00853FF5" w:rsidP="00926702">
      <w:pPr>
        <w:pStyle w:val="Bibliography"/>
      </w:pPr>
      <w:r>
        <w:rPr>
          <w:b/>
          <w:bCs/>
        </w:rPr>
        <w:lastRenderedPageBreak/>
        <w:fldChar w:fldCharType="begin"/>
      </w:r>
      <w:r>
        <w:rPr>
          <w:b/>
          <w:bCs/>
        </w:rPr>
        <w:instrText xml:space="preserve"> ADDIN ZOTERO_BIBL {"uncited":[],"omitted":[],"custom":[]} CSL_BIBLIOGRAPHY </w:instrText>
      </w:r>
      <w:r>
        <w:rPr>
          <w:b/>
          <w:bCs/>
        </w:rPr>
        <w:fldChar w:fldCharType="separate"/>
      </w:r>
      <w:r w:rsidR="00926702" w:rsidRPr="00926702">
        <w:t xml:space="preserve">Duca, J.V., </w:t>
      </w:r>
      <w:proofErr w:type="spellStart"/>
      <w:r w:rsidR="00926702" w:rsidRPr="00926702">
        <w:t>Muellbauer</w:t>
      </w:r>
      <w:proofErr w:type="spellEnd"/>
      <w:r w:rsidR="00926702" w:rsidRPr="00926702">
        <w:t xml:space="preserve">, J. and Murphy, A. (2021) ‘What Drives House Price Cycles? International Experience and Policy Issues.’, </w:t>
      </w:r>
      <w:r w:rsidR="00926702" w:rsidRPr="00926702">
        <w:rPr>
          <w:i/>
          <w:iCs/>
        </w:rPr>
        <w:t>Journal of Economic Literature</w:t>
      </w:r>
      <w:r w:rsidR="00926702" w:rsidRPr="00926702">
        <w:t>, 59(3), pp. 773–864. Available at: https://doi.org/10.1257/jel.20201325.</w:t>
      </w:r>
    </w:p>
    <w:p w14:paraId="07A0AD51" w14:textId="77777777" w:rsidR="00926702" w:rsidRPr="00926702" w:rsidRDefault="00926702" w:rsidP="00926702">
      <w:pPr>
        <w:pStyle w:val="Bibliography"/>
      </w:pPr>
      <w:r w:rsidRPr="00926702">
        <w:t xml:space="preserve">European Central Bank. (2023) </w:t>
      </w:r>
      <w:r w:rsidRPr="00926702">
        <w:rPr>
          <w:i/>
          <w:iCs/>
        </w:rPr>
        <w:t xml:space="preserve">House prices and ultra-low interest rates: exploring the </w:t>
      </w:r>
      <w:proofErr w:type="spellStart"/>
      <w:proofErr w:type="gramStart"/>
      <w:r w:rsidRPr="00926702">
        <w:rPr>
          <w:i/>
          <w:iCs/>
        </w:rPr>
        <w:t>non linear</w:t>
      </w:r>
      <w:proofErr w:type="spellEnd"/>
      <w:proofErr w:type="gramEnd"/>
      <w:r w:rsidRPr="00926702">
        <w:rPr>
          <w:i/>
          <w:iCs/>
        </w:rPr>
        <w:t xml:space="preserve"> nexus.</w:t>
      </w:r>
      <w:r w:rsidRPr="00926702">
        <w:t xml:space="preserve"> LU: Publications Office. Available at: https://doi.org/10.2866/657427.</w:t>
      </w:r>
    </w:p>
    <w:p w14:paraId="3A25B632" w14:textId="77777777" w:rsidR="00926702" w:rsidRPr="00926702" w:rsidRDefault="00926702" w:rsidP="00926702">
      <w:pPr>
        <w:pStyle w:val="Bibliography"/>
      </w:pPr>
      <w:r w:rsidRPr="00926702">
        <w:t xml:space="preserve">Fox, S. (2026) </w:t>
      </w:r>
      <w:r w:rsidRPr="00926702">
        <w:rPr>
          <w:i/>
          <w:iCs/>
        </w:rPr>
        <w:t>House prices rise again across Cork</w:t>
      </w:r>
      <w:r w:rsidRPr="00926702">
        <w:t xml:space="preserve">, </w:t>
      </w:r>
      <w:r w:rsidRPr="00926702">
        <w:rPr>
          <w:i/>
          <w:iCs/>
        </w:rPr>
        <w:t>Cork Independent</w:t>
      </w:r>
      <w:r w:rsidRPr="00926702">
        <w:t>. Available at: https://www.corkindependent.com/2026/06/23/house-prices-rise-again-across-cork/ (Accessed: 13 October 2026).</w:t>
      </w:r>
    </w:p>
    <w:p w14:paraId="53CB77BA" w14:textId="77777777" w:rsidR="00926702" w:rsidRPr="00926702" w:rsidRDefault="00926702" w:rsidP="00926702">
      <w:pPr>
        <w:pStyle w:val="Bibliography"/>
      </w:pPr>
      <w:r w:rsidRPr="00926702">
        <w:rPr>
          <w:i/>
          <w:iCs/>
        </w:rPr>
        <w:t>Residential Property Prices Economy Ireland and the EU at 50 - Central Statistics Office</w:t>
      </w:r>
      <w:r w:rsidRPr="00926702">
        <w:t xml:space="preserve"> (2023). CSO. Available at: https://www.cso.ie/en/releasesandpublications/ep/p-ieu50/irelandandtheeuat50/economy/residentialpropertyprices/ (Accessed: 17 October 2026).</w:t>
      </w:r>
    </w:p>
    <w:p w14:paraId="3FBCF310" w14:textId="77777777" w:rsidR="00926702" w:rsidRPr="00926702" w:rsidRDefault="00926702" w:rsidP="00926702">
      <w:pPr>
        <w:pStyle w:val="Bibliography"/>
      </w:pPr>
      <w:r w:rsidRPr="00926702">
        <w:rPr>
          <w:i/>
          <w:iCs/>
        </w:rPr>
        <w:t>Why So Many Landlords Are Selling in 2026 — And What It Means for the Market – Keane Thompson</w:t>
      </w:r>
      <w:r w:rsidRPr="00926702">
        <w:t xml:space="preserve"> (no date). Available at: https://keanethompson.ie/why-so-many-landlords-are-selling-in-2026-and-what-it-means-for-the-market/ (Accessed: 17 October 2026).</w:t>
      </w:r>
    </w:p>
    <w:p w14:paraId="40F0D7B0" w14:textId="08058649" w:rsidR="00190CA5" w:rsidRDefault="00853FF5">
      <w:pPr>
        <w:rPr>
          <w:b/>
          <w:bCs/>
        </w:rPr>
      </w:pPr>
      <w:r>
        <w:rPr>
          <w:b/>
          <w:bCs/>
        </w:rPr>
        <w:fldChar w:fldCharType="end"/>
      </w:r>
    </w:p>
    <w:p w14:paraId="3BE1673E" w14:textId="77777777" w:rsidR="005B246E" w:rsidRDefault="005B246E">
      <w:pPr>
        <w:rPr>
          <w:b/>
          <w:bCs/>
        </w:rPr>
      </w:pPr>
    </w:p>
    <w:p w14:paraId="02406BED" w14:textId="77777777" w:rsidR="005B246E" w:rsidRDefault="005B246E">
      <w:pPr>
        <w:rPr>
          <w:b/>
          <w:bCs/>
        </w:rPr>
      </w:pPr>
    </w:p>
    <w:p w14:paraId="4BCE5DCD" w14:textId="77777777" w:rsidR="005B246E" w:rsidRDefault="005B246E">
      <w:pPr>
        <w:rPr>
          <w:b/>
          <w:bCs/>
        </w:rPr>
      </w:pPr>
    </w:p>
    <w:p w14:paraId="354B9219" w14:textId="7309891D" w:rsidR="005B246E" w:rsidRDefault="005B246E">
      <w:pPr>
        <w:rPr>
          <w:b/>
          <w:bCs/>
        </w:rPr>
      </w:pPr>
      <w:r>
        <w:rPr>
          <w:b/>
          <w:bCs/>
        </w:rPr>
        <w:t>Claude:</w:t>
      </w:r>
    </w:p>
    <w:p w14:paraId="19DBD9C9" w14:textId="2707E745" w:rsidR="005B246E" w:rsidRDefault="0074088A">
      <w:pPr>
        <w:rPr>
          <w:b/>
          <w:bCs/>
        </w:rPr>
      </w:pPr>
      <w:hyperlink r:id="rId8" w:history="1">
        <w:r w:rsidRPr="007B7BB6">
          <w:rPr>
            <w:rStyle w:val="Hyperlink"/>
            <w:b/>
            <w:bCs/>
          </w:rPr>
          <w:t>https://claude.ai/share/1b09c0f6-885d-471f</w:t>
        </w:r>
        <w:r w:rsidRPr="007B7BB6">
          <w:rPr>
            <w:rStyle w:val="Hyperlink"/>
            <w:b/>
            <w:bCs/>
          </w:rPr>
          <w:t>-</w:t>
        </w:r>
        <w:r w:rsidRPr="007B7BB6">
          <w:rPr>
            <w:rStyle w:val="Hyperlink"/>
            <w:b/>
            <w:bCs/>
          </w:rPr>
          <w:t>893b-35fd61ee16e7</w:t>
        </w:r>
      </w:hyperlink>
    </w:p>
    <w:p w14:paraId="7FF4CEC2" w14:textId="77777777" w:rsidR="0074088A" w:rsidRPr="00190CA5" w:rsidRDefault="0074088A">
      <w:pPr>
        <w:rPr>
          <w:b/>
          <w:bCs/>
        </w:rPr>
      </w:pPr>
    </w:p>
    <w:sectPr w:rsidR="0074088A" w:rsidRPr="00190CA5">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2FFBC" w14:textId="77777777" w:rsidR="00C96E43" w:rsidRDefault="00C96E43" w:rsidP="00190CA5">
      <w:pPr>
        <w:spacing w:after="0" w:line="240" w:lineRule="auto"/>
      </w:pPr>
      <w:r>
        <w:separator/>
      </w:r>
    </w:p>
  </w:endnote>
  <w:endnote w:type="continuationSeparator" w:id="0">
    <w:p w14:paraId="1196B7B8" w14:textId="77777777" w:rsidR="00C96E43" w:rsidRDefault="00C96E43" w:rsidP="00190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C35C7" w14:textId="77777777" w:rsidR="00C96E43" w:rsidRDefault="00C96E43" w:rsidP="00190CA5">
      <w:pPr>
        <w:spacing w:after="0" w:line="240" w:lineRule="auto"/>
      </w:pPr>
      <w:r>
        <w:separator/>
      </w:r>
    </w:p>
  </w:footnote>
  <w:footnote w:type="continuationSeparator" w:id="0">
    <w:p w14:paraId="64C5CE42" w14:textId="77777777" w:rsidR="00C96E43" w:rsidRDefault="00C96E43" w:rsidP="00190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0E163" w14:textId="226841B8" w:rsidR="00190CA5" w:rsidRDefault="00190CA5">
    <w:pPr>
      <w:pStyle w:val="Header"/>
    </w:pPr>
    <w:r>
      <w:t>Keith Desmond – SBA25038</w:t>
    </w:r>
  </w:p>
  <w:p w14:paraId="718B8934" w14:textId="0BACC2CD" w:rsidR="00190CA5" w:rsidRDefault="00190CA5">
    <w:pPr>
      <w:pStyle w:val="Header"/>
    </w:pPr>
    <w:r>
      <w:t>Strategic Thinking: CA 1 – Capstone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501E1"/>
    <w:multiLevelType w:val="hybridMultilevel"/>
    <w:tmpl w:val="85CA35E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5244C31"/>
    <w:multiLevelType w:val="hybridMultilevel"/>
    <w:tmpl w:val="58BA2D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4BF2357D"/>
    <w:multiLevelType w:val="hybridMultilevel"/>
    <w:tmpl w:val="7E4E16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99839840">
    <w:abstractNumId w:val="0"/>
  </w:num>
  <w:num w:numId="2" w16cid:durableId="123695400">
    <w:abstractNumId w:val="2"/>
  </w:num>
  <w:num w:numId="3" w16cid:durableId="1622882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39A"/>
    <w:rsid w:val="000C35D3"/>
    <w:rsid w:val="00190CA5"/>
    <w:rsid w:val="001A2FB5"/>
    <w:rsid w:val="002972E9"/>
    <w:rsid w:val="0039339A"/>
    <w:rsid w:val="003D5CC0"/>
    <w:rsid w:val="004A70D7"/>
    <w:rsid w:val="004B267B"/>
    <w:rsid w:val="004D2CE9"/>
    <w:rsid w:val="004D678D"/>
    <w:rsid w:val="005248B8"/>
    <w:rsid w:val="0055013F"/>
    <w:rsid w:val="005B246E"/>
    <w:rsid w:val="005C772F"/>
    <w:rsid w:val="006E52A7"/>
    <w:rsid w:val="0074088A"/>
    <w:rsid w:val="0076088D"/>
    <w:rsid w:val="00853FF5"/>
    <w:rsid w:val="008F21B4"/>
    <w:rsid w:val="00900F53"/>
    <w:rsid w:val="00926702"/>
    <w:rsid w:val="00A172FF"/>
    <w:rsid w:val="00AA1028"/>
    <w:rsid w:val="00AB271B"/>
    <w:rsid w:val="00B9717F"/>
    <w:rsid w:val="00C96E43"/>
    <w:rsid w:val="00E15786"/>
    <w:rsid w:val="00F7682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D538B"/>
  <w15:chartTrackingRefBased/>
  <w15:docId w15:val="{1CB609E8-CDD1-48AF-B026-C64812C6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39A"/>
    <w:rPr>
      <w:rFonts w:eastAsiaTheme="majorEastAsia" w:cstheme="majorBidi"/>
      <w:color w:val="272727" w:themeColor="text1" w:themeTint="D8"/>
    </w:rPr>
  </w:style>
  <w:style w:type="paragraph" w:styleId="Title">
    <w:name w:val="Title"/>
    <w:basedOn w:val="Normal"/>
    <w:next w:val="Normal"/>
    <w:link w:val="TitleChar"/>
    <w:uiPriority w:val="10"/>
    <w:qFormat/>
    <w:rsid w:val="00393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39A"/>
    <w:pPr>
      <w:spacing w:before="160"/>
      <w:jc w:val="center"/>
    </w:pPr>
    <w:rPr>
      <w:i/>
      <w:iCs/>
      <w:color w:val="404040" w:themeColor="text1" w:themeTint="BF"/>
    </w:rPr>
  </w:style>
  <w:style w:type="character" w:customStyle="1" w:styleId="QuoteChar">
    <w:name w:val="Quote Char"/>
    <w:basedOn w:val="DefaultParagraphFont"/>
    <w:link w:val="Quote"/>
    <w:uiPriority w:val="29"/>
    <w:rsid w:val="0039339A"/>
    <w:rPr>
      <w:i/>
      <w:iCs/>
      <w:color w:val="404040" w:themeColor="text1" w:themeTint="BF"/>
    </w:rPr>
  </w:style>
  <w:style w:type="paragraph" w:styleId="ListParagraph">
    <w:name w:val="List Paragraph"/>
    <w:basedOn w:val="Normal"/>
    <w:uiPriority w:val="34"/>
    <w:qFormat/>
    <w:rsid w:val="0039339A"/>
    <w:pPr>
      <w:ind w:left="720"/>
      <w:contextualSpacing/>
    </w:pPr>
  </w:style>
  <w:style w:type="character" w:styleId="IntenseEmphasis">
    <w:name w:val="Intense Emphasis"/>
    <w:basedOn w:val="DefaultParagraphFont"/>
    <w:uiPriority w:val="21"/>
    <w:qFormat/>
    <w:rsid w:val="0039339A"/>
    <w:rPr>
      <w:i/>
      <w:iCs/>
      <w:color w:val="0F4761" w:themeColor="accent1" w:themeShade="BF"/>
    </w:rPr>
  </w:style>
  <w:style w:type="paragraph" w:styleId="IntenseQuote">
    <w:name w:val="Intense Quote"/>
    <w:basedOn w:val="Normal"/>
    <w:next w:val="Normal"/>
    <w:link w:val="IntenseQuoteChar"/>
    <w:uiPriority w:val="30"/>
    <w:qFormat/>
    <w:rsid w:val="00393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39A"/>
    <w:rPr>
      <w:i/>
      <w:iCs/>
      <w:color w:val="0F4761" w:themeColor="accent1" w:themeShade="BF"/>
    </w:rPr>
  </w:style>
  <w:style w:type="character" w:styleId="IntenseReference">
    <w:name w:val="Intense Reference"/>
    <w:basedOn w:val="DefaultParagraphFont"/>
    <w:uiPriority w:val="32"/>
    <w:qFormat/>
    <w:rsid w:val="0039339A"/>
    <w:rPr>
      <w:b/>
      <w:bCs/>
      <w:smallCaps/>
      <w:color w:val="0F4761" w:themeColor="accent1" w:themeShade="BF"/>
      <w:spacing w:val="5"/>
    </w:rPr>
  </w:style>
  <w:style w:type="paragraph" w:styleId="Header">
    <w:name w:val="header"/>
    <w:basedOn w:val="Normal"/>
    <w:link w:val="HeaderChar"/>
    <w:uiPriority w:val="99"/>
    <w:unhideWhenUsed/>
    <w:rsid w:val="00190C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CA5"/>
  </w:style>
  <w:style w:type="paragraph" w:styleId="Footer">
    <w:name w:val="footer"/>
    <w:basedOn w:val="Normal"/>
    <w:link w:val="FooterChar"/>
    <w:uiPriority w:val="99"/>
    <w:unhideWhenUsed/>
    <w:rsid w:val="00190C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CA5"/>
  </w:style>
  <w:style w:type="paragraph" w:styleId="Bibliography">
    <w:name w:val="Bibliography"/>
    <w:basedOn w:val="Normal"/>
    <w:next w:val="Normal"/>
    <w:uiPriority w:val="37"/>
    <w:unhideWhenUsed/>
    <w:rsid w:val="00853FF5"/>
    <w:pPr>
      <w:spacing w:after="240" w:line="240" w:lineRule="auto"/>
    </w:pPr>
  </w:style>
  <w:style w:type="paragraph" w:styleId="Caption">
    <w:name w:val="caption"/>
    <w:basedOn w:val="Normal"/>
    <w:next w:val="Normal"/>
    <w:uiPriority w:val="35"/>
    <w:unhideWhenUsed/>
    <w:qFormat/>
    <w:rsid w:val="005B246E"/>
    <w:pPr>
      <w:spacing w:after="200" w:line="240" w:lineRule="auto"/>
    </w:pPr>
    <w:rPr>
      <w:i/>
      <w:iCs/>
      <w:color w:val="0E2841" w:themeColor="text2"/>
      <w:sz w:val="18"/>
      <w:szCs w:val="18"/>
    </w:rPr>
  </w:style>
  <w:style w:type="character" w:styleId="Hyperlink">
    <w:name w:val="Hyperlink"/>
    <w:basedOn w:val="DefaultParagraphFont"/>
    <w:uiPriority w:val="99"/>
    <w:unhideWhenUsed/>
    <w:rsid w:val="005B246E"/>
    <w:rPr>
      <w:color w:val="467886" w:themeColor="hyperlink"/>
      <w:u w:val="single"/>
    </w:rPr>
  </w:style>
  <w:style w:type="character" w:styleId="UnresolvedMention">
    <w:name w:val="Unresolved Mention"/>
    <w:basedOn w:val="DefaultParagraphFont"/>
    <w:uiPriority w:val="99"/>
    <w:semiHidden/>
    <w:unhideWhenUsed/>
    <w:rsid w:val="005B246E"/>
    <w:rPr>
      <w:color w:val="605E5C"/>
      <w:shd w:val="clear" w:color="auto" w:fill="E1DFDD"/>
    </w:rPr>
  </w:style>
  <w:style w:type="character" w:styleId="FollowedHyperlink">
    <w:name w:val="FollowedHyperlink"/>
    <w:basedOn w:val="DefaultParagraphFont"/>
    <w:uiPriority w:val="99"/>
    <w:semiHidden/>
    <w:unhideWhenUsed/>
    <w:rsid w:val="005B24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share/1b09c0f6-885d-471f-893b-35fd61ee16e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B03B830-A710-40CC-B546-BB517AC36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5</Pages>
  <Words>2095</Words>
  <Characters>11946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Desmond</dc:creator>
  <cp:keywords/>
  <dc:description/>
  <cp:lastModifiedBy>Keith Desmond</cp:lastModifiedBy>
  <cp:revision>10</cp:revision>
  <dcterms:created xsi:type="dcterms:W3CDTF">2026-09-24T18:08:00Z</dcterms:created>
  <dcterms:modified xsi:type="dcterms:W3CDTF">2026-10-17T16:00:00Z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id="Ft1upi7W"/&gt;&lt;style id="http://www.zotero.org/styles/harvard-cite-them-right" locale="en-GB"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