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C6F6C" w14:textId="77777777" w:rsidR="00380AF4" w:rsidRPr="00380AF4" w:rsidRDefault="00380AF4" w:rsidP="00380AF4">
      <w:pPr>
        <w:ind w:left="720"/>
        <w:jc w:val="right"/>
      </w:pPr>
      <w:r w:rsidRPr="00380AF4">
        <w:t>LE NECHET Manon</w:t>
      </w:r>
    </w:p>
    <w:p w14:paraId="310B4F56" w14:textId="77777777" w:rsidR="00380AF4" w:rsidRPr="00380AF4" w:rsidRDefault="00380AF4" w:rsidP="00380AF4">
      <w:pPr>
        <w:ind w:left="720"/>
        <w:jc w:val="right"/>
      </w:pPr>
      <w:r w:rsidRPr="00380AF4">
        <w:t>EL MATMOUR Aya</w:t>
      </w:r>
    </w:p>
    <w:p w14:paraId="19EF6C90" w14:textId="77777777" w:rsidR="00380AF4" w:rsidRPr="00380AF4" w:rsidRDefault="00380AF4" w:rsidP="00380AF4">
      <w:pPr>
        <w:ind w:left="720"/>
        <w:jc w:val="right"/>
      </w:pPr>
      <w:r w:rsidRPr="00380AF4">
        <w:t>FORNER Caroline</w:t>
      </w:r>
    </w:p>
    <w:p w14:paraId="60BF81D2" w14:textId="77777777" w:rsidR="00380AF4" w:rsidRDefault="00380AF4" w:rsidP="00380AF4">
      <w:pPr>
        <w:jc w:val="right"/>
      </w:pPr>
    </w:p>
    <w:p w14:paraId="041BFD7F" w14:textId="09E577F6" w:rsidR="00380AF4" w:rsidRDefault="00380AF4" w:rsidP="00380AF4">
      <w:pPr>
        <w:jc w:val="center"/>
        <w:rPr>
          <w:sz w:val="52"/>
          <w:szCs w:val="52"/>
        </w:rPr>
      </w:pPr>
      <w:r w:rsidRPr="00380AF4">
        <w:rPr>
          <w:sz w:val="52"/>
          <w:szCs w:val="52"/>
        </w:rPr>
        <w:t>Projet IA</w:t>
      </w:r>
    </w:p>
    <w:p w14:paraId="30D1D566" w14:textId="0CCE6BBF" w:rsidR="00602CA8" w:rsidRDefault="00380AF4">
      <w:pPr>
        <w:rPr>
          <w:sz w:val="36"/>
          <w:szCs w:val="36"/>
        </w:rPr>
      </w:pPr>
      <w:r>
        <w:rPr>
          <w:sz w:val="36"/>
          <w:szCs w:val="36"/>
        </w:rPr>
        <w:t>1</w:t>
      </w:r>
      <w:r w:rsidR="00602CA8">
        <w:rPr>
          <w:sz w:val="36"/>
          <w:szCs w:val="36"/>
        </w:rPr>
        <w:t xml:space="preserve"> – Description du jeu de données</w:t>
      </w:r>
    </w:p>
    <w:p w14:paraId="4BAE3747" w14:textId="77777777" w:rsidR="00602CA8" w:rsidRDefault="00602CA8">
      <w:pPr>
        <w:rPr>
          <w:sz w:val="36"/>
          <w:szCs w:val="36"/>
        </w:rPr>
      </w:pPr>
    </w:p>
    <w:p w14:paraId="01B9BAE0" w14:textId="77777777" w:rsidR="00602CA8" w:rsidRDefault="00602CA8">
      <w:pPr>
        <w:rPr>
          <w:sz w:val="36"/>
          <w:szCs w:val="36"/>
        </w:rPr>
      </w:pPr>
    </w:p>
    <w:p w14:paraId="2E143BEF" w14:textId="4D42C6F7" w:rsidR="00803FF0" w:rsidRDefault="00602CA8">
      <w:pPr>
        <w:rPr>
          <w:sz w:val="36"/>
          <w:szCs w:val="36"/>
        </w:rPr>
      </w:pPr>
      <w:r>
        <w:rPr>
          <w:sz w:val="36"/>
          <w:szCs w:val="36"/>
        </w:rPr>
        <w:t>1</w:t>
      </w:r>
      <w:r w:rsidR="00380AF4">
        <w:rPr>
          <w:sz w:val="36"/>
          <w:szCs w:val="36"/>
        </w:rPr>
        <w:t xml:space="preserve"> - </w:t>
      </w:r>
      <w:r w:rsidR="00380AF4" w:rsidRPr="00380AF4">
        <w:rPr>
          <w:sz w:val="36"/>
          <w:szCs w:val="36"/>
        </w:rPr>
        <w:t>Visualisation sur carte</w:t>
      </w:r>
    </w:p>
    <w:p w14:paraId="57C8330E" w14:textId="152614B9" w:rsidR="00C55E7C" w:rsidRPr="00C55E7C" w:rsidRDefault="00C55E7C" w:rsidP="00C55E7C">
      <w:pPr>
        <w:rPr>
          <w:sz w:val="32"/>
          <w:szCs w:val="32"/>
        </w:rPr>
      </w:pPr>
      <w:r w:rsidRPr="00C55E7C">
        <w:rPr>
          <w:sz w:val="32"/>
          <w:szCs w:val="32"/>
        </w:rPr>
        <w:t>Justification du choix des variables sélectionnées</w:t>
      </w:r>
    </w:p>
    <w:p w14:paraId="6DFCAF4B" w14:textId="6F626BCA" w:rsidR="00C55E7C" w:rsidRDefault="00602CA8" w:rsidP="00C55E7C">
      <w:r>
        <w:t xml:space="preserve">((( </w:t>
      </w:r>
      <w:r w:rsidR="00C55E7C">
        <w:t>Pour permettre de visualiser les infrastructures de recharge pour véhicules électriques (IRVE), plusieurs variables ont été utilisés :</w:t>
      </w:r>
    </w:p>
    <w:p w14:paraId="53398203" w14:textId="426FF11A" w:rsidR="00C55E7C" w:rsidRDefault="00C55E7C" w:rsidP="00C55E7C">
      <w:r>
        <w:t xml:space="preserve"> </w:t>
      </w:r>
      <w:proofErr w:type="spellStart"/>
      <w:r>
        <w:t>consolidated_latitude</w:t>
      </w:r>
      <w:proofErr w:type="spellEnd"/>
      <w:r>
        <w:t xml:space="preserve"> et </w:t>
      </w:r>
      <w:proofErr w:type="spellStart"/>
      <w:r>
        <w:t>consolidated_longitude</w:t>
      </w:r>
      <w:proofErr w:type="spellEnd"/>
      <w:r>
        <w:t xml:space="preserve"> : ces variables contiennent les coordonnées GPS des bornes. Elles permettent de localiser géographiquement chaque borne de recharge sur le territoire français</w:t>
      </w:r>
    </w:p>
    <w:p w14:paraId="34B5DB64" w14:textId="18837FE6" w:rsidR="00C55E7C" w:rsidRDefault="00C55E7C" w:rsidP="00C55E7C">
      <w:proofErr w:type="spellStart"/>
      <w:r>
        <w:t>implantation_station</w:t>
      </w:r>
      <w:proofErr w:type="spellEnd"/>
      <w:r>
        <w:t xml:space="preserve"> : cette variable décrit le type d’implantation de la station (parking public, voirie, station dédiée à la recharge rapide etc.). Elle permet d’étudier la répartition géographique des bornes selon leur environnement d’installation.</w:t>
      </w:r>
    </w:p>
    <w:p w14:paraId="3FAE5B47" w14:textId="37107643" w:rsidR="00C55E7C" w:rsidRDefault="00C55E7C" w:rsidP="00C55E7C">
      <w:proofErr w:type="spellStart"/>
      <w:r>
        <w:t>puissance_nominale</w:t>
      </w:r>
      <w:proofErr w:type="spellEnd"/>
      <w:r>
        <w:t xml:space="preserve"> : cette variable renseigne la puissance maximale délivrée par la borne de recharge. Elle permet de distinguer les bornes normales, rapides, très rapides et ultra-rapides afin d’analyser leur distribution sur le territoire.</w:t>
      </w:r>
    </w:p>
    <w:p w14:paraId="1EF0855E" w14:textId="77777777" w:rsidR="00C55E7C" w:rsidRDefault="00C55E7C" w:rsidP="00C55E7C"/>
    <w:p w14:paraId="0C392112" w14:textId="240ADFB9" w:rsidR="00C55E7C" w:rsidRDefault="00C55E7C" w:rsidP="00C55E7C">
      <w:r>
        <w:t>Ces variables ont été sélectionnées car elles répondent directement aux objectifs du besoin client : visualiser la répartition spatiale des bornes selon leur implantation et leur puissance, ainsi que leur densité géographique.</w:t>
      </w:r>
      <w:r w:rsidR="00602CA8">
        <w:t xml:space="preserve"> ))) à enlever ??? </w:t>
      </w:r>
    </w:p>
    <w:p w14:paraId="205A2719" w14:textId="0293CE75" w:rsidR="00C55E7C" w:rsidRDefault="00C55E7C" w:rsidP="00C55E7C"/>
    <w:p w14:paraId="47DC29D3" w14:textId="77777777" w:rsidR="00FC1468" w:rsidRDefault="00FC1468" w:rsidP="00C55E7C"/>
    <w:p w14:paraId="3D9AB22A" w14:textId="77777777" w:rsidR="00C55E7C" w:rsidRDefault="00C55E7C" w:rsidP="00C55E7C"/>
    <w:p w14:paraId="72B1C50E" w14:textId="13ED07F7" w:rsidR="00C55E7C" w:rsidRDefault="00C55E7C" w:rsidP="00C55E7C">
      <w:r w:rsidRPr="00FC1468">
        <w:rPr>
          <w:sz w:val="32"/>
          <w:szCs w:val="32"/>
        </w:rPr>
        <w:lastRenderedPageBreak/>
        <w:t xml:space="preserve">Justification des </w:t>
      </w:r>
      <w:r w:rsidR="00FC1468">
        <w:rPr>
          <w:sz w:val="32"/>
          <w:szCs w:val="32"/>
        </w:rPr>
        <w:t xml:space="preserve">choix des </w:t>
      </w:r>
      <w:r w:rsidRPr="00FC1468">
        <w:rPr>
          <w:sz w:val="32"/>
          <w:szCs w:val="32"/>
        </w:rPr>
        <w:t>opérations de préparation des données</w:t>
      </w:r>
    </w:p>
    <w:p w14:paraId="28E19516" w14:textId="77777777" w:rsidR="00C55E7C" w:rsidRDefault="00C55E7C" w:rsidP="00C55E7C"/>
    <w:p w14:paraId="211AD3EC" w14:textId="07182887" w:rsidR="00C55E7C" w:rsidRDefault="00C55E7C" w:rsidP="00C55E7C">
      <w:r>
        <w:t>Plusieurs opérations ont été réalisées</w:t>
      </w:r>
      <w:r w:rsidR="00FC1468">
        <w:t xml:space="preserve"> afin de permettre une utilisation plus facile des données.</w:t>
      </w:r>
    </w:p>
    <w:p w14:paraId="17030C10" w14:textId="77777777" w:rsidR="00FC1468" w:rsidRDefault="00FC1468" w:rsidP="00C55E7C"/>
    <w:p w14:paraId="568BC56D" w14:textId="44D7777E" w:rsidR="00C55E7C" w:rsidRDefault="00C55E7C" w:rsidP="00C55E7C">
      <w:r>
        <w:t>1. Sélection des variables utiles</w:t>
      </w:r>
    </w:p>
    <w:p w14:paraId="7838FB5B" w14:textId="1FF9CB6A" w:rsidR="00C55E7C" w:rsidRDefault="00C55E7C" w:rsidP="00C55E7C">
      <w:r>
        <w:t xml:space="preserve">   Seules les variables nécessaires à la création des cartes</w:t>
      </w:r>
      <w:r w:rsidR="00937AFA">
        <w:t xml:space="preserve"> et des diagrammes</w:t>
      </w:r>
      <w:r>
        <w:t xml:space="preserve"> ont été conservées afin de réduire la taille du jeu de données et d'améliorer les performances de traitement.</w:t>
      </w:r>
      <w:r w:rsidR="00602CA8">
        <w:t xml:space="preserve"> </w:t>
      </w:r>
    </w:p>
    <w:p w14:paraId="247E0320" w14:textId="77777777" w:rsidR="005A0D81" w:rsidRDefault="005A0D81" w:rsidP="00C55E7C"/>
    <w:p w14:paraId="23EDDB7C" w14:textId="794CE87F" w:rsidR="00C55E7C" w:rsidRDefault="005A0D81" w:rsidP="00C55E7C">
      <w:r>
        <w:t>2</w:t>
      </w:r>
      <w:r w:rsidR="00C55E7C">
        <w:t>. Filtrage géographique</w:t>
      </w:r>
    </w:p>
    <w:p w14:paraId="7709E562" w14:textId="376140DA" w:rsidR="00C55E7C" w:rsidRDefault="00C55E7C" w:rsidP="00C55E7C">
      <w:r>
        <w:t xml:space="preserve">   Un filtrage a été appliqué afin de conserver uniquement les bornes situées en France métropolitaine. Cette opération permet d’éliminer </w:t>
      </w:r>
      <w:r w:rsidR="00B274BF">
        <w:t>les bornes</w:t>
      </w:r>
      <w:r>
        <w:t xml:space="preserve"> situées hors de la zone d’étude.</w:t>
      </w:r>
    </w:p>
    <w:p w14:paraId="51B1C96D" w14:textId="77777777" w:rsidR="00C55E7C" w:rsidRDefault="00C55E7C" w:rsidP="00C55E7C"/>
    <w:p w14:paraId="2759F69A" w14:textId="532C9036" w:rsidR="00C55E7C" w:rsidRDefault="005A0D81" w:rsidP="00C55E7C">
      <w:r>
        <w:t>3</w:t>
      </w:r>
      <w:r w:rsidR="00C55E7C">
        <w:t>. Création de catégories de puissance</w:t>
      </w:r>
    </w:p>
    <w:p w14:paraId="24058DF5" w14:textId="4F7233AD" w:rsidR="00C55E7C" w:rsidRDefault="00C55E7C" w:rsidP="00C55E7C">
      <w:r>
        <w:t xml:space="preserve">   Les puissances nominales ont été regroupées en quatre catégories :</w:t>
      </w:r>
    </w:p>
    <w:p w14:paraId="0423A847" w14:textId="77777777" w:rsidR="00C55E7C" w:rsidRDefault="00C55E7C" w:rsidP="00C55E7C">
      <w:r>
        <w:t xml:space="preserve">   * Normale ≤ 22 kW</w:t>
      </w:r>
    </w:p>
    <w:p w14:paraId="66FB6F14" w14:textId="77777777" w:rsidR="00C55E7C" w:rsidRDefault="00C55E7C" w:rsidP="00C55E7C">
      <w:r>
        <w:t xml:space="preserve">   * Rapide 23-50 kW</w:t>
      </w:r>
    </w:p>
    <w:p w14:paraId="56E13073" w14:textId="77777777" w:rsidR="00C55E7C" w:rsidRDefault="00C55E7C" w:rsidP="00C55E7C">
      <w:r>
        <w:t xml:space="preserve">   * Très rapide 51-150 kW</w:t>
      </w:r>
    </w:p>
    <w:p w14:paraId="35491ABC" w14:textId="6B354451" w:rsidR="00C55E7C" w:rsidRDefault="00C55E7C" w:rsidP="00C55E7C">
      <w:r>
        <w:t xml:space="preserve">   * Ultra rapide &gt; 150 kW</w:t>
      </w:r>
    </w:p>
    <w:p w14:paraId="4038F925" w14:textId="37DAF9C5" w:rsidR="00C55E7C" w:rsidRDefault="00B274BF" w:rsidP="00C55E7C">
      <w:r>
        <w:t xml:space="preserve">Cela permet une visualisation plus simple des différents niveaux de puissance. </w:t>
      </w:r>
      <w:r w:rsidR="008D7379">
        <w:t xml:space="preserve">Comme il n’y a que quatre catégories sur la carte, il n’y pas de surcharge de couleurs. </w:t>
      </w:r>
    </w:p>
    <w:p w14:paraId="2E4D59D5" w14:textId="77777777" w:rsidR="00C55E7C" w:rsidRDefault="00C55E7C" w:rsidP="00C55E7C"/>
    <w:p w14:paraId="123BBE52" w14:textId="77777777" w:rsidR="008D7379" w:rsidRDefault="008D7379" w:rsidP="00C55E7C"/>
    <w:p w14:paraId="5593E8A2" w14:textId="77777777" w:rsidR="008D7379" w:rsidRDefault="008D7379" w:rsidP="00C55E7C"/>
    <w:p w14:paraId="7713010C" w14:textId="77777777" w:rsidR="00C55E7C" w:rsidRDefault="00C55E7C" w:rsidP="00C55E7C"/>
    <w:p w14:paraId="2F1C1110" w14:textId="425B58FC" w:rsidR="00C55E7C" w:rsidRPr="008D7379" w:rsidRDefault="00C55E7C" w:rsidP="00C55E7C">
      <w:pPr>
        <w:rPr>
          <w:sz w:val="32"/>
          <w:szCs w:val="32"/>
        </w:rPr>
      </w:pPr>
      <w:r w:rsidRPr="008D7379">
        <w:rPr>
          <w:sz w:val="32"/>
          <w:szCs w:val="32"/>
        </w:rPr>
        <w:t>Justification des méthodes de création des cartes</w:t>
      </w:r>
    </w:p>
    <w:p w14:paraId="62C75546" w14:textId="77777777" w:rsidR="00C55E7C" w:rsidRDefault="00C55E7C" w:rsidP="00C55E7C"/>
    <w:p w14:paraId="141F3CB1" w14:textId="77777777" w:rsidR="00C55E7C" w:rsidRDefault="00C55E7C" w:rsidP="00C55E7C">
      <w:r>
        <w:lastRenderedPageBreak/>
        <w:t>Trois types de représentations cartographiques ont été réalisés.</w:t>
      </w:r>
    </w:p>
    <w:p w14:paraId="0D68191D" w14:textId="77777777" w:rsidR="00C55E7C" w:rsidRDefault="00C55E7C" w:rsidP="00C55E7C"/>
    <w:p w14:paraId="7E34B8E8" w14:textId="68949E8F" w:rsidR="00C55E7C" w:rsidRPr="008D7379" w:rsidRDefault="00C55E7C" w:rsidP="00C55E7C">
      <w:pPr>
        <w:rPr>
          <w:sz w:val="28"/>
          <w:szCs w:val="28"/>
        </w:rPr>
      </w:pPr>
      <w:r w:rsidRPr="008D7379">
        <w:rPr>
          <w:sz w:val="28"/>
          <w:szCs w:val="28"/>
        </w:rPr>
        <w:t>Carte selon le type d’implantation</w:t>
      </w:r>
    </w:p>
    <w:p w14:paraId="47A6A4E0" w14:textId="77777777" w:rsidR="00C55E7C" w:rsidRDefault="00C55E7C" w:rsidP="00C55E7C">
      <w:r>
        <w:t>Une carte à points colorés a été utilisée afin de représenter chaque borne selon son type d’implantation. Cette représentation permet d’identifier rapidement les zones où certains types d’implantation sont plus fréquents.</w:t>
      </w:r>
    </w:p>
    <w:p w14:paraId="5F10044F" w14:textId="77777777" w:rsidR="00C55E7C" w:rsidRDefault="00C55E7C" w:rsidP="00C55E7C"/>
    <w:p w14:paraId="108CAAA0" w14:textId="2893CCF6" w:rsidR="00C55E7C" w:rsidRPr="008D7379" w:rsidRDefault="00C55E7C" w:rsidP="00C55E7C">
      <w:pPr>
        <w:rPr>
          <w:sz w:val="28"/>
          <w:szCs w:val="28"/>
        </w:rPr>
      </w:pPr>
      <w:r w:rsidRPr="008D7379">
        <w:rPr>
          <w:sz w:val="28"/>
          <w:szCs w:val="28"/>
        </w:rPr>
        <w:t>Carte selon la puissance nominale</w:t>
      </w:r>
    </w:p>
    <w:p w14:paraId="7F7A7D75" w14:textId="1255C4E6" w:rsidR="00C55E7C" w:rsidRDefault="00C55E7C" w:rsidP="00C55E7C">
      <w:r>
        <w:t>Une seconde carte à points colorés a été construite afin de représenter les différentes catégories de puissance. Les couleurs permettent de distinguer visuellement les bornes normales, rapides, très rapides et ultra-rapides</w:t>
      </w:r>
      <w:r w:rsidR="008D7379">
        <w:t>.</w:t>
      </w:r>
    </w:p>
    <w:p w14:paraId="192C00B2" w14:textId="77777777" w:rsidR="00C55E7C" w:rsidRDefault="00C55E7C" w:rsidP="00C55E7C"/>
    <w:p w14:paraId="10D88EFE" w14:textId="07D412E8" w:rsidR="00C55E7C" w:rsidRPr="008D7379" w:rsidRDefault="00C55E7C" w:rsidP="00C55E7C">
      <w:pPr>
        <w:rPr>
          <w:sz w:val="28"/>
          <w:szCs w:val="28"/>
        </w:rPr>
      </w:pPr>
      <w:r w:rsidRPr="008D7379">
        <w:rPr>
          <w:sz w:val="28"/>
          <w:szCs w:val="28"/>
        </w:rPr>
        <w:t>Carte de chaleur (</w:t>
      </w:r>
      <w:proofErr w:type="spellStart"/>
      <w:r w:rsidRPr="008D7379">
        <w:rPr>
          <w:sz w:val="28"/>
          <w:szCs w:val="28"/>
        </w:rPr>
        <w:t>Heatmap</w:t>
      </w:r>
      <w:proofErr w:type="spellEnd"/>
      <w:r w:rsidRPr="008D7379">
        <w:rPr>
          <w:sz w:val="28"/>
          <w:szCs w:val="28"/>
        </w:rPr>
        <w:t>)</w:t>
      </w:r>
    </w:p>
    <w:p w14:paraId="5EF26E94" w14:textId="6FA54DF7" w:rsidR="00C55E7C" w:rsidRDefault="00C55E7C" w:rsidP="00C55E7C">
      <w:r>
        <w:t xml:space="preserve">Une </w:t>
      </w:r>
      <w:r w:rsidR="008D7379">
        <w:t>c</w:t>
      </w:r>
      <w:r>
        <w:t>arte de chaleur a été utilisée pour représenter la densité des bornes de recharge. Les couleurs chaudes (jaune, orange, rouge) mettent en évidence les territoires les plus équipés tandis que les couleurs froides (bleu, cyan) correspondent aux zones moins denses.</w:t>
      </w:r>
    </w:p>
    <w:p w14:paraId="15890879" w14:textId="77777777" w:rsidR="00C55E7C" w:rsidRDefault="00C55E7C" w:rsidP="00C55E7C"/>
    <w:p w14:paraId="43A0BE81" w14:textId="4516C23A" w:rsidR="00380AF4" w:rsidRPr="00C55E7C" w:rsidRDefault="00C55E7C" w:rsidP="00C55E7C">
      <w:r>
        <w:t>Cette représentation permet d’identifier rapidement les principaux pôles de déploiement des infrastructures de recharge en France, notamment autour des grandes métropoles et des axes de mobilité importants.</w:t>
      </w:r>
    </w:p>
    <w:p w14:paraId="41C64A7B" w14:textId="37E1759B" w:rsidR="00380AF4" w:rsidRDefault="00380AF4">
      <w:pPr>
        <w:rPr>
          <w:sz w:val="36"/>
          <w:szCs w:val="36"/>
        </w:rPr>
      </w:pPr>
      <w:r>
        <w:rPr>
          <w:sz w:val="36"/>
          <w:szCs w:val="36"/>
        </w:rPr>
        <w:t xml:space="preserve">2 - </w:t>
      </w:r>
      <w:r w:rsidRPr="00380AF4">
        <w:rPr>
          <w:sz w:val="36"/>
          <w:szCs w:val="36"/>
        </w:rPr>
        <w:t>Clustering selon la position</w:t>
      </w:r>
    </w:p>
    <w:p w14:paraId="35610741" w14:textId="77777777" w:rsidR="00937AFA" w:rsidRPr="00937AFA" w:rsidRDefault="00937AFA" w:rsidP="00937AFA">
      <w:proofErr w:type="spellStart"/>
      <w:r w:rsidRPr="00937AFA">
        <w:t>Methode</w:t>
      </w:r>
      <w:proofErr w:type="spellEnd"/>
      <w:r w:rsidRPr="00937AFA">
        <w:t xml:space="preserve"> de coude Analyse complète des métriques</w:t>
      </w:r>
    </w:p>
    <w:p w14:paraId="66601BA2" w14:textId="77777777" w:rsidR="00937AFA" w:rsidRPr="00937AFA" w:rsidRDefault="00937AFA" w:rsidP="00937AFA">
      <w:pPr>
        <w:numPr>
          <w:ilvl w:val="0"/>
          <w:numId w:val="3"/>
        </w:numPr>
      </w:pPr>
      <w:r w:rsidRPr="00937AFA">
        <w:t>Coefficient de Silhouette</w:t>
      </w:r>
    </w:p>
    <w:p w14:paraId="1010F996" w14:textId="77777777" w:rsidR="00937AFA" w:rsidRPr="00937AFA" w:rsidRDefault="00937AFA" w:rsidP="00937AFA">
      <w:r w:rsidRPr="00937AFA">
        <w:t>Rappel :</w:t>
      </w:r>
    </w:p>
    <w:p w14:paraId="764399E6" w14:textId="77777777" w:rsidR="00937AFA" w:rsidRPr="00937AFA" w:rsidRDefault="00937AFA" w:rsidP="00937AFA">
      <w:r w:rsidRPr="00937AFA">
        <w:t>proche de 1 → excellent clustering proche de 0 → clusters qui se chevauchent négatif → mauvais clustering</w:t>
      </w:r>
    </w:p>
    <w:p w14:paraId="1A74056B" w14:textId="77777777" w:rsidR="00937AFA" w:rsidRPr="00937AFA" w:rsidRDefault="00937AFA" w:rsidP="00937AFA">
      <w:r w:rsidRPr="00937AFA">
        <w:t>Résultats :</w:t>
      </w:r>
    </w:p>
    <w:p w14:paraId="70008CE5" w14:textId="77777777" w:rsidR="00937AFA" w:rsidRPr="00937AFA" w:rsidRDefault="00937AFA" w:rsidP="00937AFA">
      <w:r w:rsidRPr="00937AFA">
        <w:t>K Silhouette 4 0.4729 5 0.5028 6 0.5013 12 0.4977</w:t>
      </w:r>
    </w:p>
    <w:p w14:paraId="602A21C7" w14:textId="77777777" w:rsidR="00937AFA" w:rsidRPr="00937AFA" w:rsidRDefault="00937AFA" w:rsidP="00937AFA">
      <w:r w:rsidRPr="00937AFA">
        <w:rPr>
          <w:rFonts w:ascii="Segoe UI Emoji" w:hAnsi="Segoe UI Emoji" w:cs="Segoe UI Emoji"/>
        </w:rPr>
        <w:t>👉</w:t>
      </w:r>
      <w:r w:rsidRPr="00937AFA">
        <w:t xml:space="preserve"> Le meilleur score est obtenu pour :</w:t>
      </w:r>
    </w:p>
    <w:p w14:paraId="4B5EC169" w14:textId="77777777" w:rsidR="00937AFA" w:rsidRPr="00937AFA" w:rsidRDefault="00937AFA" w:rsidP="00937AFA">
      <w:r w:rsidRPr="00937AFA">
        <w:lastRenderedPageBreak/>
        <w:t>K = 5</w:t>
      </w:r>
    </w:p>
    <w:p w14:paraId="0D2EA520" w14:textId="77777777" w:rsidR="00937AFA" w:rsidRPr="00937AFA" w:rsidRDefault="00937AFA" w:rsidP="00937AFA">
      <w:r w:rsidRPr="00937AFA">
        <w:t>C'est un argument très fort.</w:t>
      </w:r>
    </w:p>
    <w:p w14:paraId="51817725" w14:textId="77777777" w:rsidR="00937AFA" w:rsidRPr="00937AFA" w:rsidRDefault="00937AFA" w:rsidP="00937AFA">
      <w:pPr>
        <w:numPr>
          <w:ilvl w:val="0"/>
          <w:numId w:val="4"/>
        </w:numPr>
      </w:pPr>
      <w:r w:rsidRPr="00937AFA">
        <w:t xml:space="preserve">Indice de </w:t>
      </w:r>
      <w:proofErr w:type="spellStart"/>
      <w:r w:rsidRPr="00937AFA">
        <w:t>Calinski-Harabasz</w:t>
      </w:r>
      <w:proofErr w:type="spellEnd"/>
    </w:p>
    <w:p w14:paraId="6EC49AF5" w14:textId="77777777" w:rsidR="00937AFA" w:rsidRPr="00937AFA" w:rsidRDefault="00937AFA" w:rsidP="00937AFA">
      <w:r w:rsidRPr="00937AFA">
        <w:t>Rappel :</w:t>
      </w:r>
    </w:p>
    <w:p w14:paraId="0779A504" w14:textId="77777777" w:rsidR="00937AFA" w:rsidRPr="00937AFA" w:rsidRDefault="00937AFA" w:rsidP="00937AFA">
      <w:r w:rsidRPr="00937AFA">
        <w:t>Plus la valeur est élevée, mieux les clusters sont : compacts à l'intérieur séparés entre eux</w:t>
      </w:r>
    </w:p>
    <w:p w14:paraId="60BC2F3E" w14:textId="77777777" w:rsidR="00937AFA" w:rsidRPr="00937AFA" w:rsidRDefault="00937AFA" w:rsidP="00937AFA">
      <w:r w:rsidRPr="00937AFA">
        <w:t>Résultats :</w:t>
      </w:r>
    </w:p>
    <w:p w14:paraId="2E6D3E7B" w14:textId="77777777" w:rsidR="00937AFA" w:rsidRPr="00937AFA" w:rsidRDefault="00937AFA" w:rsidP="00937AFA">
      <w:r w:rsidRPr="00937AFA">
        <w:t>K Calinski 5 55424 10 58646 12 63581 15 64353</w:t>
      </w:r>
    </w:p>
    <w:p w14:paraId="3002D02C" w14:textId="77777777" w:rsidR="00937AFA" w:rsidRPr="00937AFA" w:rsidRDefault="00937AFA" w:rsidP="00937AFA">
      <w:r w:rsidRPr="00937AFA">
        <w:t>On constate que :</w:t>
      </w:r>
    </w:p>
    <w:p w14:paraId="76F8F981" w14:textId="77777777" w:rsidR="00937AFA" w:rsidRPr="00937AFA" w:rsidRDefault="00937AFA" w:rsidP="00937AFA">
      <w:r w:rsidRPr="00937AFA">
        <w:t>Le score augmente presque continuellement lorsque K augmente.</w:t>
      </w:r>
    </w:p>
    <w:p w14:paraId="4888BBAE" w14:textId="77777777" w:rsidR="00937AFA" w:rsidRPr="00937AFA" w:rsidRDefault="00937AFA" w:rsidP="00937AFA">
      <w:r w:rsidRPr="00937AFA">
        <w:t>C'est un comportement classique.</w:t>
      </w:r>
    </w:p>
    <w:p w14:paraId="4094D8C1" w14:textId="77777777" w:rsidR="00937AFA" w:rsidRPr="00937AFA" w:rsidRDefault="00937AFA" w:rsidP="00937AFA">
      <w:r w:rsidRPr="00937AFA">
        <w:t xml:space="preserve">Donc si on regardait uniquement </w:t>
      </w:r>
      <w:proofErr w:type="spellStart"/>
      <w:r w:rsidRPr="00937AFA">
        <w:t>Calinski</w:t>
      </w:r>
      <w:proofErr w:type="spellEnd"/>
      <w:r w:rsidRPr="00937AFA">
        <w:t>, on choisirait :</w:t>
      </w:r>
    </w:p>
    <w:p w14:paraId="294C3616" w14:textId="77777777" w:rsidR="00937AFA" w:rsidRPr="00937AFA" w:rsidRDefault="00937AFA" w:rsidP="00937AFA">
      <w:r w:rsidRPr="00937AFA">
        <w:t>K = 15</w:t>
      </w:r>
    </w:p>
    <w:p w14:paraId="6BC3B8E4" w14:textId="77777777" w:rsidR="00937AFA" w:rsidRPr="00937AFA" w:rsidRDefault="00937AFA" w:rsidP="00937AFA">
      <w:r w:rsidRPr="00937AFA">
        <w:t>Mais cela produirait beaucoup de clusters, difficiles à interpréter géographiquement.</w:t>
      </w:r>
    </w:p>
    <w:p w14:paraId="4E98E6EF" w14:textId="77777777" w:rsidR="00937AFA" w:rsidRPr="00937AFA" w:rsidRDefault="00937AFA" w:rsidP="00937AFA">
      <w:r w:rsidRPr="00937AFA">
        <w:rPr>
          <w:rFonts w:ascii="Segoe UI Emoji" w:hAnsi="Segoe UI Emoji" w:cs="Segoe UI Emoji"/>
        </w:rPr>
        <w:t>👉</w:t>
      </w:r>
      <w:r w:rsidRPr="00937AFA">
        <w:t xml:space="preserve"> C'est pourquoi Calinski ne doit pas être utilisé seul.</w:t>
      </w:r>
    </w:p>
    <w:p w14:paraId="5AE02C13" w14:textId="77777777" w:rsidR="00937AFA" w:rsidRPr="00937AFA" w:rsidRDefault="00937AFA" w:rsidP="00937AFA">
      <w:pPr>
        <w:numPr>
          <w:ilvl w:val="0"/>
          <w:numId w:val="5"/>
        </w:numPr>
      </w:pPr>
      <w:r w:rsidRPr="00937AFA">
        <w:t>Indice de Davies-Bouldin</w:t>
      </w:r>
    </w:p>
    <w:p w14:paraId="6507B928" w14:textId="77777777" w:rsidR="00937AFA" w:rsidRPr="00937AFA" w:rsidRDefault="00937AFA" w:rsidP="00937AFA">
      <w:r w:rsidRPr="00937AFA">
        <w:t>Rappel :</w:t>
      </w:r>
    </w:p>
    <w:p w14:paraId="74570EB7" w14:textId="77777777" w:rsidR="00937AFA" w:rsidRPr="00937AFA" w:rsidRDefault="00937AFA" w:rsidP="00937AFA">
      <w:r w:rsidRPr="00937AFA">
        <w:t>Plus petit = meilleur</w:t>
      </w:r>
    </w:p>
    <w:p w14:paraId="4ADC84DB" w14:textId="77777777" w:rsidR="00937AFA" w:rsidRPr="00937AFA" w:rsidRDefault="00937AFA" w:rsidP="00937AFA">
      <w:r w:rsidRPr="00937AFA">
        <w:t>Résultats :</w:t>
      </w:r>
    </w:p>
    <w:p w14:paraId="08E1A180" w14:textId="77777777" w:rsidR="00937AFA" w:rsidRPr="00937AFA" w:rsidRDefault="00937AFA" w:rsidP="00937AFA">
      <w:r w:rsidRPr="00937AFA">
        <w:t>K Davies 5 0.6905 11 0.6921 12 0.6785</w:t>
      </w:r>
    </w:p>
    <w:p w14:paraId="52FD5A1B" w14:textId="77777777" w:rsidR="00937AFA" w:rsidRPr="00937AFA" w:rsidRDefault="00937AFA" w:rsidP="00937AFA">
      <w:r w:rsidRPr="00937AFA">
        <w:t>Le meilleur score est :</w:t>
      </w:r>
    </w:p>
    <w:p w14:paraId="5C7696E6" w14:textId="77777777" w:rsidR="00937AFA" w:rsidRPr="00937AFA" w:rsidRDefault="00937AFA" w:rsidP="00937AFA">
      <w:r w:rsidRPr="00937AFA">
        <w:t>K = 12</w:t>
      </w:r>
    </w:p>
    <w:p w14:paraId="4C87CE45" w14:textId="77777777" w:rsidR="00937AFA" w:rsidRPr="00937AFA" w:rsidRDefault="00937AFA" w:rsidP="00937AFA">
      <w:r w:rsidRPr="00937AFA">
        <w:t>Mais l'amélioration par rapport à K=5 est faible :</w:t>
      </w:r>
    </w:p>
    <w:p w14:paraId="1101094E" w14:textId="77777777" w:rsidR="00937AFA" w:rsidRPr="00937AFA" w:rsidRDefault="00937AFA" w:rsidP="00937AFA">
      <w:r w:rsidRPr="00937AFA">
        <w:t>0.6905 → 0.6785</w:t>
      </w:r>
    </w:p>
    <w:p w14:paraId="6FCEBFD0" w14:textId="77777777" w:rsidR="00937AFA" w:rsidRPr="00937AFA" w:rsidRDefault="00937AFA" w:rsidP="00937AFA">
      <w:r w:rsidRPr="00937AFA">
        <w:t>Alors qu'on passe de :</w:t>
      </w:r>
    </w:p>
    <w:p w14:paraId="69A17D87" w14:textId="77777777" w:rsidR="00937AFA" w:rsidRPr="00937AFA" w:rsidRDefault="00937AFA" w:rsidP="00937AFA">
      <w:r w:rsidRPr="00937AFA">
        <w:t>5 clusters → 12 clusters</w:t>
      </w:r>
    </w:p>
    <w:p w14:paraId="7359A4B1" w14:textId="77777777" w:rsidR="00937AFA" w:rsidRPr="00937AFA" w:rsidRDefault="00937AFA" w:rsidP="00937AFA">
      <w:r w:rsidRPr="00937AFA">
        <w:t>La perte en lisibilité n'est donc pas justifiée.</w:t>
      </w:r>
    </w:p>
    <w:p w14:paraId="511015C8" w14:textId="77777777" w:rsidR="00937AFA" w:rsidRPr="00937AFA" w:rsidRDefault="00937AFA" w:rsidP="00937AFA">
      <w:r w:rsidRPr="00937AFA">
        <w:t xml:space="preserve">Analyse globale correcte Critère Meilleur K Méthode du coude 5 Silhouette 5 </w:t>
      </w:r>
      <w:proofErr w:type="spellStart"/>
      <w:r w:rsidRPr="00937AFA">
        <w:t>Calinski-Harabasz</w:t>
      </w:r>
      <w:proofErr w:type="spellEnd"/>
      <w:r w:rsidRPr="00937AFA">
        <w:t xml:space="preserve"> 15 Davies-Bouldin 12</w:t>
      </w:r>
    </w:p>
    <w:p w14:paraId="712080AE" w14:textId="77777777" w:rsidR="00937AFA" w:rsidRPr="00937AFA" w:rsidRDefault="00937AFA" w:rsidP="00937AFA">
      <w:r w:rsidRPr="00937AFA">
        <w:lastRenderedPageBreak/>
        <w:t>On observe que :</w:t>
      </w:r>
    </w:p>
    <w:p w14:paraId="06F58A0D" w14:textId="77777777" w:rsidR="00937AFA" w:rsidRPr="00937AFA" w:rsidRDefault="00937AFA" w:rsidP="00937AFA">
      <w:r w:rsidRPr="00937AFA">
        <w:t xml:space="preserve">la méthode du coude indique K≈5 ; le coefficient de silhouette est maximal pour K=5 ; </w:t>
      </w:r>
      <w:proofErr w:type="spellStart"/>
      <w:r w:rsidRPr="00937AFA">
        <w:t>Calinski-Harabasz</w:t>
      </w:r>
      <w:proofErr w:type="spellEnd"/>
      <w:r w:rsidRPr="00937AFA">
        <w:t xml:space="preserve"> favorise des valeurs élevées de K ; Davies-Bouldin est minimal pour K=12 mais l'amélioration reste faible.</w:t>
      </w:r>
    </w:p>
    <w:p w14:paraId="14BDCB80" w14:textId="77777777" w:rsidR="00937AFA" w:rsidRPr="00937AFA" w:rsidRDefault="00937AFA" w:rsidP="00937AFA">
      <w:r w:rsidRPr="00937AFA">
        <w:t>Ainsi :</w:t>
      </w:r>
    </w:p>
    <w:p w14:paraId="50349882" w14:textId="77777777" w:rsidR="00937AFA" w:rsidRPr="00937AFA" w:rsidRDefault="00937AFA" w:rsidP="00937AFA">
      <w:r w:rsidRPr="00937AFA">
        <w:t>K = 5</w:t>
      </w:r>
    </w:p>
    <w:p w14:paraId="0CCB971C" w14:textId="77777777" w:rsidR="00937AFA" w:rsidRPr="00937AFA" w:rsidRDefault="00937AFA" w:rsidP="00937AFA">
      <w:r w:rsidRPr="00937AFA">
        <w:t>constitue le meilleur compromis entre :</w:t>
      </w:r>
    </w:p>
    <w:p w14:paraId="7970C584" w14:textId="77777777" w:rsidR="00937AFA" w:rsidRPr="00937AFA" w:rsidRDefault="00937AFA" w:rsidP="00937AFA">
      <w:r w:rsidRPr="00937AFA">
        <w:t>qualité du clustering, interprétation géographique, simplicité de visualisation. Formulation rapport</w:t>
      </w:r>
    </w:p>
    <w:p w14:paraId="76564991" w14:textId="77777777" w:rsidR="00937AFA" w:rsidRPr="00937AFA" w:rsidRDefault="00937AFA" w:rsidP="00937AFA">
      <w:r w:rsidRPr="00937AFA">
        <w:t xml:space="preserve">Le choix du nombre de clusters a été réalisé à l'aide de la méthode du coude et de trois métriques d'évaluation. La méthode du coude montre une rupture de pente autour de K=5. Le coefficient de silhouette atteint sa valeur maximale pour K=5 (0,5028), indiquant une bonne séparation des groupes. Bien que l'indice de </w:t>
      </w:r>
      <w:proofErr w:type="spellStart"/>
      <w:r w:rsidRPr="00937AFA">
        <w:t>Calinski-Harabasz</w:t>
      </w:r>
      <w:proofErr w:type="spellEnd"/>
      <w:r w:rsidRPr="00937AFA">
        <w:t xml:space="preserve"> continue d'augmenter pour des valeurs de K plus élevées et que l'indice de Davies-Bouldin soit légèrement meilleur pour K=12, ces solutions produisent un découpage plus fin et moins interprétable. Le choix final s'est donc porté sur K=5, qui représente le meilleur compromis entre performance et lisibilité des clusters.</w:t>
      </w:r>
    </w:p>
    <w:p w14:paraId="6751402D" w14:textId="77777777" w:rsidR="00937AFA" w:rsidRPr="00937AFA" w:rsidRDefault="00937AFA" w:rsidP="00937AFA">
      <w:r w:rsidRPr="00937AFA">
        <w:t xml:space="preserve">##################CARTE ##################### Répartition des bornes par cluster : cluster 0 14478 1 10690 2 7497 3 4971 4 7085 Name: count, </w:t>
      </w:r>
      <w:proofErr w:type="spellStart"/>
      <w:r w:rsidRPr="00937AFA">
        <w:t>dtype</w:t>
      </w:r>
      <w:proofErr w:type="spellEnd"/>
      <w:r w:rsidRPr="00937AFA">
        <w:t>: int64</w:t>
      </w:r>
    </w:p>
    <w:p w14:paraId="21ED830D" w14:textId="77777777" w:rsidR="00380AF4" w:rsidRPr="00937AFA" w:rsidRDefault="00380AF4"/>
    <w:p w14:paraId="58292915" w14:textId="5E108C88" w:rsidR="00380AF4" w:rsidRDefault="00380AF4" w:rsidP="00380AF4">
      <w:pPr>
        <w:rPr>
          <w:sz w:val="36"/>
          <w:szCs w:val="36"/>
        </w:rPr>
      </w:pPr>
      <w:r>
        <w:rPr>
          <w:sz w:val="36"/>
          <w:szCs w:val="36"/>
        </w:rPr>
        <w:t xml:space="preserve">3 - </w:t>
      </w:r>
      <w:r w:rsidRPr="00380AF4">
        <w:rPr>
          <w:sz w:val="36"/>
          <w:szCs w:val="36"/>
        </w:rPr>
        <w:t>Modèle de prédiction du type</w:t>
      </w:r>
      <w:r>
        <w:rPr>
          <w:sz w:val="36"/>
          <w:szCs w:val="36"/>
        </w:rPr>
        <w:t xml:space="preserve"> </w:t>
      </w:r>
      <w:r w:rsidRPr="00380AF4">
        <w:rPr>
          <w:sz w:val="36"/>
          <w:szCs w:val="36"/>
        </w:rPr>
        <w:t>d’implantation</w:t>
      </w:r>
    </w:p>
    <w:p w14:paraId="194D000C" w14:textId="77777777" w:rsidR="00380AF4" w:rsidRDefault="00380AF4" w:rsidP="00380AF4">
      <w:pPr>
        <w:rPr>
          <w:sz w:val="36"/>
          <w:szCs w:val="36"/>
        </w:rPr>
      </w:pPr>
    </w:p>
    <w:p w14:paraId="4C6CAA2A" w14:textId="51F06FCF" w:rsidR="00380AF4" w:rsidRPr="00380AF4" w:rsidRDefault="00380AF4" w:rsidP="00380AF4">
      <w:pPr>
        <w:rPr>
          <w:sz w:val="36"/>
          <w:szCs w:val="36"/>
        </w:rPr>
      </w:pPr>
      <w:r>
        <w:rPr>
          <w:sz w:val="36"/>
          <w:szCs w:val="36"/>
        </w:rPr>
        <w:t xml:space="preserve">4 - </w:t>
      </w:r>
      <w:r w:rsidRPr="00380AF4">
        <w:rPr>
          <w:sz w:val="36"/>
          <w:szCs w:val="36"/>
        </w:rPr>
        <w:t>Modèle de prédiction de la puissance</w:t>
      </w:r>
      <w:r>
        <w:rPr>
          <w:sz w:val="36"/>
          <w:szCs w:val="36"/>
        </w:rPr>
        <w:t xml:space="preserve"> </w:t>
      </w:r>
      <w:r w:rsidRPr="00380AF4">
        <w:rPr>
          <w:sz w:val="36"/>
          <w:szCs w:val="36"/>
        </w:rPr>
        <w:t>nominale</w:t>
      </w:r>
    </w:p>
    <w:sectPr w:rsidR="00380AF4" w:rsidRPr="00380A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84A55"/>
    <w:multiLevelType w:val="multilevel"/>
    <w:tmpl w:val="D3F27F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3F6E57"/>
    <w:multiLevelType w:val="multilevel"/>
    <w:tmpl w:val="7BAAA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FE183B"/>
    <w:multiLevelType w:val="multilevel"/>
    <w:tmpl w:val="6C50D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2A2C12"/>
    <w:multiLevelType w:val="multilevel"/>
    <w:tmpl w:val="E872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8F2716"/>
    <w:multiLevelType w:val="multilevel"/>
    <w:tmpl w:val="7918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40936">
    <w:abstractNumId w:val="4"/>
  </w:num>
  <w:num w:numId="2" w16cid:durableId="92212808">
    <w:abstractNumId w:val="3"/>
  </w:num>
  <w:num w:numId="3" w16cid:durableId="136070038">
    <w:abstractNumId w:val="2"/>
  </w:num>
  <w:num w:numId="4" w16cid:durableId="1985500302">
    <w:abstractNumId w:val="1"/>
  </w:num>
  <w:num w:numId="5" w16cid:durableId="475336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FF0"/>
    <w:rsid w:val="0028096B"/>
    <w:rsid w:val="00372CFF"/>
    <w:rsid w:val="00380AF4"/>
    <w:rsid w:val="005A0D81"/>
    <w:rsid w:val="005F4922"/>
    <w:rsid w:val="00602CA8"/>
    <w:rsid w:val="00803FF0"/>
    <w:rsid w:val="00882780"/>
    <w:rsid w:val="008D7379"/>
    <w:rsid w:val="00937AFA"/>
    <w:rsid w:val="00B274BF"/>
    <w:rsid w:val="00C55E7C"/>
    <w:rsid w:val="00FC146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1E507"/>
  <w15:chartTrackingRefBased/>
  <w15:docId w15:val="{DBBA8F3F-B039-4F73-B0FC-216FE815C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03F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03F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03FF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03FF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03FF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03FF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03FF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03FF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03FF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03FF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03FF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03FF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03FF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03FF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03FF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03FF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03FF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03FF0"/>
    <w:rPr>
      <w:rFonts w:eastAsiaTheme="majorEastAsia" w:cstheme="majorBidi"/>
      <w:color w:val="272727" w:themeColor="text1" w:themeTint="D8"/>
    </w:rPr>
  </w:style>
  <w:style w:type="paragraph" w:styleId="Titre">
    <w:name w:val="Title"/>
    <w:basedOn w:val="Normal"/>
    <w:next w:val="Normal"/>
    <w:link w:val="TitreCar"/>
    <w:uiPriority w:val="10"/>
    <w:qFormat/>
    <w:rsid w:val="00803F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03FF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03FF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03FF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03FF0"/>
    <w:pPr>
      <w:spacing w:before="160"/>
      <w:jc w:val="center"/>
    </w:pPr>
    <w:rPr>
      <w:i/>
      <w:iCs/>
      <w:color w:val="404040" w:themeColor="text1" w:themeTint="BF"/>
    </w:rPr>
  </w:style>
  <w:style w:type="character" w:customStyle="1" w:styleId="CitationCar">
    <w:name w:val="Citation Car"/>
    <w:basedOn w:val="Policepardfaut"/>
    <w:link w:val="Citation"/>
    <w:uiPriority w:val="29"/>
    <w:rsid w:val="00803FF0"/>
    <w:rPr>
      <w:i/>
      <w:iCs/>
      <w:color w:val="404040" w:themeColor="text1" w:themeTint="BF"/>
    </w:rPr>
  </w:style>
  <w:style w:type="paragraph" w:styleId="Paragraphedeliste">
    <w:name w:val="List Paragraph"/>
    <w:basedOn w:val="Normal"/>
    <w:uiPriority w:val="34"/>
    <w:qFormat/>
    <w:rsid w:val="00803FF0"/>
    <w:pPr>
      <w:ind w:left="720"/>
      <w:contextualSpacing/>
    </w:pPr>
  </w:style>
  <w:style w:type="character" w:styleId="Accentuationintense">
    <w:name w:val="Intense Emphasis"/>
    <w:basedOn w:val="Policepardfaut"/>
    <w:uiPriority w:val="21"/>
    <w:qFormat/>
    <w:rsid w:val="00803FF0"/>
    <w:rPr>
      <w:i/>
      <w:iCs/>
      <w:color w:val="0F4761" w:themeColor="accent1" w:themeShade="BF"/>
    </w:rPr>
  </w:style>
  <w:style w:type="paragraph" w:styleId="Citationintense">
    <w:name w:val="Intense Quote"/>
    <w:basedOn w:val="Normal"/>
    <w:next w:val="Normal"/>
    <w:link w:val="CitationintenseCar"/>
    <w:uiPriority w:val="30"/>
    <w:qFormat/>
    <w:rsid w:val="00803F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03FF0"/>
    <w:rPr>
      <w:i/>
      <w:iCs/>
      <w:color w:val="0F4761" w:themeColor="accent1" w:themeShade="BF"/>
    </w:rPr>
  </w:style>
  <w:style w:type="character" w:styleId="Rfrenceintense">
    <w:name w:val="Intense Reference"/>
    <w:basedOn w:val="Policepardfaut"/>
    <w:uiPriority w:val="32"/>
    <w:qFormat/>
    <w:rsid w:val="00803F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510</TotalTime>
  <Pages>5</Pages>
  <Words>916</Words>
  <Characters>5039</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FORNER (A3_BREST)</dc:creator>
  <cp:keywords/>
  <dc:description/>
  <cp:lastModifiedBy>Caroline FORNER (A3_BREST)</cp:lastModifiedBy>
  <cp:revision>4</cp:revision>
  <dcterms:created xsi:type="dcterms:W3CDTF">2026-06-08T07:42:00Z</dcterms:created>
  <dcterms:modified xsi:type="dcterms:W3CDTF">2026-06-09T07:53:00Z</dcterms:modified>
</cp:coreProperties>
</file>