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oix-du-modèle-de-classification"/>
    <w:p>
      <w:pPr>
        <w:pStyle w:val="Heading2"/>
      </w:pPr>
      <w:r>
        <w:t xml:space="preserve">Choix du modèle de classification</w:t>
      </w:r>
    </w:p>
    <w:p>
      <w:pPr>
        <w:pStyle w:val="FirstParagraph"/>
      </w:pPr>
      <w:r>
        <w:t xml:space="preserve">Deux modèles de classification ont été comparés :</w:t>
      </w:r>
    </w:p>
    <w:p>
      <w:pPr>
        <w:pStyle w:val="Compact"/>
        <w:numPr>
          <w:ilvl w:val="0"/>
          <w:numId w:val="1001"/>
        </w:numPr>
      </w:pPr>
      <w:r>
        <w:t xml:space="preserve">Régression Logistique</w:t>
      </w:r>
    </w:p>
    <w:p>
      <w:pPr>
        <w:pStyle w:val="Compact"/>
        <w:numPr>
          <w:ilvl w:val="0"/>
          <w:numId w:val="1001"/>
        </w:numPr>
      </w:pPr>
      <w:r>
        <w:t xml:space="preserve">Random Forest</w:t>
      </w:r>
    </w:p>
    <w:p>
      <w:pPr>
        <w:pStyle w:val="FirstParagraph"/>
      </w:pPr>
      <w:r>
        <w:t xml:space="preserve">La Régression Logistique constitue un modèle de référence simple et facilement interprétable. Cependant, ce modèle suppose essentiellement des relations linéaires entre les variables explicatives et la cible.</w:t>
      </w:r>
    </w:p>
    <w:p>
      <w:pPr>
        <w:pStyle w:val="BodyText"/>
      </w:pPr>
      <w:r>
        <w:t xml:space="preserve">Le Random Forest repose sur un ensemble d’arbres de décision construits à partir de sous-échantillons aléatoires des données. Chaque arbre réalise sa propre prédiction puis l’ensemble des prédictions est agrégé par vote majoritaire.</w:t>
      </w:r>
    </w:p>
    <w:p>
      <w:pPr>
        <w:pStyle w:val="BodyText"/>
      </w:pPr>
      <w:r>
        <w:t xml:space="preserve">Ce fonctionnement présente plusieurs avantages :</w:t>
      </w:r>
    </w:p>
    <w:p>
      <w:pPr>
        <w:pStyle w:val="Compact"/>
        <w:numPr>
          <w:ilvl w:val="0"/>
          <w:numId w:val="1002"/>
        </w:numPr>
      </w:pPr>
      <w:r>
        <w:t xml:space="preserve">capacité à modéliser des relations complexes entre les variables ;</w:t>
      </w:r>
    </w:p>
    <w:p>
      <w:pPr>
        <w:pStyle w:val="Compact"/>
        <w:numPr>
          <w:ilvl w:val="0"/>
          <w:numId w:val="1002"/>
        </w:numPr>
      </w:pPr>
      <w:r>
        <w:t xml:space="preserve">robustesse face au bruit ;</w:t>
      </w:r>
    </w:p>
    <w:p>
      <w:pPr>
        <w:pStyle w:val="Compact"/>
        <w:numPr>
          <w:ilvl w:val="0"/>
          <w:numId w:val="1002"/>
        </w:numPr>
      </w:pPr>
      <w:r>
        <w:t xml:space="preserve">bonne gestion des variables numériques et catégorielles ;</w:t>
      </w:r>
    </w:p>
    <w:p>
      <w:pPr>
        <w:pStyle w:val="Compact"/>
        <w:numPr>
          <w:ilvl w:val="0"/>
          <w:numId w:val="1002"/>
        </w:numPr>
      </w:pPr>
      <w:r>
        <w:t xml:space="preserve">possibilité d’évaluer l’importance des variables.</w:t>
      </w:r>
    </w:p>
    <w:p>
      <w:pPr>
        <w:pStyle w:val="FirstParagraph"/>
      </w:pPr>
      <w:r>
        <w:t xml:space="preserve">Les résultats obtenus montrent que le Random Forest atteint une précision globale nettement supérieure à celle de la Régression Logistique. Il a donc été retenu comme modèle final pour la prédiction de la catégorie de puissance.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2026-06-10T09:03:32Z</dcterms:created>
  <dcterms:modified xsi:type="dcterms:W3CDTF">2026-06-10T09:03:32Z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