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ustification-du-choix-des-variables"/>
    <w:p>
      <w:pPr>
        <w:pStyle w:val="Heading2"/>
      </w:pPr>
      <w:r>
        <w:t xml:space="preserve">Justification du choix des variables</w:t>
      </w:r>
    </w:p>
    <w:p>
      <w:pPr>
        <w:pStyle w:val="FirstParagraph"/>
      </w:pPr>
      <w:r>
        <w:t xml:space="preserve">L’objectif du Besoin 4 est de prédire la catégorie de puissance d’une borne de recharge à partir de ses caractéristiques techniques et géographiques.</w:t>
      </w:r>
    </w:p>
    <w:p>
      <w:pPr>
        <w:pStyle w:val="BodyText"/>
      </w:pPr>
      <w:r>
        <w:t xml:space="preserve">Les variables suivantes ont été retenues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implantation_station</w:t>
            </w:r>
          </w:p>
        </w:tc>
        <w:tc>
          <w:tcPr/>
          <w:p>
            <w:pPr>
              <w:pStyle w:val="Compact"/>
            </w:pPr>
            <w:r>
              <w:t xml:space="preserve">Le type d’implantation influence fortement la puissance. Les stations situées sur les grands axes routiers ou dans les parkings publics disposent généralement de bornes plus puissantes que celles situées en voirie.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nbre_pdc</w:t>
            </w:r>
          </w:p>
        </w:tc>
        <w:tc>
          <w:tcPr/>
          <w:p>
            <w:pPr>
              <w:pStyle w:val="Compact"/>
            </w:pPr>
            <w:r>
              <w:t xml:space="preserve">Le nombre de points de charge reflète la taille de la station. Les stations possédant davantage de points de charge sont souvent associées à des puissances plus élevées.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prise_type_ef</w:t>
            </w:r>
          </w:p>
        </w:tc>
        <w:tc>
          <w:tcPr/>
          <w:p>
            <w:pPr>
              <w:pStyle w:val="Compact"/>
            </w:pPr>
            <w:r>
              <w:t xml:space="preserve">Cette prise est généralement présente sur les bornes de faible puissance.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prise_type_2</w:t>
            </w:r>
          </w:p>
        </w:tc>
        <w:tc>
          <w:tcPr/>
          <w:p>
            <w:pPr>
              <w:pStyle w:val="Compact"/>
            </w:pPr>
            <w:r>
              <w:t xml:space="preserve">Très répandue sur les bornes normales et accélérées.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prise_type_combo_ccs</w:t>
            </w:r>
          </w:p>
        </w:tc>
        <w:tc>
          <w:tcPr/>
          <w:p>
            <w:pPr>
              <w:pStyle w:val="Compact"/>
            </w:pPr>
            <w:r>
              <w:t xml:space="preserve">Principal standard utilisé pour la recharge rapide et ultra rapide.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prise_type_chademo</w:t>
            </w:r>
          </w:p>
        </w:tc>
        <w:tc>
          <w:tcPr/>
          <w:p>
            <w:pPr>
              <w:pStyle w:val="Compact"/>
            </w:pPr>
            <w:r>
              <w:t xml:space="preserve">Également associé aux bornes de recharge rapide.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prise_type_autre</w:t>
            </w:r>
          </w:p>
        </w:tc>
        <w:tc>
          <w:tcPr/>
          <w:p>
            <w:pPr>
              <w:pStyle w:val="Compact"/>
            </w:pPr>
            <w:r>
              <w:t xml:space="preserve">Permet d’identifier certains équipements spécifiques pouvant influencer la puissance disponible.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gratuit</w:t>
            </w:r>
          </w:p>
        </w:tc>
        <w:tc>
          <w:tcPr/>
          <w:p>
            <w:pPr>
              <w:pStyle w:val="Compact"/>
            </w:pPr>
            <w:r>
              <w:t xml:space="preserve">Le mode de tarification peut être indirectement lié au niveau de puissance proposé.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consolidated_latitude</w:t>
            </w:r>
          </w:p>
        </w:tc>
        <w:tc>
          <w:tcPr/>
          <w:p>
            <w:pPr>
              <w:pStyle w:val="Compact"/>
            </w:pPr>
            <w:r>
              <w:t xml:space="preserve">La localisation géographique influence la répartition des infrastructures de recharge.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consolidated_longitude</w:t>
            </w:r>
          </w:p>
        </w:tc>
        <w:tc>
          <w:tcPr/>
          <w:p>
            <w:pPr>
              <w:pStyle w:val="Compact"/>
            </w:pPr>
            <w:r>
              <w:t xml:space="preserve">Complète l’information spatiale et permet au modèle d’identifier des zones présentant des caractéristiques similaires.</w:t>
            </w:r>
          </w:p>
        </w:tc>
      </w:tr>
    </w:tbl>
    <w:p>
      <w:pPr>
        <w:pStyle w:val="BodyText"/>
      </w:pPr>
      <w:r>
        <w:t xml:space="preserve">Certaines variables ont volontairement été exclues, notamment « puissance_rapide », « prise_rapide » ou « categorie_puissance » car elles sont directement dérivées de la puissance nominale. Leur utilisation aurait introduit une fuite de données (data leakage) et aurait artificiellement amélioré les performances du modèle.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2026-06-10T09:03:18Z</dcterms:created>
  <dcterms:modified xsi:type="dcterms:W3CDTF">2026-06-10T09:03:18Z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