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C6F6C" w14:textId="77777777" w:rsidR="00380AF4" w:rsidRPr="00380AF4" w:rsidRDefault="00380AF4" w:rsidP="00380AF4">
      <w:pPr>
        <w:ind w:left="720"/>
        <w:jc w:val="right"/>
      </w:pPr>
      <w:r w:rsidRPr="00380AF4">
        <w:t>LE NECHET Manon</w:t>
      </w:r>
    </w:p>
    <w:p w14:paraId="310B4F56" w14:textId="77777777" w:rsidR="00380AF4" w:rsidRPr="00380AF4" w:rsidRDefault="00380AF4" w:rsidP="00380AF4">
      <w:pPr>
        <w:ind w:left="720"/>
        <w:jc w:val="right"/>
      </w:pPr>
      <w:r w:rsidRPr="00380AF4">
        <w:t>EL MATMOUR Aya</w:t>
      </w:r>
    </w:p>
    <w:p w14:paraId="19EF6C90" w14:textId="77777777" w:rsidR="00380AF4" w:rsidRPr="00380AF4" w:rsidRDefault="00380AF4" w:rsidP="00380AF4">
      <w:pPr>
        <w:ind w:left="720"/>
        <w:jc w:val="right"/>
      </w:pPr>
      <w:r w:rsidRPr="00380AF4">
        <w:t>FORNER Caroline</w:t>
      </w:r>
    </w:p>
    <w:p w14:paraId="60BF81D2" w14:textId="77777777" w:rsidR="00380AF4" w:rsidRDefault="00380AF4" w:rsidP="00380AF4">
      <w:pPr>
        <w:jc w:val="right"/>
      </w:pPr>
    </w:p>
    <w:p w14:paraId="041BFD7F" w14:textId="09E577F6" w:rsidR="00380AF4" w:rsidRPr="00380AF4" w:rsidRDefault="00380AF4" w:rsidP="00380AF4">
      <w:pPr>
        <w:jc w:val="center"/>
        <w:rPr>
          <w:sz w:val="52"/>
          <w:szCs w:val="52"/>
        </w:rPr>
      </w:pPr>
      <w:r w:rsidRPr="00380AF4">
        <w:rPr>
          <w:sz w:val="52"/>
          <w:szCs w:val="52"/>
        </w:rPr>
        <w:t>Projet IA</w:t>
      </w:r>
    </w:p>
    <w:p w14:paraId="59198194" w14:textId="77777777" w:rsidR="00380AF4" w:rsidRDefault="00380AF4">
      <w:pPr>
        <w:rPr>
          <w:sz w:val="36"/>
          <w:szCs w:val="36"/>
        </w:rPr>
      </w:pPr>
    </w:p>
    <w:p w14:paraId="2E143BEF" w14:textId="02C0A588" w:rsidR="00803FF0" w:rsidRDefault="00380AF4">
      <w:pPr>
        <w:rPr>
          <w:sz w:val="36"/>
          <w:szCs w:val="36"/>
        </w:rPr>
      </w:pPr>
      <w:r>
        <w:rPr>
          <w:sz w:val="36"/>
          <w:szCs w:val="36"/>
        </w:rPr>
        <w:t xml:space="preserve">1 - </w:t>
      </w:r>
      <w:r w:rsidRPr="00380AF4">
        <w:rPr>
          <w:sz w:val="36"/>
          <w:szCs w:val="36"/>
        </w:rPr>
        <w:t>Visualisation sur carte</w:t>
      </w:r>
    </w:p>
    <w:p w14:paraId="57C8330E" w14:textId="152614B9" w:rsidR="00C55E7C" w:rsidRPr="00C55E7C" w:rsidRDefault="00C55E7C" w:rsidP="00C55E7C">
      <w:pPr>
        <w:rPr>
          <w:sz w:val="32"/>
          <w:szCs w:val="32"/>
        </w:rPr>
      </w:pPr>
      <w:r w:rsidRPr="00C55E7C">
        <w:rPr>
          <w:sz w:val="32"/>
          <w:szCs w:val="32"/>
        </w:rPr>
        <w:t>Justification du choix des variables sélectionnées</w:t>
      </w:r>
    </w:p>
    <w:p w14:paraId="6DFCAF4B" w14:textId="4A1E03C0" w:rsidR="00C55E7C" w:rsidRDefault="00C55E7C" w:rsidP="00C55E7C">
      <w:r>
        <w:t xml:space="preserve">Pour </w:t>
      </w:r>
      <w:r>
        <w:t>permettre de visualiser les</w:t>
      </w:r>
      <w:r>
        <w:t xml:space="preserve"> infrastructures de recharge pour véhicules électriques (IRVE), plusieurs variables ont été </w:t>
      </w:r>
      <w:r>
        <w:t>utilisés</w:t>
      </w:r>
      <w:r>
        <w:t xml:space="preserve"> :</w:t>
      </w:r>
    </w:p>
    <w:p w14:paraId="53398203" w14:textId="426FF11A" w:rsidR="00C55E7C" w:rsidRDefault="00C55E7C" w:rsidP="00C55E7C">
      <w:r>
        <w:t xml:space="preserve"> consolidated_latitude et consolidated_longitude</w:t>
      </w:r>
      <w:r>
        <w:t xml:space="preserve"> </w:t>
      </w:r>
      <w:r>
        <w:t>: ces variables</w:t>
      </w:r>
      <w:r>
        <w:t xml:space="preserve"> contiennent les coordonnées GPS des bornes. Elles</w:t>
      </w:r>
      <w:r>
        <w:t xml:space="preserve"> permettent de localiser géographiquement chaque borne de recharge sur le territoire françai</w:t>
      </w:r>
      <w:r>
        <w:t>s</w:t>
      </w:r>
    </w:p>
    <w:p w14:paraId="34B5DB64" w14:textId="18837FE6" w:rsidR="00C55E7C" w:rsidRDefault="00C55E7C" w:rsidP="00C55E7C">
      <w:r>
        <w:t>i</w:t>
      </w:r>
      <w:r>
        <w:t>mplantation_station</w:t>
      </w:r>
      <w:r>
        <w:t xml:space="preserve"> </w:t>
      </w:r>
      <w:r>
        <w:t>: cette variable décrit le type d’implantation de la station (parking public, voirie</w:t>
      </w:r>
      <w:r>
        <w:t>, station dédiée à la recharge rapide etc.)</w:t>
      </w:r>
      <w:r>
        <w:t>. Elle permet d’étudier la répartition géographique des bornes selon leur environnement d’installation</w:t>
      </w:r>
      <w:r>
        <w:t>.</w:t>
      </w:r>
    </w:p>
    <w:p w14:paraId="3FAE5B47" w14:textId="37107643" w:rsidR="00C55E7C" w:rsidRDefault="00C55E7C" w:rsidP="00C55E7C">
      <w:r>
        <w:t>puissance_nominale : cette variable renseigne la puissance maximale délivrée par la borne de recharge. Elle permet de distinguer les bornes normales, rapides, très rapides et ultra-rapides afin d’analyser leur distribution sur le territoire.</w:t>
      </w:r>
    </w:p>
    <w:p w14:paraId="1EF0855E" w14:textId="77777777" w:rsidR="00C55E7C" w:rsidRDefault="00C55E7C" w:rsidP="00C55E7C"/>
    <w:p w14:paraId="0C392112" w14:textId="77777777" w:rsidR="00C55E7C" w:rsidRDefault="00C55E7C" w:rsidP="00C55E7C">
      <w:r>
        <w:t>Ces variables ont été sélectionnées car elles répondent directement aux objectifs du besoin client : visualiser la répartition spatiale des bornes selon leur implantation et leur puissance, ainsi que leur densité géographique.</w:t>
      </w:r>
    </w:p>
    <w:p w14:paraId="205A2719" w14:textId="0293CE75" w:rsidR="00C55E7C" w:rsidRDefault="00C55E7C" w:rsidP="00C55E7C"/>
    <w:p w14:paraId="47DC29D3" w14:textId="77777777" w:rsidR="00FC1468" w:rsidRDefault="00FC1468" w:rsidP="00C55E7C"/>
    <w:p w14:paraId="22522FC6" w14:textId="77777777" w:rsidR="00FC1468" w:rsidRDefault="00FC1468" w:rsidP="00C55E7C"/>
    <w:p w14:paraId="767B32EE" w14:textId="77777777" w:rsidR="00FC1468" w:rsidRDefault="00FC1468" w:rsidP="00C55E7C"/>
    <w:p w14:paraId="7B9DA78E" w14:textId="77777777" w:rsidR="00FC1468" w:rsidRDefault="00FC1468" w:rsidP="00C55E7C"/>
    <w:p w14:paraId="3D9AB22A" w14:textId="77777777" w:rsidR="00C55E7C" w:rsidRDefault="00C55E7C" w:rsidP="00C55E7C"/>
    <w:p w14:paraId="72B1C50E" w14:textId="13ED07F7" w:rsidR="00C55E7C" w:rsidRDefault="00C55E7C" w:rsidP="00C55E7C">
      <w:r w:rsidRPr="00FC1468">
        <w:rPr>
          <w:sz w:val="32"/>
          <w:szCs w:val="32"/>
        </w:rPr>
        <w:lastRenderedPageBreak/>
        <w:t xml:space="preserve">Justification des </w:t>
      </w:r>
      <w:r w:rsidR="00FC1468">
        <w:rPr>
          <w:sz w:val="32"/>
          <w:szCs w:val="32"/>
        </w:rPr>
        <w:t xml:space="preserve">choix des </w:t>
      </w:r>
      <w:r w:rsidRPr="00FC1468">
        <w:rPr>
          <w:sz w:val="32"/>
          <w:szCs w:val="32"/>
        </w:rPr>
        <w:t>opérations de préparation des données</w:t>
      </w:r>
    </w:p>
    <w:p w14:paraId="28E19516" w14:textId="77777777" w:rsidR="00C55E7C" w:rsidRDefault="00C55E7C" w:rsidP="00C55E7C"/>
    <w:p w14:paraId="211AD3EC" w14:textId="07182887" w:rsidR="00C55E7C" w:rsidRDefault="00C55E7C" w:rsidP="00C55E7C">
      <w:r>
        <w:t>Plusieurs opérations ont été réalisées</w:t>
      </w:r>
      <w:r w:rsidR="00FC1468">
        <w:t xml:space="preserve"> afin de permettre une utilisation plus facile des données.</w:t>
      </w:r>
    </w:p>
    <w:p w14:paraId="17030C10" w14:textId="77777777" w:rsidR="00FC1468" w:rsidRDefault="00FC1468" w:rsidP="00C55E7C"/>
    <w:p w14:paraId="568BC56D" w14:textId="44D7777E" w:rsidR="00C55E7C" w:rsidRDefault="00C55E7C" w:rsidP="00C55E7C">
      <w:r>
        <w:t>1. Sélection des variables utiles</w:t>
      </w:r>
    </w:p>
    <w:p w14:paraId="4B21D0C5" w14:textId="77777777" w:rsidR="00C55E7C" w:rsidRDefault="00C55E7C" w:rsidP="00C55E7C">
      <w:r>
        <w:t xml:space="preserve">   Seules les variables nécessaires à la création des cartes ont été conservées afin de réduire la taille du jeu de données et d'améliorer les performances de traitement.</w:t>
      </w:r>
    </w:p>
    <w:p w14:paraId="0668C031" w14:textId="77777777" w:rsidR="00C55E7C" w:rsidRDefault="00C55E7C" w:rsidP="00C55E7C"/>
    <w:p w14:paraId="08147F13" w14:textId="05B5D74D" w:rsidR="00C55E7C" w:rsidRDefault="00FC1468" w:rsidP="00C55E7C">
      <w:r>
        <w:t>2</w:t>
      </w:r>
      <w:r w:rsidR="00C55E7C">
        <w:t>. Conversion des coordonnées en format numérique</w:t>
      </w:r>
    </w:p>
    <w:p w14:paraId="155BA797" w14:textId="77777777" w:rsidR="00C55E7C" w:rsidRDefault="00C55E7C" w:rsidP="00C55E7C">
      <w:r>
        <w:t xml:space="preserve">   Les variables de latitude et de longitude ont été converties au format numérique afin de permettre leur utilisation par les bibliothèques de visualisation géographique.</w:t>
      </w:r>
    </w:p>
    <w:p w14:paraId="7838FB5B" w14:textId="77777777" w:rsidR="00C55E7C" w:rsidRDefault="00C55E7C" w:rsidP="00C55E7C"/>
    <w:p w14:paraId="23EDDB7C" w14:textId="5F9DC714" w:rsidR="00C55E7C" w:rsidRDefault="00B274BF" w:rsidP="00C55E7C">
      <w:r>
        <w:t>3</w:t>
      </w:r>
      <w:r w:rsidR="00C55E7C">
        <w:t>. Filtrage géographique</w:t>
      </w:r>
    </w:p>
    <w:p w14:paraId="7709E562" w14:textId="376140DA" w:rsidR="00C55E7C" w:rsidRDefault="00C55E7C" w:rsidP="00C55E7C">
      <w:r>
        <w:t xml:space="preserve">   Un filtrage a été appliqué afin de conserver uniquement les bornes situées en France métropolitaine. Cette opération permet d’éliminer </w:t>
      </w:r>
      <w:r w:rsidR="00B274BF">
        <w:t>les bornes</w:t>
      </w:r>
      <w:r>
        <w:t xml:space="preserve"> situées hors de la zone d’étude.</w:t>
      </w:r>
    </w:p>
    <w:p w14:paraId="51B1C96D" w14:textId="77777777" w:rsidR="00C55E7C" w:rsidRDefault="00C55E7C" w:rsidP="00C55E7C"/>
    <w:p w14:paraId="2759F69A" w14:textId="4803A8DE" w:rsidR="00C55E7C" w:rsidRDefault="00B274BF" w:rsidP="00C55E7C">
      <w:r>
        <w:t>4</w:t>
      </w:r>
      <w:r w:rsidR="00C55E7C">
        <w:t>. Création de catégories de puissance</w:t>
      </w:r>
    </w:p>
    <w:p w14:paraId="24058DF5" w14:textId="4F7233AD" w:rsidR="00C55E7C" w:rsidRDefault="00C55E7C" w:rsidP="00C55E7C">
      <w:r>
        <w:t xml:space="preserve">   Les puissances nominales ont été regroupées en quatre catégories :</w:t>
      </w:r>
    </w:p>
    <w:p w14:paraId="0423A847" w14:textId="77777777" w:rsidR="00C55E7C" w:rsidRDefault="00C55E7C" w:rsidP="00C55E7C">
      <w:r>
        <w:t xml:space="preserve">   * Normale ≤ 22 kW</w:t>
      </w:r>
    </w:p>
    <w:p w14:paraId="66FB6F14" w14:textId="77777777" w:rsidR="00C55E7C" w:rsidRDefault="00C55E7C" w:rsidP="00C55E7C">
      <w:r>
        <w:t xml:space="preserve">   * Rapide 23-50 kW</w:t>
      </w:r>
    </w:p>
    <w:p w14:paraId="56E13073" w14:textId="77777777" w:rsidR="00C55E7C" w:rsidRDefault="00C55E7C" w:rsidP="00C55E7C">
      <w:r>
        <w:t xml:space="preserve">   * Très rapide 51-150 kW</w:t>
      </w:r>
    </w:p>
    <w:p w14:paraId="35491ABC" w14:textId="6B354451" w:rsidR="00C55E7C" w:rsidRDefault="00C55E7C" w:rsidP="00C55E7C">
      <w:r>
        <w:t xml:space="preserve">   * Ultra rapide &gt; 150 kW</w:t>
      </w:r>
    </w:p>
    <w:p w14:paraId="4038F925" w14:textId="37DAF9C5" w:rsidR="00C55E7C" w:rsidRDefault="00B274BF" w:rsidP="00C55E7C">
      <w:r>
        <w:t xml:space="preserve">Cela permet une visualisation plus simple des différents niveaux de puissance. </w:t>
      </w:r>
      <w:r w:rsidR="008D7379">
        <w:t xml:space="preserve">Comme il n’y a que quatre catégories sur la carte, il n’y pas de surcharge de couleurs. </w:t>
      </w:r>
    </w:p>
    <w:p w14:paraId="2E4D59D5" w14:textId="77777777" w:rsidR="00C55E7C" w:rsidRDefault="00C55E7C" w:rsidP="00C55E7C"/>
    <w:p w14:paraId="123BBE52" w14:textId="77777777" w:rsidR="008D7379" w:rsidRDefault="008D7379" w:rsidP="00C55E7C"/>
    <w:p w14:paraId="5593E8A2" w14:textId="77777777" w:rsidR="008D7379" w:rsidRDefault="008D7379" w:rsidP="00C55E7C"/>
    <w:p w14:paraId="7713010C" w14:textId="77777777" w:rsidR="00C55E7C" w:rsidRDefault="00C55E7C" w:rsidP="00C55E7C"/>
    <w:p w14:paraId="2F1C1110" w14:textId="425B58FC" w:rsidR="00C55E7C" w:rsidRPr="008D7379" w:rsidRDefault="00C55E7C" w:rsidP="00C55E7C">
      <w:pPr>
        <w:rPr>
          <w:sz w:val="32"/>
          <w:szCs w:val="32"/>
        </w:rPr>
      </w:pPr>
      <w:r w:rsidRPr="008D7379">
        <w:rPr>
          <w:sz w:val="32"/>
          <w:szCs w:val="32"/>
        </w:rPr>
        <w:lastRenderedPageBreak/>
        <w:t>Justification des méthodes de création des cartes</w:t>
      </w:r>
    </w:p>
    <w:p w14:paraId="62C75546" w14:textId="77777777" w:rsidR="00C55E7C" w:rsidRDefault="00C55E7C" w:rsidP="00C55E7C"/>
    <w:p w14:paraId="141F3CB1" w14:textId="77777777" w:rsidR="00C55E7C" w:rsidRDefault="00C55E7C" w:rsidP="00C55E7C">
      <w:r>
        <w:t>Trois types de représentations cartographiques ont été réalisés.</w:t>
      </w:r>
    </w:p>
    <w:p w14:paraId="0D68191D" w14:textId="77777777" w:rsidR="00C55E7C" w:rsidRDefault="00C55E7C" w:rsidP="00C55E7C"/>
    <w:p w14:paraId="7E34B8E8" w14:textId="68949E8F" w:rsidR="00C55E7C" w:rsidRPr="008D7379" w:rsidRDefault="00C55E7C" w:rsidP="00C55E7C">
      <w:pPr>
        <w:rPr>
          <w:sz w:val="28"/>
          <w:szCs w:val="28"/>
        </w:rPr>
      </w:pPr>
      <w:r w:rsidRPr="008D7379">
        <w:rPr>
          <w:sz w:val="28"/>
          <w:szCs w:val="28"/>
        </w:rPr>
        <w:t>Carte selon le type d’implantation</w:t>
      </w:r>
    </w:p>
    <w:p w14:paraId="47A6A4E0" w14:textId="77777777" w:rsidR="00C55E7C" w:rsidRDefault="00C55E7C" w:rsidP="00C55E7C">
      <w:r>
        <w:t>Une carte à points colorés a été utilisée afin de représenter chaque borne selon son type d’implantation. Cette représentation permet d’identifier rapidement les zones où certains types d’implantation sont plus fréquents.</w:t>
      </w:r>
    </w:p>
    <w:p w14:paraId="5F10044F" w14:textId="77777777" w:rsidR="00C55E7C" w:rsidRDefault="00C55E7C" w:rsidP="00C55E7C"/>
    <w:p w14:paraId="108CAAA0" w14:textId="2893CCF6" w:rsidR="00C55E7C" w:rsidRPr="008D7379" w:rsidRDefault="00C55E7C" w:rsidP="00C55E7C">
      <w:pPr>
        <w:rPr>
          <w:sz w:val="28"/>
          <w:szCs w:val="28"/>
        </w:rPr>
      </w:pPr>
      <w:r w:rsidRPr="008D7379">
        <w:rPr>
          <w:sz w:val="28"/>
          <w:szCs w:val="28"/>
        </w:rPr>
        <w:t>Carte selon la puissance nominale</w:t>
      </w:r>
    </w:p>
    <w:p w14:paraId="7F7A7D75" w14:textId="1255C4E6" w:rsidR="00C55E7C" w:rsidRDefault="00C55E7C" w:rsidP="00C55E7C">
      <w:r>
        <w:t>Une seconde carte à points colorés a été construite afin de représenter les différentes catégories de puissance. Les couleurs permettent de distinguer visuellement les bornes normales, rapides, très rapides et ultra-rapides</w:t>
      </w:r>
      <w:r w:rsidR="008D7379">
        <w:t>.</w:t>
      </w:r>
    </w:p>
    <w:p w14:paraId="192C00B2" w14:textId="77777777" w:rsidR="00C55E7C" w:rsidRDefault="00C55E7C" w:rsidP="00C55E7C"/>
    <w:p w14:paraId="10D88EFE" w14:textId="07D412E8" w:rsidR="00C55E7C" w:rsidRPr="008D7379" w:rsidRDefault="00C55E7C" w:rsidP="00C55E7C">
      <w:pPr>
        <w:rPr>
          <w:sz w:val="28"/>
          <w:szCs w:val="28"/>
        </w:rPr>
      </w:pPr>
      <w:r w:rsidRPr="008D7379">
        <w:rPr>
          <w:sz w:val="28"/>
          <w:szCs w:val="28"/>
        </w:rPr>
        <w:t>Carte de chaleur (Heatmap)</w:t>
      </w:r>
    </w:p>
    <w:p w14:paraId="5EF26E94" w14:textId="6DE5FB50" w:rsidR="00C55E7C" w:rsidRDefault="00C55E7C" w:rsidP="00C55E7C">
      <w:r>
        <w:t xml:space="preserve">Une </w:t>
      </w:r>
      <w:r w:rsidR="008D7379">
        <w:t>c</w:t>
      </w:r>
      <w:r>
        <w:t>arte de chaleur a été utilisée pour représenter la densité spatiale des bornes de recharge. Les couleurs chaudes (jaune, orange, rouge) mettent en évidence les territoires les plus équipés tandis que les couleurs froides (bleu, cyan) correspondent aux zones moins denses.</w:t>
      </w:r>
    </w:p>
    <w:p w14:paraId="15890879" w14:textId="77777777" w:rsidR="00C55E7C" w:rsidRDefault="00C55E7C" w:rsidP="00C55E7C"/>
    <w:p w14:paraId="43A0BE81" w14:textId="4516C23A" w:rsidR="00380AF4" w:rsidRPr="00C55E7C" w:rsidRDefault="00C55E7C" w:rsidP="00C55E7C">
      <w:r>
        <w:t>Cette représentation permet d’identifier rapidement les principaux pôles de déploiement des infrastructures de recharge en France, notamment autour des grandes métropoles et des axes de mobilité importants.</w:t>
      </w:r>
    </w:p>
    <w:p w14:paraId="41C64A7B" w14:textId="37E1759B" w:rsidR="00380AF4" w:rsidRDefault="00380AF4">
      <w:pPr>
        <w:rPr>
          <w:sz w:val="36"/>
          <w:szCs w:val="36"/>
        </w:rPr>
      </w:pPr>
      <w:r>
        <w:rPr>
          <w:sz w:val="36"/>
          <w:szCs w:val="36"/>
        </w:rPr>
        <w:t xml:space="preserve">2 - </w:t>
      </w:r>
      <w:r w:rsidRPr="00380AF4">
        <w:rPr>
          <w:sz w:val="36"/>
          <w:szCs w:val="36"/>
        </w:rPr>
        <w:t>Clustering selon la position</w:t>
      </w:r>
    </w:p>
    <w:p w14:paraId="21ED830D" w14:textId="77777777" w:rsidR="00380AF4" w:rsidRDefault="00380AF4">
      <w:pPr>
        <w:rPr>
          <w:sz w:val="36"/>
          <w:szCs w:val="36"/>
        </w:rPr>
      </w:pPr>
    </w:p>
    <w:p w14:paraId="58292915" w14:textId="5E108C88" w:rsidR="00380AF4" w:rsidRDefault="00380AF4" w:rsidP="00380AF4">
      <w:pPr>
        <w:rPr>
          <w:sz w:val="36"/>
          <w:szCs w:val="36"/>
        </w:rPr>
      </w:pPr>
      <w:r>
        <w:rPr>
          <w:sz w:val="36"/>
          <w:szCs w:val="36"/>
        </w:rPr>
        <w:t xml:space="preserve">3 - </w:t>
      </w:r>
      <w:r w:rsidRPr="00380AF4">
        <w:rPr>
          <w:sz w:val="36"/>
          <w:szCs w:val="36"/>
        </w:rPr>
        <w:t>Modèle de prédiction du type</w:t>
      </w:r>
      <w:r>
        <w:rPr>
          <w:sz w:val="36"/>
          <w:szCs w:val="36"/>
        </w:rPr>
        <w:t xml:space="preserve"> </w:t>
      </w:r>
      <w:r w:rsidRPr="00380AF4">
        <w:rPr>
          <w:sz w:val="36"/>
          <w:szCs w:val="36"/>
        </w:rPr>
        <w:t>d’implantation</w:t>
      </w:r>
    </w:p>
    <w:p w14:paraId="194D000C" w14:textId="77777777" w:rsidR="00380AF4" w:rsidRDefault="00380AF4" w:rsidP="00380AF4">
      <w:pPr>
        <w:rPr>
          <w:sz w:val="36"/>
          <w:szCs w:val="36"/>
        </w:rPr>
      </w:pPr>
    </w:p>
    <w:p w14:paraId="4C6CAA2A" w14:textId="51F06FCF" w:rsidR="00380AF4" w:rsidRPr="00380AF4" w:rsidRDefault="00380AF4" w:rsidP="00380AF4">
      <w:pPr>
        <w:rPr>
          <w:sz w:val="36"/>
          <w:szCs w:val="36"/>
        </w:rPr>
      </w:pPr>
      <w:r>
        <w:rPr>
          <w:sz w:val="36"/>
          <w:szCs w:val="36"/>
        </w:rPr>
        <w:t xml:space="preserve">4 - </w:t>
      </w:r>
      <w:r w:rsidRPr="00380AF4">
        <w:rPr>
          <w:sz w:val="36"/>
          <w:szCs w:val="36"/>
        </w:rPr>
        <w:t>Modèle de prédiction de la puissance</w:t>
      </w:r>
      <w:r>
        <w:rPr>
          <w:sz w:val="36"/>
          <w:szCs w:val="36"/>
        </w:rPr>
        <w:t xml:space="preserve"> </w:t>
      </w:r>
      <w:r w:rsidRPr="00380AF4">
        <w:rPr>
          <w:sz w:val="36"/>
          <w:szCs w:val="36"/>
        </w:rPr>
        <w:t>nominale</w:t>
      </w:r>
    </w:p>
    <w:sectPr w:rsidR="00380AF4" w:rsidRPr="00380A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A2C12"/>
    <w:multiLevelType w:val="multilevel"/>
    <w:tmpl w:val="E872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8F2716"/>
    <w:multiLevelType w:val="multilevel"/>
    <w:tmpl w:val="7918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40936">
    <w:abstractNumId w:val="1"/>
  </w:num>
  <w:num w:numId="2" w16cid:durableId="9221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FF0"/>
    <w:rsid w:val="0028096B"/>
    <w:rsid w:val="00372CFF"/>
    <w:rsid w:val="00380AF4"/>
    <w:rsid w:val="00803FF0"/>
    <w:rsid w:val="00882780"/>
    <w:rsid w:val="008D7379"/>
    <w:rsid w:val="00B274BF"/>
    <w:rsid w:val="00C55E7C"/>
    <w:rsid w:val="00FC14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1E507"/>
  <w15:chartTrackingRefBased/>
  <w15:docId w15:val="{DBBA8F3F-B039-4F73-B0FC-216FE815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03F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03F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03FF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03FF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03FF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03FF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03FF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03FF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03FF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03FF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03FF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03FF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03FF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03FF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03FF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03FF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03FF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03FF0"/>
    <w:rPr>
      <w:rFonts w:eastAsiaTheme="majorEastAsia" w:cstheme="majorBidi"/>
      <w:color w:val="272727" w:themeColor="text1" w:themeTint="D8"/>
    </w:rPr>
  </w:style>
  <w:style w:type="paragraph" w:styleId="Titre">
    <w:name w:val="Title"/>
    <w:basedOn w:val="Normal"/>
    <w:next w:val="Normal"/>
    <w:link w:val="TitreCar"/>
    <w:uiPriority w:val="10"/>
    <w:qFormat/>
    <w:rsid w:val="00803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03FF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03FF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03FF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03FF0"/>
    <w:pPr>
      <w:spacing w:before="160"/>
      <w:jc w:val="center"/>
    </w:pPr>
    <w:rPr>
      <w:i/>
      <w:iCs/>
      <w:color w:val="404040" w:themeColor="text1" w:themeTint="BF"/>
    </w:rPr>
  </w:style>
  <w:style w:type="character" w:customStyle="1" w:styleId="CitationCar">
    <w:name w:val="Citation Car"/>
    <w:basedOn w:val="Policepardfaut"/>
    <w:link w:val="Citation"/>
    <w:uiPriority w:val="29"/>
    <w:rsid w:val="00803FF0"/>
    <w:rPr>
      <w:i/>
      <w:iCs/>
      <w:color w:val="404040" w:themeColor="text1" w:themeTint="BF"/>
    </w:rPr>
  </w:style>
  <w:style w:type="paragraph" w:styleId="Paragraphedeliste">
    <w:name w:val="List Paragraph"/>
    <w:basedOn w:val="Normal"/>
    <w:uiPriority w:val="34"/>
    <w:qFormat/>
    <w:rsid w:val="00803FF0"/>
    <w:pPr>
      <w:ind w:left="720"/>
      <w:contextualSpacing/>
    </w:pPr>
  </w:style>
  <w:style w:type="character" w:styleId="Accentuationintense">
    <w:name w:val="Intense Emphasis"/>
    <w:basedOn w:val="Policepardfaut"/>
    <w:uiPriority w:val="21"/>
    <w:qFormat/>
    <w:rsid w:val="00803FF0"/>
    <w:rPr>
      <w:i/>
      <w:iCs/>
      <w:color w:val="0F4761" w:themeColor="accent1" w:themeShade="BF"/>
    </w:rPr>
  </w:style>
  <w:style w:type="paragraph" w:styleId="Citationintense">
    <w:name w:val="Intense Quote"/>
    <w:basedOn w:val="Normal"/>
    <w:next w:val="Normal"/>
    <w:link w:val="CitationintenseCar"/>
    <w:uiPriority w:val="30"/>
    <w:qFormat/>
    <w:rsid w:val="00803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03FF0"/>
    <w:rPr>
      <w:i/>
      <w:iCs/>
      <w:color w:val="0F4761" w:themeColor="accent1" w:themeShade="BF"/>
    </w:rPr>
  </w:style>
  <w:style w:type="character" w:styleId="Rfrenceintense">
    <w:name w:val="Intense Reference"/>
    <w:basedOn w:val="Policepardfaut"/>
    <w:uiPriority w:val="32"/>
    <w:qFormat/>
    <w:rsid w:val="00803F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3</Pages>
  <Words>564</Words>
  <Characters>3105</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FORNER (A3_BREST)</dc:creator>
  <cp:keywords/>
  <dc:description/>
  <cp:lastModifiedBy>Caroline FORNER (A3_BREST)</cp:lastModifiedBy>
  <cp:revision>3</cp:revision>
  <dcterms:created xsi:type="dcterms:W3CDTF">2026-06-08T07:42:00Z</dcterms:created>
  <dcterms:modified xsi:type="dcterms:W3CDTF">2026-06-08T14:56:00Z</dcterms:modified>
</cp:coreProperties>
</file>