
<file path=[Content_Types].xml><?xml version="1.0" encoding="utf-8"?>
<Types xmlns="http://schemas.openxmlformats.org/package/2006/content-types">
  <Default Extension="png" ContentType="image/png"/>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76.png" ContentType="image/png"/>
  <Override PartName="/word/media/rId80.png" ContentType="image/png"/>
  <Override PartName="/word/media/rId84.png" ContentType="image/png"/>
  <Override PartName="/word/media/rId88.png" ContentType="image/png"/>
  <Override PartName="/word/media/rId91.png" ContentType="image/png"/>
  <Override PartName="/word/media/rId24.png" ContentType="image/png"/>
  <Override PartName="/word/media/rId39.png" ContentType="image/png"/>
  <Override PartName="/word/media/rId52.png" ContentType="image/png"/>
  <Override PartName="/word/media/rId55.png" ContentType="image/png"/>
  <Override PartName="/word/media/rId58.png" ContentType="image/png"/>
  <Override PartName="/word/media/rId62.png" ContentType="image/png"/>
  <Override PartName="/word/media/rId65.png" ContentType="image/png"/>
  <Override PartName="/word/media/rId69.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Recovery-aware</w:t>
      </w:r>
      <w:r>
        <w:t xml:space="preserve"> </w:t>
      </w:r>
      <w:r>
        <w:t xml:space="preserve">coordinated</w:t>
      </w:r>
      <w:r>
        <w:t xml:space="preserve"> </w:t>
      </w:r>
      <w:r>
        <w:t xml:space="preserve">scheduling</w:t>
      </w:r>
      <w:r>
        <w:t xml:space="preserve"> </w:t>
      </w:r>
      <w:r>
        <w:t xml:space="preserve">of</w:t>
      </w:r>
      <w:r>
        <w:t xml:space="preserve"> </w:t>
      </w:r>
      <w:r>
        <w:t xml:space="preserve">computing</w:t>
      </w:r>
      <w:r>
        <w:t xml:space="preserve"> </w:t>
      </w:r>
      <w:r>
        <w:t xml:space="preserve">workloads</w:t>
      </w:r>
      <w:r>
        <w:t xml:space="preserve"> </w:t>
      </w:r>
      <w:r>
        <w:t xml:space="preserve">and</w:t>
      </w:r>
      <w:r>
        <w:t xml:space="preserve"> </w:t>
      </w:r>
      <w:r>
        <w:t xml:space="preserve">energy</w:t>
      </w:r>
      <w:r>
        <w:t xml:space="preserve"> </w:t>
      </w:r>
      <w:r>
        <w:t xml:space="preserve">storage</w:t>
      </w:r>
      <w:r>
        <w:t xml:space="preserve"> </w:t>
      </w:r>
      <w:r>
        <w:t xml:space="preserve">for</w:t>
      </w:r>
      <w:r>
        <w:t xml:space="preserve"> </w:t>
      </w:r>
      <w:r>
        <w:t xml:space="preserve">deliverable</w:t>
      </w:r>
      <w:r>
        <w:t xml:space="preserve"> </w:t>
      </w:r>
      <w:r>
        <w:t xml:space="preserve">consecutive</w:t>
      </w:r>
      <w:r>
        <w:t xml:space="preserve"> </w:t>
      </w:r>
      <w:r>
        <w:t xml:space="preserve">demand</w:t>
      </w:r>
      <w:r>
        <w:t xml:space="preserve"> </w:t>
      </w:r>
      <w:r>
        <w:t xml:space="preserve">response</w:t>
      </w:r>
      <w:r>
        <w:t xml:space="preserve"> </w:t>
      </w:r>
      <w:r>
        <w:t xml:space="preserve">in</w:t>
      </w:r>
      <w:r>
        <w:t xml:space="preserve"> </w:t>
      </w:r>
      <w:r>
        <w:t xml:space="preserve">AI</w:t>
      </w:r>
      <w:r>
        <w:t xml:space="preserve"> </w:t>
      </w:r>
      <w:r>
        <w:t xml:space="preserve">data</w:t>
      </w:r>
      <w:r>
        <w:t xml:space="preserve"> </w:t>
      </w:r>
      <w:r>
        <w:t xml:space="preserve">centers</w:t>
      </w:r>
    </w:p>
    <w:p>
      <w:pPr>
        <w:pStyle w:val="Author"/>
      </w:pPr>
      <w:r>
        <w:rPr>
          <w:rStyle w:val="Placeholder"/>
        </w:rPr>
        <w:t xml:space="preserve">Author names (affiliation letters as superscripts; an asterisk marks the corresponding author)</w:t>
      </w:r>
    </w:p>
    <w:p>
      <w:pPr>
        <w:pStyle w:val="Author"/>
      </w:pPr>
      <w:r>
        <w:rPr>
          <w:rStyle w:val="Placeholder"/>
        </w:rPr>
        <w:t xml:space="preserve">Affiliations</w:t>
      </w:r>
    </w:p>
    <w:p>
      <w:pPr>
        <w:pStyle w:val="Author"/>
      </w:pPr>
      <w:r>
        <w:rPr>
          <w:rStyle w:val="Placeholder"/>
        </w:rPr>
        <w:t xml:space="preserve">* Corresponding author. E-mail address</w:t>
      </w:r>
    </w:p>
    <w:p>
      <w:r>
        <w:br w:type="page"/>
      </w:r>
    </w:p>
    <w:bookmarkStart w:id="20" w:name="highlights"/>
    <w:p>
      <w:pPr>
        <w:pStyle w:val="Heading1"/>
      </w:pPr>
      <w:r>
        <w:t xml:space="preserve">Highlights</w:t>
      </w:r>
    </w:p>
    <w:p>
      <w:pPr>
        <w:pStyle w:val="Compact"/>
        <w:numPr>
          <w:ilvl w:val="0"/>
          <w:numId w:val="1001"/>
        </w:numPr>
      </w:pPr>
      <w:r>
        <w:t xml:space="preserve">Model computing backlog and storage deficit as debts sharing one recovery channel.</w:t>
      </w:r>
    </w:p>
    <w:p>
      <w:pPr>
        <w:pStyle w:val="Compact"/>
        <w:numPr>
          <w:ilvl w:val="0"/>
          <w:numId w:val="1001"/>
        </w:numPr>
      </w:pPr>
      <w:r>
        <w:t xml:space="preserve">Certify firm consecutive DR capacity from closed-loop capability via Wasserstein DRO.</w:t>
      </w:r>
    </w:p>
    <w:p>
      <w:pPr>
        <w:pStyle w:val="Compact"/>
        <w:numPr>
          <w:ilvl w:val="0"/>
          <w:numId w:val="1001"/>
        </w:numPr>
      </w:pPr>
      <w:r>
        <w:t xml:space="preserve">Deliver 7.5 MW firmly by cross-event joint recovery, 94 % of physical capability.</w:t>
      </w:r>
    </w:p>
    <w:p>
      <w:pPr>
        <w:pStyle w:val="Compact"/>
        <w:numPr>
          <w:ilvl w:val="0"/>
          <w:numId w:val="1001"/>
        </w:numPr>
      </w:pPr>
      <w:r>
        <w:t xml:space="preserve">Show that foresight adds up to 4.0 MW of firm capacity at short event intervals.</w:t>
      </w:r>
    </w:p>
    <w:p>
      <w:pPr>
        <w:pStyle w:val="Compact"/>
        <w:numPr>
          <w:ilvl w:val="0"/>
          <w:numId w:val="1001"/>
        </w:numPr>
      </w:pPr>
      <w:r>
        <w:t xml:space="preserve">Quantify a 9.3 MWh battery saving from foresight that extra connection cannot buy.</w:t>
      </w:r>
    </w:p>
    <w:bookmarkEnd w:id="20"/>
    <w:bookmarkStart w:id="21" w:name="abstract"/>
    <w:p>
      <w:pPr>
        <w:pStyle w:val="Heading1"/>
      </w:pPr>
      <w:r>
        <w:t xml:space="preserve">Abstract</w:t>
      </w:r>
    </w:p>
    <w:p>
      <w:pPr>
        <w:pStyle w:val="FirstParagraph"/>
      </w:pPr>
      <w:r>
        <w:t xml:space="preserve">AI data centers (AIDCs) are becoming large flexible loads that are called upon several times within one evening peak. However, each demand-response (DR) event leaves deferred computing work and depleted storage that compete for grid headroom before the next event, so the capacity an AIDC can firmly commit is decided during recovery. This study develops a recovery-aware coordinated scheduling framework for consecutive DR of an AIDC integrated energy system. A cross-event recovery model couples deadline-bound computing backlogs, battery and cold-storage deficits and combined cooling, heating and power through one recovery channel, and bounds the next deliverable reduction in closed form. The firm consecutive DR capacity, the largest uniform commitment delivered in full in every event with a prescribed probability, is certified day-ahead from the controller’s closed-loop capability within a Wasserstein ambiguity set, solved exactly by sorting through its dual, and delivered by an intraday cross-event joint recovery model predictive controller. Case studies on a 16 000-GPU data center under the Jiangsu DR rules, over 26 operating days from public traces, show that cross-event joint recovery firmly delivers 7.5 MW with two events, 94 % of the physical capability, and 6.5 MW with three, whereas tuned and price-coordinated independent recovery is not firm even at 1 MW. Cross-event foresight adds up to 4.0 MW at short intervals and substitutes 9.3 MWh of battery. The cost-optimal robust commitment is delivered in full on every operating day, against 85 % for a perfect-recourse two-stage commitment, and earns 43–45 thousand CNY per day.</w:t>
      </w:r>
    </w:p>
    <w:p>
      <w:pPr>
        <w:pStyle w:val="BodyText"/>
      </w:pPr>
      <w:r>
        <w:rPr>
          <w:bCs/>
          <w:b/>
        </w:rPr>
        <w:t xml:space="preserve">Keywords:</w:t>
      </w:r>
      <w:r>
        <w:t xml:space="preserve"> </w:t>
      </w:r>
      <w:r>
        <w:t xml:space="preserve">AI data center; consecutive demand response; computing–energy coupling; firm deliverable capacity; distributionally robust optimisation; integrated energy system</w:t>
      </w:r>
    </w:p>
    <w:bookmarkEnd w:id="21"/>
    <w:bookmarkStart w:id="22" w:name="nomenclature"/>
    <w:p>
      <w:pPr>
        <w:pStyle w:val="Heading1"/>
      </w:pPr>
      <w:r>
        <w:t xml:space="preserve">Nomenclature</w:t>
      </w:r>
    </w:p>
    <w:p>
      <w:pPr>
        <w:pStyle w:val="FirstParagraph"/>
      </w:pPr>
      <w:r>
        <w:rPr>
          <w:bCs/>
          <w:b/>
        </w:rPr>
        <w:t xml:space="preserve">Abbreviations</w:t>
      </w:r>
    </w:p>
    <w:tbl>
      <w:tblPr>
        <w:tblStyle w:val="Table"/>
        <w:tblW w:type="pct" w:w="5000"/>
        <w:jc w:val="start"/>
        <w:tblBorders>
          <w:top w:val="nil"/>
          <w:left w:val="nil"/>
          <w:bottom w:val="nil"/>
          <w:right w:val="nil"/>
          <w:insideH w:val="nil"/>
          <w:insideV w:val="nil"/>
        </w:tblBorders>
        <w:tblLayout w:type="fixed"/>
        <w:tblLook w:firstRow="0" w:lastRow="0" w:firstColumn="0" w:lastColumn="0" w:noHBand="0" w:noVBand="0" w:val="0000"/>
      </w:tblPr>
      <w:tblGrid>
        <w:gridCol w:w="2268"/>
        <w:gridCol w:w="6802"/>
      </w:tblGrid>
      <w:tr>
        <w:tc>
          <w:tcPr>
            <w:tcW w:w="2268" w:type="dxa"/>
          </w:tcPr>
          <w:p>
            <w:pPr>
              <w:pStyle w:val="TableText"/>
              <w:jc w:val="left"/>
            </w:pPr>
            <w:r>
              <w:t xml:space="preserve">AIDC</w:t>
            </w:r>
          </w:p>
        </w:tc>
        <w:tc>
          <w:tcPr>
            <w:tcW w:w="6802" w:type="dxa"/>
          </w:tcPr>
          <w:p>
            <w:pPr>
              <w:pStyle w:val="TableText"/>
              <w:jc w:val="left"/>
            </w:pPr>
            <w:r>
              <w:t xml:space="preserve">AI data center</w:t>
            </w:r>
          </w:p>
        </w:tc>
      </w:tr>
      <w:tr>
        <w:tc>
          <w:tcPr>
            <w:tcW w:w="2268" w:type="dxa"/>
          </w:tcPr>
          <w:p>
            <w:pPr>
              <w:pStyle w:val="TableText"/>
              <w:jc w:val="left"/>
            </w:pPr>
            <w:r>
              <w:t xml:space="preserve">BESS</w:t>
            </w:r>
          </w:p>
        </w:tc>
        <w:tc>
          <w:tcPr>
            <w:tcW w:w="6802" w:type="dxa"/>
          </w:tcPr>
          <w:p>
            <w:pPr>
              <w:pStyle w:val="TableText"/>
              <w:jc w:val="left"/>
            </w:pPr>
            <w:r>
              <w:t xml:space="preserve">Battery energy storage system</w:t>
            </w:r>
          </w:p>
        </w:tc>
      </w:tr>
      <w:tr>
        <w:tc>
          <w:tcPr>
            <w:tcW w:w="2268" w:type="dxa"/>
          </w:tcPr>
          <w:p>
            <w:pPr>
              <w:pStyle w:val="TableText"/>
              <w:jc w:val="left"/>
            </w:pPr>
            <w:r>
              <w:t xml:space="preserve">CCHP</w:t>
            </w:r>
          </w:p>
        </w:tc>
        <w:tc>
          <w:tcPr>
            <w:tcW w:w="6802" w:type="dxa"/>
          </w:tcPr>
          <w:p>
            <w:pPr>
              <w:pStyle w:val="TableText"/>
              <w:jc w:val="left"/>
            </w:pPr>
            <w:r>
              <w:t xml:space="preserve">Combined cooling, heating and power</w:t>
            </w:r>
          </w:p>
        </w:tc>
      </w:tr>
      <w:tr>
        <w:tc>
          <w:tcPr>
            <w:tcW w:w="2268" w:type="dxa"/>
          </w:tcPr>
          <w:p>
            <w:pPr>
              <w:pStyle w:val="TableText"/>
              <w:jc w:val="left"/>
            </w:pPr>
            <w:r>
              <w:t xml:space="preserve">CI</w:t>
            </w:r>
          </w:p>
        </w:tc>
        <w:tc>
          <w:tcPr>
            <w:tcW w:w="6802" w:type="dxa"/>
          </w:tcPr>
          <w:p>
            <w:pPr>
              <w:pStyle w:val="TableText"/>
              <w:jc w:val="left"/>
            </w:pPr>
            <w:r>
              <w:t xml:space="preserve">Confidence interval</w:t>
            </w:r>
          </w:p>
        </w:tc>
      </w:tr>
      <w:tr>
        <w:tc>
          <w:tcPr>
            <w:tcW w:w="2268" w:type="dxa"/>
          </w:tcPr>
          <w:p>
            <w:pPr>
              <w:pStyle w:val="TableText"/>
              <w:jc w:val="left"/>
            </w:pPr>
            <w:r>
              <w:t xml:space="preserve">COP</w:t>
            </w:r>
          </w:p>
        </w:tc>
        <w:tc>
          <w:tcPr>
            <w:tcW w:w="6802" w:type="dxa"/>
          </w:tcPr>
          <w:p>
            <w:pPr>
              <w:pStyle w:val="TableText"/>
              <w:jc w:val="left"/>
            </w:pPr>
            <w:r>
              <w:t xml:space="preserve">Coefficient of performance</w:t>
            </w:r>
          </w:p>
        </w:tc>
      </w:tr>
      <w:tr>
        <w:tc>
          <w:tcPr>
            <w:tcW w:w="2268" w:type="dxa"/>
          </w:tcPr>
          <w:p>
            <w:pPr>
              <w:pStyle w:val="TableText"/>
              <w:jc w:val="left"/>
            </w:pPr>
            <w:r>
              <w:t xml:space="preserve">DR</w:t>
            </w:r>
          </w:p>
        </w:tc>
        <w:tc>
          <w:tcPr>
            <w:tcW w:w="6802" w:type="dxa"/>
          </w:tcPr>
          <w:p>
            <w:pPr>
              <w:pStyle w:val="TableText"/>
              <w:jc w:val="left"/>
            </w:pPr>
            <w:r>
              <w:t xml:space="preserve">Demand response</w:t>
            </w:r>
          </w:p>
        </w:tc>
      </w:tr>
      <w:tr>
        <w:tc>
          <w:tcPr>
            <w:tcW w:w="2268" w:type="dxa"/>
          </w:tcPr>
          <w:p>
            <w:pPr>
              <w:pStyle w:val="TableText"/>
              <w:jc w:val="left"/>
            </w:pPr>
            <w:r>
              <w:t xml:space="preserve">DRO</w:t>
            </w:r>
          </w:p>
        </w:tc>
        <w:tc>
          <w:tcPr>
            <w:tcW w:w="6802" w:type="dxa"/>
          </w:tcPr>
          <w:p>
            <w:pPr>
              <w:pStyle w:val="TableText"/>
              <w:jc w:val="left"/>
            </w:pPr>
            <w:r>
              <w:t xml:space="preserve">Distributionally robust optimisation</w:t>
            </w:r>
          </w:p>
        </w:tc>
      </w:tr>
      <w:tr>
        <w:tc>
          <w:tcPr>
            <w:tcW w:w="2268" w:type="dxa"/>
          </w:tcPr>
          <w:p>
            <w:pPr>
              <w:pStyle w:val="TableText"/>
              <w:jc w:val="left"/>
            </w:pPr>
            <w:r>
              <w:t xml:space="preserve">GPU</w:t>
            </w:r>
          </w:p>
        </w:tc>
        <w:tc>
          <w:tcPr>
            <w:tcW w:w="6802" w:type="dxa"/>
          </w:tcPr>
          <w:p>
            <w:pPr>
              <w:pStyle w:val="TableText"/>
              <w:jc w:val="left"/>
            </w:pPr>
            <w:r>
              <w:t xml:space="preserve">Graphics processing unit</w:t>
            </w:r>
          </w:p>
        </w:tc>
      </w:tr>
      <w:tr>
        <w:tc>
          <w:tcPr>
            <w:tcW w:w="2268" w:type="dxa"/>
          </w:tcPr>
          <w:p>
            <w:pPr>
              <w:pStyle w:val="TableText"/>
              <w:jc w:val="left"/>
            </w:pPr>
            <w:r>
              <w:t xml:space="preserve">IES</w:t>
            </w:r>
          </w:p>
        </w:tc>
        <w:tc>
          <w:tcPr>
            <w:tcW w:w="6802" w:type="dxa"/>
          </w:tcPr>
          <w:p>
            <w:pPr>
              <w:pStyle w:val="TableText"/>
              <w:jc w:val="left"/>
            </w:pPr>
            <w:r>
              <w:t xml:space="preserve">Integrated energy system</w:t>
            </w:r>
          </w:p>
        </w:tc>
      </w:tr>
      <w:tr>
        <w:tc>
          <w:tcPr>
            <w:tcW w:w="2268" w:type="dxa"/>
          </w:tcPr>
          <w:p>
            <w:pPr>
              <w:pStyle w:val="TableText"/>
              <w:jc w:val="left"/>
            </w:pPr>
            <w:r>
              <w:t xml:space="preserve">IR-O* / IR-P</w:t>
            </w:r>
          </w:p>
        </w:tc>
        <w:tc>
          <w:tcPr>
            <w:tcW w:w="6802" w:type="dxa"/>
          </w:tcPr>
          <w:p>
            <w:pPr>
              <w:pStyle w:val="TableText"/>
              <w:jc w:val="left"/>
            </w:pPr>
            <w:r>
              <w:t xml:space="preserve">Independent recovery with a day-ahead tuned static split / with day-ahead channel-price coordination</w:t>
            </w:r>
          </w:p>
        </w:tc>
      </w:tr>
      <w:tr>
        <w:tc>
          <w:tcPr>
            <w:tcW w:w="2268" w:type="dxa"/>
          </w:tcPr>
          <w:p>
            <w:pPr>
              <w:pStyle w:val="TableText"/>
              <w:jc w:val="left"/>
            </w:pPr>
            <w:r>
              <w:t xml:space="preserve">JR-D / JR-M / JR-S</w:t>
            </w:r>
          </w:p>
        </w:tc>
        <w:tc>
          <w:tcPr>
            <w:tcW w:w="6802" w:type="dxa"/>
          </w:tcPr>
          <w:p>
            <w:pPr>
              <w:pStyle w:val="TableText"/>
              <w:jc w:val="left"/>
            </w:pPr>
            <w:r>
              <w:t xml:space="preserve">Joint recovery: cross-event deterministic MPC (proposed) / event-by-event / scenario MPC</w:t>
            </w:r>
          </w:p>
        </w:tc>
      </w:tr>
      <w:tr>
        <w:tc>
          <w:tcPr>
            <w:tcW w:w="2268" w:type="dxa"/>
          </w:tcPr>
          <w:p>
            <w:pPr>
              <w:pStyle w:val="TableText"/>
              <w:jc w:val="left"/>
            </w:pPr>
            <w:r>
              <w:t xml:space="preserve">KKT</w:t>
            </w:r>
          </w:p>
        </w:tc>
        <w:tc>
          <w:tcPr>
            <w:tcW w:w="6802" w:type="dxa"/>
          </w:tcPr>
          <w:p>
            <w:pPr>
              <w:pStyle w:val="TableText"/>
              <w:jc w:val="left"/>
            </w:pPr>
            <w:r>
              <w:t xml:space="preserve">Karush–Kuhn–Tucker</w:t>
            </w:r>
          </w:p>
        </w:tc>
      </w:tr>
      <w:tr>
        <w:tc>
          <w:tcPr>
            <w:tcW w:w="2268" w:type="dxa"/>
          </w:tcPr>
          <w:p>
            <w:pPr>
              <w:pStyle w:val="TableText"/>
              <w:jc w:val="left"/>
            </w:pPr>
            <w:r>
              <w:t xml:space="preserve">LP / MILP</w:t>
            </w:r>
          </w:p>
        </w:tc>
        <w:tc>
          <w:tcPr>
            <w:tcW w:w="6802" w:type="dxa"/>
          </w:tcPr>
          <w:p>
            <w:pPr>
              <w:pStyle w:val="TableText"/>
              <w:jc w:val="left"/>
            </w:pPr>
            <w:r>
              <w:t xml:space="preserve">Linear programming / mixed-integer linear programming</w:t>
            </w:r>
          </w:p>
        </w:tc>
      </w:tr>
      <w:tr>
        <w:tc>
          <w:tcPr>
            <w:tcW w:w="2268" w:type="dxa"/>
          </w:tcPr>
          <w:p>
            <w:pPr>
              <w:pStyle w:val="TableText"/>
              <w:jc w:val="left"/>
            </w:pPr>
            <w:r>
              <w:t xml:space="preserve">MPC</w:t>
            </w:r>
          </w:p>
        </w:tc>
        <w:tc>
          <w:tcPr>
            <w:tcW w:w="6802" w:type="dxa"/>
          </w:tcPr>
          <w:p>
            <w:pPr>
              <w:pStyle w:val="TableText"/>
              <w:jc w:val="left"/>
            </w:pPr>
            <w:r>
              <w:t xml:space="preserve">Model predictive control</w:t>
            </w:r>
          </w:p>
        </w:tc>
      </w:tr>
      <w:tr>
        <w:tc>
          <w:tcPr>
            <w:tcW w:w="2268" w:type="dxa"/>
          </w:tcPr>
          <w:p>
            <w:pPr>
              <w:pStyle w:val="TableText"/>
              <w:jc w:val="left"/>
            </w:pPr>
            <w:r>
              <w:t xml:space="preserve">PV</w:t>
            </w:r>
          </w:p>
        </w:tc>
        <w:tc>
          <w:tcPr>
            <w:tcW w:w="6802" w:type="dxa"/>
          </w:tcPr>
          <w:p>
            <w:pPr>
              <w:pStyle w:val="TableText"/>
              <w:jc w:val="left"/>
            </w:pPr>
            <w:r>
              <w:t xml:space="preserve">Photovoltaic</w:t>
            </w:r>
          </w:p>
        </w:tc>
      </w:tr>
      <w:tr>
        <w:tc>
          <w:tcPr>
            <w:tcW w:w="2268" w:type="dxa"/>
          </w:tcPr>
          <w:p>
            <w:pPr>
              <w:pStyle w:val="TableText"/>
              <w:jc w:val="left"/>
            </w:pPr>
            <w:r>
              <w:t xml:space="preserve">SAA</w:t>
            </w:r>
          </w:p>
        </w:tc>
        <w:tc>
          <w:tcPr>
            <w:tcW w:w="6802" w:type="dxa"/>
          </w:tcPr>
          <w:p>
            <w:pPr>
              <w:pStyle w:val="TableText"/>
              <w:jc w:val="left"/>
            </w:pPr>
            <w:r>
              <w:t xml:space="preserve">Sample average approximation</w:t>
            </w:r>
          </w:p>
        </w:tc>
      </w:tr>
      <w:tr>
        <w:tc>
          <w:tcPr>
            <w:tcW w:w="2268" w:type="dxa"/>
          </w:tcPr>
          <w:p>
            <w:pPr>
              <w:pStyle w:val="TableText"/>
              <w:jc w:val="left"/>
            </w:pPr>
            <w:r>
              <w:t xml:space="preserve">SLA</w:t>
            </w:r>
          </w:p>
        </w:tc>
        <w:tc>
          <w:tcPr>
            <w:tcW w:w="6802" w:type="dxa"/>
          </w:tcPr>
          <w:p>
            <w:pPr>
              <w:pStyle w:val="TableText"/>
              <w:jc w:val="left"/>
            </w:pPr>
            <w:r>
              <w:t xml:space="preserve">Service-level agreement</w:t>
            </w:r>
          </w:p>
        </w:tc>
      </w:tr>
      <w:tr>
        <w:tc>
          <w:tcPr>
            <w:tcW w:w="2268" w:type="dxa"/>
          </w:tcPr>
          <w:p>
            <w:pPr>
              <w:pStyle w:val="TableText"/>
              <w:jc w:val="left"/>
            </w:pPr>
            <w:r>
              <w:t xml:space="preserve">SOC</w:t>
            </w:r>
          </w:p>
        </w:tc>
        <w:tc>
          <w:tcPr>
            <w:tcW w:w="6802" w:type="dxa"/>
          </w:tcPr>
          <w:p>
            <w:pPr>
              <w:pStyle w:val="TableText"/>
              <w:jc w:val="left"/>
            </w:pPr>
            <w:r>
              <w:t xml:space="preserve">State of charge</w:t>
            </w:r>
          </w:p>
        </w:tc>
      </w:tr>
      <w:tr>
        <w:tc>
          <w:tcPr>
            <w:tcW w:w="2268" w:type="dxa"/>
          </w:tcPr>
          <w:p>
            <w:pPr>
              <w:pStyle w:val="TableText"/>
              <w:jc w:val="left"/>
            </w:pPr>
            <w:r>
              <w:t xml:space="preserve">TES</w:t>
            </w:r>
          </w:p>
        </w:tc>
        <w:tc>
          <w:tcPr>
            <w:tcW w:w="6802" w:type="dxa"/>
          </w:tcPr>
          <w:p>
            <w:pPr>
              <w:pStyle w:val="TableText"/>
              <w:jc w:val="left"/>
            </w:pPr>
            <w:r>
              <w:t xml:space="preserve">Thermal (chilled-water) energy storage</w:t>
            </w:r>
          </w:p>
        </w:tc>
      </w:tr>
      <w:tr>
        <w:tc>
          <w:tcPr>
            <w:tcW w:w="2268" w:type="dxa"/>
          </w:tcPr>
          <w:p>
            <w:pPr>
              <w:pStyle w:val="TableText"/>
              <w:jc w:val="left"/>
            </w:pPr>
            <w:r>
              <w:t xml:space="preserve">TOU</w:t>
            </w:r>
          </w:p>
        </w:tc>
        <w:tc>
          <w:tcPr>
            <w:tcW w:w="6802" w:type="dxa"/>
          </w:tcPr>
          <w:p>
            <w:pPr>
              <w:pStyle w:val="TableText"/>
              <w:jc w:val="left"/>
            </w:pPr>
            <w:r>
              <w:t xml:space="preserve">Time of use</w:t>
            </w:r>
          </w:p>
        </w:tc>
      </w:tr>
    </w:tbl>
    <w:p>
      <w:pPr>
        <w:pStyle w:val="BodyText"/>
      </w:pPr>
      <w:r>
        <w:rPr>
          <w:bCs/>
          <w:b/>
        </w:rPr>
        <w:t xml:space="preserve">Parameters</w:t>
      </w:r>
    </w:p>
    <w:tbl>
      <w:tblPr>
        <w:tblStyle w:val="Table"/>
        <w:tblW w:type="pct" w:w="5000"/>
        <w:jc w:val="start"/>
        <w:tblBorders>
          <w:top w:val="nil"/>
          <w:left w:val="nil"/>
          <w:bottom w:val="nil"/>
          <w:right w:val="nil"/>
          <w:insideH w:val="nil"/>
          <w:insideV w:val="nil"/>
        </w:tblBorders>
        <w:tblLayout w:type="fixed"/>
        <w:tblLook w:firstRow="0" w:lastRow="0" w:firstColumn="0" w:lastColumn="0" w:noHBand="0" w:noVBand="0" w:val="0000"/>
      </w:tblPr>
      <w:tblGrid>
        <w:gridCol w:w="2268"/>
        <w:gridCol w:w="6802"/>
      </w:tblGrid>
      <w:tr>
        <w:tc>
          <w:tcPr>
            <w:tcW w:w="2268" w:type="dxa"/>
          </w:tcPr>
          <w:p>
            <w:pPr>
              <w:pStyle w:val="TableText"/>
              <w:jc w:val="left"/>
            </w:pPr>
            <m:oMath>
              <m:r>
                <m:t>Δ</m:t>
              </m:r>
              <m:r>
                <m:t>t</m:t>
              </m:r>
            </m:oMath>
            <w:r>
              <w:t xml:space="preserve">,</w:t>
            </w:r>
            <w:r>
              <w:t xml:space="preserve"> </w:t>
            </w:r>
            <m:oMath>
              <m:sSub>
                <m:e>
                  <m:r>
                    <m:t>T</m:t>
                  </m:r>
                </m:e>
                <m:sub>
                  <m:r>
                    <m:t>H</m:t>
                  </m:r>
                </m:sub>
              </m:sSub>
            </m:oMath>
          </w:p>
        </w:tc>
        <w:tc>
          <w:tcPr>
            <w:tcW w:w="6802" w:type="dxa"/>
          </w:tcPr>
          <w:p>
            <w:pPr>
              <w:pStyle w:val="TableText"/>
              <w:jc w:val="left"/>
            </w:pPr>
            <w:r>
              <w:t xml:space="preserve">Time step (0.25 h); MPC horizon (18 h)</w:t>
            </w:r>
          </w:p>
        </w:tc>
      </w:tr>
      <w:tr>
        <w:tc>
          <w:tcPr>
            <w:tcW w:w="2268" w:type="dxa"/>
          </w:tcPr>
          <w:p>
            <w:pPr>
              <w:pStyle w:val="TableText"/>
              <w:jc w:val="left"/>
            </w:pPr>
            <m:oMath>
              <m:r>
                <m:rPr>
                  <m:scr m:val="script"/>
                  <m:sty m:val="p"/>
                </m:rPr>
                <m:t>K</m:t>
              </m:r>
            </m:oMath>
            <w:r>
              <w:t xml:space="preserve">,</w:t>
            </w:r>
            <w:r>
              <w:t xml:space="preserve"> </w:t>
            </w:r>
            <m:oMath>
              <m:sSub>
                <m:e>
                  <m:r>
                    <m:rPr>
                      <m:scr m:val="script"/>
                      <m:sty m:val="p"/>
                    </m:rPr>
                    <m:t>T</m:t>
                  </m:r>
                </m:e>
                <m:sub>
                  <m:r>
                    <m:t>k</m:t>
                  </m:r>
                </m:sub>
              </m:sSub>
            </m:oMath>
            <w:r>
              <w:t xml:space="preserve">,</w:t>
            </w:r>
            <w:r>
              <w:t xml:space="preserve"> </w:t>
            </w:r>
            <m:oMath>
              <m:sSub>
                <m:e>
                  <m:r>
                    <m:t>D</m:t>
                  </m:r>
                </m:e>
                <m:sub>
                  <m:r>
                    <m:t>k</m:t>
                  </m:r>
                </m:sub>
              </m:sSub>
            </m:oMath>
          </w:p>
        </w:tc>
        <w:tc>
          <w:tcPr>
            <w:tcW w:w="6802" w:type="dxa"/>
          </w:tcPr>
          <w:p>
            <w:pPr>
              <w:pStyle w:val="TableText"/>
              <w:jc w:val="left"/>
            </w:pPr>
            <w:r>
              <w:t xml:space="preserve">Set of DR events; steps and duration of event</w:t>
            </w:r>
            <w:r>
              <w:t xml:space="preserve"> </w:t>
            </w:r>
            <m:oMath>
              <m:r>
                <m:t>k</m:t>
              </m:r>
            </m:oMath>
          </w:p>
        </w:tc>
      </w:tr>
      <w:tr>
        <w:tc>
          <w:tcPr>
            <w:tcW w:w="2268" w:type="dxa"/>
          </w:tcPr>
          <w:p>
            <w:pPr>
              <w:pStyle w:val="TableText"/>
              <w:jc w:val="left"/>
            </w:pPr>
            <m:oMath>
              <m:sSub>
                <m:e>
                  <m:r>
                    <m:t>s</m:t>
                  </m:r>
                </m:e>
                <m:sub>
                  <m:r>
                    <m:t>k</m:t>
                  </m:r>
                </m:sub>
              </m:sSub>
            </m:oMath>
            <w:r>
              <w:t xml:space="preserve">,</w:t>
            </w:r>
            <w:r>
              <w:t xml:space="preserve"> </w:t>
            </w:r>
            <m:oMath>
              <m:sSub>
                <m:e>
                  <m:r>
                    <m:t>e</m:t>
                  </m:r>
                </m:e>
                <m:sub>
                  <m:r>
                    <m:t>k</m:t>
                  </m:r>
                </m:sub>
              </m:sSub>
            </m:oMath>
            <w:r>
              <w:t xml:space="preserve">,</w:t>
            </w:r>
            <w:r>
              <w:t xml:space="preserve"> </w:t>
            </w:r>
            <m:oMath>
              <m:r>
                <m:t>τ</m:t>
              </m:r>
            </m:oMath>
          </w:p>
        </w:tc>
        <w:tc>
          <w:tcPr>
            <w:tcW w:w="6802" w:type="dxa"/>
          </w:tcPr>
          <w:p>
            <w:pPr>
              <w:pStyle w:val="TableText"/>
              <w:jc w:val="left"/>
            </w:pPr>
            <w:r>
              <w:t xml:space="preserve">First and last step of event</w:t>
            </w:r>
            <w:r>
              <w:t xml:space="preserve"> </w:t>
            </w:r>
            <m:oMath>
              <m:r>
                <m:t>k</m:t>
              </m:r>
            </m:oMath>
            <w:r>
              <w:t xml:space="preserve">; interval between two events (h)</w:t>
            </w:r>
          </w:p>
        </w:tc>
      </w:tr>
      <w:tr>
        <w:tc>
          <w:tcPr>
            <w:tcW w:w="2268" w:type="dxa"/>
          </w:tcPr>
          <w:p>
            <w:pPr>
              <w:pStyle w:val="TableText"/>
              <w:jc w:val="left"/>
            </w:pPr>
            <m:oMath>
              <m:sSub>
                <m:e>
                  <m:r>
                    <m:t>C</m:t>
                  </m:r>
                </m:e>
                <m:sub>
                  <m:r>
                    <m:t>k</m:t>
                  </m:r>
                </m:sub>
              </m:sSub>
            </m:oMath>
          </w:p>
        </w:tc>
        <w:tc>
          <w:tcPr>
            <w:tcW w:w="6802" w:type="dxa"/>
          </w:tcPr>
          <w:p>
            <w:pPr>
              <w:pStyle w:val="TableText"/>
              <w:jc w:val="left"/>
            </w:pPr>
            <w:r>
              <w:t xml:space="preserve">DR commitment of event</w:t>
            </w:r>
            <w:r>
              <w:t xml:space="preserve"> </w:t>
            </w:r>
            <m:oMath>
              <m:r>
                <m:t>k</m:t>
              </m:r>
            </m:oMath>
            <w:r>
              <w:t xml:space="preserve"> </w:t>
            </w:r>
            <w:r>
              <w:t xml:space="preserve">(MW)</w:t>
            </w:r>
          </w:p>
        </w:tc>
      </w:tr>
      <w:tr>
        <w:tc>
          <w:tcPr>
            <w:tcW w:w="2268" w:type="dxa"/>
          </w:tcPr>
          <w:p>
            <w:pPr>
              <w:pStyle w:val="TableText"/>
              <w:jc w:val="left"/>
            </w:pPr>
            <m:oMath>
              <m:sSub>
                <m:e>
                  <m:r>
                    <m:t>π</m:t>
                  </m:r>
                </m:e>
                <m:sub>
                  <m:r>
                    <m:t>t</m:t>
                  </m:r>
                </m:sub>
              </m:sSub>
            </m:oMath>
            <w:r>
              <w:t xml:space="preserve">,</w:t>
            </w:r>
            <w:r>
              <w:t xml:space="preserve"> </w:t>
            </w:r>
            <m:oMath>
              <m:sSub>
                <m:e>
                  <m:r>
                    <m:t>π</m:t>
                  </m:r>
                </m:e>
                <m:sub>
                  <m:r>
                    <m:t>k</m:t>
                  </m:r>
                </m:sub>
              </m:sSub>
            </m:oMath>
          </w:p>
        </w:tc>
        <w:tc>
          <w:tcPr>
            <w:tcW w:w="6802" w:type="dxa"/>
          </w:tcPr>
          <w:p>
            <w:pPr>
              <w:pStyle w:val="TableText"/>
              <w:jc w:val="left"/>
            </w:pPr>
            <w:r>
              <w:t xml:space="preserve">TOU energy price; DR unit price of event</w:t>
            </w:r>
            <w:r>
              <w:t xml:space="preserve"> </w:t>
            </w:r>
            <m:oMath>
              <m:r>
                <m:t>k</m:t>
              </m:r>
            </m:oMath>
            <w:r>
              <w:t xml:space="preserve"> </w:t>
            </w:r>
            <w:r>
              <w:t xml:space="preserve">(CNY/MWh)</w:t>
            </w:r>
          </w:p>
        </w:tc>
      </w:tr>
      <w:tr>
        <w:tc>
          <w:tcPr>
            <w:tcW w:w="2268" w:type="dxa"/>
          </w:tcPr>
          <w:p>
            <w:pPr>
              <w:pStyle w:val="TableText"/>
              <w:jc w:val="left"/>
            </w:pPr>
            <m:oMath>
              <m:r>
                <m:t>κ</m:t>
              </m:r>
            </m:oMath>
          </w:p>
        </w:tc>
        <w:tc>
          <w:tcPr>
            <w:tcW w:w="6802" w:type="dxa"/>
          </w:tcPr>
          <w:p>
            <w:pPr>
              <w:pStyle w:val="TableText"/>
              <w:jc w:val="left"/>
            </w:pPr>
            <w:r>
              <w:t xml:space="preserve">Shortfall assessment coefficient</w:t>
            </w:r>
          </w:p>
        </w:tc>
      </w:tr>
      <w:tr>
        <w:tc>
          <w:tcPr>
            <w:tcW w:w="2268" w:type="dxa"/>
          </w:tcPr>
          <w:p>
            <w:pPr>
              <w:pStyle w:val="TableText"/>
              <w:jc w:val="left"/>
            </w:pPr>
            <m:oMath>
              <m:sSup>
                <m:e>
                  <m:r>
                    <m:t>δ</m:t>
                  </m:r>
                </m:e>
                <m:sup>
                  <m:r>
                    <m:t>v</m:t>
                  </m:r>
                  <m:r>
                    <m:t>a</m:t>
                  </m:r>
                  <m:r>
                    <m:t>l</m:t>
                  </m:r>
                </m:sup>
              </m:sSup>
            </m:oMath>
            <w:r>
              <w:t xml:space="preserve">,</w:t>
            </w:r>
            <w:r>
              <w:t xml:space="preserve"> </w:t>
            </w:r>
            <m:oMath>
              <m:r>
                <m:t>M</m:t>
              </m:r>
            </m:oMath>
          </w:p>
        </w:tc>
        <w:tc>
          <w:tcPr>
            <w:tcW w:w="6802" w:type="dxa"/>
          </w:tcPr>
          <w:p>
            <w:pPr>
              <w:pStyle w:val="TableText"/>
              <w:jc w:val="left"/>
            </w:pPr>
            <w:r>
              <w:t xml:space="preserve">Planning margin above the validity threshold (MW); big-M constant</w:t>
            </w:r>
          </w:p>
        </w:tc>
      </w:tr>
      <w:tr>
        <w:tc>
          <w:tcPr>
            <w:tcW w:w="2268" w:type="dxa"/>
          </w:tcPr>
          <w:p>
            <w:pPr>
              <w:pStyle w:val="TableText"/>
              <w:jc w:val="left"/>
            </w:pPr>
            <m:oMath>
              <m:sSubSup>
                <m:e>
                  <m:r>
                    <m:t>P</m:t>
                  </m:r>
                </m:e>
                <m:sub>
                  <m:r>
                    <m:t>t</m:t>
                  </m:r>
                </m:sub>
                <m:sup>
                  <m:r>
                    <m:t>b</m:t>
                  </m:r>
                  <m:r>
                    <m:t>a</m:t>
                  </m:r>
                  <m:r>
                    <m:t>s</m:t>
                  </m:r>
                  <m:r>
                    <m:t>e</m:t>
                  </m:r>
                </m:sup>
              </m:sSubSup>
            </m:oMath>
          </w:p>
        </w:tc>
        <w:tc>
          <w:tcPr>
            <w:tcW w:w="6802" w:type="dxa"/>
          </w:tcPr>
          <w:p>
            <w:pPr>
              <w:pStyle w:val="TableText"/>
              <w:jc w:val="left"/>
            </w:pPr>
            <w:r>
              <w:t xml:space="preserve">DR baseline (MW)</w:t>
            </w:r>
          </w:p>
        </w:tc>
      </w:tr>
      <w:tr>
        <w:tc>
          <w:tcPr>
            <w:tcW w:w="2268" w:type="dxa"/>
          </w:tcPr>
          <w:p>
            <w:pPr>
              <w:pStyle w:val="TableText"/>
              <w:jc w:val="left"/>
            </w:pPr>
            <m:oMath>
              <m:sSup>
                <m:e>
                  <m:r>
                    <m:t>P</m:t>
                  </m:r>
                </m:e>
                <m:sup>
                  <m:r>
                    <m:t>c</m:t>
                  </m:r>
                  <m:r>
                    <m:t>a</m:t>
                  </m:r>
                  <m:r>
                    <m:t>p</m:t>
                  </m:r>
                </m:sup>
              </m:sSup>
              <m:r>
                <m:rPr>
                  <m:sty m:val="p"/>
                </m:rPr>
                <m:t>=</m:t>
              </m:r>
              <m:r>
                <m:t>γ</m:t>
              </m:r>
              <m:acc>
                <m:accPr>
                  <m:chr m:val="̂"/>
                </m:accPr>
                <m:e>
                  <m:r>
                    <m:t>P</m:t>
                  </m:r>
                </m:e>
              </m:acc>
            </m:oMath>
            <w:r>
              <w:t xml:space="preserve">,</w:t>
            </w:r>
            <w:r>
              <w:t xml:space="preserve"> </w:t>
            </w:r>
            <m:oMath>
              <m:sSup>
                <m:e>
                  <m:r>
                    <m:t>P</m:t>
                  </m:r>
                </m:e>
                <m:sup>
                  <m:r>
                    <m:t>m</m:t>
                  </m:r>
                  <m:r>
                    <m:t>i</m:t>
                  </m:r>
                  <m:r>
                    <m:t>n</m:t>
                  </m:r>
                </m:sup>
              </m:sSup>
            </m:oMath>
          </w:p>
        </w:tc>
        <w:tc>
          <w:tcPr>
            <w:tcW w:w="6802" w:type="dxa"/>
          </w:tcPr>
          <w:p>
            <w:pPr>
              <w:pStyle w:val="TableText"/>
              <w:jc w:val="left"/>
            </w:pPr>
            <w:r>
              <w:t xml:space="preserve">Grid connection limit, with margin</w:t>
            </w:r>
            <w:r>
              <w:t xml:space="preserve"> </w:t>
            </w:r>
            <m:oMath>
              <m:r>
                <m:t>γ</m:t>
              </m:r>
            </m:oMath>
            <w:r>
              <w:t xml:space="preserve"> </w:t>
            </w:r>
            <w:r>
              <w:t xml:space="preserve">over the typical-day peak</w:t>
            </w:r>
            <w:r>
              <w:t xml:space="preserve"> </w:t>
            </w:r>
            <m:oMath>
              <m:acc>
                <m:accPr>
                  <m:chr m:val="̂"/>
                </m:accPr>
                <m:e>
                  <m:r>
                    <m:t>P</m:t>
                  </m:r>
                </m:e>
              </m:acc>
            </m:oMath>
            <w:r>
              <w:t xml:space="preserve">; minimum import (MW)</w:t>
            </w:r>
          </w:p>
        </w:tc>
      </w:tr>
      <w:tr>
        <w:tc>
          <w:tcPr>
            <w:tcW w:w="2268" w:type="dxa"/>
          </w:tcPr>
          <w:p>
            <w:pPr>
              <w:pStyle w:val="TableText"/>
              <w:jc w:val="left"/>
            </w:pPr>
            <m:oMath>
              <m:sSup>
                <m:e>
                  <m:r>
                    <m:t>N</m:t>
                  </m:r>
                </m:e>
                <m:sup>
                  <m:r>
                    <m:t>G</m:t>
                  </m:r>
                  <m:r>
                    <m:t>P</m:t>
                  </m:r>
                  <m:r>
                    <m:t>U</m:t>
                  </m:r>
                </m:sup>
              </m:sSup>
            </m:oMath>
            <w:r>
              <w:t xml:space="preserve">,</w:t>
            </w:r>
            <w:r>
              <w:t xml:space="preserve"> </w:t>
            </w:r>
            <m:oMath>
              <m:sSup>
                <m:e>
                  <m:r>
                    <m:t>p</m:t>
                  </m:r>
                </m:e>
                <m:sup>
                  <m:r>
                    <m:t>i</m:t>
                  </m:r>
                  <m:r>
                    <m:t>d</m:t>
                  </m:r>
                  <m:r>
                    <m:t>l</m:t>
                  </m:r>
                  <m:r>
                    <m:t>e</m:t>
                  </m:r>
                </m:sup>
              </m:sSup>
            </m:oMath>
            <w:r>
              <w:t xml:space="preserve">,</w:t>
            </w:r>
            <w:r>
              <w:t xml:space="preserve"> </w:t>
            </w:r>
            <m:oMath>
              <m:sSup>
                <m:e>
                  <m:r>
                    <m:t>P</m:t>
                  </m:r>
                </m:e>
                <m:sup>
                  <m:r>
                    <m:t>o</m:t>
                  </m:r>
                  <m:r>
                    <m:t>t</m:t>
                  </m:r>
                  <m:r>
                    <m:t>h</m:t>
                  </m:r>
                </m:sup>
              </m:sSup>
            </m:oMath>
          </w:p>
        </w:tc>
        <w:tc>
          <w:tcPr>
            <w:tcW w:w="6802" w:type="dxa"/>
          </w:tcPr>
          <w:p>
            <w:pPr>
              <w:pStyle w:val="TableText"/>
              <w:jc w:val="left"/>
            </w:pPr>
            <w:r>
              <w:t xml:space="preserve">Number of GPUs; idle power per GPU; other IT power (MW)</w:t>
            </w:r>
          </w:p>
        </w:tc>
      </w:tr>
      <w:tr>
        <w:tc>
          <w:tcPr>
            <w:tcW w:w="2268" w:type="dxa"/>
          </w:tcPr>
          <w:p>
            <w:pPr>
              <w:pStyle w:val="TableText"/>
              <w:jc w:val="left"/>
            </w:pPr>
            <m:oMath>
              <m:sSup>
                <m:e>
                  <m:r>
                    <m:t>p</m:t>
                  </m:r>
                </m:e>
                <m:sup>
                  <m:r>
                    <m:t>d</m:t>
                  </m:r>
                  <m:r>
                    <m:t>y</m:t>
                  </m:r>
                  <m:r>
                    <m:t>n</m:t>
                  </m:r>
                </m:sup>
              </m:sSup>
            </m:oMath>
            <w:r>
              <w:t xml:space="preserve">,</w:t>
            </w:r>
            <w:r>
              <w:t xml:space="preserve"> </w:t>
            </w:r>
            <m:oMath>
              <m:sSup>
                <m:e>
                  <m:r>
                    <m:t>κ</m:t>
                  </m:r>
                </m:e>
                <m:sup>
                  <m:r>
                    <m:t>i</m:t>
                  </m:r>
                  <m:r>
                    <m:t>n</m:t>
                  </m:r>
                  <m:r>
                    <m:t>f</m:t>
                  </m:r>
                </m:sup>
              </m:sSup>
            </m:oMath>
            <w:r>
              <w:t xml:space="preserve">,</w:t>
            </w:r>
            <w:r>
              <w:t xml:space="preserve"> </w:t>
            </w:r>
            <m:oMath>
              <m:sSup>
                <m:e>
                  <m:r>
                    <m:t>P</m:t>
                  </m:r>
                </m:e>
                <m:sup>
                  <m:r>
                    <m:t>f</m:t>
                  </m:r>
                  <m:r>
                    <m:t>i</m:t>
                  </m:r>
                  <m:r>
                    <m:t>x</m:t>
                  </m:r>
                </m:sup>
              </m:sSup>
            </m:oMath>
          </w:p>
        </w:tc>
        <w:tc>
          <w:tcPr>
            <w:tcW w:w="6802" w:type="dxa"/>
          </w:tcPr>
          <w:p>
            <w:pPr>
              <w:pStyle w:val="TableText"/>
              <w:jc w:val="left"/>
            </w:pPr>
            <w:r>
              <w:t xml:space="preserve">Dynamic power per busy GPU; dynamic-power factor of inference; schedule-independent IT power (MW)</w:t>
            </w:r>
          </w:p>
        </w:tc>
      </w:tr>
      <w:tr>
        <w:tc>
          <w:tcPr>
            <w:tcW w:w="2268" w:type="dxa"/>
          </w:tcPr>
          <w:p>
            <w:pPr>
              <w:pStyle w:val="TableText"/>
              <w:jc w:val="left"/>
            </w:pPr>
            <m:oMath>
              <m:sSup>
                <m:e>
                  <m:r>
                    <m:t>u</m:t>
                  </m:r>
                </m:e>
                <m:sup>
                  <m:r>
                    <m:t>m</m:t>
                  </m:r>
                  <m:r>
                    <m:t>a</m:t>
                  </m:r>
                  <m:r>
                    <m:t>x</m:t>
                  </m:r>
                </m:sup>
              </m:sSup>
            </m:oMath>
          </w:p>
        </w:tc>
        <w:tc>
          <w:tcPr>
            <w:tcW w:w="6802" w:type="dxa"/>
          </w:tcPr>
          <w:p>
            <w:pPr>
              <w:pStyle w:val="TableText"/>
              <w:jc w:val="left"/>
            </w:pPr>
            <w:r>
              <w:t xml:space="preserve">Maximum schedulable GPU fraction</w:t>
            </w:r>
          </w:p>
        </w:tc>
      </w:tr>
      <w:tr>
        <w:tc>
          <w:tcPr>
            <w:tcW w:w="2268" w:type="dxa"/>
          </w:tcPr>
          <w:p>
            <w:pPr>
              <w:pStyle w:val="TableText"/>
              <w:jc w:val="left"/>
            </w:pPr>
            <m:oMath>
              <m:sSub>
                <m:e>
                  <m:r>
                    <m:t>a</m:t>
                  </m:r>
                </m:e>
                <m:sub>
                  <m:r>
                    <m:t>c</m:t>
                  </m:r>
                  <m:r>
                    <m:rPr>
                      <m:sty m:val="p"/>
                    </m:rPr>
                    <m:t>,</m:t>
                  </m:r>
                  <m:r>
                    <m:t>t</m:t>
                  </m:r>
                </m:sub>
              </m:sSub>
            </m:oMath>
          </w:p>
        </w:tc>
        <w:tc>
          <w:tcPr>
            <w:tcW w:w="6802" w:type="dxa"/>
          </w:tcPr>
          <w:p>
            <w:pPr>
              <w:pStyle w:val="TableText"/>
              <w:jc w:val="left"/>
            </w:pPr>
            <w:r>
              <w:t xml:space="preserve">Arrival rate of deferrable work of class</w:t>
            </w:r>
            <w:r>
              <w:t xml:space="preserve"> </w:t>
            </w:r>
            <m:oMath>
              <m:r>
                <m:t>c</m:t>
              </m:r>
            </m:oMath>
            <w:r>
              <w:t xml:space="preserve"> </w:t>
            </w:r>
            <w:r>
              <w:t xml:space="preserve">(busy GPUs)</w:t>
            </w:r>
          </w:p>
        </w:tc>
      </w:tr>
      <w:tr>
        <w:tc>
          <w:tcPr>
            <w:tcW w:w="2268" w:type="dxa"/>
          </w:tcPr>
          <w:p>
            <w:pPr>
              <w:pStyle w:val="TableText"/>
              <w:jc w:val="left"/>
            </w:pPr>
            <m:oMath>
              <m:sSub>
                <m:e>
                  <m:r>
                    <m:t>L</m:t>
                  </m:r>
                </m:e>
                <m:sub>
                  <m:r>
                    <m:t>c</m:t>
                  </m:r>
                </m:sub>
              </m:sSub>
            </m:oMath>
            <w:r>
              <w:t xml:space="preserve">,</w:t>
            </w:r>
            <w:r>
              <w:t xml:space="preserve"> </w:t>
            </w:r>
            <m:oMath>
              <m:sSub>
                <m:e>
                  <m:acc>
                    <m:accPr>
                      <m:chr m:val="‾"/>
                    </m:accPr>
                    <m:e>
                      <m:r>
                        <m:t>B</m:t>
                      </m:r>
                    </m:e>
                  </m:acc>
                </m:e>
                <m:sub>
                  <m:r>
                    <m:t>c</m:t>
                  </m:r>
                  <m:r>
                    <m:rPr>
                      <m:sty m:val="p"/>
                    </m:rPr>
                    <m:t>,</m:t>
                  </m:r>
                  <m:r>
                    <m:t>t</m:t>
                  </m:r>
                </m:sub>
              </m:sSub>
              <m:d>
                <m:dPr>
                  <m:begChr m:val="("/>
                  <m:sepChr m:val=""/>
                  <m:endChr m:val=")"/>
                  <m:grow/>
                </m:dPr>
                <m:e>
                  <m:sSub>
                    <m:e>
                      <m:r>
                        <m:t>L</m:t>
                      </m:r>
                    </m:e>
                    <m:sub>
                      <m:r>
                        <m:t>c</m:t>
                      </m:r>
                    </m:sub>
                  </m:sSub>
                </m:e>
              </m:d>
            </m:oMath>
          </w:p>
        </w:tc>
        <w:tc>
          <w:tcPr>
            <w:tcW w:w="6802" w:type="dxa"/>
          </w:tcPr>
          <w:p>
            <w:pPr>
              <w:pStyle w:val="TableText"/>
              <w:jc w:val="left"/>
            </w:pPr>
            <w:r>
              <w:t xml:space="preserve">Lag bound (deadline) of class</w:t>
            </w:r>
            <w:r>
              <w:t xml:space="preserve"> </w:t>
            </w:r>
            <m:oMath>
              <m:r>
                <m:t>c</m:t>
              </m:r>
            </m:oMath>
            <w:r>
              <w:t xml:space="preserve"> </w:t>
            </w:r>
            <w:r>
              <w:t xml:space="preserve">(h); class-</w:t>
            </w:r>
            <m:oMath>
              <m:r>
                <m:t>c</m:t>
              </m:r>
            </m:oMath>
            <w:r>
              <w:t xml:space="preserve"> </w:t>
            </w:r>
            <w:r>
              <w:t xml:space="preserve">work that arrived within the last</w:t>
            </w:r>
            <w:r>
              <w:t xml:space="preserve"> </w:t>
            </w:r>
            <m:oMath>
              <m:sSub>
                <m:e>
                  <m:r>
                    <m:t>L</m:t>
                  </m:r>
                </m:e>
                <m:sub>
                  <m:r>
                    <m:t>c</m:t>
                  </m:r>
                </m:sub>
              </m:sSub>
            </m:oMath>
            <w:r>
              <w:t xml:space="preserve"> </w:t>
            </w:r>
            <w:r>
              <w:t xml:space="preserve">hours (GPU·h)</w:t>
            </w:r>
          </w:p>
        </w:tc>
      </w:tr>
      <w:tr>
        <w:tc>
          <w:tcPr>
            <w:tcW w:w="2268" w:type="dxa"/>
          </w:tcPr>
          <w:p>
            <w:pPr>
              <w:pStyle w:val="TableText"/>
              <w:jc w:val="left"/>
            </w:pPr>
            <m:oMath>
              <m:sSubSup>
                <m:e>
                  <m:r>
                    <m:t>G</m:t>
                  </m:r>
                </m:e>
                <m:sub>
                  <m:r>
                    <m:t>t</m:t>
                  </m:r>
                </m:sub>
                <m:sup>
                  <m:r>
                    <m:t>i</m:t>
                  </m:r>
                  <m:r>
                    <m:t>n</m:t>
                  </m:r>
                  <m:r>
                    <m:t>f</m:t>
                  </m:r>
                </m:sup>
              </m:sSubSup>
            </m:oMath>
            <w:r>
              <w:t xml:space="preserve">,</w:t>
            </w:r>
            <w:r>
              <w:t xml:space="preserve"> </w:t>
            </w:r>
            <m:oMath>
              <m:sSubSup>
                <m:e>
                  <m:r>
                    <m:t>G</m:t>
                  </m:r>
                </m:e>
                <m:sub>
                  <m:r>
                    <m:t>t</m:t>
                  </m:r>
                </m:sub>
                <m:sup>
                  <m:r>
                    <m:t>f</m:t>
                  </m:r>
                  <m:r>
                    <m:t>i</m:t>
                  </m:r>
                  <m:r>
                    <m:t>x</m:t>
                  </m:r>
                </m:sup>
              </m:sSubSup>
            </m:oMath>
          </w:p>
        </w:tc>
        <w:tc>
          <w:tcPr>
            <w:tcW w:w="6802" w:type="dxa"/>
          </w:tcPr>
          <w:p>
            <w:pPr>
              <w:pStyle w:val="TableText"/>
              <w:jc w:val="left"/>
            </w:pPr>
            <w:r>
              <w:t xml:space="preserve">Busy GPUs of online inference and non-deferrable training</w:t>
            </w:r>
          </w:p>
        </w:tc>
      </w:tr>
      <w:tr>
        <w:tc>
          <w:tcPr>
            <w:tcW w:w="2268" w:type="dxa"/>
          </w:tcPr>
          <w:p>
            <w:pPr>
              <w:pStyle w:val="TableText"/>
              <w:jc w:val="left"/>
            </w:pPr>
            <m:oMath>
              <m:r>
                <m:t>ζ</m:t>
              </m:r>
            </m:oMath>
            <w:r>
              <w:t xml:space="preserve">,</w:t>
            </w:r>
            <w:r>
              <w:t xml:space="preserve"> </w:t>
            </w:r>
            <m:oMath>
              <m:sSup>
                <m:e>
                  <m:r>
                    <m:t>P</m:t>
                  </m:r>
                </m:e>
                <m:sup>
                  <m:r>
                    <m:t>a</m:t>
                  </m:r>
                  <m:r>
                    <m:t>u</m:t>
                  </m:r>
                  <m:r>
                    <m:t>x</m:t>
                  </m:r>
                </m:sup>
              </m:sSup>
            </m:oMath>
          </w:p>
        </w:tc>
        <w:tc>
          <w:tcPr>
            <w:tcW w:w="6802" w:type="dxa"/>
          </w:tcPr>
          <w:p>
            <w:pPr>
              <w:pStyle w:val="TableText"/>
              <w:jc w:val="left"/>
            </w:pPr>
            <w:r>
              <w:t xml:space="preserve">Distribution and air-handling losses as a share of the IT power; auxiliary facility power (MW)</w:t>
            </w:r>
          </w:p>
        </w:tc>
      </w:tr>
      <w:tr>
        <w:tc>
          <w:tcPr>
            <w:tcW w:w="2268" w:type="dxa"/>
          </w:tcPr>
          <w:p>
            <w:pPr>
              <w:pStyle w:val="TableText"/>
              <w:jc w:val="left"/>
            </w:pPr>
            <m:oMath>
              <m:r>
                <m:t>θ</m:t>
              </m:r>
            </m:oMath>
            <w:r>
              <w:t xml:space="preserve">,</w:t>
            </w:r>
            <w:r>
              <w:t xml:space="preserve"> </w:t>
            </w:r>
            <m:oMath>
              <m:sSub>
                <m:e>
                  <m:r>
                    <m:t>Q</m:t>
                  </m:r>
                </m:e>
                <m:sub>
                  <m:r>
                    <m:t>0</m:t>
                  </m:r>
                </m:sub>
              </m:sSub>
            </m:oMath>
          </w:p>
        </w:tc>
        <w:tc>
          <w:tcPr>
            <w:tcW w:w="6802" w:type="dxa"/>
          </w:tcPr>
          <w:p>
            <w:pPr>
              <w:pStyle w:val="TableText"/>
              <w:jc w:val="left"/>
            </w:pPr>
            <w:r>
              <w:t xml:space="preserve">Heat to be removed per unit of IT power; base cooling load (MW</w:t>
            </w:r>
            <w:r>
              <w:rPr>
                <w:vertAlign w:val="subscript"/>
              </w:rPr>
              <w:t xml:space="preserve">th</w:t>
            </w:r>
            <w:r>
              <w:t xml:space="preserve">)</w:t>
            </w:r>
          </w:p>
        </w:tc>
      </w:tr>
      <w:tr>
        <w:tc>
          <w:tcPr>
            <w:tcW w:w="2268" w:type="dxa"/>
          </w:tcPr>
          <w:p>
            <w:pPr>
              <w:pStyle w:val="TableText"/>
              <w:jc w:val="left"/>
            </w:pPr>
            <m:oMath>
              <m:sSub>
                <m:e>
                  <m:r>
                    <m:rPr>
                      <m:sty m:val="p"/>
                    </m:rPr>
                    <m:t>C</m:t>
                  </m:r>
                  <m:r>
                    <m:rPr>
                      <m:sty m:val="p"/>
                    </m:rPr>
                    <m:t>O</m:t>
                  </m:r>
                  <m:r>
                    <m:rPr>
                      <m:sty m:val="p"/>
                    </m:rPr>
                    <m:t>P</m:t>
                  </m:r>
                </m:e>
                <m:sub>
                  <m:r>
                    <m:t>t</m:t>
                  </m:r>
                </m:sub>
              </m:sSub>
            </m:oMath>
            <w:r>
              <w:t xml:space="preserve">,</w:t>
            </w:r>
            <w:r>
              <w:t xml:space="preserve"> </w:t>
            </w:r>
            <m:oMath>
              <m:sSup>
                <m:e>
                  <m:r>
                    <m:rPr>
                      <m:sty m:val="p"/>
                    </m:rPr>
                    <m:t>C</m:t>
                  </m:r>
                  <m:r>
                    <m:rPr>
                      <m:sty m:val="p"/>
                    </m:rPr>
                    <m:t>O</m:t>
                  </m:r>
                  <m:r>
                    <m:rPr>
                      <m:sty m:val="p"/>
                    </m:rPr>
                    <m:t>P</m:t>
                  </m:r>
                </m:e>
                <m:sup>
                  <m:r>
                    <m:t>A</m:t>
                  </m:r>
                  <m:r>
                    <m:t>C</m:t>
                  </m:r>
                </m:sup>
              </m:sSup>
            </m:oMath>
          </w:p>
        </w:tc>
        <w:tc>
          <w:tcPr>
            <w:tcW w:w="6802" w:type="dxa"/>
          </w:tcPr>
          <w:p>
            <w:pPr>
              <w:pStyle w:val="TableText"/>
              <w:jc w:val="left"/>
            </w:pPr>
            <w:r>
              <w:t xml:space="preserve">Electric chiller COP (temperature dependent); absorption chiller COP</w:t>
            </w:r>
          </w:p>
        </w:tc>
      </w:tr>
      <w:tr>
        <w:tc>
          <w:tcPr>
            <w:tcW w:w="2268" w:type="dxa"/>
          </w:tcPr>
          <w:p>
            <w:pPr>
              <w:pStyle w:val="TableText"/>
              <w:jc w:val="left"/>
            </w:pPr>
            <m:oMath>
              <m:sSup>
                <m:e>
                  <m:acc>
                    <m:accPr>
                      <m:chr m:val="‾"/>
                    </m:accPr>
                    <m:e>
                      <m:r>
                        <m:t>Q</m:t>
                      </m:r>
                    </m:e>
                  </m:acc>
                </m:e>
                <m:sup>
                  <m:r>
                    <m:t>E</m:t>
                  </m:r>
                  <m:r>
                    <m:t>C</m:t>
                  </m:r>
                </m:sup>
              </m:sSup>
            </m:oMath>
            <w:r>
              <w:t xml:space="preserve">,</w:t>
            </w:r>
            <w:r>
              <w:t xml:space="preserve"> </w:t>
            </w:r>
            <m:oMath>
              <m:sSup>
                <m:e>
                  <m:acc>
                    <m:accPr>
                      <m:chr m:val="‾"/>
                    </m:accPr>
                    <m:e>
                      <m:r>
                        <m:t>Q</m:t>
                      </m:r>
                    </m:e>
                  </m:acc>
                </m:e>
                <m:sup>
                  <m:r>
                    <m:t>A</m:t>
                  </m:r>
                  <m:r>
                    <m:t>C</m:t>
                  </m:r>
                </m:sup>
              </m:sSup>
            </m:oMath>
            <w:r>
              <w:t xml:space="preserve">,</w:t>
            </w:r>
            <w:r>
              <w:t xml:space="preserve"> </w:t>
            </w:r>
            <m:oMath>
              <m:sSup>
                <m:e>
                  <m:acc>
                    <m:accPr>
                      <m:chr m:val="‾"/>
                    </m:accPr>
                    <m:e>
                      <m:r>
                        <m:t>Q</m:t>
                      </m:r>
                    </m:e>
                  </m:acc>
                </m:e>
                <m:sup>
                  <m:r>
                    <m:t>T</m:t>
                  </m:r>
                </m:sup>
              </m:sSup>
            </m:oMath>
          </w:p>
        </w:tc>
        <w:tc>
          <w:tcPr>
            <w:tcW w:w="6802" w:type="dxa"/>
          </w:tcPr>
          <w:p>
            <w:pPr>
              <w:pStyle w:val="TableText"/>
              <w:jc w:val="left"/>
            </w:pPr>
            <w:r>
              <w:t xml:space="preserve">Cooling capacity of the electric and absorption chillers; TES power rating (MW</w:t>
            </w:r>
            <w:r>
              <w:rPr>
                <w:vertAlign w:val="subscript"/>
              </w:rPr>
              <w:t xml:space="preserve">th</w:t>
            </w:r>
            <w:r>
              <w:t xml:space="preserve">)</w:t>
            </w:r>
          </w:p>
        </w:tc>
      </w:tr>
      <w:tr>
        <w:tc>
          <w:tcPr>
            <w:tcW w:w="2268" w:type="dxa"/>
          </w:tcPr>
          <w:p>
            <w:pPr>
              <w:pStyle w:val="TableText"/>
              <w:jc w:val="left"/>
            </w:pPr>
            <m:oMath>
              <m:sSup>
                <m:e>
                  <m:acc>
                    <m:accPr>
                      <m:chr m:val="‾"/>
                    </m:accPr>
                    <m:e>
                      <m:r>
                        <m:t>P</m:t>
                      </m:r>
                    </m:e>
                  </m:acc>
                </m:e>
                <m:sup>
                  <m:r>
                    <m:t>G</m:t>
                  </m:r>
                  <m:r>
                    <m:t>T</m:t>
                  </m:r>
                </m:sup>
              </m:sSup>
            </m:oMath>
            <w:r>
              <w:t xml:space="preserve">,</w:t>
            </w:r>
            <w:r>
              <w:t xml:space="preserve"> </w:t>
            </w:r>
            <m:oMath>
              <m:sSup>
                <m:e>
                  <m:r>
                    <m:t>R</m:t>
                  </m:r>
                </m:e>
                <m:sup>
                  <m:r>
                    <m:t>G</m:t>
                  </m:r>
                  <m:r>
                    <m:t>T</m:t>
                  </m:r>
                </m:sup>
              </m:sSup>
            </m:oMath>
            <w:r>
              <w:t xml:space="preserve">,</w:t>
            </w:r>
            <w:r>
              <w:t xml:space="preserve"> </w:t>
            </w:r>
            <m:oMath>
              <m:sSup>
                <m:e>
                  <m:r>
                    <m:t>k</m:t>
                  </m:r>
                </m:e>
                <m:sup>
                  <m:r>
                    <m:t>h</m:t>
                  </m:r>
                </m:sup>
              </m:sSup>
            </m:oMath>
          </w:p>
        </w:tc>
        <w:tc>
          <w:tcPr>
            <w:tcW w:w="6802" w:type="dxa"/>
          </w:tcPr>
          <w:p>
            <w:pPr>
              <w:pStyle w:val="TableText"/>
              <w:jc w:val="left"/>
            </w:pPr>
            <w:r>
              <w:t xml:space="preserve">Gas-engine rating; ramp limit per step (MW); recoverable heat per unit of output</w:t>
            </w:r>
          </w:p>
        </w:tc>
      </w:tr>
      <w:tr>
        <w:tc>
          <w:tcPr>
            <w:tcW w:w="2268" w:type="dxa"/>
          </w:tcPr>
          <w:p>
            <w:pPr>
              <w:pStyle w:val="TableText"/>
              <w:jc w:val="left"/>
            </w:pPr>
            <m:oMath>
              <m:sSup>
                <m:e>
                  <m:r>
                    <m:t>η</m:t>
                  </m:r>
                </m:e>
                <m:sup>
                  <m:r>
                    <m:t>G</m:t>
                  </m:r>
                  <m:r>
                    <m:t>T</m:t>
                  </m:r>
                </m:sup>
              </m:sSup>
            </m:oMath>
            <w:r>
              <w:t xml:space="preserve">,</w:t>
            </w:r>
            <w:r>
              <w:t xml:space="preserve"> </w:t>
            </w:r>
            <m:oMath>
              <m:sSup>
                <m:e>
                  <m:r>
                    <m:t>c</m:t>
                  </m:r>
                </m:e>
                <m:sup>
                  <m:r>
                    <m:t>g</m:t>
                  </m:r>
                  <m:r>
                    <m:t>a</m:t>
                  </m:r>
                  <m:r>
                    <m:t>s</m:t>
                  </m:r>
                </m:sup>
              </m:sSup>
            </m:oMath>
          </w:p>
        </w:tc>
        <w:tc>
          <w:tcPr>
            <w:tcW w:w="6802" w:type="dxa"/>
          </w:tcPr>
          <w:p>
            <w:pPr>
              <w:pStyle w:val="TableText"/>
              <w:jc w:val="left"/>
            </w:pPr>
            <w:r>
              <w:t xml:space="preserve">Gas-engine electrical efficiency; gas price (CNY/MWh of fuel)</w:t>
            </w:r>
          </w:p>
        </w:tc>
      </w:tr>
      <w:tr>
        <w:tc>
          <w:tcPr>
            <w:tcW w:w="2268" w:type="dxa"/>
          </w:tcPr>
          <w:p>
            <w:pPr>
              <w:pStyle w:val="TableText"/>
              <w:jc w:val="left"/>
            </w:pPr>
            <m:oMath>
              <m:sSubSup>
                <m:e>
                  <m:acc>
                    <m:accPr>
                      <m:chr m:val="‾"/>
                    </m:accPr>
                    <m:e>
                      <m:r>
                        <m:t>P</m:t>
                      </m:r>
                    </m:e>
                  </m:acc>
                </m:e>
                <m:sub>
                  <m:r>
                    <m:t>t</m:t>
                  </m:r>
                </m:sub>
                <m:sup>
                  <m:r>
                    <m:t>P</m:t>
                  </m:r>
                  <m:r>
                    <m:t>V</m:t>
                  </m:r>
                </m:sup>
              </m:sSubSup>
            </m:oMath>
          </w:p>
        </w:tc>
        <w:tc>
          <w:tcPr>
            <w:tcW w:w="6802" w:type="dxa"/>
          </w:tcPr>
          <w:p>
            <w:pPr>
              <w:pStyle w:val="TableText"/>
              <w:jc w:val="left"/>
            </w:pPr>
            <w:r>
              <w:t xml:space="preserve">Available PV power (MW)</w:t>
            </w:r>
          </w:p>
        </w:tc>
      </w:tr>
      <w:tr>
        <w:tc>
          <w:tcPr>
            <w:tcW w:w="2268" w:type="dxa"/>
          </w:tcPr>
          <w:p>
            <w:pPr>
              <w:pStyle w:val="TableText"/>
              <w:jc w:val="left"/>
            </w:pPr>
            <m:oMath>
              <m:sSub>
                <m:e>
                  <m:r>
                    <m:t>η</m:t>
                  </m:r>
                </m:e>
                <m:sub>
                  <m:r>
                    <m:t>c</m:t>
                  </m:r>
                </m:sub>
              </m:sSub>
            </m:oMath>
            <w:r>
              <w:t xml:space="preserve">,</w:t>
            </w:r>
            <w:r>
              <w:t xml:space="preserve"> </w:t>
            </w:r>
            <m:oMath>
              <m:sSub>
                <m:e>
                  <m:r>
                    <m:t>η</m:t>
                  </m:r>
                </m:e>
                <m:sub>
                  <m:r>
                    <m:t>d</m:t>
                  </m:r>
                </m:sub>
              </m:sSub>
            </m:oMath>
            <w:r>
              <w:t xml:space="preserve">,</w:t>
            </w:r>
            <w:r>
              <w:t xml:space="preserve"> </w:t>
            </w:r>
            <m:oMath>
              <m:sSup>
                <m:e>
                  <m:r>
                    <m:t>c</m:t>
                  </m:r>
                </m:e>
                <m:sup>
                  <m:r>
                    <m:t>d</m:t>
                  </m:r>
                  <m:r>
                    <m:t>e</m:t>
                  </m:r>
                  <m:r>
                    <m:t>g</m:t>
                  </m:r>
                </m:sup>
              </m:sSup>
            </m:oMath>
          </w:p>
        </w:tc>
        <w:tc>
          <w:tcPr>
            <w:tcW w:w="6802" w:type="dxa"/>
          </w:tcPr>
          <w:p>
            <w:pPr>
              <w:pStyle w:val="TableText"/>
              <w:jc w:val="left"/>
            </w:pPr>
            <w:r>
              <w:t xml:space="preserve">BESS charging / discharging efficiency; degradation cost (CNY/MWh)</w:t>
            </w:r>
          </w:p>
        </w:tc>
      </w:tr>
      <w:tr>
        <w:tc>
          <w:tcPr>
            <w:tcW w:w="2268" w:type="dxa"/>
          </w:tcPr>
          <w:p>
            <w:pPr>
              <w:pStyle w:val="TableText"/>
              <w:jc w:val="left"/>
            </w:pPr>
            <m:oMath>
              <m:bar>
                <m:barPr>
                  <m:pos m:val="bot"/>
                </m:barPr>
                <m:e>
                  <m:r>
                    <m:t>E</m:t>
                  </m:r>
                </m:e>
              </m:bar>
            </m:oMath>
            <w:r>
              <w:t xml:space="preserve">,</w:t>
            </w:r>
            <w:r>
              <w:t xml:space="preserve"> </w:t>
            </w:r>
            <m:oMath>
              <m:acc>
                <m:accPr>
                  <m:chr m:val="‾"/>
                </m:accPr>
                <m:e>
                  <m:r>
                    <m:t>E</m:t>
                  </m:r>
                </m:e>
              </m:acc>
            </m:oMath>
            <w:r>
              <w:t xml:space="preserve">,</w:t>
            </w:r>
            <w:r>
              <w:t xml:space="preserve"> </w:t>
            </w:r>
            <m:oMath>
              <m:sSup>
                <m:e>
                  <m:acc>
                    <m:accPr>
                      <m:chr m:val="‾"/>
                    </m:accPr>
                    <m:e>
                      <m:r>
                        <m:t>P</m:t>
                      </m:r>
                    </m:e>
                  </m:acc>
                </m:e>
                <m:sup>
                  <m:r>
                    <m:t>B</m:t>
                  </m:r>
                </m:sup>
              </m:sSup>
            </m:oMath>
          </w:p>
        </w:tc>
        <w:tc>
          <w:tcPr>
            <w:tcW w:w="6802" w:type="dxa"/>
          </w:tcPr>
          <w:p>
            <w:pPr>
              <w:pStyle w:val="TableText"/>
              <w:jc w:val="left"/>
            </w:pPr>
            <w:r>
              <w:t xml:space="preserve">BESS energy bounds (MWh) and power rating (MW)</w:t>
            </w:r>
          </w:p>
        </w:tc>
      </w:tr>
      <w:tr>
        <w:tc>
          <w:tcPr>
            <w:tcW w:w="2268" w:type="dxa"/>
          </w:tcPr>
          <w:p>
            <w:pPr>
              <w:pStyle w:val="TableText"/>
              <w:jc w:val="left"/>
            </w:pPr>
            <m:oMath>
              <m:sSubSup>
                <m:e>
                  <m:r>
                    <m:t>η</m:t>
                  </m:r>
                </m:e>
                <m:sub>
                  <m:r>
                    <m:t>c</m:t>
                  </m:r>
                </m:sub>
                <m:sup>
                  <m:r>
                    <m:t>T</m:t>
                  </m:r>
                </m:sup>
              </m:sSubSup>
            </m:oMath>
            <w:r>
              <w:t xml:space="preserve">,</w:t>
            </w:r>
            <w:r>
              <w:t xml:space="preserve"> </w:t>
            </w:r>
            <m:oMath>
              <m:sSubSup>
                <m:e>
                  <m:r>
                    <m:t>η</m:t>
                  </m:r>
                </m:e>
                <m:sub>
                  <m:r>
                    <m:t>d</m:t>
                  </m:r>
                </m:sub>
                <m:sup>
                  <m:r>
                    <m:t>T</m:t>
                  </m:r>
                </m:sup>
              </m:sSubSup>
            </m:oMath>
            <w:r>
              <w:t xml:space="preserve">,</w:t>
            </w:r>
            <w:r>
              <w:t xml:space="preserve"> </w:t>
            </w:r>
            <m:oMath>
              <m:r>
                <m:t>σ</m:t>
              </m:r>
            </m:oMath>
          </w:p>
        </w:tc>
        <w:tc>
          <w:tcPr>
            <w:tcW w:w="6802" w:type="dxa"/>
          </w:tcPr>
          <w:p>
            <w:pPr>
              <w:pStyle w:val="TableText"/>
              <w:jc w:val="left"/>
            </w:pPr>
            <w:r>
              <w:t xml:space="preserve">TES charging / discharging efficiency; hourly loss rate</w:t>
            </w:r>
          </w:p>
        </w:tc>
      </w:tr>
      <w:tr>
        <w:tc>
          <w:tcPr>
            <w:tcW w:w="2268" w:type="dxa"/>
          </w:tcPr>
          <w:p>
            <w:pPr>
              <w:pStyle w:val="TableText"/>
              <w:jc w:val="left"/>
            </w:pPr>
            <m:oMath>
              <m:bar>
                <m:barPr>
                  <m:pos m:val="bot"/>
                </m:barPr>
                <m:e>
                  <m:r>
                    <m:t>S</m:t>
                  </m:r>
                </m:e>
              </m:bar>
            </m:oMath>
            <w:r>
              <w:t xml:space="preserve">,</w:t>
            </w:r>
            <w:r>
              <w:t xml:space="preserve"> </w:t>
            </w:r>
            <m:oMath>
              <m:acc>
                <m:accPr>
                  <m:chr m:val="‾"/>
                </m:accPr>
                <m:e>
                  <m:r>
                    <m:t>S</m:t>
                  </m:r>
                </m:e>
              </m:acc>
            </m:oMath>
          </w:p>
        </w:tc>
        <w:tc>
          <w:tcPr>
            <w:tcW w:w="6802" w:type="dxa"/>
          </w:tcPr>
          <w:p>
            <w:pPr>
              <w:pStyle w:val="TableText"/>
              <w:jc w:val="left"/>
            </w:pPr>
            <w:r>
              <w:t xml:space="preserve">TES energy bounds (MWh</w:t>
            </w:r>
            <w:r>
              <w:rPr>
                <w:vertAlign w:val="subscript"/>
              </w:rPr>
              <w:t xml:space="preserve">th</w:t>
            </w:r>
            <w:r>
              <w:t xml:space="preserve">)</w:t>
            </w:r>
          </w:p>
        </w:tc>
      </w:tr>
      <w:tr>
        <w:tc>
          <w:tcPr>
            <w:tcW w:w="2268" w:type="dxa"/>
          </w:tcPr>
          <w:p>
            <w:pPr>
              <w:pStyle w:val="TableText"/>
              <w:jc w:val="left"/>
            </w:pPr>
            <m:oMath>
              <m:sSup>
                <m:e>
                  <m:r>
                    <m:t>c</m:t>
                  </m:r>
                </m:e>
                <m:sup>
                  <m:r>
                    <m:t>j</m:t>
                  </m:r>
                  <m:r>
                    <m:t>c</m:t>
                  </m:r>
                  <m:r>
                    <m:t>t</m:t>
                  </m:r>
                </m:sup>
              </m:sSup>
            </m:oMath>
            <w:r>
              <w:t xml:space="preserve">,</w:t>
            </w:r>
            <w:r>
              <w:t xml:space="preserve"> </w:t>
            </w:r>
            <m:oMath>
              <m:sSup>
                <m:e>
                  <m:r>
                    <m:t>c</m:t>
                  </m:r>
                </m:e>
                <m:sup>
                  <m:r>
                    <m:t>l</m:t>
                  </m:r>
                  <m:r>
                    <m:t>a</m:t>
                  </m:r>
                  <m:r>
                    <m:t>t</m:t>
                  </m:r>
                  <m:r>
                    <m:t>e</m:t>
                  </m:r>
                </m:sup>
              </m:sSup>
            </m:oMath>
          </w:p>
        </w:tc>
        <w:tc>
          <w:tcPr>
            <w:tcW w:w="6802" w:type="dxa"/>
          </w:tcPr>
          <w:p>
            <w:pPr>
              <w:pStyle w:val="TableText"/>
              <w:jc w:val="left"/>
            </w:pPr>
            <w:r>
              <w:t xml:space="preserve">Delay and lateness prices of deferred work (CNY per GPU·h·h)</w:t>
            </w:r>
          </w:p>
        </w:tc>
      </w:tr>
      <w:tr>
        <w:tc>
          <w:tcPr>
            <w:tcW w:w="2268" w:type="dxa"/>
          </w:tcPr>
          <w:p>
            <w:pPr>
              <w:pStyle w:val="TableText"/>
              <w:jc w:val="left"/>
            </w:pPr>
            <m:oMath>
              <m:r>
                <m:t>α</m:t>
              </m:r>
            </m:oMath>
          </w:p>
        </w:tc>
        <w:tc>
          <w:tcPr>
            <w:tcW w:w="6802" w:type="dxa"/>
          </w:tcPr>
          <w:p>
            <w:pPr>
              <w:pStyle w:val="TableText"/>
              <w:jc w:val="left"/>
            </w:pPr>
            <w:r>
              <w:t xml:space="preserve">Compute share of the reduction in the static split of IR-O*</w:t>
            </w:r>
          </w:p>
        </w:tc>
      </w:tr>
      <w:tr>
        <w:tc>
          <w:tcPr>
            <w:tcW w:w="2268" w:type="dxa"/>
          </w:tcPr>
          <w:p>
            <w:pPr>
              <w:pStyle w:val="TableText"/>
              <w:jc w:val="left"/>
            </w:pPr>
            <m:oMath>
              <m:r>
                <m:t>ρ</m:t>
              </m:r>
            </m:oMath>
            <w:r>
              <w:t xml:space="preserve">,</w:t>
            </w:r>
            <w:r>
              <w:t xml:space="preserve"> </w:t>
            </w:r>
            <m:oMath>
              <m:sSub>
                <m:e>
                  <m:r>
                    <m:t>ϵ</m:t>
                  </m:r>
                </m:e>
                <m:sub>
                  <m:r>
                    <m:t>f</m:t>
                  </m:r>
                </m:sub>
              </m:sSub>
            </m:oMath>
          </w:p>
        </w:tc>
        <w:tc>
          <w:tcPr>
            <w:tcW w:w="6802" w:type="dxa"/>
          </w:tcPr>
          <w:p>
            <w:pPr>
              <w:pStyle w:val="TableText"/>
              <w:jc w:val="left"/>
            </w:pPr>
            <w:r>
              <w:t xml:space="preserve">Target reliability of the firm capacity; metering tolerance of full delivery (2 %)</w:t>
            </w:r>
          </w:p>
        </w:tc>
      </w:tr>
      <w:tr>
        <w:tc>
          <w:tcPr>
            <w:tcW w:w="2268" w:type="dxa"/>
          </w:tcPr>
          <w:p>
            <w:pPr>
              <w:pStyle w:val="TableText"/>
              <w:jc w:val="left"/>
            </w:pPr>
            <m:oMath>
              <m:r>
                <m:rPr>
                  <m:scr m:val="script"/>
                  <m:sty m:val="p"/>
                </m:rPr>
                <m:t>G</m:t>
              </m:r>
            </m:oMath>
            <w:r>
              <w:t xml:space="preserve">,</w:t>
            </w:r>
            <w:r>
              <w:t xml:space="preserve"> </w:t>
            </w:r>
            <m:oMath>
              <m:sSub>
                <m:e>
                  <m:r>
                    <m:t>Δ</m:t>
                  </m:r>
                </m:e>
                <m:sub>
                  <m:r>
                    <m:rPr>
                      <m:scr m:val="script"/>
                      <m:sty m:val="p"/>
                    </m:rPr>
                    <m:t>G</m:t>
                  </m:r>
                </m:sub>
              </m:sSub>
            </m:oMath>
          </w:p>
        </w:tc>
        <w:tc>
          <w:tcPr>
            <w:tcW w:w="6802" w:type="dxa"/>
          </w:tcPr>
          <w:p>
            <w:pPr>
              <w:pStyle w:val="TableText"/>
              <w:jc w:val="left"/>
            </w:pPr>
            <w:r>
              <w:t xml:space="preserve">Commitment grid and its step (MW)</w:t>
            </w:r>
          </w:p>
        </w:tc>
      </w:tr>
      <w:tr>
        <w:tc>
          <w:tcPr>
            <w:tcW w:w="2268" w:type="dxa"/>
          </w:tcPr>
          <w:p>
            <w:pPr>
              <w:pStyle w:val="TableText"/>
              <w:jc w:val="left"/>
            </w:pPr>
            <m:oMath>
              <m:sSup>
                <m:e>
                  <m:r>
                    <m:t>Ω</m:t>
                  </m:r>
                </m:e>
                <m:sup>
                  <m:r>
                    <m:t>D</m:t>
                  </m:r>
                  <m:r>
                    <m:t>A</m:t>
                  </m:r>
                </m:sup>
              </m:sSup>
            </m:oMath>
            <w:r>
              <w:t xml:space="preserve">,</w:t>
            </w:r>
            <w:r>
              <w:t xml:space="preserve"> </w:t>
            </w:r>
            <m:oMath>
              <m:r>
                <m:t>Ω</m:t>
              </m:r>
            </m:oMath>
            <w:r>
              <w:t xml:space="preserve">,</w:t>
            </w:r>
            <w:r>
              <w:t xml:space="preserve"> </w:t>
            </w:r>
            <m:oMath>
              <m:r>
                <m:t>N</m:t>
              </m:r>
            </m:oMath>
          </w:p>
        </w:tc>
        <w:tc>
          <w:tcPr>
            <w:tcW w:w="6802" w:type="dxa"/>
          </w:tcPr>
          <w:p>
            <w:pPr>
              <w:pStyle w:val="TableText"/>
              <w:jc w:val="left"/>
            </w:pPr>
            <w:r>
              <w:t xml:space="preserve">Historical days used day-ahead; operating (test) days; number of historical days</w:t>
            </w:r>
          </w:p>
        </w:tc>
      </w:tr>
      <w:tr>
        <w:tc>
          <w:tcPr>
            <w:tcW w:w="2268" w:type="dxa"/>
          </w:tcPr>
          <w:p>
            <w:pPr>
              <w:pStyle w:val="TableText"/>
              <w:jc w:val="left"/>
            </w:pPr>
            <m:oMath>
              <m:r>
                <m:t>ε</m:t>
              </m:r>
            </m:oMath>
            <w:r>
              <w:t xml:space="preserve">,</w:t>
            </w:r>
            <w:r>
              <w:t xml:space="preserve"> </w:t>
            </w:r>
            <m:oMath>
              <m:sSub>
                <m:e>
                  <m:r>
                    <m:t>ε</m:t>
                  </m:r>
                </m:e>
                <m:sub>
                  <m:r>
                    <m:t>N</m:t>
                  </m:r>
                </m:sub>
              </m:sSub>
            </m:oMath>
          </w:p>
        </w:tc>
        <w:tc>
          <w:tcPr>
            <w:tcW w:w="6802" w:type="dxa"/>
          </w:tcPr>
          <w:p>
            <w:pPr>
              <w:pStyle w:val="TableText"/>
              <w:jc w:val="left"/>
            </w:pPr>
            <w:r>
              <w:t xml:space="preserve">Radius of the 1-Wasserstein ambiguity set; expected estimation error (MW)</w:t>
            </w:r>
          </w:p>
        </w:tc>
      </w:tr>
      <w:tr>
        <w:tc>
          <w:tcPr>
            <w:tcW w:w="2268" w:type="dxa"/>
          </w:tcPr>
          <w:p>
            <w:pPr>
              <w:pStyle w:val="TableText"/>
              <w:jc w:val="left"/>
            </w:pPr>
            <m:oMath>
              <m:sSup>
                <m:e>
                  <m:r>
                    <m:t>ϵ</m:t>
                  </m:r>
                </m:e>
                <m:sup>
                  <m:r>
                    <m:t>C</m:t>
                  </m:r>
                </m:sup>
              </m:sSup>
            </m:oMath>
            <w:r>
              <w:t xml:space="preserve">,</w:t>
            </w:r>
            <w:r>
              <w:t xml:space="preserve"> </w:t>
            </w:r>
            <m:oMath>
              <m:sSub>
                <m:e>
                  <m:r>
                    <m:t>p</m:t>
                  </m:r>
                </m:e>
                <m:sub>
                  <m:r>
                    <m:t>ω</m:t>
                  </m:r>
                </m:sub>
              </m:sSub>
            </m:oMath>
          </w:p>
        </w:tc>
        <w:tc>
          <w:tcPr>
            <w:tcW w:w="6802" w:type="dxa"/>
          </w:tcPr>
          <w:p>
            <w:pPr>
              <w:pStyle w:val="TableText"/>
              <w:jc w:val="left"/>
            </w:pPr>
            <w:r>
              <w:t xml:space="preserve">Weight of the commitment and probability of scenario</w:t>
            </w:r>
            <w:r>
              <w:t xml:space="preserve"> </w:t>
            </w:r>
            <m:oMath>
              <m:r>
                <m:t>ω</m:t>
              </m:r>
            </m:oMath>
            <w:r>
              <w:t xml:space="preserve"> </w:t>
            </w:r>
            <w:r>
              <w:t xml:space="preserve">in the two-stage model</w:t>
            </w:r>
          </w:p>
        </w:tc>
      </w:tr>
    </w:tbl>
    <w:p>
      <w:pPr>
        <w:pStyle w:val="BodyText"/>
      </w:pPr>
      <w:r>
        <w:rPr>
          <w:bCs/>
          <w:b/>
        </w:rPr>
        <w:t xml:space="preserve">Variables</w:t>
      </w:r>
    </w:p>
    <w:tbl>
      <w:tblPr>
        <w:tblStyle w:val="Table"/>
        <w:tblW w:type="pct" w:w="5000"/>
        <w:jc w:val="start"/>
        <w:tblBorders>
          <w:top w:val="nil"/>
          <w:left w:val="nil"/>
          <w:bottom w:val="nil"/>
          <w:right w:val="nil"/>
          <w:insideH w:val="nil"/>
          <w:insideV w:val="nil"/>
        </w:tblBorders>
        <w:tblLayout w:type="fixed"/>
        <w:tblLook w:firstRow="0" w:lastRow="0" w:firstColumn="0" w:lastColumn="0" w:noHBand="0" w:noVBand="0" w:val="0000"/>
      </w:tblPr>
      <w:tblGrid>
        <w:gridCol w:w="2268"/>
        <w:gridCol w:w="6802"/>
      </w:tblGrid>
      <w:tr>
        <w:tc>
          <w:tcPr>
            <w:tcW w:w="2268" w:type="dxa"/>
          </w:tcPr>
          <w:p>
            <w:pPr>
              <w:pStyle w:val="TableText"/>
              <w:jc w:val="left"/>
            </w:pPr>
            <m:oMath>
              <m:sSub>
                <m:e>
                  <m:r>
                    <m:t>y</m:t>
                  </m:r>
                </m:e>
                <m:sub>
                  <m:r>
                    <m:t>c</m:t>
                  </m:r>
                  <m:r>
                    <m:rPr>
                      <m:sty m:val="p"/>
                    </m:rPr>
                    <m:t>,</m:t>
                  </m:r>
                  <m:r>
                    <m:t>t</m:t>
                  </m:r>
                </m:sub>
              </m:sSub>
            </m:oMath>
          </w:p>
        </w:tc>
        <w:tc>
          <w:tcPr>
            <w:tcW w:w="6802" w:type="dxa"/>
          </w:tcPr>
          <w:p>
            <w:pPr>
              <w:pStyle w:val="TableText"/>
              <w:jc w:val="left"/>
            </w:pPr>
            <w:r>
              <w:t xml:space="preserve">Busy GPUs executing class-</w:t>
            </w:r>
            <m:oMath>
              <m:r>
                <m:t>c</m:t>
              </m:r>
            </m:oMath>
            <w:r>
              <w:t xml:space="preserve"> </w:t>
            </w:r>
            <w:r>
              <w:t xml:space="preserve">work</w:t>
            </w:r>
          </w:p>
        </w:tc>
      </w:tr>
      <w:tr>
        <w:tc>
          <w:tcPr>
            <w:tcW w:w="2268" w:type="dxa"/>
          </w:tcPr>
          <w:p>
            <w:pPr>
              <w:pStyle w:val="TableText"/>
              <w:jc w:val="left"/>
            </w:pPr>
            <m:oMath>
              <m:sSub>
                <m:e>
                  <m:r>
                    <m:t>B</m:t>
                  </m:r>
                </m:e>
                <m:sub>
                  <m:r>
                    <m:t>c</m:t>
                  </m:r>
                  <m:r>
                    <m:rPr>
                      <m:sty m:val="p"/>
                    </m:rPr>
                    <m:t>,</m:t>
                  </m:r>
                  <m:r>
                    <m:t>t</m:t>
                  </m:r>
                </m:sub>
              </m:sSub>
            </m:oMath>
            <w:r>
              <w:t xml:space="preserve">,</w:t>
            </w:r>
            <w:r>
              <w:t xml:space="preserve"> </w:t>
            </w:r>
            <m:oMath>
              <m:sSub>
                <m:e>
                  <m:r>
                    <m:t>v</m:t>
                  </m:r>
                </m:e>
                <m:sub>
                  <m:r>
                    <m:t>c</m:t>
                  </m:r>
                  <m:r>
                    <m:rPr>
                      <m:sty m:val="p"/>
                    </m:rPr>
                    <m:t>,</m:t>
                  </m:r>
                  <m:r>
                    <m:t>t</m:t>
                  </m:r>
                </m:sub>
              </m:sSub>
            </m:oMath>
          </w:p>
        </w:tc>
        <w:tc>
          <w:tcPr>
            <w:tcW w:w="6802" w:type="dxa"/>
          </w:tcPr>
          <w:p>
            <w:pPr>
              <w:pStyle w:val="TableText"/>
              <w:jc w:val="left"/>
            </w:pPr>
            <w:r>
              <w:t xml:space="preserve">Backlog and overdue work of class</w:t>
            </w:r>
            <w:r>
              <w:t xml:space="preserve"> </w:t>
            </w:r>
            <m:oMath>
              <m:r>
                <m:t>c</m:t>
              </m:r>
            </m:oMath>
            <w:r>
              <w:t xml:space="preserve"> </w:t>
            </w:r>
            <w:r>
              <w:t xml:space="preserve">(GPU·h)</w:t>
            </w:r>
          </w:p>
        </w:tc>
      </w:tr>
      <w:tr>
        <w:tc>
          <w:tcPr>
            <w:tcW w:w="2268" w:type="dxa"/>
          </w:tcPr>
          <w:p>
            <w:pPr>
              <w:pStyle w:val="TableText"/>
              <w:jc w:val="left"/>
            </w:pPr>
            <m:oMath>
              <m:sSubSup>
                <m:e>
                  <m:r>
                    <m:t>P</m:t>
                  </m:r>
                </m:e>
                <m:sub>
                  <m:r>
                    <m:t>t</m:t>
                  </m:r>
                </m:sub>
                <m:sup>
                  <m:r>
                    <m:t>I</m:t>
                  </m:r>
                  <m:r>
                    <m:t>T</m:t>
                  </m:r>
                </m:sup>
              </m:sSubSup>
            </m:oMath>
            <w:r>
              <w:t xml:space="preserve">,</w:t>
            </w:r>
            <w:r>
              <w:t xml:space="preserve"> </w:t>
            </w:r>
            <m:oMath>
              <m:sSubSup>
                <m:e>
                  <m:r>
                    <m:t>P</m:t>
                  </m:r>
                </m:e>
                <m:sub>
                  <m:r>
                    <m:t>t</m:t>
                  </m:r>
                </m:sub>
                <m:sup>
                  <m:r>
                    <m:t>g</m:t>
                  </m:r>
                  <m:r>
                    <m:t>r</m:t>
                  </m:r>
                  <m:r>
                    <m:t>i</m:t>
                  </m:r>
                  <m:r>
                    <m:t>d</m:t>
                  </m:r>
                </m:sup>
              </m:sSubSup>
            </m:oMath>
          </w:p>
        </w:tc>
        <w:tc>
          <w:tcPr>
            <w:tcW w:w="6802" w:type="dxa"/>
          </w:tcPr>
          <w:p>
            <w:pPr>
              <w:pStyle w:val="TableText"/>
              <w:jc w:val="left"/>
            </w:pPr>
            <w:r>
              <w:t xml:space="preserve">IT power; grid import (MW)</w:t>
            </w:r>
          </w:p>
        </w:tc>
      </w:tr>
      <w:tr>
        <w:tc>
          <w:tcPr>
            <w:tcW w:w="2268" w:type="dxa"/>
          </w:tcPr>
          <w:p>
            <w:pPr>
              <w:pStyle w:val="TableText"/>
              <w:jc w:val="left"/>
            </w:pPr>
            <m:oMath>
              <m:sSubSup>
                <m:e>
                  <m:r>
                    <m:t>P</m:t>
                  </m:r>
                </m:e>
                <m:sub>
                  <m:r>
                    <m:t>t</m:t>
                  </m:r>
                </m:sub>
                <m:sup>
                  <m:r>
                    <m:t>c</m:t>
                  </m:r>
                  <m:r>
                    <m:t>h</m:t>
                  </m:r>
                </m:sup>
              </m:sSubSup>
            </m:oMath>
            <w:r>
              <w:t xml:space="preserve">,</w:t>
            </w:r>
            <w:r>
              <w:t xml:space="preserve"> </w:t>
            </w:r>
            <m:oMath>
              <m:sSubSup>
                <m:e>
                  <m:r>
                    <m:t>P</m:t>
                  </m:r>
                </m:e>
                <m:sub>
                  <m:r>
                    <m:t>t</m:t>
                  </m:r>
                </m:sub>
                <m:sup>
                  <m:r>
                    <m:t>d</m:t>
                  </m:r>
                  <m:r>
                    <m:t>i</m:t>
                  </m:r>
                  <m:r>
                    <m:t>s</m:t>
                  </m:r>
                </m:sup>
              </m:sSubSup>
            </m:oMath>
            <w:r>
              <w:t xml:space="preserve">,</w:t>
            </w:r>
            <w:r>
              <w:t xml:space="preserve"> </w:t>
            </w:r>
            <m:oMath>
              <m:sSub>
                <m:e>
                  <m:r>
                    <m:t>E</m:t>
                  </m:r>
                </m:e>
                <m:sub>
                  <m:r>
                    <m:t>t</m:t>
                  </m:r>
                </m:sub>
              </m:sSub>
            </m:oMath>
          </w:p>
        </w:tc>
        <w:tc>
          <w:tcPr>
            <w:tcW w:w="6802" w:type="dxa"/>
          </w:tcPr>
          <w:p>
            <w:pPr>
              <w:pStyle w:val="TableText"/>
              <w:jc w:val="left"/>
            </w:pPr>
            <w:r>
              <w:t xml:space="preserve">BESS charging, discharging power and stored energy</w:t>
            </w:r>
          </w:p>
        </w:tc>
      </w:tr>
      <w:tr>
        <w:tc>
          <w:tcPr>
            <w:tcW w:w="2268" w:type="dxa"/>
          </w:tcPr>
          <w:p>
            <w:pPr>
              <w:pStyle w:val="TableText"/>
              <w:jc w:val="left"/>
            </w:pPr>
            <m:oMath>
              <m:sSubSup>
                <m:e>
                  <m:r>
                    <m:t>Q</m:t>
                  </m:r>
                </m:e>
                <m:sub>
                  <m:r>
                    <m:t>t</m:t>
                  </m:r>
                </m:sub>
                <m:sup>
                  <m:r>
                    <m:t>T</m:t>
                  </m:r>
                  <m:r>
                    <m:t>C</m:t>
                  </m:r>
                </m:sup>
              </m:sSubSup>
            </m:oMath>
            <w:r>
              <w:t xml:space="preserve">,</w:t>
            </w:r>
            <w:r>
              <w:t xml:space="preserve"> </w:t>
            </w:r>
            <m:oMath>
              <m:sSubSup>
                <m:e>
                  <m:r>
                    <m:t>Q</m:t>
                  </m:r>
                </m:e>
                <m:sub>
                  <m:r>
                    <m:t>t</m:t>
                  </m:r>
                </m:sub>
                <m:sup>
                  <m:r>
                    <m:t>T</m:t>
                  </m:r>
                  <m:r>
                    <m:t>D</m:t>
                  </m:r>
                </m:sup>
              </m:sSubSup>
            </m:oMath>
            <w:r>
              <w:t xml:space="preserve">,</w:t>
            </w:r>
            <w:r>
              <w:t xml:space="preserve"> </w:t>
            </w:r>
            <m:oMath>
              <m:sSub>
                <m:e>
                  <m:r>
                    <m:t>S</m:t>
                  </m:r>
                </m:e>
                <m:sub>
                  <m:r>
                    <m:t>t</m:t>
                  </m:r>
                </m:sub>
              </m:sSub>
            </m:oMath>
          </w:p>
        </w:tc>
        <w:tc>
          <w:tcPr>
            <w:tcW w:w="6802" w:type="dxa"/>
          </w:tcPr>
          <w:p>
            <w:pPr>
              <w:pStyle w:val="TableText"/>
              <w:jc w:val="left"/>
            </w:pPr>
            <w:r>
              <w:t xml:space="preserve">TES charging, discharging and stored cold</w:t>
            </w:r>
          </w:p>
        </w:tc>
      </w:tr>
      <w:tr>
        <w:tc>
          <w:tcPr>
            <w:tcW w:w="2268" w:type="dxa"/>
          </w:tcPr>
          <w:p>
            <w:pPr>
              <w:pStyle w:val="TableText"/>
              <w:jc w:val="left"/>
            </w:pPr>
            <m:oMath>
              <m:sSubSup>
                <m:e>
                  <m:r>
                    <m:t>P</m:t>
                  </m:r>
                </m:e>
                <m:sub>
                  <m:r>
                    <m:t>t</m:t>
                  </m:r>
                </m:sub>
                <m:sup>
                  <m:r>
                    <m:t>G</m:t>
                  </m:r>
                  <m:r>
                    <m:t>T</m:t>
                  </m:r>
                </m:sup>
              </m:sSubSup>
            </m:oMath>
            <w:r>
              <w:t xml:space="preserve">,</w:t>
            </w:r>
            <w:r>
              <w:t xml:space="preserve"> </w:t>
            </w:r>
            <m:oMath>
              <m:sSubSup>
                <m:e>
                  <m:r>
                    <m:t>H</m:t>
                  </m:r>
                </m:e>
                <m:sub>
                  <m:r>
                    <m:t>t</m:t>
                  </m:r>
                </m:sub>
                <m:sup>
                  <m:r>
                    <m:t>A</m:t>
                  </m:r>
                  <m:r>
                    <m:t>C</m:t>
                  </m:r>
                </m:sup>
              </m:sSubSup>
            </m:oMath>
            <w:r>
              <w:t xml:space="preserve">,</w:t>
            </w:r>
            <w:r>
              <w:t xml:space="preserve"> </w:t>
            </w:r>
            <m:oMath>
              <m:sSubSup>
                <m:e>
                  <m:r>
                    <m:t>Q</m:t>
                  </m:r>
                </m:e>
                <m:sub>
                  <m:r>
                    <m:t>t</m:t>
                  </m:r>
                </m:sub>
                <m:sup>
                  <m:r>
                    <m:t>E</m:t>
                  </m:r>
                  <m:r>
                    <m:t>C</m:t>
                  </m:r>
                </m:sup>
              </m:sSubSup>
            </m:oMath>
            <w:r>
              <w:t xml:space="preserve">,</w:t>
            </w:r>
            <w:r>
              <w:t xml:space="preserve"> </w:t>
            </w:r>
            <m:oMath>
              <m:sSubSup>
                <m:e>
                  <m:r>
                    <m:t>P</m:t>
                  </m:r>
                </m:e>
                <m:sub>
                  <m:r>
                    <m:t>t</m:t>
                  </m:r>
                </m:sub>
                <m:sup>
                  <m:r>
                    <m:t>P</m:t>
                  </m:r>
                  <m:r>
                    <m:t>V</m:t>
                  </m:r>
                </m:sup>
              </m:sSubSup>
            </m:oMath>
          </w:p>
        </w:tc>
        <w:tc>
          <w:tcPr>
            <w:tcW w:w="6802" w:type="dxa"/>
          </w:tcPr>
          <w:p>
            <w:pPr>
              <w:pStyle w:val="TableText"/>
              <w:jc w:val="left"/>
            </w:pPr>
            <w:r>
              <w:t xml:space="preserve">Gas-engine output, heat to the absorption chiller, electric chiller output, PV output</w:t>
            </w:r>
          </w:p>
        </w:tc>
      </w:tr>
      <w:tr>
        <w:tc>
          <w:tcPr>
            <w:tcW w:w="2268" w:type="dxa"/>
          </w:tcPr>
          <w:p>
            <w:pPr>
              <w:pStyle w:val="TableText"/>
              <w:jc w:val="left"/>
            </w:pPr>
            <m:oMath>
              <m:sSub>
                <m:e>
                  <m:r>
                    <m:t>ψ</m:t>
                  </m:r>
                </m:e>
                <m:sub>
                  <m:r>
                    <m:t>t</m:t>
                  </m:r>
                </m:sub>
              </m:sSub>
            </m:oMath>
            <w:r>
              <w:t xml:space="preserve">,</w:t>
            </w:r>
            <w:r>
              <w:t xml:space="preserve"> </w:t>
            </w:r>
            <m:oMath>
              <m:sSub>
                <m:e>
                  <m:r>
                    <m:t>X</m:t>
                  </m:r>
                </m:e>
                <m:sub>
                  <m:r>
                    <m:t>t</m:t>
                  </m:r>
                </m:sub>
              </m:sSub>
            </m:oMath>
          </w:p>
        </w:tc>
        <w:tc>
          <w:tcPr>
            <w:tcW w:w="6802" w:type="dxa"/>
          </w:tcPr>
          <w:p>
            <w:pPr>
              <w:pStyle w:val="TableText"/>
              <w:jc w:val="left"/>
            </w:pPr>
            <w:r>
              <w:t xml:space="preserve">Facility energy per GPU·h of catch-up (MWh); computing debt (MWh)</w:t>
            </w:r>
          </w:p>
        </w:tc>
      </w:tr>
      <w:tr>
        <w:tc>
          <w:tcPr>
            <w:tcW w:w="2268" w:type="dxa"/>
          </w:tcPr>
          <w:p>
            <w:pPr>
              <w:pStyle w:val="TableText"/>
              <w:jc w:val="left"/>
            </w:pPr>
            <m:oMath>
              <m:sSub>
                <m:e>
                  <m:r>
                    <m:rPr>
                      <m:sty m:val="b"/>
                    </m:rPr>
                    <m:t>x</m:t>
                  </m:r>
                </m:e>
                <m:sub>
                  <m:sSub>
                    <m:e>
                      <m:r>
                        <m:t>e</m:t>
                      </m:r>
                    </m:e>
                    <m:sub>
                      <m:r>
                        <m:t>k</m:t>
                      </m:r>
                    </m:sub>
                  </m:sSub>
                </m:sub>
              </m:sSub>
            </m:oMath>
            <w:r>
              <w:t xml:space="preserve">,</w:t>
            </w:r>
            <w:r>
              <w:t xml:space="preserve"> </w:t>
            </w:r>
            <m:oMath>
              <m:sSub>
                <m:e>
                  <m:r>
                    <m:t>H</m:t>
                  </m:r>
                </m:e>
                <m:sub>
                  <m:r>
                    <m:t>k</m:t>
                  </m:r>
                </m:sub>
              </m:sSub>
            </m:oMath>
          </w:p>
        </w:tc>
        <w:tc>
          <w:tcPr>
            <w:tcW w:w="6802" w:type="dxa"/>
          </w:tcPr>
          <w:p>
            <w:pPr>
              <w:pStyle w:val="TableText"/>
              <w:jc w:val="left"/>
            </w:pPr>
            <w:r>
              <w:t xml:space="preserve">Recovery state at the end of event</w:t>
            </w:r>
            <w:r>
              <w:t xml:space="preserve"> </w:t>
            </w:r>
            <m:oMath>
              <m:r>
                <m:t>k</m:t>
              </m:r>
            </m:oMath>
            <w:r>
              <w:t xml:space="preserve">; recovery channel between events</w:t>
            </w:r>
            <w:r>
              <w:t xml:space="preserve"> </w:t>
            </w:r>
            <m:oMath>
              <m:r>
                <m:t>k</m:t>
              </m:r>
            </m:oMath>
            <w:r>
              <w:t xml:space="preserve"> </w:t>
            </w:r>
            <w:r>
              <w:t xml:space="preserve">and</w:t>
            </w:r>
            <w:r>
              <w:t xml:space="preserve"> </w:t>
            </w:r>
            <m:oMath>
              <m:r>
                <m:t>k</m:t>
              </m:r>
              <m:r>
                <m:rPr>
                  <m:sty m:val="p"/>
                </m:rPr>
                <m:t>+</m:t>
              </m:r>
              <m:r>
                <m:t>1</m:t>
              </m:r>
            </m:oMath>
            <w:r>
              <w:t xml:space="preserve"> </w:t>
            </w:r>
            <w:r>
              <w:t xml:space="preserve">(MWh)</w:t>
            </w:r>
          </w:p>
        </w:tc>
      </w:tr>
      <w:tr>
        <w:tc>
          <w:tcPr>
            <w:tcW w:w="2268" w:type="dxa"/>
          </w:tcPr>
          <w:p>
            <w:pPr>
              <w:pStyle w:val="TableText"/>
              <w:jc w:val="left"/>
            </w:pPr>
            <m:oMath>
              <m:sSub>
                <m:e>
                  <m:acc>
                    <m:accPr>
                      <m:chr m:val="‾"/>
                    </m:accPr>
                    <m:e>
                      <m:r>
                        <m:t>r</m:t>
                      </m:r>
                    </m:e>
                  </m:acc>
                </m:e>
                <m:sub>
                  <m:r>
                    <m:t>k</m:t>
                  </m:r>
                </m:sub>
              </m:sSub>
            </m:oMath>
            <w:r>
              <w:t xml:space="preserve">,</w:t>
            </w:r>
            <w:r>
              <w:t xml:space="preserve"> </w:t>
            </w:r>
            <m:oMath>
              <m:sSub>
                <m:e>
                  <m:r>
                    <m:t>Γ</m:t>
                  </m:r>
                </m:e>
                <m:sub>
                  <m:r>
                    <m:t>k</m:t>
                  </m:r>
                </m:sub>
              </m:sSub>
            </m:oMath>
          </w:p>
        </w:tc>
        <w:tc>
          <w:tcPr>
            <w:tcW w:w="6802" w:type="dxa"/>
          </w:tcPr>
          <w:p>
            <w:pPr>
              <w:pStyle w:val="TableText"/>
              <w:jc w:val="left"/>
            </w:pPr>
            <w:r>
              <w:t xml:space="preserve">Average reduction of event</w:t>
            </w:r>
            <w:r>
              <w:t xml:space="preserve"> </w:t>
            </w:r>
            <m:oMath>
              <m:r>
                <m:t>k</m:t>
              </m:r>
            </m:oMath>
            <w:r>
              <w:t xml:space="preserve"> </w:t>
            </w:r>
            <w:r>
              <w:t xml:space="preserve">w.r.t. the baseline; deliverable reduction of event</w:t>
            </w:r>
            <w:r>
              <w:t xml:space="preserve"> </w:t>
            </w:r>
            <m:oMath>
              <m:r>
                <m:t>k</m:t>
              </m:r>
            </m:oMath>
            <w:r>
              <w:t xml:space="preserve"> </w:t>
            </w:r>
            <w:r>
              <w:t xml:space="preserve">(MW)</w:t>
            </w:r>
          </w:p>
        </w:tc>
      </w:tr>
      <w:tr>
        <w:tc>
          <w:tcPr>
            <w:tcW w:w="2268" w:type="dxa"/>
          </w:tcPr>
          <w:p>
            <w:pPr>
              <w:pStyle w:val="TableText"/>
              <w:jc w:val="left"/>
            </w:pPr>
            <m:oMath>
              <m:sSub>
                <m:e>
                  <m:r>
                    <m:t>z</m:t>
                  </m:r>
                </m:e>
                <m:sub>
                  <m:r>
                    <m:t>k</m:t>
                  </m:r>
                </m:sub>
              </m:sSub>
            </m:oMath>
            <w:r>
              <w:t xml:space="preserve">,</w:t>
            </w:r>
            <w:r>
              <w:t xml:space="preserve"> </w:t>
            </w:r>
            <m:oMath>
              <m:sSub>
                <m:e>
                  <m:r>
                    <m:t>R</m:t>
                  </m:r>
                </m:e>
                <m:sub>
                  <m:r>
                    <m:t>k</m:t>
                  </m:r>
                </m:sub>
              </m:sSub>
            </m:oMath>
            <w:r>
              <w:t xml:space="preserve">,</w:t>
            </w:r>
            <w:r>
              <w:t xml:space="preserve"> </w:t>
            </w:r>
            <m:oMath>
              <m:sSubSup>
                <m:e>
                  <m:r>
                    <m:t>s</m:t>
                  </m:r>
                </m:e>
                <m:sub>
                  <m:r>
                    <m:t>k</m:t>
                  </m:r>
                </m:sub>
                <m:sup>
                  <m:r>
                    <m:t>f</m:t>
                  </m:r>
                </m:sup>
              </m:sSubSup>
            </m:oMath>
          </w:p>
        </w:tc>
        <w:tc>
          <w:tcPr>
            <w:tcW w:w="6802" w:type="dxa"/>
          </w:tcPr>
          <w:p>
            <w:pPr>
              <w:pStyle w:val="TableText"/>
              <w:jc w:val="left"/>
            </w:pPr>
            <w:r>
              <w:t xml:space="preserve">Validity indicator, paid reduction and shortfall of event</w:t>
            </w:r>
            <w:r>
              <w:t xml:space="preserve"> </w:t>
            </w:r>
            <m:oMath>
              <m:r>
                <m:t>k</m:t>
              </m:r>
            </m:oMath>
          </w:p>
        </w:tc>
      </w:tr>
      <w:tr>
        <w:tc>
          <w:tcPr>
            <w:tcW w:w="2268" w:type="dxa"/>
          </w:tcPr>
          <w:p>
            <w:pPr>
              <w:pStyle w:val="TableText"/>
              <w:jc w:val="left"/>
            </w:pPr>
            <m:oMath>
              <m:r>
                <m:t>J</m:t>
              </m:r>
            </m:oMath>
            <w:r>
              <w:t xml:space="preserve">,</w:t>
            </w:r>
            <w:r>
              <w:t xml:space="preserve"> </w:t>
            </w:r>
            <m:oMath>
              <m:sSup>
                <m:e>
                  <m:r>
                    <m:t>J</m:t>
                  </m:r>
                </m:e>
                <m:sup>
                  <m:r>
                    <m:t>t</m:t>
                  </m:r>
                  <m:r>
                    <m:t>e</m:t>
                  </m:r>
                  <m:r>
                    <m:t>r</m:t>
                  </m:r>
                  <m:r>
                    <m:t>m</m:t>
                  </m:r>
                </m:sup>
              </m:sSup>
            </m:oMath>
          </w:p>
        </w:tc>
        <w:tc>
          <w:tcPr>
            <w:tcW w:w="6802" w:type="dxa"/>
          </w:tcPr>
          <w:p>
            <w:pPr>
              <w:pStyle w:val="TableText"/>
              <w:jc w:val="left"/>
            </w:pPr>
            <w:r>
              <w:t xml:space="preserve">Comprehensive cost of the DR day; terminal value of the remaining debts (CNY)</w:t>
            </w:r>
          </w:p>
        </w:tc>
      </w:tr>
      <w:tr>
        <w:tc>
          <w:tcPr>
            <w:tcW w:w="2268" w:type="dxa"/>
          </w:tcPr>
          <w:p>
            <w:pPr>
              <w:pStyle w:val="TableText"/>
              <w:jc w:val="left"/>
            </w:pPr>
            <m:oMath>
              <m:sSub>
                <m:e>
                  <m:r>
                    <m:t>u</m:t>
                  </m:r>
                </m:e>
                <m:sub>
                  <m:r>
                    <m:t>ω</m:t>
                  </m:r>
                </m:sub>
              </m:sSub>
            </m:oMath>
          </w:p>
        </w:tc>
        <w:tc>
          <w:tcPr>
            <w:tcW w:w="6802" w:type="dxa"/>
          </w:tcPr>
          <w:p>
            <w:pPr>
              <w:pStyle w:val="TableText"/>
              <w:jc w:val="left"/>
            </w:pPr>
            <w:r>
              <w:t xml:space="preserve">Indicator that every event is delivered in full in scenario</w:t>
            </w:r>
            <w:r>
              <w:t xml:space="preserve"> </w:t>
            </w:r>
            <m:oMath>
              <m:r>
                <m:t>ω</m:t>
              </m:r>
            </m:oMath>
          </w:p>
        </w:tc>
      </w:tr>
      <w:tr>
        <w:tc>
          <w:tcPr>
            <w:tcW w:w="2268" w:type="dxa"/>
          </w:tcPr>
          <w:p>
            <w:pPr>
              <w:pStyle w:val="TableText"/>
              <w:jc w:val="left"/>
            </w:pPr>
            <m:oMath>
              <m:sSubSup>
                <m:e>
                  <m:r>
                    <m:t>C</m:t>
                  </m:r>
                </m:e>
                <m:sub>
                  <m:r>
                    <m:t>ρ</m:t>
                  </m:r>
                </m:sub>
                <m:sup>
                  <m:r>
                    <m:t>f</m:t>
                  </m:r>
                  <m:r>
                    <m:t>i</m:t>
                  </m:r>
                  <m:r>
                    <m:t>r</m:t>
                  </m:r>
                  <m:r>
                    <m:t>m</m:t>
                  </m:r>
                </m:sup>
              </m:sSubSup>
            </m:oMath>
            <w:r>
              <w:t xml:space="preserve">,</w:t>
            </w:r>
            <w:r>
              <w:t xml:space="preserve"> </w:t>
            </w:r>
            <m:oMath>
              <m:sSubSup>
                <m:e>
                  <m:acc>
                    <m:accPr>
                      <m:chr m:val="̂"/>
                    </m:accPr>
                    <m:e>
                      <m:r>
                        <m:t>C</m:t>
                      </m:r>
                    </m:e>
                  </m:acc>
                </m:e>
                <m:sub>
                  <m:r>
                    <m:t>ρ</m:t>
                  </m:r>
                </m:sub>
                <m:sup>
                  <m:r>
                    <m:t>f</m:t>
                  </m:r>
                  <m:r>
                    <m:t>i</m:t>
                  </m:r>
                  <m:r>
                    <m:t>r</m:t>
                  </m:r>
                  <m:r>
                    <m:t>m</m:t>
                  </m:r>
                </m:sup>
              </m:sSubSup>
            </m:oMath>
            <w:r>
              <w:t xml:space="preserve">,</w:t>
            </w:r>
            <w:r>
              <w:t xml:space="preserve"> </w:t>
            </w:r>
            <m:oMath>
              <m:sSub>
                <m:e>
                  <m:r>
                    <m:rPr>
                      <m:scr m:val="script"/>
                      <m:sty m:val="p"/>
                    </m:rPr>
                    <m:t>C</m:t>
                  </m:r>
                </m:e>
                <m:sub>
                  <m:r>
                    <m:t>ρ</m:t>
                  </m:r>
                </m:sub>
              </m:sSub>
            </m:oMath>
          </w:p>
        </w:tc>
        <w:tc>
          <w:tcPr>
            <w:tcW w:w="6802" w:type="dxa"/>
          </w:tcPr>
          <w:p>
            <w:pPr>
              <w:pStyle w:val="TableText"/>
              <w:jc w:val="left"/>
            </w:pPr>
            <w:r>
              <w:t xml:space="preserve">Firm consecutive DR capacity at reliability</w:t>
            </w:r>
            <w:r>
              <w:t xml:space="preserve"> </w:t>
            </w:r>
            <m:oMath>
              <m:r>
                <m:t>ρ</m:t>
              </m:r>
            </m:oMath>
            <w:r>
              <w:t xml:space="preserve">, its SAA estimate (MW); reliability region</w:t>
            </w:r>
          </w:p>
        </w:tc>
      </w:tr>
      <w:tr>
        <w:tc>
          <w:tcPr>
            <w:tcW w:w="2268" w:type="dxa"/>
          </w:tcPr>
          <w:p>
            <w:pPr>
              <w:pStyle w:val="TableText"/>
              <w:jc w:val="left"/>
            </w:pPr>
            <m:oMath>
              <m:sSub>
                <m:e>
                  <m:r>
                    <m:t>ξ</m:t>
                  </m:r>
                </m:e>
                <m:sub>
                  <m:r>
                    <m:t>d</m:t>
                  </m:r>
                </m:sub>
              </m:sSub>
            </m:oMath>
            <w:r>
              <w:t xml:space="preserve">,</w:t>
            </w:r>
            <w:r>
              <w:t xml:space="preserve"> </w:t>
            </w:r>
            <m:oMath>
              <m:sSub>
                <m:e>
                  <m:r>
                    <m:t>J</m:t>
                  </m:r>
                </m:e>
                <m:sub>
                  <m:r>
                    <m:t>d</m:t>
                  </m:r>
                </m:sub>
              </m:sSub>
              <m:d>
                <m:dPr>
                  <m:begChr m:val="("/>
                  <m:sepChr m:val=""/>
                  <m:endChr m:val=")"/>
                  <m:grow/>
                </m:dPr>
                <m:e>
                  <m:r>
                    <m:t>C</m:t>
                  </m:r>
                </m:e>
              </m:d>
            </m:oMath>
            <w:r>
              <w:t xml:space="preserve">,</w:t>
            </w:r>
            <w:r>
              <w:t xml:space="preserve"> </w:t>
            </w:r>
            <m:oMath>
              <m:acc>
                <m:accPr>
                  <m:chr m:val="‾"/>
                </m:accPr>
                <m:e>
                  <m:r>
                    <m:t>J</m:t>
                  </m:r>
                </m:e>
              </m:acc>
              <m:d>
                <m:dPr>
                  <m:begChr m:val="("/>
                  <m:sepChr m:val=""/>
                  <m:endChr m:val=")"/>
                  <m:grow/>
                </m:dPr>
                <m:e>
                  <m:r>
                    <m:t>C</m:t>
                  </m:r>
                </m:e>
              </m:d>
            </m:oMath>
          </w:p>
        </w:tc>
        <w:tc>
          <w:tcPr>
            <w:tcW w:w="6802" w:type="dxa"/>
          </w:tcPr>
          <w:p>
            <w:pPr>
              <w:pStyle w:val="TableText"/>
              <w:jc w:val="left"/>
            </w:pPr>
            <w:r>
              <w:t xml:space="preserve">Closed-loop capability of the controller on day</w:t>
            </w:r>
            <w:r>
              <w:t xml:space="preserve"> </w:t>
            </w:r>
            <m:oMath>
              <m:r>
                <m:t>d</m:t>
              </m:r>
            </m:oMath>
            <w:r>
              <w:t xml:space="preserve"> </w:t>
            </w:r>
            <w:r>
              <w:t xml:space="preserve">(MW); its cost on day</w:t>
            </w:r>
            <w:r>
              <w:t xml:space="preserve"> </w:t>
            </w:r>
            <m:oMath>
              <m:r>
                <m:t>d</m:t>
              </m:r>
            </m:oMath>
            <w:r>
              <w:t xml:space="preserve"> </w:t>
            </w:r>
            <w:r>
              <w:t xml:space="preserve">and mean cost at commitment</w:t>
            </w:r>
            <w:r>
              <w:t xml:space="preserve"> </w:t>
            </w:r>
            <m:oMath>
              <m:r>
                <m:t>C</m:t>
              </m:r>
            </m:oMath>
          </w:p>
        </w:tc>
      </w:tr>
      <w:tr>
        <w:tc>
          <w:tcPr>
            <w:tcW w:w="2268" w:type="dxa"/>
          </w:tcPr>
          <w:p>
            <w:pPr>
              <w:pStyle w:val="TableText"/>
              <w:jc w:val="left"/>
            </w:pPr>
            <m:oMath>
              <m:sSub>
                <m:e>
                  <m:acc>
                    <m:accPr>
                      <m:chr m:val="̂"/>
                    </m:accPr>
                    <m:e>
                      <m:r>
                        <m:t>P</m:t>
                      </m:r>
                    </m:e>
                  </m:acc>
                </m:e>
                <m:sub>
                  <m:r>
                    <m:t>N</m:t>
                  </m:r>
                </m:sub>
              </m:sSub>
            </m:oMath>
            <w:r>
              <w:t xml:space="preserve">,</w:t>
            </w:r>
            <w:r>
              <w:t xml:space="preserve"> </w:t>
            </w:r>
            <m:oMath>
              <m:sSub>
                <m:e>
                  <m:r>
                    <m:rPr>
                      <m:scr m:val="script"/>
                      <m:sty m:val="p"/>
                    </m:rPr>
                    <m:t>B</m:t>
                  </m:r>
                </m:e>
                <m:sub>
                  <m:r>
                    <m:t>ε</m:t>
                  </m:r>
                </m:sub>
              </m:sSub>
              <m:d>
                <m:dPr>
                  <m:begChr m:val="("/>
                  <m:sepChr m:val=""/>
                  <m:endChr m:val=")"/>
                  <m:grow/>
                </m:dPr>
                <m:e>
                  <m:sSub>
                    <m:e>
                      <m:acc>
                        <m:accPr>
                          <m:chr m:val="̂"/>
                        </m:accPr>
                        <m:e>
                          <m:r>
                            <m:t>P</m:t>
                          </m:r>
                        </m:e>
                      </m:acc>
                    </m:e>
                    <m:sub>
                      <m:r>
                        <m:t>N</m:t>
                      </m:r>
                    </m:sub>
                  </m:sSub>
                </m:e>
              </m:d>
            </m:oMath>
          </w:p>
        </w:tc>
        <w:tc>
          <w:tcPr>
            <w:tcW w:w="6802" w:type="dxa"/>
          </w:tcPr>
          <w:p>
            <w:pPr>
              <w:pStyle w:val="TableText"/>
              <w:jc w:val="left"/>
            </w:pPr>
            <w:r>
              <w:t xml:space="preserve">Empirical distribution of the capability; 1-Wasserstein ambiguity set</w:t>
            </w:r>
          </w:p>
        </w:tc>
      </w:tr>
      <w:tr>
        <w:tc>
          <w:tcPr>
            <w:tcW w:w="2268" w:type="dxa"/>
          </w:tcPr>
          <w:p>
            <w:pPr>
              <w:pStyle w:val="TableText"/>
              <w:jc w:val="left"/>
            </w:pPr>
            <m:oMath>
              <m:sSub>
                <m:e>
                  <m:r>
                    <m:t>δ</m:t>
                  </m:r>
                </m:e>
                <m:sub>
                  <m:r>
                    <m:t>d</m:t>
                  </m:r>
                </m:sub>
              </m:sSub>
              <m:d>
                <m:dPr>
                  <m:begChr m:val="("/>
                  <m:sepChr m:val=""/>
                  <m:endChr m:val=")"/>
                  <m:grow/>
                </m:dPr>
                <m:e>
                  <m:r>
                    <m:t>C</m:t>
                  </m:r>
                </m:e>
              </m:d>
            </m:oMath>
            <w:r>
              <w:t xml:space="preserve">,</w:t>
            </w:r>
            <w:r>
              <w:t xml:space="preserve"> </w:t>
            </w:r>
            <m:oMath>
              <m:r>
                <m:t>n</m:t>
              </m:r>
              <m:d>
                <m:dPr>
                  <m:begChr m:val="("/>
                  <m:sepChr m:val=""/>
                  <m:endChr m:val=")"/>
                  <m:grow/>
                </m:dPr>
                <m:e>
                  <m:r>
                    <m:t>C</m:t>
                  </m:r>
                </m:e>
              </m:d>
            </m:oMath>
            <w:r>
              <w:t xml:space="preserve">,</w:t>
            </w:r>
            <w:r>
              <w:t xml:space="preserve"> </w:t>
            </w:r>
            <m:oMath>
              <m:r>
                <m:t>q</m:t>
              </m:r>
              <m:d>
                <m:dPr>
                  <m:begChr m:val="("/>
                  <m:sepChr m:val=""/>
                  <m:endChr m:val=")"/>
                  <m:grow/>
                </m:dPr>
                <m:e>
                  <m:r>
                    <m:t>C</m:t>
                  </m:r>
                </m:e>
              </m:d>
            </m:oMath>
          </w:p>
        </w:tc>
        <w:tc>
          <w:tcPr>
            <w:tcW w:w="6802" w:type="dxa"/>
          </w:tcPr>
          <w:p>
            <w:pPr>
              <w:pStyle w:val="TableText"/>
              <w:jc w:val="left"/>
            </w:pPr>
            <w:r>
              <w:t xml:space="preserve">Capability margin of day</w:t>
            </w:r>
            <w:r>
              <w:t xml:space="preserve"> </w:t>
            </w:r>
            <m:oMath>
              <m:r>
                <m:t>d</m:t>
              </m:r>
            </m:oMath>
            <w:r>
              <w:t xml:space="preserve">; number of days delivering</w:t>
            </w:r>
            <w:r>
              <w:t xml:space="preserve"> </w:t>
            </w:r>
            <m:oMath>
              <m:r>
                <m:t>C</m:t>
              </m:r>
            </m:oMath>
            <w:r>
              <w:t xml:space="preserve">; slack</w:t>
            </w:r>
            <w:r>
              <w:t xml:space="preserve"> </w:t>
            </w:r>
            <m:oMath>
              <m:r>
                <m:t>n</m:t>
              </m:r>
              <m:d>
                <m:dPr>
                  <m:begChr m:val="("/>
                  <m:sepChr m:val=""/>
                  <m:endChr m:val=")"/>
                  <m:grow/>
                </m:dPr>
                <m:e>
                  <m:r>
                    <m:t>C</m:t>
                  </m:r>
                </m:e>
              </m:d>
              <m:r>
                <m:rPr>
                  <m:sty m:val="p"/>
                </m:rPr>
                <m:t>−</m:t>
              </m:r>
              <m:r>
                <m:t>ρ</m:t>
              </m:r>
              <m:r>
                <m:t>N</m:t>
              </m:r>
            </m:oMath>
          </w:p>
        </w:tc>
      </w:tr>
      <w:tr>
        <w:tc>
          <w:tcPr>
            <w:tcW w:w="2268" w:type="dxa"/>
          </w:tcPr>
          <w:p>
            <w:pPr>
              <w:pStyle w:val="TableText"/>
              <w:jc w:val="left"/>
            </w:pPr>
            <m:oMath>
              <m:sSub>
                <m:e>
                  <m:r>
                    <m:t>w</m:t>
                  </m:r>
                </m:e>
                <m:sub>
                  <m:r>
                    <m:t>d</m:t>
                  </m:r>
                </m:sub>
              </m:sSub>
            </m:oMath>
            <w:r>
              <w:t xml:space="preserve">,</w:t>
            </w:r>
            <w:r>
              <w:t xml:space="preserve"> </w:t>
            </w:r>
            <m:oMath>
              <m:r>
                <m:t>λ</m:t>
              </m:r>
            </m:oMath>
          </w:p>
        </w:tc>
        <w:tc>
          <w:tcPr>
            <w:tcW w:w="6802" w:type="dxa"/>
          </w:tcPr>
          <w:p>
            <w:pPr>
              <w:pStyle w:val="TableText"/>
              <w:jc w:val="left"/>
            </w:pPr>
            <w:r>
              <w:t xml:space="preserve">Probability mass moved from day</w:t>
            </w:r>
            <w:r>
              <w:t xml:space="preserve"> </w:t>
            </w:r>
            <m:oMath>
              <m:r>
                <m:t>d</m:t>
              </m:r>
            </m:oMath>
            <w:r>
              <w:t xml:space="preserve">; dual variable of the transport budget</w:t>
            </w:r>
          </w:p>
        </w:tc>
      </w:tr>
      <w:tr>
        <w:tc>
          <w:tcPr>
            <w:tcW w:w="2268" w:type="dxa"/>
          </w:tcPr>
          <w:p>
            <w:pPr>
              <w:pStyle w:val="TableText"/>
              <w:jc w:val="left"/>
            </w:pPr>
            <m:oMath>
              <m:sSubSup>
                <m:e>
                  <m:r>
                    <m:t>C</m:t>
                  </m:r>
                </m:e>
                <m:sub>
                  <m:r>
                    <m:t>ρ</m:t>
                  </m:r>
                </m:sub>
                <m:sup>
                  <m:r>
                    <m:t>D</m:t>
                  </m:r>
                  <m:r>
                    <m:t>R</m:t>
                  </m:r>
                  <m:r>
                    <m:t>O</m:t>
                  </m:r>
                </m:sup>
              </m:sSubSup>
              <m:d>
                <m:dPr>
                  <m:begChr m:val="("/>
                  <m:sepChr m:val=""/>
                  <m:endChr m:val=")"/>
                  <m:grow/>
                </m:dPr>
                <m:e>
                  <m:r>
                    <m:t>ε</m:t>
                  </m:r>
                </m:e>
              </m:d>
            </m:oMath>
            <w:r>
              <w:t xml:space="preserve">,</w:t>
            </w:r>
            <w:r>
              <w:t xml:space="preserve"> </w:t>
            </w:r>
            <m:oMath>
              <m:sSub>
                <m:e>
                  <m:r>
                    <m:t>Φ</m:t>
                  </m:r>
                </m:e>
                <m:sub>
                  <m:r>
                    <m:t>ρ</m:t>
                  </m:r>
                </m:sub>
              </m:sSub>
              <m:d>
                <m:dPr>
                  <m:begChr m:val="("/>
                  <m:sepChr m:val=""/>
                  <m:endChr m:val=")"/>
                  <m:grow/>
                </m:dPr>
                <m:e>
                  <m:r>
                    <m:t>C</m:t>
                  </m:r>
                </m:e>
              </m:d>
            </m:oMath>
          </w:p>
        </w:tc>
        <w:tc>
          <w:tcPr>
            <w:tcW w:w="6802" w:type="dxa"/>
          </w:tcPr>
          <w:p>
            <w:pPr>
              <w:pStyle w:val="TableText"/>
              <w:jc w:val="left"/>
            </w:pPr>
            <w:r>
              <w:t xml:space="preserve">Distributionally robust firm capacity; certified reliability margin (MW)</w:t>
            </w:r>
          </w:p>
        </w:tc>
      </w:tr>
      <w:tr>
        <w:tc>
          <w:tcPr>
            <w:tcW w:w="2268" w:type="dxa"/>
          </w:tcPr>
          <w:p>
            <w:pPr>
              <w:pStyle w:val="TableText"/>
              <w:jc w:val="left"/>
            </w:pPr>
            <m:oMath>
              <m:sSup>
                <m:e>
                  <m:r>
                    <m:t>C</m:t>
                  </m:r>
                </m:e>
                <m:sup>
                  <m:r>
                    <m:rPr>
                      <m:lit/>
                      <m:sty m:val="p"/>
                    </m:rPr>
                    <m:t>*</m:t>
                  </m:r>
                </m:sup>
              </m:sSup>
            </m:oMath>
          </w:p>
        </w:tc>
        <w:tc>
          <w:tcPr>
            <w:tcW w:w="6802" w:type="dxa"/>
          </w:tcPr>
          <w:p>
            <w:pPr>
              <w:pStyle w:val="TableText"/>
              <w:jc w:val="left"/>
            </w:pPr>
            <w:r>
              <w:t xml:space="preserve">Cost-optimal day-ahead commitment (MW)</w:t>
            </w:r>
          </w:p>
        </w:tc>
      </w:tr>
    </w:tbl>
    <w:bookmarkEnd w:id="22"/>
    <w:bookmarkStart w:id="23" w:name="introduction"/>
    <w:p>
      <w:pPr>
        <w:pStyle w:val="Heading1"/>
      </w:pPr>
      <w:r>
        <w:t xml:space="preserve">1. Introduction</w:t>
      </w:r>
    </w:p>
    <w:p>
      <w:pPr>
        <w:pStyle w:val="FirstParagraph"/>
      </w:pPr>
      <w:r>
        <w:t xml:space="preserve">The rapid growth of artificial intelligence (AI) is reshaping electricity demand. The International Energy Agency projects global data-center consumption to rise from about 415 TWh in 2024 to about 945 TWh by 2030 [1], and data centers already account for 4.4 % of electricity use in the United States [2]. Grid connection capacity has become the binding constraint for new AI campuses, and load flexibility is increasingly treated as a condition for faster interconnection: curtailing large loads for 0.25–1 % of the year would accommodate 76–126 GW of new load in 22 US balancing areas [3]. AI data centers (AIDCs) are already operated as grid-interactive assets. A field demonstration in Phoenix reduced the power of a production GPU cluster by 25 % for three hours without violating service levels [4], and utilities have signed demand-response (DR) agreements that target machine-learning workloads [5]. DR programs reward this flexibility at increasing frequency. In Jiangsu, China, the 2024 implementation rules allow up to two agreed DR events per day plus rapid peak-shaving calls at short notice, settled on the average reduction against a five-day baseline [6]. Consecutive events within one evening peak are therefore the normal operating condition of a DR-participating AIDC.</w:t>
      </w:r>
    </w:p>
    <w:p>
      <w:pPr>
        <w:pStyle w:val="BodyText"/>
      </w:pPr>
      <w:r>
        <w:t xml:space="preserve">Each event leaves recovery debts behind. Deferred training and batch work accumulates as a backlog that must be completed before its service deadline, and the storage that covered part of the reduction must be recharged. Both debts are repaid by drawing power above the baseline through the same grid headroom before the next event starts. The reduction that an AIDC can deliver in the next event is therefore decided by how it recovers from the previous one, and this cross-event coupling determines how much flexibility the grid can count on.</w:t>
      </w:r>
    </w:p>
    <w:p>
      <w:pPr>
        <w:pStyle w:val="BodyText"/>
      </w:pPr>
      <w:r>
        <w:t xml:space="preserve">In the area of data-center DR and computing flexibility, workload shifting and local generation were introduced by Liu et al. [7] and reviewed in [8,9]. Recent studies quantify the flexibility of AI workloads: Acun et al. reported 18–55 % power flexibility of AI data centers [10], Du et al. added inference quantization as a DR lever [11], Chen and Zheng showed that deferring workloads reduces interconnection cost with diminishing returns in the delay window [12], and Williams et al. framed power-flexible AI data centers as grid-responsive compute [13]. In</w:t>
      </w:r>
      <w:r>
        <w:t xml:space="preserve"> </w:t>
      </w:r>
      <w:r>
        <w:rPr>
          <w:iCs/>
          <w:i/>
        </w:rPr>
        <w:t xml:space="preserve">Applied Energy</w:t>
      </w:r>
      <w:r>
        <w:t xml:space="preserve">, data-center load models for DR [14], the DR potential of liquid-cooled data centers [15] and a four-level joint dispatch of data-center DR [16] have been developed. Overall, existing studies evaluate the curtailment capability of a single event, whereas the recovery state that one event passes on to the next remains insufficiently explored.</w:t>
      </w:r>
    </w:p>
    <w:p>
      <w:pPr>
        <w:pStyle w:val="BodyText"/>
      </w:pPr>
      <w:r>
        <w:t xml:space="preserve">In the area of computing–energy coupling in data-center integrated energy systems (IES), data centers increasingly operate with combined cooling, heating and power (CCHP), cold storage and batteries [17,18]. Zhang et al. coupled computing and electricity in a bi-level capacity planning model of a data-center cluster under supply–demand uncertainty [19], Lu et al. studied battery-assisted operation of hyperscale AI data centers [20], and the reliability impact of energy-system flexibility on data centers has been quantified in [21]. These studies capture the coupling between computing, power and heat within a scheduling period. Overall, they treat the computing backlog and the state of charge as internal operating states rather than as debts that are inherited across DR events and decide the next deliverable reduction.</w:t>
      </w:r>
    </w:p>
    <w:p>
      <w:pPr>
        <w:pStyle w:val="BodyText"/>
      </w:pPr>
      <w:r>
        <w:t xml:space="preserve">In the area of deliverability and commitment of flexible resources, aggregate flexibility models describe the power–energy envelope of homogeneous devices [22], and Evans et al. derived recovery guarantees for aggregated energy storage that must be restored between service requests [23]. Li distinguished eligible AI workloads from dependable load relief [24], and the scenario approach provides probabilistic guarantees for closed-loop constraint satisfaction [25]. Distributionally robust chance constraints over Wasserstein ambiguity sets offer data-driven reliability guarantees [26,27] and are widely used for flexibility commitments. Their two-stage form, solved by column-and-constraint generation [28], evaluates the second stage with perfect recourse and therefore certifies physical capability rather than the deliverability of the controller that operates the resource. Overall, recovery guarantees have been developed for one type of resource with one type of debt, whereas an AIDC holds two heterogeneous debts at once: computing debt is lossless but deadline-bound, storage debt is lossy but has no deadline, and both compete for the same recovery channel.</w:t>
      </w:r>
    </w:p>
    <w:p>
      <w:pPr>
        <w:pStyle w:val="BodyText"/>
      </w:pPr>
      <w:r>
        <w:t xml:space="preserve">Despite substantial progress in data-center DR, computing–energy coupling and flexibility commitment, three research gaps remain. First, the heterogeneous recovery debts that one DR event leaves for the next, and their competition for a shared grid connection, have not been modelled in an AIDC integrated energy system. Second, no capacity metric certifies what a given controller delivers in every event of a DR day, and commitments derived from physical capability overstate it. Third, coordinated scheduling that exploits cross-event foresight during recovery is lacking, and its value relative to coordination alone, the conditions under which it pays off and its equivalent in battery and connection capacity are unknown. Consequently, a framework that sizes and delivers the consecutive DR commitments of an AIDC from its recovery is still lacking.</w:t>
      </w:r>
    </w:p>
    <w:p>
      <w:pPr>
        <w:pStyle w:val="BodyText"/>
      </w:pPr>
      <w:r>
        <w:t xml:space="preserve">To address these gaps, this paper develops a recovery-aware coordinated scheduling framework for consecutive DR of an AIDC integrated energy system. The framework models the recovery debts of every event, certifies the firm consecutive capacity of the controller day-ahead and delivers it with cross-event joint recovery in real time. The main contributions are summarised as follows.</w:t>
      </w:r>
    </w:p>
    <w:p>
      <w:pPr>
        <w:numPr>
          <w:ilvl w:val="0"/>
          <w:numId w:val="1002"/>
        </w:numPr>
      </w:pPr>
      <w:r>
        <w:t xml:space="preserve">A cross-event heterogeneous recovery model of the AIDC integrated energy system is developed. Deadline-bound computing backlogs of three workload classes and lossy battery and cold-storage deficits are modelled as recovery debts that share one grid recovery channel, coupled with the electric, cooling and heat balances of the CCHP-based energy system and the Jiangsu settlement rules. Two propositions bound the deliverable reduction of the next event and give the closed-form minimum recovery interval together with the conditions under which joint recovery is valuable.</w:t>
      </w:r>
    </w:p>
    <w:p>
      <w:pPr>
        <w:numPr>
          <w:ilvl w:val="0"/>
          <w:numId w:val="1002"/>
        </w:numPr>
      </w:pPr>
      <w:r>
        <w:t xml:space="preserve">A firm consecutive DR capacity metric and its distributionally robust commitment are proposed. The firm capacity is the largest uniform commitment delivered in full in every event with a prescribed probability, generalised to a multi-event reliability region. The day-ahead commitment is certified from the closed-loop capability of the controller on historical days within a 1-Wasserstein ambiguity set; a linear-programming dual reformulates the worst-case failure probability, and Proposition 3 solves the robust capacity exactly by sorting. Unlike a perfect-recourse two-stage commitment, which measures physical capability, the certified commitment is deliverable by the controller that operates the resource.</w:t>
      </w:r>
    </w:p>
    <w:p>
      <w:pPr>
        <w:numPr>
          <w:ilvl w:val="0"/>
          <w:numId w:val="1002"/>
        </w:numPr>
      </w:pPr>
      <w:r>
        <w:t xml:space="preserve">A recovery-aware coordinated scheduling framework is established and validated at the system level. The robust commitment is coupled with an intraday cross-event joint recovery model predictive controller (MPC). A controlled comparison with tuned and price-coordinated independent recovery and event-by-event joint recovery on 26 operating days separates the value of coordination from that of cross-event foresight, converts the capacity gain into equivalent battery energy and connection capacity, and quantifies the contribution of the gas engine, absorption chiller and cold storage.</w:t>
      </w:r>
    </w:p>
    <w:bookmarkEnd w:id="23"/>
    <w:bookmarkStart w:id="30" w:name="X4b47d81680232e22087feddeed7b8e8b1817a88"/>
    <w:p>
      <w:pPr>
        <w:pStyle w:val="Heading1"/>
      </w:pPr>
      <w:r>
        <w:t xml:space="preserve">2. System architecture and consecutive demand response problem</w:t>
      </w:r>
    </w:p>
    <w:bookmarkStart w:id="27" w:name="X19c379fc22397849b52caef4175bd42364c9649"/>
    <w:p>
      <w:pPr>
        <w:pStyle w:val="Heading2"/>
      </w:pPr>
      <w:r>
        <w:t xml:space="preserve">2.1 Physical architecture of the AIDC integrated energy system</w:t>
      </w:r>
    </w:p>
    <w:p>
      <w:pPr>
        <w:pStyle w:val="FirstParagraph"/>
      </w:pPr>
      <w:r>
        <w:t xml:space="preserve">The AIDC integrated energy system considered in this paper couples computing, power, heat and cooling (Fig. 1a). It consists of four subsystems. The energy supply subsystem comprises the grid connection with limit</w:t>
      </w:r>
      <w:r>
        <w:t xml:space="preserve"> </w:t>
      </w:r>
      <m:oMath>
        <m:sSup>
          <m:e>
            <m:r>
              <m:t>P</m:t>
            </m:r>
          </m:e>
          <m:sup>
            <m:r>
              <m:t>c</m:t>
            </m:r>
            <m:r>
              <m:t>a</m:t>
            </m:r>
            <m:r>
              <m:t>p</m:t>
            </m:r>
          </m:sup>
        </m:sSup>
      </m:oMath>
      <w:r>
        <w:t xml:space="preserve"> </w:t>
      </w:r>
      <w:r>
        <w:t xml:space="preserve">and 8 MWp of rooftop and adjacent PV. The energy conversion and storage subsystem comprises a 3 MW gas engine whose recovered heat drives a single-effect absorption chiller (CCHP) and a 6 MW/12 MWh BESS. The cooling subsystem comprises electric chillers, whose COP depends on the ambient temperature, the absorption chiller and a 10 MWh chilled-water TES. The computing subsystem hosts 16 000 H100-class GPUs in 2 000 eight-GPU nodes; its load consists of online inference and non-deferrable training (Flex 0) and three classes of deferrable training and batch work (C1–C3) that tolerate a delay up to their lag bounds</w:t>
      </w:r>
      <w:r>
        <w:t xml:space="preserve"> </w:t>
      </w:r>
      <m:oMath>
        <m:sSub>
          <m:e>
            <m:r>
              <m:t>L</m:t>
            </m:r>
          </m:e>
          <m:sub>
            <m:r>
              <m:t>c</m:t>
            </m:r>
          </m:sub>
        </m:sSub>
      </m:oMath>
      <w:r>
        <w:t xml:space="preserve"> </w:t>
      </w:r>
      <w:r>
        <w:t xml:space="preserve">= 0.5, 1.5 and 3 h, following the flexibility tiers of industrial AI-DR programs [4]. A dispatch layer sets the day-ahead DR commitments and operates all flexible resources in real time.</w:t>
      </w:r>
    </w:p>
    <w:p>
      <w:pPr>
        <w:pStyle w:val="Figure"/>
      </w:pPr>
      <w:r>
        <w:drawing>
          <wp:inline>
            <wp:extent cx="5381999" cy="3276132"/>
            <wp:effectExtent b="0" l="0" r="0" t="0"/>
            <wp:docPr descr="" title="" id="25" name="Picture"/>
            <a:graphic>
              <a:graphicData uri="http://schemas.openxmlformats.org/drawingml/2006/picture">
                <pic:pic>
                  <pic:nvPicPr>
                    <pic:cNvPr descr="/home/user/datacenter/paper/figures/Fig1_system_recovery_channel.png" id="26" name="Picture"/>
                    <pic:cNvPicPr>
                      <a:picLocks noChangeArrowheads="1" noChangeAspect="1"/>
                    </pic:cNvPicPr>
                  </pic:nvPicPr>
                  <pic:blipFill>
                    <a:blip r:embed="rId24"/>
                    <a:stretch>
                      <a:fillRect/>
                    </a:stretch>
                  </pic:blipFill>
                  <pic:spPr bwMode="auto">
                    <a:xfrm>
                      <a:off x="0" y="0"/>
                      <a:ext cx="5381999" cy="3276132"/>
                    </a:xfrm>
                    <a:prstGeom prst="rect">
                      <a:avLst/>
                    </a:prstGeom>
                    <a:noFill/>
                    <a:ln w="9525">
                      <a:noFill/>
                      <a:headEnd/>
                      <a:tailEnd/>
                    </a:ln>
                  </pic:spPr>
                </pic:pic>
              </a:graphicData>
            </a:graphic>
          </wp:inline>
        </w:drawing>
      </w:r>
    </w:p>
    <w:p>
      <w:pPr>
        <w:pStyle w:val="FigureCaption"/>
      </w:pPr>
      <w:r>
        <w:rPr>
          <w:bCs/>
          <w:b/>
        </w:rPr>
        <w:t xml:space="preserve">Fig. 1.</w:t>
      </w:r>
      <w:r>
        <w:t xml:space="preserve"> </w:t>
      </w:r>
      <w:r>
        <w:t xml:space="preserve">System and recovery channel. (a) AI data-center integrated energy system: grid connection, PV, gas engine with absorption chiller (CCHP), electric chillers, chilled-water storage (TES), BESS, and the GPU cluster with fixed load and three deferrable classes C1–C3 (lag bounds 0.5, 1.5 and 3 h); the day-ahead commitment and the intraday controller act on the flexible resources. (b) Two consecutive DR events: after the first event, computing catch-up and storage recharge are repaid through one recovery channel between the baseline and the connection limit.</w:t>
      </w:r>
    </w:p>
    <w:bookmarkEnd w:id="27"/>
    <w:bookmarkStart w:id="28" w:name="X06d03e586c1959c69f77f5cb60231839d3a1a62"/>
    <w:p>
      <w:pPr>
        <w:pStyle w:val="Heading2"/>
      </w:pPr>
      <w:r>
        <w:t xml:space="preserve">2.2 Computing–energy–thermal coupling mechanism</w:t>
      </w:r>
    </w:p>
    <w:p>
      <w:pPr>
        <w:pStyle w:val="FirstParagraph"/>
      </w:pPr>
      <w:r>
        <w:t xml:space="preserve">The four subsystems are coupled through three energy flows that close one loop. (i) Computing–electricity: every busy GPU draws dynamic power, so the scheduling of deferrable work sets the IT power, and every deferred GPU·h acts as a lossless virtual discharge that must be recharged before its deadline. (ii) Electricity–cooling: the IT power is dissipated as heat, which the electric chillers, the absorption chiller and the TES remove; the chiller power, divided by a COP that falls with the ambient temperature, returns to the electric balance. (iii) Heat recovery: the exhaust heat of the gas engine drives the absorption chiller, so one MW of engine output displaces both grid import and chiller power. Through these flows, deferring computing work, discharging the BESS, discharging the TES and running the gas engine all act on the same grid import, which is the quantity that the DR operator settles, and all draw on the same headroom when the debts are repaid. The recovery channel is therefore a system-level resource that the four subsystems share.</w:t>
      </w:r>
    </w:p>
    <w:bookmarkEnd w:id="28"/>
    <w:bookmarkStart w:id="29" w:name="consecutive-dr-events-and-recovery-debts"/>
    <w:p>
      <w:pPr>
        <w:pStyle w:val="Heading2"/>
      </w:pPr>
      <w:r>
        <w:t xml:space="preserve">2.3 Consecutive DR events and recovery debts</w:t>
      </w:r>
    </w:p>
    <w:p>
      <w:pPr>
        <w:pStyle w:val="FirstParagraph"/>
      </w:pPr>
      <w:r>
        <w:t xml:space="preserve">A DR operator confirms events</w:t>
      </w:r>
      <w:r>
        <w:t xml:space="preserve"> </w:t>
      </w:r>
      <m:oMath>
        <m:r>
          <m:t>k</m:t>
        </m:r>
        <m:r>
          <m:rPr>
            <m:sty m:val="p"/>
          </m:rPr>
          <m:t>∈</m:t>
        </m:r>
        <m:r>
          <m:rPr>
            <m:scr m:val="script"/>
            <m:sty m:val="p"/>
          </m:rPr>
          <m:t>K</m:t>
        </m:r>
      </m:oMath>
      <w:r>
        <w:t xml:space="preserve"> </w:t>
      </w:r>
      <w:r>
        <w:t xml:space="preserve">with commitments</w:t>
      </w:r>
      <w:r>
        <w:t xml:space="preserve"> </w:t>
      </w:r>
      <m:oMath>
        <m:sSub>
          <m:e>
            <m:r>
              <m:t>C</m:t>
            </m:r>
          </m:e>
          <m:sub>
            <m:r>
              <m:t>k</m:t>
            </m:r>
          </m:sub>
        </m:sSub>
      </m:oMath>
      <w:r>
        <w:t xml:space="preserve">. Under the Jiangsu rules [6], an event is valid when the average reduction against the five-day baseline reaches 80 % of the commitment; the payment is proportional to the reduction up to 120 % of the commitment, and a shortfall is assessed at</w:t>
      </w:r>
      <w:r>
        <w:t xml:space="preserve"> </w:t>
      </w:r>
      <m:oMath>
        <m:r>
          <m:t>κ</m:t>
        </m:r>
      </m:oMath>
      <w:r>
        <w:t xml:space="preserve"> </w:t>
      </w:r>
      <w:r>
        <w:t xml:space="preserve">times the event price. Three event scenarios are studied (Section 5.1): two agreed one-hour events at 17:00 and 19:00 (S1, the rule-compliant base case), the same events with the interval shortened to 30 min (S2), and a high-stress extension with a third, rapid peak-shaving event at 21:00 announced 3 h ahead (S3).</w:t>
      </w:r>
    </w:p>
    <w:p>
      <w:pPr>
        <w:pStyle w:val="BodyText"/>
      </w:pPr>
      <w:r>
        <w:t xml:space="preserve">During event</w:t>
      </w:r>
      <w:r>
        <w:t xml:space="preserve"> </w:t>
      </w:r>
      <m:oMath>
        <m:r>
          <m:t>k</m:t>
        </m:r>
      </m:oMath>
      <w:r>
        <w:t xml:space="preserve">, the AIDC defers class-</w:t>
      </w:r>
      <m:oMath>
        <m:r>
          <m:t>c</m:t>
        </m:r>
      </m:oMath>
      <w:r>
        <w:t xml:space="preserve"> </w:t>
      </w:r>
      <w:r>
        <w:t xml:space="preserve">work and discharges storage. At the end of the event it holds the recovery state</w:t>
      </w:r>
      <w:r>
        <w:t xml:space="preserve"> </w:t>
      </w:r>
      <m:oMath>
        <m:sSub>
          <m:e>
            <m:r>
              <m:rPr>
                <m:sty m:val="b"/>
              </m:rPr>
              <m:t>x</m:t>
            </m:r>
          </m:e>
          <m:sub>
            <m:sSub>
              <m:e>
                <m:r>
                  <m:t>e</m:t>
                </m:r>
              </m:e>
              <m:sub>
                <m:r>
                  <m:t>k</m:t>
                </m:r>
              </m:sub>
            </m:sSub>
          </m:sub>
        </m:sSub>
        <m:r>
          <m:rPr>
            <m:sty m:val="p"/>
          </m:rPr>
          <m:t>=</m:t>
        </m:r>
        <m:d>
          <m:dPr>
            <m:begChr m:val="("/>
            <m:sepChr m:val=""/>
            <m:endChr m:val=")"/>
            <m:grow/>
          </m:dPr>
          <m:e>
            <m:sSub>
              <m:e>
                <m:r>
                  <m:t>B</m:t>
                </m:r>
              </m:e>
              <m:sub>
                <m:r>
                  <m:t>1</m:t>
                </m:r>
              </m:sub>
            </m:sSub>
            <m:r>
              <m:rPr>
                <m:sty m:val="p"/>
              </m:rPr>
              <m:t>,</m:t>
            </m:r>
            <m:sSub>
              <m:e>
                <m:r>
                  <m:t>B</m:t>
                </m:r>
              </m:e>
              <m:sub>
                <m:r>
                  <m:t>2</m:t>
                </m:r>
              </m:sub>
            </m:sSub>
            <m:r>
              <m:rPr>
                <m:sty m:val="p"/>
              </m:rPr>
              <m:t>,</m:t>
            </m:r>
            <m:sSub>
              <m:e>
                <m:r>
                  <m:t>B</m:t>
                </m:r>
              </m:e>
              <m:sub>
                <m:r>
                  <m:t>3</m:t>
                </m:r>
              </m:sub>
            </m:sSub>
            <m:r>
              <m:rPr>
                <m:sty m:val="p"/>
              </m:rPr>
              <m:t>,</m:t>
            </m:r>
            <m:r>
              <m:t>E</m:t>
            </m:r>
            <m:r>
              <m:rPr>
                <m:sty m:val="p"/>
              </m:rPr>
              <m:t>,</m:t>
            </m:r>
            <m:r>
              <m:t>S</m:t>
            </m:r>
          </m:e>
        </m:d>
      </m:oMath>
      <w:r>
        <w:t xml:space="preserve">: the backlogs are deadline-bound computing debts, and the deficits</w:t>
      </w:r>
      <w:r>
        <w:t xml:space="preserve"> </w:t>
      </w:r>
      <m:oMath>
        <m:acc>
          <m:accPr>
            <m:chr m:val="‾"/>
          </m:accPr>
          <m:e>
            <m:r>
              <m:t>E</m:t>
            </m:r>
          </m:e>
        </m:acc>
        <m:r>
          <m:rPr>
            <m:sty m:val="p"/>
          </m:rPr>
          <m:t>−</m:t>
        </m:r>
        <m:r>
          <m:t>E</m:t>
        </m:r>
      </m:oMath>
      <w:r>
        <w:t xml:space="preserve"> </w:t>
      </w:r>
      <w:r>
        <w:t xml:space="preserve">and</w:t>
      </w:r>
      <w:r>
        <w:t xml:space="preserve"> </w:t>
      </w:r>
      <m:oMath>
        <m:acc>
          <m:accPr>
            <m:chr m:val="‾"/>
          </m:accPr>
          <m:e>
            <m:r>
              <m:t>S</m:t>
            </m:r>
          </m:e>
        </m:acc>
        <m:r>
          <m:rPr>
            <m:sty m:val="p"/>
          </m:rPr>
          <m:t>−</m:t>
        </m:r>
        <m:r>
          <m:t>S</m:t>
        </m:r>
      </m:oMath>
      <w:r>
        <w:t xml:space="preserve"> </w:t>
      </w:r>
      <w:r>
        <w:t xml:space="preserve">are lossy storage debts. Both are repaid between events by importing power above the baseline (Fig. 1b), so both compete for the recovery channel</w:t>
      </w:r>
    </w:p>
    <w:p>
      <w:pPr>
        <w:pStyle w:val="Equation"/>
      </w:pPr>
      <w:r>
        <w:tab/>
      </w:r>
      <m:oMath>
        <m:sSub>
          <m:e>
            <m:r>
              <m:t>H</m:t>
            </m:r>
          </m:e>
          <m:sub>
            <m:r>
              <m:t>k</m:t>
            </m:r>
          </m:sub>
        </m:sSub>
        <m:r>
          <m:rPr>
            <m:sty m:val="p"/>
          </m:rPr>
          <m:t>=</m:t>
        </m:r>
        <m:nary>
          <m:naryPr>
            <m:chr m:val="∑"/>
            <m:limLoc m:val="undOvr"/>
            <m:subHide m:val="off"/>
            <m:supHide m:val="off"/>
          </m:naryPr>
          <m:sub>
            <m:r>
              <m:t>t</m:t>
            </m:r>
            <m:r>
              <m:rPr>
                <m:sty m:val="p"/>
              </m:rPr>
              <m:t>=</m:t>
            </m:r>
            <m:sSub>
              <m:e>
                <m:r>
                  <m:t>e</m:t>
                </m:r>
              </m:e>
              <m:sub>
                <m:r>
                  <m:t>k</m:t>
                </m:r>
              </m:sub>
            </m:sSub>
            <m:r>
              <m:rPr>
                <m:sty m:val="p"/>
              </m:rPr>
              <m:t>+</m:t>
            </m:r>
            <m:r>
              <m:t>1</m:t>
            </m:r>
          </m:sub>
          <m:sup>
            <m:sSub>
              <m:e>
                <m:r>
                  <m:t>s</m:t>
                </m:r>
              </m:e>
              <m:sub>
                <m:r>
                  <m:t>k</m:t>
                </m:r>
                <m:r>
                  <m:rPr>
                    <m:sty m:val="p"/>
                  </m:rPr>
                  <m:t>+</m:t>
                </m:r>
                <m:r>
                  <m:t>1</m:t>
                </m:r>
              </m:sub>
            </m:sSub>
            <m:r>
              <m:rPr>
                <m:sty m:val="p"/>
              </m:rPr>
              <m:t>−</m:t>
            </m:r>
            <m:r>
              <m:t>1</m:t>
            </m:r>
          </m:sup>
          <m:e>
            <m:r>
              <m:rPr>
                <m:sty m:val="p"/>
              </m:rPr>
              <m:t>max</m:t>
            </m:r>
          </m:e>
        </m:nary>
        <m:r>
          <m:rPr>
            <m:sty m:val="p"/>
          </m:rPr>
          <m:t>{</m:t>
        </m:r>
        <m:sSup>
          <m:e>
            <m:r>
              <m:t>P</m:t>
            </m:r>
          </m:e>
          <m:sup>
            <m:r>
              <m:t>c</m:t>
            </m:r>
            <m:r>
              <m:t>a</m:t>
            </m:r>
            <m:r>
              <m:t>p</m:t>
            </m:r>
          </m:sup>
        </m:sSup>
        <m:r>
          <m:rPr>
            <m:sty m:val="p"/>
          </m:rPr>
          <m:t>−</m:t>
        </m:r>
        <m:sSubSup>
          <m:e>
            <m:r>
              <m:t>P</m:t>
            </m:r>
          </m:e>
          <m:sub>
            <m:r>
              <m:t>t</m:t>
            </m:r>
          </m:sub>
          <m:sup>
            <m:r>
              <m:t>b</m:t>
            </m:r>
            <m:r>
              <m:t>a</m:t>
            </m:r>
            <m:r>
              <m:t>s</m:t>
            </m:r>
            <m:r>
              <m:t>e</m:t>
            </m:r>
          </m:sup>
        </m:sSubSup>
        <m:r>
          <m:rPr>
            <m:sty m:val="p"/>
          </m:rPr>
          <m:t>,</m:t>
        </m:r>
        <m:r>
          <m:t> </m:t>
        </m:r>
        <m:r>
          <m:t>0</m:t>
        </m:r>
        <m:r>
          <m:rPr>
            <m:sty m:val="p"/>
          </m:rPr>
          <m:t>}</m:t>
        </m:r>
        <m:r>
          <m:t> </m:t>
        </m:r>
        <m:r>
          <m:t>Δ</m:t>
        </m:r>
        <m:r>
          <m:t>t</m:t>
        </m:r>
        <m:r>
          <m:rPr>
            <m:sty m:val="p"/>
          </m:rPr>
          <m:t>.</m:t>
        </m:r>
      </m:oMath>
      <w:r>
        <w:tab/>
      </w:r>
      <w:r>
        <w:t xml:space="preserve">(1)</w:t>
      </w:r>
    </w:p>
    <w:p>
      <w:pPr>
        <w:pStyle w:val="BodyText"/>
      </w:pPr>
      <w:r>
        <w:t xml:space="preserve">The scheduling problem is to decide which debt to repay first so that the reduction deliverable in event</w:t>
      </w:r>
      <w:r>
        <w:t xml:space="preserve"> </w:t>
      </w:r>
      <m:oMath>
        <m:r>
          <m:t>k</m:t>
        </m:r>
        <m:r>
          <m:rPr>
            <m:sty m:val="p"/>
          </m:rPr>
          <m:t>+</m:t>
        </m:r>
        <m:r>
          <m:t>1</m:t>
        </m:r>
      </m:oMath>
      <w:r>
        <w:t xml:space="preserve"> </w:t>
      </w:r>
      <w:r>
        <w:t xml:space="preserve">is maximised; the commitment problem is to determine how much consecutive capacity the AIDC can firmly offer when recovery is coordinated across events.</w:t>
      </w:r>
    </w:p>
    <w:bookmarkEnd w:id="29"/>
    <w:bookmarkEnd w:id="30"/>
    <w:bookmarkStart w:id="38" w:name="Xd3bf797e97a624b18ac1d02a3608b2fe7491d8f"/>
    <w:p>
      <w:pPr>
        <w:pStyle w:val="Heading1"/>
      </w:pPr>
      <w:r>
        <w:t xml:space="preserve">3. Cross-event recovery model of the AIDC integrated energy system</w:t>
      </w:r>
    </w:p>
    <w:p>
      <w:pPr>
        <w:pStyle w:val="FirstParagraph"/>
      </w:pPr>
      <w:r>
        <w:t xml:space="preserve">This section formulates the operation of the AIDC integrated energy system over a DR day as a mixed-integer linear program (MILP) with a 15-min step. The model underlies both the intraday controller and the closed-loop capability of Section 4.</w:t>
      </w:r>
    </w:p>
    <w:bookmarkStart w:id="31" w:name="it-power-and-computing-backlog-model"/>
    <w:p>
      <w:pPr>
        <w:pStyle w:val="Heading2"/>
      </w:pPr>
      <w:r>
        <w:t xml:space="preserve">3.1 IT power and computing backlog model</w:t>
      </w:r>
    </w:p>
    <w:p>
      <w:pPr>
        <w:pStyle w:val="FirstParagraph"/>
      </w:pPr>
      <w:r>
        <w:t xml:space="preserve">The IT power follows the number of busy GPUs. With the idle and other IT power collected in</w:t>
      </w:r>
      <w:r>
        <w:t xml:space="preserve"> </w:t>
      </w:r>
      <m:oMath>
        <m:sSup>
          <m:e>
            <m:r>
              <m:t>P</m:t>
            </m:r>
          </m:e>
          <m:sup>
            <m:r>
              <m:t>f</m:t>
            </m:r>
            <m:r>
              <m:t>i</m:t>
            </m:r>
            <m:r>
              <m:t>x</m:t>
            </m:r>
          </m:sup>
        </m:sSup>
        <m:r>
          <m:rPr>
            <m:sty m:val="p"/>
          </m:rPr>
          <m:t>=</m:t>
        </m:r>
        <m:sSup>
          <m:e>
            <m:r>
              <m:t>N</m:t>
            </m:r>
          </m:e>
          <m:sup>
            <m:r>
              <m:t>G</m:t>
            </m:r>
            <m:r>
              <m:t>P</m:t>
            </m:r>
            <m:r>
              <m:t>U</m:t>
            </m:r>
          </m:sup>
        </m:sSup>
        <m:sSup>
          <m:e>
            <m:r>
              <m:t>p</m:t>
            </m:r>
          </m:e>
          <m:sup>
            <m:r>
              <m:t>i</m:t>
            </m:r>
            <m:r>
              <m:t>d</m:t>
            </m:r>
            <m:r>
              <m:t>l</m:t>
            </m:r>
            <m:r>
              <m:t>e</m:t>
            </m:r>
          </m:sup>
        </m:sSup>
        <m:r>
          <m:rPr>
            <m:sty m:val="p"/>
          </m:rPr>
          <m:t>+</m:t>
        </m:r>
        <m:sSup>
          <m:e>
            <m:r>
              <m:t>P</m:t>
            </m:r>
          </m:e>
          <m:sup>
            <m:r>
              <m:t>o</m:t>
            </m:r>
            <m:r>
              <m:t>t</m:t>
            </m:r>
            <m:r>
              <m:t>h</m:t>
            </m:r>
          </m:sup>
        </m:sSup>
      </m:oMath>
      <w:r>
        <w:t xml:space="preserve">, it is</w:t>
      </w:r>
    </w:p>
    <w:p>
      <w:pPr>
        <w:pStyle w:val="Equation"/>
      </w:pPr>
      <w:r>
        <w:tab/>
      </w:r>
      <m:oMath>
        <m:sSubSup>
          <m:e>
            <m:r>
              <m:t>P</m:t>
            </m:r>
          </m:e>
          <m:sub>
            <m:r>
              <m:t>t</m:t>
            </m:r>
          </m:sub>
          <m:sup>
            <m:r>
              <m:t>I</m:t>
            </m:r>
            <m:r>
              <m:t>T</m:t>
            </m:r>
          </m:sup>
        </m:sSubSup>
        <m:r>
          <m:rPr>
            <m:sty m:val="p"/>
          </m:rPr>
          <m:t>=</m:t>
        </m:r>
        <m:sSup>
          <m:e>
            <m:r>
              <m:t>P</m:t>
            </m:r>
          </m:e>
          <m:sup>
            <m:r>
              <m:t>f</m:t>
            </m:r>
            <m:r>
              <m:t>i</m:t>
            </m:r>
            <m:r>
              <m:t>x</m:t>
            </m:r>
          </m:sup>
        </m:sSup>
        <m:r>
          <m:rPr>
            <m:sty m:val="p"/>
          </m:rPr>
          <m:t>+</m:t>
        </m:r>
        <m:sSup>
          <m:e>
            <m:r>
              <m:t>p</m:t>
            </m:r>
          </m:e>
          <m:sup>
            <m:r>
              <m:t>d</m:t>
            </m:r>
            <m:r>
              <m:t>y</m:t>
            </m:r>
            <m:r>
              <m:t>n</m:t>
            </m:r>
          </m:sup>
        </m:sSup>
        <m:d>
          <m:dPr>
            <m:begChr m:val="("/>
            <m:sepChr m:val=""/>
            <m:endChr m:val=")"/>
            <m:grow/>
          </m:dPr>
          <m:e>
            <m:sSup>
              <m:e>
                <m:r>
                  <m:t>κ</m:t>
                </m:r>
              </m:e>
              <m:sup>
                <m:r>
                  <m:t>i</m:t>
                </m:r>
                <m:r>
                  <m:t>n</m:t>
                </m:r>
                <m:r>
                  <m:t>f</m:t>
                </m:r>
              </m:sup>
            </m:sSup>
            <m:sSubSup>
              <m:e>
                <m:r>
                  <m:t>G</m:t>
                </m:r>
              </m:e>
              <m:sub>
                <m:r>
                  <m:t>t</m:t>
                </m:r>
              </m:sub>
              <m:sup>
                <m:r>
                  <m:t>i</m:t>
                </m:r>
                <m:r>
                  <m:t>n</m:t>
                </m:r>
                <m:r>
                  <m:t>f</m:t>
                </m:r>
              </m:sup>
            </m:sSubSup>
            <m:r>
              <m:rPr>
                <m:sty m:val="p"/>
              </m:rPr>
              <m:t>+</m:t>
            </m:r>
            <m:sSubSup>
              <m:e>
                <m:r>
                  <m:t>G</m:t>
                </m:r>
              </m:e>
              <m:sub>
                <m:r>
                  <m:t>t</m:t>
                </m:r>
              </m:sub>
              <m:sup>
                <m:r>
                  <m:t>f</m:t>
                </m:r>
                <m:r>
                  <m:t>i</m:t>
                </m:r>
                <m:r>
                  <m:t>x</m:t>
                </m:r>
              </m:sup>
            </m:sSubSup>
            <m:r>
              <m:rPr>
                <m:sty m:val="p"/>
              </m:rPr>
              <m:t>+</m:t>
            </m:r>
            <m:nary>
              <m:naryPr>
                <m:chr m:val="∑"/>
                <m:limLoc m:val="undOvr"/>
                <m:subHide m:val="off"/>
                <m:supHide m:val="on"/>
              </m:naryPr>
              <m:sub>
                <m:r>
                  <m:t>c</m:t>
                </m:r>
              </m:sub>
              <m:sup>
                <m:r>
                  <m:t>​</m:t>
                </m:r>
              </m:sup>
              <m:e>
                <m:sSub>
                  <m:e>
                    <m:r>
                      <m:t>y</m:t>
                    </m:r>
                  </m:e>
                  <m:sub>
                    <m:r>
                      <m:t>c</m:t>
                    </m:r>
                    <m:r>
                      <m:rPr>
                        <m:sty m:val="p"/>
                      </m:rPr>
                      <m:t>,</m:t>
                    </m:r>
                    <m:r>
                      <m:t>t</m:t>
                    </m:r>
                  </m:sub>
                </m:sSub>
              </m:e>
            </m:nary>
          </m:e>
        </m:d>
        <m:r>
          <m:rPr>
            <m:sty m:val="p"/>
          </m:rPr>
          <m:t>.</m:t>
        </m:r>
      </m:oMath>
      <w:r>
        <w:tab/>
      </w:r>
      <w:r>
        <w:t xml:space="preserve">(2)</w:t>
      </w:r>
    </w:p>
    <w:p>
      <w:pPr>
        <w:pStyle w:val="BodyText"/>
      </w:pPr>
      <w:r>
        <w:t xml:space="preserve">Deferred work of class</w:t>
      </w:r>
      <w:r>
        <w:t xml:space="preserve"> </w:t>
      </w:r>
      <m:oMath>
        <m:r>
          <m:t>c</m:t>
        </m:r>
      </m:oMath>
      <w:r>
        <w:t xml:space="preserve"> </w:t>
      </w:r>
      <w:r>
        <w:t xml:space="preserve">accumulates in the backlog</w:t>
      </w:r>
    </w:p>
    <w:p>
      <w:pPr>
        <w:pStyle w:val="Equation"/>
      </w:pPr>
      <w:r>
        <w:tab/>
      </w:r>
      <m:oMath>
        <m:sSub>
          <m:e>
            <m:r>
              <m:t>B</m:t>
            </m:r>
          </m:e>
          <m:sub>
            <m:r>
              <m:t>c</m:t>
            </m:r>
            <m:r>
              <m:rPr>
                <m:sty m:val="p"/>
              </m:rPr>
              <m:t>,</m:t>
            </m:r>
            <m:r>
              <m:t>t</m:t>
            </m:r>
          </m:sub>
        </m:sSub>
        <m:r>
          <m:rPr>
            <m:sty m:val="p"/>
          </m:rPr>
          <m:t>=</m:t>
        </m:r>
        <m:sSub>
          <m:e>
            <m:r>
              <m:t>B</m:t>
            </m:r>
          </m:e>
          <m:sub>
            <m:r>
              <m:t>c</m:t>
            </m:r>
            <m:r>
              <m:rPr>
                <m:sty m:val="p"/>
              </m:rPr>
              <m:t>,</m:t>
            </m:r>
            <m:r>
              <m:t>t</m:t>
            </m:r>
            <m:r>
              <m:rPr>
                <m:sty m:val="p"/>
              </m:rPr>
              <m:t>−</m:t>
            </m:r>
            <m:r>
              <m:t>1</m:t>
            </m:r>
          </m:sub>
        </m:sSub>
        <m:r>
          <m:rPr>
            <m:sty m:val="p"/>
          </m:rPr>
          <m:t>+</m:t>
        </m:r>
        <m:d>
          <m:dPr>
            <m:begChr m:val="("/>
            <m:sepChr m:val=""/>
            <m:endChr m:val=")"/>
            <m:grow/>
          </m:dPr>
          <m:e>
            <m:sSub>
              <m:e>
                <m:r>
                  <m:t>a</m:t>
                </m:r>
              </m:e>
              <m:sub>
                <m:r>
                  <m:t>c</m:t>
                </m:r>
                <m:r>
                  <m:rPr>
                    <m:sty m:val="p"/>
                  </m:rPr>
                  <m:t>,</m:t>
                </m:r>
                <m:r>
                  <m:t>t</m:t>
                </m:r>
              </m:sub>
            </m:sSub>
            <m:r>
              <m:rPr>
                <m:sty m:val="p"/>
              </m:rPr>
              <m:t>−</m:t>
            </m:r>
            <m:sSub>
              <m:e>
                <m:r>
                  <m:t>y</m:t>
                </m:r>
              </m:e>
              <m:sub>
                <m:r>
                  <m:t>c</m:t>
                </m:r>
                <m:r>
                  <m:rPr>
                    <m:sty m:val="p"/>
                  </m:rPr>
                  <m:t>,</m:t>
                </m:r>
                <m:r>
                  <m:t>t</m:t>
                </m:r>
              </m:sub>
            </m:sSub>
          </m:e>
        </m:d>
        <m:r>
          <m:t>Δ</m:t>
        </m:r>
        <m:r>
          <m:t>t</m:t>
        </m:r>
        <m:r>
          <m:rPr>
            <m:sty m:val="p"/>
          </m:rPr>
          <m:t>,</m:t>
        </m:r>
        <m:r>
          <m:t>  </m:t>
        </m:r>
        <m:r>
          <m:t>0</m:t>
        </m:r>
        <m:r>
          <m:rPr>
            <m:sty m:val="p"/>
          </m:rPr>
          <m:t>≤</m:t>
        </m:r>
        <m:sSub>
          <m:e>
            <m:r>
              <m:t>B</m:t>
            </m:r>
          </m:e>
          <m:sub>
            <m:r>
              <m:t>c</m:t>
            </m:r>
            <m:r>
              <m:rPr>
                <m:sty m:val="p"/>
              </m:rPr>
              <m:t>,</m:t>
            </m:r>
            <m:r>
              <m:t>t</m:t>
            </m:r>
          </m:sub>
        </m:sSub>
        <m:r>
          <m:rPr>
            <m:sty m:val="p"/>
          </m:rPr>
          <m:t>≤</m:t>
        </m:r>
        <m:sSub>
          <m:e>
            <m:acc>
              <m:accPr>
                <m:chr m:val="‾"/>
              </m:accPr>
              <m:e>
                <m:r>
                  <m:t>B</m:t>
                </m:r>
              </m:e>
            </m:acc>
          </m:e>
          <m:sub>
            <m:r>
              <m:t>c</m:t>
            </m:r>
            <m:r>
              <m:rPr>
                <m:sty m:val="p"/>
              </m:rPr>
              <m:t>,</m:t>
            </m:r>
            <m:r>
              <m:t>t</m:t>
            </m:r>
          </m:sub>
        </m:sSub>
        <m:d>
          <m:dPr>
            <m:begChr m:val="("/>
            <m:sepChr m:val=""/>
            <m:endChr m:val=")"/>
            <m:grow/>
          </m:dPr>
          <m:e>
            <m:sSub>
              <m:e>
                <m:r>
                  <m:t>L</m:t>
                </m:r>
              </m:e>
              <m:sub>
                <m:r>
                  <m:t>c</m:t>
                </m:r>
              </m:sub>
            </m:sSub>
          </m:e>
        </m:d>
        <m:r>
          <m:rPr>
            <m:sty m:val="p"/>
          </m:rPr>
          <m:t>+</m:t>
        </m:r>
        <m:sSub>
          <m:e>
            <m:r>
              <m:t>v</m:t>
            </m:r>
          </m:e>
          <m:sub>
            <m:r>
              <m:t>c</m:t>
            </m:r>
            <m:r>
              <m:rPr>
                <m:sty m:val="p"/>
              </m:rPr>
              <m:t>,</m:t>
            </m:r>
            <m:r>
              <m:t>t</m:t>
            </m:r>
          </m:sub>
        </m:sSub>
        <m:r>
          <m:rPr>
            <m:sty m:val="p"/>
          </m:rPr>
          <m:t>,</m:t>
        </m:r>
      </m:oMath>
      <w:r>
        <w:tab/>
      </w:r>
      <w:r>
        <w:t xml:space="preserve">(3)</w:t>
      </w:r>
    </w:p>
    <w:p>
      <w:pPr>
        <w:pStyle w:val="BodyText"/>
      </w:pPr>
      <w:r>
        <w:t xml:space="preserve">where</w:t>
      </w:r>
      <w:r>
        <w:t xml:space="preserve"> </w:t>
      </w:r>
      <m:oMath>
        <m:sSub>
          <m:e>
            <m:acc>
              <m:accPr>
                <m:chr m:val="‾"/>
              </m:accPr>
              <m:e>
                <m:r>
                  <m:t>B</m:t>
                </m:r>
              </m:e>
            </m:acc>
          </m:e>
          <m:sub>
            <m:r>
              <m:t>c</m:t>
            </m:r>
            <m:r>
              <m:rPr>
                <m:sty m:val="p"/>
              </m:rPr>
              <m:t>,</m:t>
            </m:r>
            <m:r>
              <m:t>t</m:t>
            </m:r>
          </m:sub>
        </m:sSub>
        <m:d>
          <m:dPr>
            <m:begChr m:val="("/>
            <m:sepChr m:val=""/>
            <m:endChr m:val=")"/>
            <m:grow/>
          </m:dPr>
          <m:e>
            <m:sSub>
              <m:e>
                <m:r>
                  <m:t>L</m:t>
                </m:r>
              </m:e>
              <m:sub>
                <m:r>
                  <m:t>c</m:t>
                </m:r>
              </m:sub>
            </m:sSub>
          </m:e>
        </m:d>
      </m:oMath>
      <w:r>
        <w:t xml:space="preserve"> </w:t>
      </w:r>
      <w:r>
        <w:t xml:space="preserve">is the work that arrived within the last</w:t>
      </w:r>
      <w:r>
        <w:t xml:space="preserve"> </w:t>
      </w:r>
      <m:oMath>
        <m:sSub>
          <m:e>
            <m:r>
              <m:t>L</m:t>
            </m:r>
          </m:e>
          <m:sub>
            <m:r>
              <m:t>c</m:t>
            </m:r>
          </m:sub>
        </m:sSub>
      </m:oMath>
      <w:r>
        <w:t xml:space="preserve"> </w:t>
      </w:r>
      <w:r>
        <w:t xml:space="preserve">hours and is therefore not yet due, and</w:t>
      </w:r>
      <w:r>
        <w:t xml:space="preserve"> </w:t>
      </w:r>
      <m:oMath>
        <m:sSub>
          <m:e>
            <m:r>
              <m:t>v</m:t>
            </m:r>
          </m:e>
          <m:sub>
            <m:r>
              <m:t>c</m:t>
            </m:r>
            <m:r>
              <m:rPr>
                <m:sty m:val="p"/>
              </m:rPr>
              <m:t>,</m:t>
            </m:r>
            <m:r>
              <m:t>t</m:t>
            </m:r>
          </m:sub>
        </m:sSub>
        <m:r>
          <m:rPr>
            <m:sty m:val="p"/>
          </m:rPr>
          <m:t>≥</m:t>
        </m:r>
        <m:r>
          <m:t>0</m:t>
        </m:r>
      </m:oMath>
      <w:r>
        <w:t xml:space="preserve"> </w:t>
      </w:r>
      <w:r>
        <w:t xml:space="preserve">is overdue work priced at</w:t>
      </w:r>
      <w:r>
        <w:t xml:space="preserve"> </w:t>
      </w:r>
      <m:oMath>
        <m:sSup>
          <m:e>
            <m:r>
              <m:t>c</m:t>
            </m:r>
          </m:e>
          <m:sup>
            <m:r>
              <m:t>l</m:t>
            </m:r>
            <m:r>
              <m:t>a</m:t>
            </m:r>
            <m:r>
              <m:t>t</m:t>
            </m:r>
            <m:r>
              <m:t>e</m:t>
            </m:r>
          </m:sup>
        </m:sSup>
      </m:oMath>
      <w:r>
        <w:t xml:space="preserve">. The schedulable GPUs are limited by the utilisation cap</w:t>
      </w:r>
      <w:r>
        <w:t xml:space="preserve"> </w:t>
      </w:r>
      <m:oMath>
        <m:sSup>
          <m:e>
            <m:r>
              <m:t>u</m:t>
            </m:r>
          </m:e>
          <m:sup>
            <m:r>
              <m:t>m</m:t>
            </m:r>
            <m:r>
              <m:t>a</m:t>
            </m:r>
            <m:r>
              <m:t>x</m:t>
            </m:r>
          </m:sup>
        </m:sSup>
      </m:oMath>
      <w:r>
        <w:t xml:space="preserve">,</w:t>
      </w:r>
    </w:p>
    <w:p>
      <w:pPr>
        <w:pStyle w:val="Equation"/>
      </w:pPr>
      <w:r>
        <w:tab/>
      </w:r>
      <m:oMath>
        <m:nary>
          <m:naryPr>
            <m:chr m:val="∑"/>
            <m:limLoc m:val="undOvr"/>
            <m:subHide m:val="off"/>
            <m:supHide m:val="on"/>
          </m:naryPr>
          <m:sub>
            <m:r>
              <m:t>c</m:t>
            </m:r>
          </m:sub>
          <m:sup>
            <m:r>
              <m:t>​</m:t>
            </m:r>
          </m:sup>
          <m:e>
            <m:sSub>
              <m:e>
                <m:r>
                  <m:t>y</m:t>
                </m:r>
              </m:e>
              <m:sub>
                <m:r>
                  <m:t>c</m:t>
                </m:r>
                <m:r>
                  <m:rPr>
                    <m:sty m:val="p"/>
                  </m:rPr>
                  <m:t>,</m:t>
                </m:r>
                <m:r>
                  <m:t>t</m:t>
                </m:r>
              </m:sub>
            </m:sSub>
          </m:e>
        </m:nary>
        <m:r>
          <m:rPr>
            <m:sty m:val="p"/>
          </m:rPr>
          <m:t>≤</m:t>
        </m:r>
        <m:sSup>
          <m:e>
            <m:r>
              <m:t>u</m:t>
            </m:r>
          </m:e>
          <m:sup>
            <m:r>
              <m:t>m</m:t>
            </m:r>
            <m:r>
              <m:t>a</m:t>
            </m:r>
            <m:r>
              <m:t>x</m:t>
            </m:r>
          </m:sup>
        </m:sSup>
        <m:sSup>
          <m:e>
            <m:r>
              <m:t>N</m:t>
            </m:r>
          </m:e>
          <m:sup>
            <m:r>
              <m:t>G</m:t>
            </m:r>
            <m:r>
              <m:t>P</m:t>
            </m:r>
            <m:r>
              <m:t>U</m:t>
            </m:r>
          </m:sup>
        </m:sSup>
        <m:r>
          <m:rPr>
            <m:sty m:val="p"/>
          </m:rPr>
          <m:t>−</m:t>
        </m:r>
        <m:sSubSup>
          <m:e>
            <m:r>
              <m:t>G</m:t>
            </m:r>
          </m:e>
          <m:sub>
            <m:r>
              <m:t>t</m:t>
            </m:r>
          </m:sub>
          <m:sup>
            <m:r>
              <m:t>i</m:t>
            </m:r>
            <m:r>
              <m:t>n</m:t>
            </m:r>
            <m:r>
              <m:t>f</m:t>
            </m:r>
          </m:sup>
        </m:sSubSup>
        <m:r>
          <m:rPr>
            <m:sty m:val="p"/>
          </m:rPr>
          <m:t>−</m:t>
        </m:r>
        <m:sSubSup>
          <m:e>
            <m:r>
              <m:t>G</m:t>
            </m:r>
          </m:e>
          <m:sub>
            <m:r>
              <m:t>t</m:t>
            </m:r>
          </m:sub>
          <m:sup>
            <m:r>
              <m:t>f</m:t>
            </m:r>
            <m:r>
              <m:t>i</m:t>
            </m:r>
            <m:r>
              <m:t>x</m:t>
            </m:r>
          </m:sup>
        </m:sSubSup>
        <m:r>
          <m:rPr>
            <m:sty m:val="p"/>
          </m:rPr>
          <m:t>.</m:t>
        </m:r>
      </m:oMath>
      <w:r>
        <w:tab/>
      </w:r>
      <w:r>
        <w:t xml:space="preserve">(4)</w:t>
      </w:r>
    </w:p>
    <w:p>
      <w:pPr>
        <w:pStyle w:val="BodyText"/>
      </w:pPr>
      <w:r>
        <w:t xml:space="preserve">Each GPU·h of backlog requires</w:t>
      </w:r>
      <w:r>
        <w:t xml:space="preserve"> </w:t>
      </w:r>
      <m:oMath>
        <m:sSub>
          <m:e>
            <m:r>
              <m:t>ψ</m:t>
            </m:r>
          </m:e>
          <m:sub>
            <m:r>
              <m:t>t</m:t>
            </m:r>
          </m:sub>
        </m:sSub>
        <m:r>
          <m:rPr>
            <m:sty m:val="p"/>
          </m:rPr>
          <m:t>=</m:t>
        </m:r>
        <m:d>
          <m:dPr>
            <m:begChr m:val="("/>
            <m:sepChr m:val=""/>
            <m:endChr m:val=")"/>
            <m:grow/>
          </m:dPr>
          <m:e>
            <m:r>
              <m:t>1</m:t>
            </m:r>
            <m:r>
              <m:rPr>
                <m:sty m:val="p"/>
              </m:rPr>
              <m:t>+</m:t>
            </m:r>
            <m:r>
              <m:t>ζ</m:t>
            </m:r>
            <m:r>
              <m:rPr>
                <m:sty m:val="p"/>
              </m:rPr>
              <m:t>+</m:t>
            </m:r>
            <m:r>
              <m:t>θ</m:t>
            </m:r>
            <m:r>
              <m:rPr>
                <m:sty m:val="p"/>
              </m:rPr>
              <m:t>/</m:t>
            </m:r>
            <m:sSub>
              <m:e>
                <m:r>
                  <m:rPr>
                    <m:sty m:val="p"/>
                  </m:rPr>
                  <m:t>C</m:t>
                </m:r>
                <m:r>
                  <m:rPr>
                    <m:sty m:val="p"/>
                  </m:rPr>
                  <m:t>O</m:t>
                </m:r>
                <m:r>
                  <m:rPr>
                    <m:sty m:val="p"/>
                  </m:rPr>
                  <m:t>P</m:t>
                </m:r>
              </m:e>
              <m:sub>
                <m:r>
                  <m:t>t</m:t>
                </m:r>
              </m:sub>
            </m:sSub>
          </m:e>
        </m:d>
        <m:r>
          <m:t> </m:t>
        </m:r>
        <m:sSup>
          <m:e>
            <m:r>
              <m:t>p</m:t>
            </m:r>
          </m:e>
          <m:sup>
            <m:r>
              <m:t>d</m:t>
            </m:r>
            <m:r>
              <m:t>y</m:t>
            </m:r>
            <m:r>
              <m:t>n</m:t>
            </m:r>
          </m:sup>
        </m:sSup>
      </m:oMath>
      <w:r>
        <w:t xml:space="preserve"> </w:t>
      </w:r>
      <w:r>
        <w:t xml:space="preserve">MWh of facility energy when it is caught up, including distribution losses and cooling. The computing debt</w:t>
      </w:r>
      <w:r>
        <w:t xml:space="preserve"> </w:t>
      </w:r>
      <m:oMath>
        <m:sSub>
          <m:e>
            <m:r>
              <m:t>X</m:t>
            </m:r>
          </m:e>
          <m:sub>
            <m:r>
              <m:t>t</m:t>
            </m:r>
          </m:sub>
        </m:sSub>
        <m:r>
          <m:rPr>
            <m:sty m:val="p"/>
          </m:rPr>
          <m:t>=</m:t>
        </m:r>
        <m:sSub>
          <m:e>
            <m:r>
              <m:t>ψ</m:t>
            </m:r>
          </m:e>
          <m:sub>
            <m:r>
              <m:t>t</m:t>
            </m:r>
          </m:sub>
        </m:sSub>
        <m:nary>
          <m:naryPr>
            <m:chr m:val="∑"/>
            <m:limLoc m:val="undOvr"/>
            <m:subHide m:val="off"/>
            <m:supHide m:val="on"/>
          </m:naryPr>
          <m:sub>
            <m:r>
              <m:t>c</m:t>
            </m:r>
          </m:sub>
          <m:sup>
            <m:r>
              <m:t>​</m:t>
            </m:r>
          </m:sup>
          <m:e>
            <m:sSub>
              <m:e>
                <m:r>
                  <m:t>B</m:t>
                </m:r>
              </m:e>
              <m:sub>
                <m:r>
                  <m:t>c</m:t>
                </m:r>
                <m:r>
                  <m:rPr>
                    <m:sty m:val="p"/>
                  </m:rPr>
                  <m:t>,</m:t>
                </m:r>
                <m:r>
                  <m:t>t</m:t>
                </m:r>
              </m:sub>
            </m:sSub>
          </m:e>
        </m:nary>
      </m:oMath>
      <w:r>
        <w:t xml:space="preserve"> </w:t>
      </w:r>
      <w:r>
        <w:t xml:space="preserve">therefore behaves like the discharge of a lossless virtual storage whose recharge has deadlines.</w:t>
      </w:r>
    </w:p>
    <w:bookmarkEnd w:id="31"/>
    <w:bookmarkStart w:id="32" w:name="electrochemical-and-cold-storage-model"/>
    <w:p>
      <w:pPr>
        <w:pStyle w:val="Heading2"/>
      </w:pPr>
      <w:r>
        <w:t xml:space="preserve">3.2 Electrochemical and cold storage model</w:t>
      </w:r>
    </w:p>
    <w:p>
      <w:pPr>
        <w:pStyle w:val="FirstParagraph"/>
      </w:pPr>
      <w:r>
        <w:t xml:space="preserve">The BESS and the TES evolve as</w:t>
      </w:r>
    </w:p>
    <w:p>
      <w:pPr>
        <w:pStyle w:val="Equation"/>
      </w:pPr>
      <w:r>
        <w:tab/>
      </w:r>
      <m:oMath>
        <m:sSub>
          <m:e>
            <m:r>
              <m:t>E</m:t>
            </m:r>
          </m:e>
          <m:sub>
            <m:r>
              <m:t>t</m:t>
            </m:r>
          </m:sub>
        </m:sSub>
        <m:r>
          <m:rPr>
            <m:sty m:val="p"/>
          </m:rPr>
          <m:t>=</m:t>
        </m:r>
        <m:sSub>
          <m:e>
            <m:r>
              <m:t>E</m:t>
            </m:r>
          </m:e>
          <m:sub>
            <m:r>
              <m:t>t</m:t>
            </m:r>
            <m:r>
              <m:rPr>
                <m:sty m:val="p"/>
              </m:rPr>
              <m:t>−</m:t>
            </m:r>
            <m:r>
              <m:t>1</m:t>
            </m:r>
          </m:sub>
        </m:sSub>
        <m:r>
          <m:rPr>
            <m:sty m:val="p"/>
          </m:rPr>
          <m:t>+</m:t>
        </m:r>
        <m:d>
          <m:dPr>
            <m:begChr m:val="("/>
            <m:sepChr m:val=""/>
            <m:endChr m:val=")"/>
            <m:grow/>
          </m:dPr>
          <m:e>
            <m:sSub>
              <m:e>
                <m:r>
                  <m:t>η</m:t>
                </m:r>
              </m:e>
              <m:sub>
                <m:r>
                  <m:t>c</m:t>
                </m:r>
              </m:sub>
            </m:sSub>
            <m:sSubSup>
              <m:e>
                <m:r>
                  <m:t>P</m:t>
                </m:r>
              </m:e>
              <m:sub>
                <m:r>
                  <m:t>t</m:t>
                </m:r>
              </m:sub>
              <m:sup>
                <m:r>
                  <m:t>c</m:t>
                </m:r>
                <m:r>
                  <m:t>h</m:t>
                </m:r>
              </m:sup>
            </m:sSubSup>
            <m:r>
              <m:rPr>
                <m:sty m:val="p"/>
              </m:rPr>
              <m:t>−</m:t>
            </m:r>
            <m:f>
              <m:fPr>
                <m:type m:val="bar"/>
              </m:fPr>
              <m:num>
                <m:sSubSup>
                  <m:e>
                    <m:r>
                      <m:t>P</m:t>
                    </m:r>
                  </m:e>
                  <m:sub>
                    <m:r>
                      <m:t>t</m:t>
                    </m:r>
                  </m:sub>
                  <m:sup>
                    <m:r>
                      <m:t>d</m:t>
                    </m:r>
                    <m:r>
                      <m:t>i</m:t>
                    </m:r>
                    <m:r>
                      <m:t>s</m:t>
                    </m:r>
                  </m:sup>
                </m:sSubSup>
              </m:num>
              <m:den>
                <m:sSub>
                  <m:e>
                    <m:r>
                      <m:t>η</m:t>
                    </m:r>
                  </m:e>
                  <m:sub>
                    <m:r>
                      <m:t>d</m:t>
                    </m:r>
                  </m:sub>
                </m:sSub>
              </m:den>
            </m:f>
          </m:e>
        </m:d>
        <m:r>
          <m:t>Δ</m:t>
        </m:r>
        <m:r>
          <m:t>t</m:t>
        </m:r>
        <m:r>
          <m:rPr>
            <m:sty m:val="p"/>
          </m:rPr>
          <m:t>,</m:t>
        </m:r>
        <m:r>
          <m:t> </m:t>
        </m:r>
        <m:bar>
          <m:barPr>
            <m:pos m:val="bot"/>
          </m:barPr>
          <m:e>
            <m:r>
              <m:t>E</m:t>
            </m:r>
          </m:e>
        </m:bar>
        <m:r>
          <m:rPr>
            <m:sty m:val="p"/>
          </m:rPr>
          <m:t>≤</m:t>
        </m:r>
        <m:sSub>
          <m:e>
            <m:r>
              <m:t>E</m:t>
            </m:r>
          </m:e>
          <m:sub>
            <m:r>
              <m:t>t</m:t>
            </m:r>
          </m:sub>
        </m:sSub>
        <m:r>
          <m:rPr>
            <m:sty m:val="p"/>
          </m:rPr>
          <m:t>≤</m:t>
        </m:r>
        <m:acc>
          <m:accPr>
            <m:chr m:val="‾"/>
          </m:accPr>
          <m:e>
            <m:r>
              <m:t>E</m:t>
            </m:r>
          </m:e>
        </m:acc>
        <m:r>
          <m:rPr>
            <m:sty m:val="p"/>
          </m:rPr>
          <m:t>,</m:t>
        </m:r>
        <m:r>
          <m:t> </m:t>
        </m:r>
        <m:r>
          <m:t>0</m:t>
        </m:r>
        <m:r>
          <m:rPr>
            <m:sty m:val="p"/>
          </m:rPr>
          <m:t>≤</m:t>
        </m:r>
        <m:sSubSup>
          <m:e>
            <m:r>
              <m:t>P</m:t>
            </m:r>
          </m:e>
          <m:sub>
            <m:r>
              <m:t>t</m:t>
            </m:r>
          </m:sub>
          <m:sup>
            <m:r>
              <m:t>c</m:t>
            </m:r>
            <m:r>
              <m:t>h</m:t>
            </m:r>
          </m:sup>
        </m:sSubSup>
        <m:r>
          <m:rPr>
            <m:sty m:val="p"/>
          </m:rPr>
          <m:t>,</m:t>
        </m:r>
        <m:sSubSup>
          <m:e>
            <m:r>
              <m:t>P</m:t>
            </m:r>
          </m:e>
          <m:sub>
            <m:r>
              <m:t>t</m:t>
            </m:r>
          </m:sub>
          <m:sup>
            <m:r>
              <m:t>d</m:t>
            </m:r>
            <m:r>
              <m:t>i</m:t>
            </m:r>
            <m:r>
              <m:t>s</m:t>
            </m:r>
          </m:sup>
        </m:sSubSup>
        <m:r>
          <m:rPr>
            <m:sty m:val="p"/>
          </m:rPr>
          <m:t>≤</m:t>
        </m:r>
        <m:sSup>
          <m:e>
            <m:acc>
              <m:accPr>
                <m:chr m:val="‾"/>
              </m:accPr>
              <m:e>
                <m:r>
                  <m:t>P</m:t>
                </m:r>
              </m:e>
            </m:acc>
          </m:e>
          <m:sup>
            <m:r>
              <m:t>B</m:t>
            </m:r>
          </m:sup>
        </m:sSup>
        <m:r>
          <m:rPr>
            <m:sty m:val="p"/>
          </m:rPr>
          <m:t>,</m:t>
        </m:r>
      </m:oMath>
      <w:r>
        <w:tab/>
      </w:r>
      <w:r>
        <w:t xml:space="preserve">(5)</w:t>
      </w:r>
    </w:p>
    <w:p>
      <w:pPr>
        <w:pStyle w:val="Equation"/>
      </w:pPr>
      <w:r>
        <w:tab/>
      </w:r>
      <m:oMath>
        <m:sSub>
          <m:e>
            <m:r>
              <m:t>S</m:t>
            </m:r>
          </m:e>
          <m:sub>
            <m:r>
              <m:t>t</m:t>
            </m:r>
          </m:sub>
        </m:sSub>
        <m:r>
          <m:rPr>
            <m:sty m:val="p"/>
          </m:rPr>
          <m:t>=</m:t>
        </m:r>
        <m:d>
          <m:dPr>
            <m:begChr m:val="("/>
            <m:sepChr m:val=""/>
            <m:endChr m:val=")"/>
            <m:grow/>
          </m:dPr>
          <m:e>
            <m:r>
              <m:t>1</m:t>
            </m:r>
            <m:r>
              <m:rPr>
                <m:sty m:val="p"/>
              </m:rPr>
              <m:t>−</m:t>
            </m:r>
            <m:r>
              <m:t>σ</m:t>
            </m:r>
            <m:r>
              <m:t>Δ</m:t>
            </m:r>
            <m:r>
              <m:t>t</m:t>
            </m:r>
          </m:e>
        </m:d>
        <m:sSub>
          <m:e>
            <m:r>
              <m:t>S</m:t>
            </m:r>
          </m:e>
          <m:sub>
            <m:r>
              <m:t>t</m:t>
            </m:r>
            <m:r>
              <m:rPr>
                <m:sty m:val="p"/>
              </m:rPr>
              <m:t>−</m:t>
            </m:r>
            <m:r>
              <m:t>1</m:t>
            </m:r>
          </m:sub>
        </m:sSub>
        <m:r>
          <m:rPr>
            <m:sty m:val="p"/>
          </m:rPr>
          <m:t>+</m:t>
        </m:r>
        <m:d>
          <m:dPr>
            <m:begChr m:val="("/>
            <m:sepChr m:val=""/>
            <m:endChr m:val=")"/>
            <m:grow/>
          </m:dPr>
          <m:e>
            <m:sSubSup>
              <m:e>
                <m:r>
                  <m:t>η</m:t>
                </m:r>
              </m:e>
              <m:sub>
                <m:r>
                  <m:t>c</m:t>
                </m:r>
              </m:sub>
              <m:sup>
                <m:r>
                  <m:t>T</m:t>
                </m:r>
              </m:sup>
            </m:sSubSup>
            <m:sSubSup>
              <m:e>
                <m:r>
                  <m:t>Q</m:t>
                </m:r>
              </m:e>
              <m:sub>
                <m:r>
                  <m:t>t</m:t>
                </m:r>
              </m:sub>
              <m:sup>
                <m:r>
                  <m:t>T</m:t>
                </m:r>
                <m:r>
                  <m:t>C</m:t>
                </m:r>
              </m:sup>
            </m:sSubSup>
            <m:r>
              <m:rPr>
                <m:sty m:val="p"/>
              </m:rPr>
              <m:t>−</m:t>
            </m:r>
            <m:f>
              <m:fPr>
                <m:type m:val="bar"/>
              </m:fPr>
              <m:num>
                <m:sSubSup>
                  <m:e>
                    <m:r>
                      <m:t>Q</m:t>
                    </m:r>
                  </m:e>
                  <m:sub>
                    <m:r>
                      <m:t>t</m:t>
                    </m:r>
                  </m:sub>
                  <m:sup>
                    <m:r>
                      <m:t>T</m:t>
                    </m:r>
                    <m:r>
                      <m:t>D</m:t>
                    </m:r>
                  </m:sup>
                </m:sSubSup>
              </m:num>
              <m:den>
                <m:sSubSup>
                  <m:e>
                    <m:r>
                      <m:t>η</m:t>
                    </m:r>
                  </m:e>
                  <m:sub>
                    <m:r>
                      <m:t>d</m:t>
                    </m:r>
                  </m:sub>
                  <m:sup>
                    <m:r>
                      <m:t>T</m:t>
                    </m:r>
                  </m:sup>
                </m:sSubSup>
              </m:den>
            </m:f>
          </m:e>
        </m:d>
        <m:r>
          <m:t>Δ</m:t>
        </m:r>
        <m:r>
          <m:t>t</m:t>
        </m:r>
        <m:r>
          <m:rPr>
            <m:sty m:val="p"/>
          </m:rPr>
          <m:t>,</m:t>
        </m:r>
        <m:r>
          <m:t> </m:t>
        </m:r>
        <m:bar>
          <m:barPr>
            <m:pos m:val="bot"/>
          </m:barPr>
          <m:e>
            <m:r>
              <m:t>S</m:t>
            </m:r>
          </m:e>
        </m:bar>
        <m:r>
          <m:rPr>
            <m:sty m:val="p"/>
          </m:rPr>
          <m:t>≤</m:t>
        </m:r>
        <m:sSub>
          <m:e>
            <m:r>
              <m:t>S</m:t>
            </m:r>
          </m:e>
          <m:sub>
            <m:r>
              <m:t>t</m:t>
            </m:r>
          </m:sub>
        </m:sSub>
        <m:r>
          <m:rPr>
            <m:sty m:val="p"/>
          </m:rPr>
          <m:t>≤</m:t>
        </m:r>
        <m:acc>
          <m:accPr>
            <m:chr m:val="‾"/>
          </m:accPr>
          <m:e>
            <m:r>
              <m:t>S</m:t>
            </m:r>
          </m:e>
        </m:acc>
        <m:r>
          <m:rPr>
            <m:sty m:val="p"/>
          </m:rPr>
          <m:t>,</m:t>
        </m:r>
        <m:r>
          <m:t> </m:t>
        </m:r>
        <m:r>
          <m:t>0</m:t>
        </m:r>
        <m:r>
          <m:rPr>
            <m:sty m:val="p"/>
          </m:rPr>
          <m:t>≤</m:t>
        </m:r>
        <m:sSubSup>
          <m:e>
            <m:r>
              <m:t>Q</m:t>
            </m:r>
          </m:e>
          <m:sub>
            <m:r>
              <m:t>t</m:t>
            </m:r>
          </m:sub>
          <m:sup>
            <m:r>
              <m:t>T</m:t>
            </m:r>
            <m:r>
              <m:t>C</m:t>
            </m:r>
          </m:sup>
        </m:sSubSup>
        <m:r>
          <m:rPr>
            <m:sty m:val="p"/>
          </m:rPr>
          <m:t>,</m:t>
        </m:r>
        <m:sSubSup>
          <m:e>
            <m:r>
              <m:t>Q</m:t>
            </m:r>
          </m:e>
          <m:sub>
            <m:r>
              <m:t>t</m:t>
            </m:r>
          </m:sub>
          <m:sup>
            <m:r>
              <m:t>T</m:t>
            </m:r>
            <m:r>
              <m:t>D</m:t>
            </m:r>
          </m:sup>
        </m:sSubSup>
        <m:r>
          <m:rPr>
            <m:sty m:val="p"/>
          </m:rPr>
          <m:t>≤</m:t>
        </m:r>
        <m:sSup>
          <m:e>
            <m:acc>
              <m:accPr>
                <m:chr m:val="‾"/>
              </m:accPr>
              <m:e>
                <m:r>
                  <m:t>Q</m:t>
                </m:r>
              </m:e>
            </m:acc>
          </m:e>
          <m:sup>
            <m:r>
              <m:t>T</m:t>
            </m:r>
          </m:sup>
        </m:sSup>
        <m:r>
          <m:rPr>
            <m:sty m:val="p"/>
          </m:rPr>
          <m:t>.</m:t>
        </m:r>
      </m:oMath>
      <w:r>
        <w:tab/>
      </w:r>
      <w:r>
        <w:t xml:space="preserve">(6)</w:t>
      </w:r>
    </w:p>
    <w:p>
      <w:pPr>
        <w:pStyle w:val="BodyText"/>
      </w:pPr>
      <w:r>
        <w:t xml:space="preserve">Their deficits</w:t>
      </w:r>
      <w:r>
        <w:t xml:space="preserve"> </w:t>
      </w:r>
      <m:oMath>
        <m:acc>
          <m:accPr>
            <m:chr m:val="‾"/>
          </m:accPr>
          <m:e>
            <m:r>
              <m:t>E</m:t>
            </m:r>
          </m:e>
        </m:acc>
        <m:r>
          <m:rPr>
            <m:sty m:val="p"/>
          </m:rPr>
          <m:t>−</m:t>
        </m:r>
        <m:sSub>
          <m:e>
            <m:r>
              <m:t>E</m:t>
            </m:r>
          </m:e>
          <m:sub>
            <m:r>
              <m:t>t</m:t>
            </m:r>
          </m:sub>
        </m:sSub>
      </m:oMath>
      <w:r>
        <w:t xml:space="preserve"> </w:t>
      </w:r>
      <w:r>
        <w:t xml:space="preserve">and</w:t>
      </w:r>
      <w:r>
        <w:t xml:space="preserve"> </w:t>
      </w:r>
      <m:oMath>
        <m:acc>
          <m:accPr>
            <m:chr m:val="‾"/>
          </m:accPr>
          <m:e>
            <m:r>
              <m:t>S</m:t>
            </m:r>
          </m:e>
        </m:acc>
        <m:r>
          <m:rPr>
            <m:sty m:val="p"/>
          </m:rPr>
          <m:t>−</m:t>
        </m:r>
        <m:sSub>
          <m:e>
            <m:r>
              <m:t>S</m:t>
            </m:r>
          </m:e>
          <m:sub>
            <m:r>
              <m:t>t</m:t>
            </m:r>
          </m:sub>
        </m:sSub>
      </m:oMath>
      <w:r>
        <w:t xml:space="preserve"> </w:t>
      </w:r>
      <w:r>
        <w:t xml:space="preserve">are lossy debts: every MWh drawn for recharging returns only the round-trip efficiency in the next event.</w:t>
      </w:r>
    </w:p>
    <w:bookmarkEnd w:id="32"/>
    <w:bookmarkStart w:id="33" w:name="Xbffd6b660ccccbccedcdc35d6f3b6538bf762fd"/>
    <w:p>
      <w:pPr>
        <w:pStyle w:val="Heading2"/>
      </w:pPr>
      <w:r>
        <w:t xml:space="preserve">3.3 CCHP, cooling supply and grid interaction model</w:t>
      </w:r>
    </w:p>
    <w:p>
      <w:pPr>
        <w:pStyle w:val="FirstParagraph"/>
      </w:pPr>
      <w:r>
        <w:t xml:space="preserve">The heat of the IT equipment,</w:t>
      </w:r>
      <w:r>
        <w:t xml:space="preserve"> </w:t>
      </w:r>
      <m:oMath>
        <m:r>
          <m:t>θ</m:t>
        </m:r>
        <m:sSubSup>
          <m:e>
            <m:r>
              <m:t>P</m:t>
            </m:r>
          </m:e>
          <m:sub>
            <m:r>
              <m:t>t</m:t>
            </m:r>
          </m:sub>
          <m:sup>
            <m:r>
              <m:t>I</m:t>
            </m:r>
            <m:r>
              <m:t>T</m:t>
            </m:r>
          </m:sup>
        </m:sSubSup>
      </m:oMath>
      <w:r>
        <w:t xml:space="preserve">, and the base cooling load</w:t>
      </w:r>
      <w:r>
        <w:t xml:space="preserve"> </w:t>
      </w:r>
      <m:oMath>
        <m:sSub>
          <m:e>
            <m:r>
              <m:t>Q</m:t>
            </m:r>
          </m:e>
          <m:sub>
            <m:r>
              <m:t>0</m:t>
            </m:r>
          </m:sub>
        </m:sSub>
      </m:oMath>
      <w:r>
        <w:t xml:space="preserve"> </w:t>
      </w:r>
      <w:r>
        <w:t xml:space="preserve">are removed by the electric chillers, the absorption chiller driven by recovered heat and the TES,</w:t>
      </w:r>
    </w:p>
    <w:p>
      <w:pPr>
        <w:pStyle w:val="Equation"/>
      </w:pPr>
      <w:r>
        <w:tab/>
      </w:r>
      <m:oMath>
        <m:sSubSup>
          <m:e>
            <m:r>
              <m:t>Q</m:t>
            </m:r>
          </m:e>
          <m:sub>
            <m:r>
              <m:t>t</m:t>
            </m:r>
          </m:sub>
          <m:sup>
            <m:r>
              <m:t>E</m:t>
            </m:r>
            <m:r>
              <m:t>C</m:t>
            </m:r>
          </m:sup>
        </m:sSubSup>
        <m:r>
          <m:rPr>
            <m:sty m:val="p"/>
          </m:rPr>
          <m:t>+</m:t>
        </m:r>
        <m:sSup>
          <m:e>
            <m:r>
              <m:rPr>
                <m:sty m:val="p"/>
              </m:rPr>
              <m:t>C</m:t>
            </m:r>
            <m:r>
              <m:rPr>
                <m:sty m:val="p"/>
              </m:rPr>
              <m:t>O</m:t>
            </m:r>
            <m:r>
              <m:rPr>
                <m:sty m:val="p"/>
              </m:rPr>
              <m:t>P</m:t>
            </m:r>
          </m:e>
          <m:sup>
            <m:r>
              <m:t>A</m:t>
            </m:r>
            <m:r>
              <m:t>C</m:t>
            </m:r>
          </m:sup>
        </m:sSup>
        <m:sSubSup>
          <m:e>
            <m:r>
              <m:t>H</m:t>
            </m:r>
          </m:e>
          <m:sub>
            <m:r>
              <m:t>t</m:t>
            </m:r>
          </m:sub>
          <m:sup>
            <m:r>
              <m:t>A</m:t>
            </m:r>
            <m:r>
              <m:t>C</m:t>
            </m:r>
          </m:sup>
        </m:sSubSup>
        <m:r>
          <m:rPr>
            <m:sty m:val="p"/>
          </m:rPr>
          <m:t>+</m:t>
        </m:r>
        <m:sSubSup>
          <m:e>
            <m:r>
              <m:t>Q</m:t>
            </m:r>
          </m:e>
          <m:sub>
            <m:r>
              <m:t>t</m:t>
            </m:r>
          </m:sub>
          <m:sup>
            <m:r>
              <m:t>T</m:t>
            </m:r>
            <m:r>
              <m:t>D</m:t>
            </m:r>
          </m:sup>
        </m:sSubSup>
        <m:r>
          <m:rPr>
            <m:sty m:val="p"/>
          </m:rPr>
          <m:t>−</m:t>
        </m:r>
        <m:sSubSup>
          <m:e>
            <m:r>
              <m:t>Q</m:t>
            </m:r>
          </m:e>
          <m:sub>
            <m:r>
              <m:t>t</m:t>
            </m:r>
          </m:sub>
          <m:sup>
            <m:r>
              <m:t>T</m:t>
            </m:r>
            <m:r>
              <m:t>C</m:t>
            </m:r>
          </m:sup>
        </m:sSubSup>
        <m:r>
          <m:rPr>
            <m:sty m:val="p"/>
          </m:rPr>
          <m:t>=</m:t>
        </m:r>
        <m:r>
          <m:t>θ</m:t>
        </m:r>
        <m:sSubSup>
          <m:e>
            <m:r>
              <m:t>P</m:t>
            </m:r>
          </m:e>
          <m:sub>
            <m:r>
              <m:t>t</m:t>
            </m:r>
          </m:sub>
          <m:sup>
            <m:r>
              <m:t>I</m:t>
            </m:r>
            <m:r>
              <m:t>T</m:t>
            </m:r>
          </m:sup>
        </m:sSubSup>
        <m:r>
          <m:rPr>
            <m:sty m:val="p"/>
          </m:rPr>
          <m:t>+</m:t>
        </m:r>
        <m:sSub>
          <m:e>
            <m:r>
              <m:t>Q</m:t>
            </m:r>
          </m:e>
          <m:sub>
            <m:r>
              <m:t>0</m:t>
            </m:r>
          </m:sub>
        </m:sSub>
        <m:r>
          <m:rPr>
            <m:sty m:val="p"/>
          </m:rPr>
          <m:t>,</m:t>
        </m:r>
        <m:r>
          <m:t>  </m:t>
        </m:r>
        <m:sSubSup>
          <m:e>
            <m:r>
              <m:t>H</m:t>
            </m:r>
          </m:e>
          <m:sub>
            <m:r>
              <m:t>t</m:t>
            </m:r>
          </m:sub>
          <m:sup>
            <m:r>
              <m:t>A</m:t>
            </m:r>
            <m:r>
              <m:t>C</m:t>
            </m:r>
          </m:sup>
        </m:sSubSup>
        <m:r>
          <m:rPr>
            <m:sty m:val="p"/>
          </m:rPr>
          <m:t>≤</m:t>
        </m:r>
        <m:sSup>
          <m:e>
            <m:r>
              <m:t>k</m:t>
            </m:r>
          </m:e>
          <m:sup>
            <m:r>
              <m:t>h</m:t>
            </m:r>
          </m:sup>
        </m:sSup>
        <m:sSubSup>
          <m:e>
            <m:r>
              <m:t>P</m:t>
            </m:r>
          </m:e>
          <m:sub>
            <m:r>
              <m:t>t</m:t>
            </m:r>
          </m:sub>
          <m:sup>
            <m:r>
              <m:t>G</m:t>
            </m:r>
            <m:r>
              <m:t>T</m:t>
            </m:r>
          </m:sup>
        </m:sSubSup>
        <m:r>
          <m:rPr>
            <m:sty m:val="p"/>
          </m:rPr>
          <m:t>,</m:t>
        </m:r>
      </m:oMath>
      <w:r>
        <w:tab/>
      </w:r>
      <w:r>
        <w:t xml:space="preserve">(7)</w:t>
      </w:r>
    </w:p>
    <w:p>
      <w:pPr>
        <w:pStyle w:val="BodyText"/>
      </w:pPr>
      <w:r>
        <w:t xml:space="preserve">where</w:t>
      </w:r>
      <w:r>
        <w:t xml:space="preserve"> </w:t>
      </w:r>
      <m:oMath>
        <m:sSup>
          <m:e>
            <m:r>
              <m:t>k</m:t>
            </m:r>
          </m:e>
          <m:sup>
            <m:r>
              <m:t>h</m:t>
            </m:r>
          </m:sup>
        </m:sSup>
      </m:oMath>
      <w:r>
        <w:t xml:space="preserve"> </w:t>
      </w:r>
      <w:r>
        <w:t xml:space="preserve">is the recoverable heat per unit of gas-engine output. The electric balance includes the distribution losses, the auxiliary load and the chiller power,</w:t>
      </w:r>
    </w:p>
    <w:p>
      <w:pPr>
        <w:pStyle w:val="Equation"/>
      </w:pPr>
      <w:r>
        <w:tab/>
      </w:r>
      <m:oMath>
        <m:sSubSup>
          <m:e>
            <m:r>
              <m:t>P</m:t>
            </m:r>
          </m:e>
          <m:sub>
            <m:r>
              <m:t>t</m:t>
            </m:r>
          </m:sub>
          <m:sup>
            <m:r>
              <m:t>g</m:t>
            </m:r>
            <m:r>
              <m:t>r</m:t>
            </m:r>
            <m:r>
              <m:t>i</m:t>
            </m:r>
            <m:r>
              <m:t>d</m:t>
            </m:r>
          </m:sup>
        </m:sSubSup>
        <m:r>
          <m:rPr>
            <m:sty m:val="p"/>
          </m:rPr>
          <m:t>+</m:t>
        </m:r>
        <m:sSubSup>
          <m:e>
            <m:r>
              <m:t>P</m:t>
            </m:r>
          </m:e>
          <m:sub>
            <m:r>
              <m:t>t</m:t>
            </m:r>
          </m:sub>
          <m:sup>
            <m:r>
              <m:t>P</m:t>
            </m:r>
            <m:r>
              <m:t>V</m:t>
            </m:r>
          </m:sup>
        </m:sSubSup>
        <m:r>
          <m:rPr>
            <m:sty m:val="p"/>
          </m:rPr>
          <m:t>+</m:t>
        </m:r>
        <m:sSubSup>
          <m:e>
            <m:r>
              <m:t>P</m:t>
            </m:r>
          </m:e>
          <m:sub>
            <m:r>
              <m:t>t</m:t>
            </m:r>
          </m:sub>
          <m:sup>
            <m:r>
              <m:t>G</m:t>
            </m:r>
            <m:r>
              <m:t>T</m:t>
            </m:r>
          </m:sup>
        </m:sSubSup>
        <m:r>
          <m:rPr>
            <m:sty m:val="p"/>
          </m:rPr>
          <m:t>+</m:t>
        </m:r>
        <m:sSubSup>
          <m:e>
            <m:r>
              <m:t>P</m:t>
            </m:r>
          </m:e>
          <m:sub>
            <m:r>
              <m:t>t</m:t>
            </m:r>
          </m:sub>
          <m:sup>
            <m:r>
              <m:t>d</m:t>
            </m:r>
            <m:r>
              <m:t>i</m:t>
            </m:r>
            <m:r>
              <m:t>s</m:t>
            </m:r>
          </m:sup>
        </m:sSubSup>
        <m:r>
          <m:rPr>
            <m:sty m:val="p"/>
          </m:rPr>
          <m:t>−</m:t>
        </m:r>
        <m:sSubSup>
          <m:e>
            <m:r>
              <m:t>P</m:t>
            </m:r>
          </m:e>
          <m:sub>
            <m:r>
              <m:t>t</m:t>
            </m:r>
          </m:sub>
          <m:sup>
            <m:r>
              <m:t>c</m:t>
            </m:r>
            <m:r>
              <m:t>h</m:t>
            </m:r>
          </m:sup>
        </m:sSubSup>
        <m:r>
          <m:rPr>
            <m:sty m:val="p"/>
          </m:rPr>
          <m:t>=</m:t>
        </m:r>
        <m:d>
          <m:dPr>
            <m:begChr m:val="("/>
            <m:sepChr m:val=""/>
            <m:endChr m:val=")"/>
            <m:grow/>
          </m:dPr>
          <m:e>
            <m:r>
              <m:t>1</m:t>
            </m:r>
            <m:r>
              <m:rPr>
                <m:sty m:val="p"/>
              </m:rPr>
              <m:t>+</m:t>
            </m:r>
            <m:r>
              <m:t>ζ</m:t>
            </m:r>
          </m:e>
        </m:d>
        <m:sSubSup>
          <m:e>
            <m:r>
              <m:t>P</m:t>
            </m:r>
          </m:e>
          <m:sub>
            <m:r>
              <m:t>t</m:t>
            </m:r>
          </m:sub>
          <m:sup>
            <m:r>
              <m:t>I</m:t>
            </m:r>
            <m:r>
              <m:t>T</m:t>
            </m:r>
          </m:sup>
        </m:sSubSup>
        <m:r>
          <m:rPr>
            <m:sty m:val="p"/>
          </m:rPr>
          <m:t>+</m:t>
        </m:r>
        <m:sSup>
          <m:e>
            <m:r>
              <m:t>P</m:t>
            </m:r>
          </m:e>
          <m:sup>
            <m:r>
              <m:t>a</m:t>
            </m:r>
            <m:r>
              <m:t>u</m:t>
            </m:r>
            <m:r>
              <m:t>x</m:t>
            </m:r>
          </m:sup>
        </m:sSup>
        <m:r>
          <m:rPr>
            <m:sty m:val="p"/>
          </m:rPr>
          <m:t>+</m:t>
        </m:r>
        <m:f>
          <m:fPr>
            <m:type m:val="bar"/>
          </m:fPr>
          <m:num>
            <m:sSubSup>
              <m:e>
                <m:r>
                  <m:t>Q</m:t>
                </m:r>
              </m:e>
              <m:sub>
                <m:r>
                  <m:t>t</m:t>
                </m:r>
              </m:sub>
              <m:sup>
                <m:r>
                  <m:t>E</m:t>
                </m:r>
                <m:r>
                  <m:t>C</m:t>
                </m:r>
              </m:sup>
            </m:sSubSup>
          </m:num>
          <m:den>
            <m:sSub>
              <m:e>
                <m:r>
                  <m:rPr>
                    <m:sty m:val="p"/>
                  </m:rPr>
                  <m:t>C</m:t>
                </m:r>
                <m:r>
                  <m:rPr>
                    <m:sty m:val="p"/>
                  </m:rPr>
                  <m:t>O</m:t>
                </m:r>
                <m:r>
                  <m:rPr>
                    <m:sty m:val="p"/>
                  </m:rPr>
                  <m:t>P</m:t>
                </m:r>
              </m:e>
              <m:sub>
                <m:r>
                  <m:t>t</m:t>
                </m:r>
              </m:sub>
            </m:sSub>
          </m:den>
        </m:f>
        <m:r>
          <m:rPr>
            <m:sty m:val="p"/>
          </m:rPr>
          <m:t>.</m:t>
        </m:r>
      </m:oMath>
      <w:r>
        <w:tab/>
      </w:r>
      <w:r>
        <w:t xml:space="preserve">(8)</w:t>
      </w:r>
    </w:p>
    <w:p>
      <w:pPr>
        <w:pStyle w:val="BodyText"/>
      </w:pPr>
      <w:r>
        <w:t xml:space="preserve">The grid import respects the connection limit and a minimum import,</w:t>
      </w:r>
    </w:p>
    <w:p>
      <w:pPr>
        <w:pStyle w:val="Equation"/>
      </w:pPr>
      <w:r>
        <w:tab/>
      </w:r>
      <m:oMath>
        <m:sSup>
          <m:e>
            <m:r>
              <m:t>P</m:t>
            </m:r>
          </m:e>
          <m:sup>
            <m:r>
              <m:t>m</m:t>
            </m:r>
            <m:r>
              <m:t>i</m:t>
            </m:r>
            <m:r>
              <m:t>n</m:t>
            </m:r>
          </m:sup>
        </m:sSup>
        <m:r>
          <m:rPr>
            <m:sty m:val="p"/>
          </m:rPr>
          <m:t>≤</m:t>
        </m:r>
        <m:sSubSup>
          <m:e>
            <m:r>
              <m:t>P</m:t>
            </m:r>
          </m:e>
          <m:sub>
            <m:r>
              <m:t>t</m:t>
            </m:r>
          </m:sub>
          <m:sup>
            <m:r>
              <m:t>g</m:t>
            </m:r>
            <m:r>
              <m:t>r</m:t>
            </m:r>
            <m:r>
              <m:t>i</m:t>
            </m:r>
            <m:r>
              <m:t>d</m:t>
            </m:r>
          </m:sup>
        </m:sSubSup>
        <m:r>
          <m:rPr>
            <m:sty m:val="p"/>
          </m:rPr>
          <m:t>≤</m:t>
        </m:r>
        <m:sSup>
          <m:e>
            <m:r>
              <m:t>P</m:t>
            </m:r>
          </m:e>
          <m:sup>
            <m:r>
              <m:t>c</m:t>
            </m:r>
            <m:r>
              <m:t>a</m:t>
            </m:r>
            <m:r>
              <m:t>p</m:t>
            </m:r>
          </m:sup>
        </m:sSup>
        <m:r>
          <m:rPr>
            <m:sty m:val="p"/>
          </m:rPr>
          <m:t>,</m:t>
        </m:r>
      </m:oMath>
      <w:r>
        <w:tab/>
      </w:r>
      <w:r>
        <w:t xml:space="preserve">(9)</w:t>
      </w:r>
    </w:p>
    <w:p>
      <w:pPr>
        <w:pStyle w:val="BodyText"/>
      </w:pPr>
      <w:r>
        <w:t xml:space="preserve">and the gas engine, the PV and the chillers respect their ratings, the ramp limit of the engine and the available PV power,</w:t>
      </w:r>
    </w:p>
    <w:p>
      <w:pPr>
        <w:pStyle w:val="Equation"/>
      </w:pPr>
      <w:r>
        <w:tab/>
      </w:r>
      <m:oMath>
        <m:m>
          <m:mPr>
            <m:baseJc m:val="center"/>
            <m:plcHide m:val="on"/>
            <m:mcs>
              <m:mc>
                <m:mcPr>
                  <m:count m:val="1"/>
                  <m:mcJc m:val="right"/>
                </m:mcPr>
              </m:mc>
              <m:mc>
                <m:mcPr>
                  <m:count m:val="1"/>
                  <m:mcJc m:val="left"/>
                </m:mcPr>
              </m:mc>
            </m:mcs>
          </m:mPr>
          <m:mr>
            <m:e/>
            <m:e>
              <m:r>
                <m:t>0</m:t>
              </m:r>
              <m:r>
                <m:rPr>
                  <m:sty m:val="p"/>
                </m:rPr>
                <m:t>≤</m:t>
              </m:r>
              <m:sSubSup>
                <m:e>
                  <m:r>
                    <m:t>P</m:t>
                  </m:r>
                </m:e>
                <m:sub>
                  <m:r>
                    <m:t>t</m:t>
                  </m:r>
                </m:sub>
                <m:sup>
                  <m:r>
                    <m:t>G</m:t>
                  </m:r>
                  <m:r>
                    <m:t>T</m:t>
                  </m:r>
                </m:sup>
              </m:sSubSup>
              <m:r>
                <m:rPr>
                  <m:sty m:val="p"/>
                </m:rPr>
                <m:t>≤</m:t>
              </m:r>
              <m:sSup>
                <m:e>
                  <m:acc>
                    <m:accPr>
                      <m:chr m:val="‾"/>
                    </m:accPr>
                    <m:e>
                      <m:r>
                        <m:t>P</m:t>
                      </m:r>
                    </m:e>
                  </m:acc>
                </m:e>
                <m:sup>
                  <m:r>
                    <m:t>G</m:t>
                  </m:r>
                  <m:r>
                    <m:t>T</m:t>
                  </m:r>
                </m:sup>
              </m:sSup>
              <m:r>
                <m:rPr>
                  <m:sty m:val="p"/>
                </m:rPr>
                <m:t>,</m:t>
              </m:r>
              <m:r>
                <m:t>  </m:t>
              </m:r>
              <m:d>
                <m:dPr>
                  <m:begChr m:val="|"/>
                  <m:sepChr m:val=""/>
                  <m:endChr m:val="|"/>
                  <m:grow/>
                </m:dPr>
                <m:e>
                  <m:sSubSup>
                    <m:e>
                      <m:r>
                        <m:t>P</m:t>
                      </m:r>
                    </m:e>
                    <m:sub>
                      <m:r>
                        <m:t>t</m:t>
                      </m:r>
                    </m:sub>
                    <m:sup>
                      <m:r>
                        <m:t>G</m:t>
                      </m:r>
                      <m:r>
                        <m:t>T</m:t>
                      </m:r>
                    </m:sup>
                  </m:sSubSup>
                  <m:r>
                    <m:rPr>
                      <m:sty m:val="p"/>
                    </m:rPr>
                    <m:t>−</m:t>
                  </m:r>
                  <m:sSubSup>
                    <m:e>
                      <m:r>
                        <m:t>P</m:t>
                      </m:r>
                    </m:e>
                    <m:sub>
                      <m:r>
                        <m:t>t</m:t>
                      </m:r>
                      <m:r>
                        <m:rPr>
                          <m:sty m:val="p"/>
                        </m:rPr>
                        <m:t>−</m:t>
                      </m:r>
                      <m:r>
                        <m:t>1</m:t>
                      </m:r>
                    </m:sub>
                    <m:sup>
                      <m:r>
                        <m:t>G</m:t>
                      </m:r>
                      <m:r>
                        <m:t>T</m:t>
                      </m:r>
                    </m:sup>
                  </m:sSubSup>
                </m:e>
              </m:d>
              <m:r>
                <m:rPr>
                  <m:sty m:val="p"/>
                </m:rPr>
                <m:t>≤</m:t>
              </m:r>
              <m:sSup>
                <m:e>
                  <m:r>
                    <m:t>R</m:t>
                  </m:r>
                </m:e>
                <m:sup>
                  <m:r>
                    <m:t>G</m:t>
                  </m:r>
                  <m:r>
                    <m:t>T</m:t>
                  </m:r>
                </m:sup>
              </m:sSup>
              <m:r>
                <m:rPr>
                  <m:sty m:val="p"/>
                </m:rPr>
                <m:t>,</m:t>
              </m:r>
              <m:r>
                <m:t>  </m:t>
              </m:r>
              <m:r>
                <m:t>0</m:t>
              </m:r>
              <m:r>
                <m:rPr>
                  <m:sty m:val="p"/>
                </m:rPr>
                <m:t>≤</m:t>
              </m:r>
              <m:sSubSup>
                <m:e>
                  <m:r>
                    <m:t>P</m:t>
                  </m:r>
                </m:e>
                <m:sub>
                  <m:r>
                    <m:t>t</m:t>
                  </m:r>
                </m:sub>
                <m:sup>
                  <m:r>
                    <m:t>P</m:t>
                  </m:r>
                  <m:r>
                    <m:t>V</m:t>
                  </m:r>
                </m:sup>
              </m:sSubSup>
              <m:r>
                <m:rPr>
                  <m:sty m:val="p"/>
                </m:rPr>
                <m:t>≤</m:t>
              </m:r>
              <m:sSubSup>
                <m:e>
                  <m:acc>
                    <m:accPr>
                      <m:chr m:val="‾"/>
                    </m:accPr>
                    <m:e>
                      <m:r>
                        <m:t>P</m:t>
                      </m:r>
                    </m:e>
                  </m:acc>
                </m:e>
                <m:sub>
                  <m:r>
                    <m:t>t</m:t>
                  </m:r>
                </m:sub>
                <m:sup>
                  <m:r>
                    <m:t>P</m:t>
                  </m:r>
                  <m:r>
                    <m:t>V</m:t>
                  </m:r>
                </m:sup>
              </m:sSubSup>
              <m:r>
                <m:rPr>
                  <m:sty m:val="p"/>
                </m:rPr>
                <m:t>,</m:t>
              </m:r>
            </m:e>
          </m:mr>
          <m:mr>
            <m:e/>
            <m:e>
              <m:r>
                <m:t>0</m:t>
              </m:r>
              <m:r>
                <m:rPr>
                  <m:sty m:val="p"/>
                </m:rPr>
                <m:t>≤</m:t>
              </m:r>
              <m:sSubSup>
                <m:e>
                  <m:r>
                    <m:t>Q</m:t>
                  </m:r>
                </m:e>
                <m:sub>
                  <m:r>
                    <m:t>t</m:t>
                  </m:r>
                </m:sub>
                <m:sup>
                  <m:r>
                    <m:t>E</m:t>
                  </m:r>
                  <m:r>
                    <m:t>C</m:t>
                  </m:r>
                </m:sup>
              </m:sSubSup>
              <m:r>
                <m:rPr>
                  <m:sty m:val="p"/>
                </m:rPr>
                <m:t>≤</m:t>
              </m:r>
              <m:sSup>
                <m:e>
                  <m:acc>
                    <m:accPr>
                      <m:chr m:val="‾"/>
                    </m:accPr>
                    <m:e>
                      <m:r>
                        <m:t>Q</m:t>
                      </m:r>
                    </m:e>
                  </m:acc>
                </m:e>
                <m:sup>
                  <m:r>
                    <m:t>E</m:t>
                  </m:r>
                  <m:r>
                    <m:t>C</m:t>
                  </m:r>
                </m:sup>
              </m:sSup>
              <m:r>
                <m:rPr>
                  <m:sty m:val="p"/>
                </m:rPr>
                <m:t>,</m:t>
              </m:r>
              <m:r>
                <m:t>  </m:t>
              </m:r>
              <m:r>
                <m:t>0</m:t>
              </m:r>
              <m:r>
                <m:rPr>
                  <m:sty m:val="p"/>
                </m:rPr>
                <m:t>≤</m:t>
              </m:r>
              <m:sSup>
                <m:e>
                  <m:r>
                    <m:rPr>
                      <m:sty m:val="p"/>
                    </m:rPr>
                    <m:t>C</m:t>
                  </m:r>
                  <m:r>
                    <m:rPr>
                      <m:sty m:val="p"/>
                    </m:rPr>
                    <m:t>O</m:t>
                  </m:r>
                  <m:r>
                    <m:rPr>
                      <m:sty m:val="p"/>
                    </m:rPr>
                    <m:t>P</m:t>
                  </m:r>
                </m:e>
                <m:sup>
                  <m:r>
                    <m:t>A</m:t>
                  </m:r>
                  <m:r>
                    <m:t>C</m:t>
                  </m:r>
                </m:sup>
              </m:sSup>
              <m:sSubSup>
                <m:e>
                  <m:r>
                    <m:t>H</m:t>
                  </m:r>
                </m:e>
                <m:sub>
                  <m:r>
                    <m:t>t</m:t>
                  </m:r>
                </m:sub>
                <m:sup>
                  <m:r>
                    <m:t>A</m:t>
                  </m:r>
                  <m:r>
                    <m:t>C</m:t>
                  </m:r>
                </m:sup>
              </m:sSubSup>
              <m:r>
                <m:rPr>
                  <m:sty m:val="p"/>
                </m:rPr>
                <m:t>≤</m:t>
              </m:r>
              <m:sSup>
                <m:e>
                  <m:acc>
                    <m:accPr>
                      <m:chr m:val="‾"/>
                    </m:accPr>
                    <m:e>
                      <m:r>
                        <m:t>Q</m:t>
                      </m:r>
                    </m:e>
                  </m:acc>
                </m:e>
                <m:sup>
                  <m:r>
                    <m:t>A</m:t>
                  </m:r>
                  <m:r>
                    <m:t>C</m:t>
                  </m:r>
                </m:sup>
              </m:sSup>
              <m:r>
                <m:rPr>
                  <m:sty m:val="p"/>
                </m:rPr>
                <m:t>.</m:t>
              </m:r>
            </m:e>
          </m:mr>
        </m:m>
      </m:oMath>
      <w:r>
        <w:tab/>
      </w:r>
      <w:r>
        <w:t xml:space="preserve">(10)</w:t>
      </w:r>
    </w:p>
    <w:p>
      <w:pPr>
        <w:pStyle w:val="BodyText"/>
      </w:pPr>
      <w:r>
        <w:t xml:space="preserve">Through (7)–(10), deferring computing work lowers both the IT power and the chiller power, and recovered heat and stored cold widen the headroom</w:t>
      </w:r>
      <w:r>
        <w:t xml:space="preserve"> </w:t>
      </w:r>
      <m:oMath>
        <m:sSup>
          <m:e>
            <m:r>
              <m:t>P</m:t>
            </m:r>
          </m:e>
          <m:sup>
            <m:r>
              <m:t>c</m:t>
            </m:r>
            <m:r>
              <m:t>a</m:t>
            </m:r>
            <m:r>
              <m:t>p</m:t>
            </m:r>
          </m:sup>
        </m:sSup>
        <m:r>
          <m:rPr>
            <m:sty m:val="p"/>
          </m:rPr>
          <m:t>−</m:t>
        </m:r>
        <m:sSubSup>
          <m:e>
            <m:r>
              <m:t>P</m:t>
            </m:r>
          </m:e>
          <m:sub>
            <m:r>
              <m:t>t</m:t>
            </m:r>
          </m:sub>
          <m:sup>
            <m:r>
              <m:t>g</m:t>
            </m:r>
            <m:r>
              <m:t>r</m:t>
            </m:r>
            <m:r>
              <m:t>i</m:t>
            </m:r>
            <m:r>
              <m:t>d</m:t>
            </m:r>
          </m:sup>
        </m:sSubSup>
      </m:oMath>
      <w:r>
        <w:t xml:space="preserve"> </w:t>
      </w:r>
      <w:r>
        <w:t xml:space="preserve">on which recovery draws.</w:t>
      </w:r>
    </w:p>
    <w:bookmarkEnd w:id="33"/>
    <w:bookmarkStart w:id="34" w:name="settlement-of-consecutive-dr-events"/>
    <w:p>
      <w:pPr>
        <w:pStyle w:val="Heading2"/>
      </w:pPr>
      <w:r>
        <w:t xml:space="preserve">3.4 Settlement of consecutive DR events</w:t>
      </w:r>
    </w:p>
    <w:p>
      <w:pPr>
        <w:pStyle w:val="FirstParagraph"/>
      </w:pPr>
      <w:r>
        <w:t xml:space="preserve">The average reduction of event</w:t>
      </w:r>
      <w:r>
        <w:t xml:space="preserve"> </w:t>
      </w:r>
      <m:oMath>
        <m:r>
          <m:t>k</m:t>
        </m:r>
      </m:oMath>
      <w:r>
        <w:t xml:space="preserve"> </w:t>
      </w:r>
      <w:r>
        <w:t xml:space="preserve">is</w:t>
      </w:r>
      <w:r>
        <w:t xml:space="preserve"> </w:t>
      </w:r>
      <m:oMath>
        <m:sSub>
          <m:e>
            <m:acc>
              <m:accPr>
                <m:chr m:val="‾"/>
              </m:accPr>
              <m:e>
                <m:r>
                  <m:t>r</m:t>
                </m:r>
              </m:e>
            </m:acc>
          </m:e>
          <m:sub>
            <m:r>
              <m:t>k</m:t>
            </m:r>
          </m:sub>
        </m:sSub>
        <m:r>
          <m:rPr>
            <m:sty m:val="p"/>
          </m:rPr>
          <m:t>=</m:t>
        </m:r>
        <m:f>
          <m:fPr>
            <m:type m:val="bar"/>
          </m:fPr>
          <m:num>
            <m:r>
              <m:t>1</m:t>
            </m:r>
          </m:num>
          <m:den>
            <m:sSub>
              <m:e>
                <m:r>
                  <m:t>D</m:t>
                </m:r>
              </m:e>
              <m:sub>
                <m:r>
                  <m:t>k</m:t>
                </m:r>
              </m:sub>
            </m:sSub>
          </m:den>
        </m:f>
        <m:nary>
          <m:naryPr>
            <m:chr m:val="∑"/>
            <m:limLoc m:val="undOvr"/>
            <m:subHide m:val="off"/>
            <m:supHide m:val="on"/>
          </m:naryPr>
          <m:sub>
            <m:r>
              <m:t>t</m:t>
            </m:r>
            <m:r>
              <m:rPr>
                <m:sty m:val="p"/>
              </m:rPr>
              <m:t>∈</m:t>
            </m:r>
            <m:sSub>
              <m:e>
                <m:r>
                  <m:rPr>
                    <m:scr m:val="script"/>
                    <m:sty m:val="p"/>
                  </m:rPr>
                  <m:t>T</m:t>
                </m:r>
              </m:e>
              <m:sub>
                <m:r>
                  <m:t>k</m:t>
                </m:r>
              </m:sub>
            </m:sSub>
          </m:sub>
          <m:sup>
            <m:r>
              <m:t>​</m:t>
            </m:r>
          </m:sup>
          <m:e>
            <m:d>
              <m:dPr>
                <m:begChr m:val="("/>
                <m:sepChr m:val=""/>
                <m:endChr m:val=")"/>
                <m:grow/>
              </m:dPr>
              <m:e>
                <m:sSubSup>
                  <m:e>
                    <m:r>
                      <m:t>P</m:t>
                    </m:r>
                  </m:e>
                  <m:sub>
                    <m:r>
                      <m:t>t</m:t>
                    </m:r>
                  </m:sub>
                  <m:sup>
                    <m:r>
                      <m:t>b</m:t>
                    </m:r>
                    <m:r>
                      <m:t>a</m:t>
                    </m:r>
                    <m:r>
                      <m:t>s</m:t>
                    </m:r>
                    <m:r>
                      <m:t>e</m:t>
                    </m:r>
                  </m:sup>
                </m:sSubSup>
                <m:r>
                  <m:rPr>
                    <m:sty m:val="p"/>
                  </m:rPr>
                  <m:t>−</m:t>
                </m:r>
                <m:sSubSup>
                  <m:e>
                    <m:r>
                      <m:t>P</m:t>
                    </m:r>
                  </m:e>
                  <m:sub>
                    <m:r>
                      <m:t>t</m:t>
                    </m:r>
                  </m:sub>
                  <m:sup>
                    <m:r>
                      <m:t>g</m:t>
                    </m:r>
                    <m:r>
                      <m:t>r</m:t>
                    </m:r>
                    <m:r>
                      <m:t>i</m:t>
                    </m:r>
                    <m:r>
                      <m:t>d</m:t>
                    </m:r>
                  </m:sup>
                </m:sSubSup>
              </m:e>
            </m:d>
          </m:e>
        </m:nary>
        <m:r>
          <m:t>Δ</m:t>
        </m:r>
        <m:r>
          <m:t>t</m:t>
        </m:r>
      </m:oMath>
      <w:r>
        <w:t xml:space="preserve">. With the validity indicator</w:t>
      </w:r>
      <w:r>
        <w:t xml:space="preserve"> </w:t>
      </w:r>
      <m:oMath>
        <m:sSub>
          <m:e>
            <m:r>
              <m:t>z</m:t>
            </m:r>
          </m:e>
          <m:sub>
            <m:r>
              <m:t>k</m:t>
            </m:r>
          </m:sub>
        </m:sSub>
        <m:r>
          <m:rPr>
            <m:sty m:val="p"/>
          </m:rPr>
          <m:t>∈</m:t>
        </m:r>
        <m:r>
          <m:rPr>
            <m:sty m:val="p"/>
          </m:rPr>
          <m:t>{</m:t>
        </m:r>
        <m:r>
          <m:t>0</m:t>
        </m:r>
        <m:r>
          <m:rPr>
            <m:sty m:val="p"/>
          </m:rPr>
          <m:t>,</m:t>
        </m:r>
        <m:r>
          <m:t>1</m:t>
        </m:r>
        <m:r>
          <m:rPr>
            <m:sty m:val="p"/>
          </m:rPr>
          <m:t>}</m:t>
        </m:r>
      </m:oMath>
      <w:r>
        <w:t xml:space="preserve">, the paid reduction</w:t>
      </w:r>
      <w:r>
        <w:t xml:space="preserve"> </w:t>
      </w:r>
      <m:oMath>
        <m:sSub>
          <m:e>
            <m:r>
              <m:t>R</m:t>
            </m:r>
          </m:e>
          <m:sub>
            <m:r>
              <m:t>k</m:t>
            </m:r>
          </m:sub>
        </m:sSub>
      </m:oMath>
      <w:r>
        <w:t xml:space="preserve"> </w:t>
      </w:r>
      <w:r>
        <w:t xml:space="preserve">and the shortfall</w:t>
      </w:r>
      <w:r>
        <w:t xml:space="preserve"> </w:t>
      </w:r>
      <m:oMath>
        <m:sSubSup>
          <m:e>
            <m:r>
              <m:t>s</m:t>
            </m:r>
          </m:e>
          <m:sub>
            <m:r>
              <m:t>k</m:t>
            </m:r>
          </m:sub>
          <m:sup>
            <m:r>
              <m:t>f</m:t>
            </m:r>
          </m:sup>
        </m:sSubSup>
      </m:oMath>
      <w:r>
        <w:t xml:space="preserve">, the Jiangsu settlement reads</w:t>
      </w:r>
    </w:p>
    <w:p>
      <w:pPr>
        <w:pStyle w:val="Equation"/>
      </w:pPr>
      <w:r>
        <w:tab/>
      </w:r>
      <m:oMath>
        <m:sSub>
          <m:e>
            <m:acc>
              <m:accPr>
                <m:chr m:val="‾"/>
              </m:accPr>
              <m:e>
                <m:r>
                  <m:t>r</m:t>
                </m:r>
              </m:e>
            </m:acc>
          </m:e>
          <m:sub>
            <m:r>
              <m:t>k</m:t>
            </m:r>
          </m:sub>
        </m:sSub>
        <m:r>
          <m:rPr>
            <m:sty m:val="p"/>
          </m:rPr>
          <m:t>≥</m:t>
        </m:r>
        <m:sSub>
          <m:e>
            <m:r>
              <m:t>z</m:t>
            </m:r>
          </m:e>
          <m:sub>
            <m:r>
              <m:t>k</m:t>
            </m:r>
          </m:sub>
        </m:sSub>
        <m:r>
          <m:t> </m:t>
        </m:r>
        <m:d>
          <m:dPr>
            <m:begChr m:val="("/>
            <m:sepChr m:val=""/>
            <m:endChr m:val=")"/>
            <m:grow/>
          </m:dPr>
          <m:e>
            <m:r>
              <m:t>0.8</m:t>
            </m:r>
            <m:sSub>
              <m:e>
                <m:r>
                  <m:t>C</m:t>
                </m:r>
              </m:e>
              <m:sub>
                <m:r>
                  <m:t>k</m:t>
                </m:r>
              </m:sub>
            </m:sSub>
            <m:r>
              <m:rPr>
                <m:sty m:val="p"/>
              </m:rPr>
              <m:t>+</m:t>
            </m:r>
            <m:sSup>
              <m:e>
                <m:r>
                  <m:t>δ</m:t>
                </m:r>
              </m:e>
              <m:sup>
                <m:r>
                  <m:t>v</m:t>
                </m:r>
                <m:r>
                  <m:t>a</m:t>
                </m:r>
                <m:r>
                  <m:t>l</m:t>
                </m:r>
              </m:sup>
            </m:sSup>
          </m:e>
        </m:d>
        <m:r>
          <m:rPr>
            <m:sty m:val="p"/>
          </m:rPr>
          <m:t>−</m:t>
        </m:r>
        <m:r>
          <m:t>M</m:t>
        </m:r>
        <m:d>
          <m:dPr>
            <m:begChr m:val="("/>
            <m:sepChr m:val=""/>
            <m:endChr m:val=")"/>
            <m:grow/>
          </m:dPr>
          <m:e>
            <m:r>
              <m:t>1</m:t>
            </m:r>
            <m:r>
              <m:rPr>
                <m:sty m:val="p"/>
              </m:rPr>
              <m:t>−</m:t>
            </m:r>
            <m:sSub>
              <m:e>
                <m:r>
                  <m:t>z</m:t>
                </m:r>
              </m:e>
              <m:sub>
                <m:r>
                  <m:t>k</m:t>
                </m:r>
              </m:sub>
            </m:sSub>
          </m:e>
        </m:d>
        <m:r>
          <m:rPr>
            <m:sty m:val="p"/>
          </m:rPr>
          <m:t>,</m:t>
        </m:r>
        <m:r>
          <m:t> </m:t>
        </m:r>
        <m:sSub>
          <m:e>
            <m:r>
              <m:t>R</m:t>
            </m:r>
          </m:e>
          <m:sub>
            <m:r>
              <m:t>k</m:t>
            </m:r>
          </m:sub>
        </m:sSub>
        <m:r>
          <m:rPr>
            <m:sty m:val="p"/>
          </m:rPr>
          <m:t>≤</m:t>
        </m:r>
        <m:r>
          <m:t>1.2</m:t>
        </m:r>
        <m:sSub>
          <m:e>
            <m:r>
              <m:t>C</m:t>
            </m:r>
          </m:e>
          <m:sub>
            <m:r>
              <m:t>k</m:t>
            </m:r>
          </m:sub>
        </m:sSub>
        <m:sSub>
          <m:e>
            <m:r>
              <m:t>z</m:t>
            </m:r>
          </m:e>
          <m:sub>
            <m:r>
              <m:t>k</m:t>
            </m:r>
          </m:sub>
        </m:sSub>
        <m:r>
          <m:rPr>
            <m:sty m:val="p"/>
          </m:rPr>
          <m:t>,</m:t>
        </m:r>
        <m:r>
          <m:t> </m:t>
        </m:r>
        <m:sSub>
          <m:e>
            <m:r>
              <m:t>R</m:t>
            </m:r>
          </m:e>
          <m:sub>
            <m:r>
              <m:t>k</m:t>
            </m:r>
          </m:sub>
        </m:sSub>
        <m:r>
          <m:rPr>
            <m:sty m:val="p"/>
          </m:rPr>
          <m:t>≤</m:t>
        </m:r>
        <m:sSub>
          <m:e>
            <m:acc>
              <m:accPr>
                <m:chr m:val="‾"/>
              </m:accPr>
              <m:e>
                <m:r>
                  <m:t>r</m:t>
                </m:r>
              </m:e>
            </m:acc>
          </m:e>
          <m:sub>
            <m:r>
              <m:t>k</m:t>
            </m:r>
          </m:sub>
        </m:sSub>
        <m:r>
          <m:rPr>
            <m:sty m:val="p"/>
          </m:rPr>
          <m:t>+</m:t>
        </m:r>
        <m:r>
          <m:t>M</m:t>
        </m:r>
        <m:d>
          <m:dPr>
            <m:begChr m:val="("/>
            <m:sepChr m:val=""/>
            <m:endChr m:val=")"/>
            <m:grow/>
          </m:dPr>
          <m:e>
            <m:r>
              <m:t>1</m:t>
            </m:r>
            <m:r>
              <m:rPr>
                <m:sty m:val="p"/>
              </m:rPr>
              <m:t>−</m:t>
            </m:r>
            <m:sSub>
              <m:e>
                <m:r>
                  <m:t>z</m:t>
                </m:r>
              </m:e>
              <m:sub>
                <m:r>
                  <m:t>k</m:t>
                </m:r>
              </m:sub>
            </m:sSub>
          </m:e>
        </m:d>
        <m:r>
          <m:rPr>
            <m:sty m:val="p"/>
          </m:rPr>
          <m:t>,</m:t>
        </m:r>
        <m:r>
          <m:t> </m:t>
        </m:r>
        <m:sSubSup>
          <m:e>
            <m:r>
              <m:t>s</m:t>
            </m:r>
          </m:e>
          <m:sub>
            <m:r>
              <m:t>k</m:t>
            </m:r>
          </m:sub>
          <m:sup>
            <m:r>
              <m:t>f</m:t>
            </m:r>
          </m:sup>
        </m:sSubSup>
        <m:r>
          <m:rPr>
            <m:sty m:val="p"/>
          </m:rPr>
          <m:t>≥</m:t>
        </m:r>
        <m:sSub>
          <m:e>
            <m:r>
              <m:t>C</m:t>
            </m:r>
          </m:e>
          <m:sub>
            <m:r>
              <m:t>k</m:t>
            </m:r>
          </m:sub>
        </m:sSub>
        <m:r>
          <m:rPr>
            <m:sty m:val="p"/>
          </m:rPr>
          <m:t>−</m:t>
        </m:r>
        <m:sSub>
          <m:e>
            <m:acc>
              <m:accPr>
                <m:chr m:val="‾"/>
              </m:accPr>
              <m:e>
                <m:r>
                  <m:t>r</m:t>
                </m:r>
              </m:e>
            </m:acc>
          </m:e>
          <m:sub>
            <m:r>
              <m:t>k</m:t>
            </m:r>
          </m:sub>
        </m:sSub>
        <m:r>
          <m:rPr>
            <m:sty m:val="p"/>
          </m:rPr>
          <m:t>,</m:t>
        </m:r>
      </m:oMath>
      <w:r>
        <w:tab/>
      </w:r>
      <w:r>
        <w:t xml:space="preserve">(11)</w:t>
      </w:r>
    </w:p>
    <w:p>
      <w:pPr>
        <w:pStyle w:val="BodyText"/>
      </w:pPr>
      <w:r>
        <w:t xml:space="preserve">where</w:t>
      </w:r>
      <w:r>
        <w:t xml:space="preserve"> </w:t>
      </w:r>
      <m:oMath>
        <m:sSup>
          <m:e>
            <m:r>
              <m:t>δ</m:t>
            </m:r>
          </m:e>
          <m:sup>
            <m:r>
              <m:t>v</m:t>
            </m:r>
            <m:r>
              <m:t>a</m:t>
            </m:r>
            <m:r>
              <m:t>l</m:t>
            </m:r>
          </m:sup>
        </m:sSup>
      </m:oMath>
      <w:r>
        <w:t xml:space="preserve"> </w:t>
      </w:r>
      <w:r>
        <w:t xml:space="preserve">is a planning margin above the 80 % threshold and the big-M terms deactivate the payment constraints of an invalid event. The rule that the load during an event may not exceed the baseline maximum is enforced as a soft constraint, and a post-event rebound assessment, which the Jiangsu rules do not contain, is examined as a policy parameter in Section 5.8.</w:t>
      </w:r>
    </w:p>
    <w:bookmarkEnd w:id="34"/>
    <w:bookmarkStart w:id="35" w:name="comprehensive-cost-objective"/>
    <w:p>
      <w:pPr>
        <w:pStyle w:val="Heading2"/>
      </w:pPr>
      <w:r>
        <w:t xml:space="preserve">3.5 Comprehensive cost objective</w:t>
      </w:r>
    </w:p>
    <w:p>
      <w:pPr>
        <w:pStyle w:val="FirstParagraph"/>
      </w:pPr>
      <w:r>
        <w:t xml:space="preserve">The operator minimises the comprehensive cost of the DR day,</w:t>
      </w:r>
    </w:p>
    <w:p>
      <w:pPr>
        <w:pStyle w:val="Equation"/>
      </w:pPr>
      <w:r>
        <w:tab/>
      </w:r>
      <m:oMath>
        <m:m>
          <m:mPr>
            <m:baseJc m:val="center"/>
            <m:plcHide m:val="on"/>
            <m:mcs>
              <m:mc>
                <m:mcPr>
                  <m:count m:val="1"/>
                  <m:mcJc m:val="right"/>
                </m:mcPr>
              </m:mc>
              <m:mc>
                <m:mcPr>
                  <m:count m:val="1"/>
                  <m:mcJc m:val="left"/>
                </m:mcPr>
              </m:mc>
            </m:mcs>
          </m:mPr>
          <m:mr>
            <m:e>
              <m:r>
                <m:t>J</m:t>
              </m:r>
              <m:r>
                <m:rPr>
                  <m:sty m:val="p"/>
                </m:rPr>
                <m:t>=</m:t>
              </m:r>
            </m:e>
            <m:e>
              <m:nary>
                <m:naryPr>
                  <m:chr m:val="∑"/>
                  <m:limLoc m:val="undOvr"/>
                  <m:subHide m:val="off"/>
                  <m:supHide m:val="on"/>
                </m:naryPr>
                <m:sub>
                  <m:r>
                    <m:t>t</m:t>
                  </m:r>
                </m:sub>
                <m:sup>
                  <m:r>
                    <m:t>​</m:t>
                  </m:r>
                </m:sup>
                <m:e>
                  <m:d>
                    <m:dPr>
                      <m:begChr m:val="["/>
                      <m:sepChr m:val=""/>
                      <m:endChr m:val="]"/>
                      <m:grow/>
                    </m:dPr>
                    <m:e>
                      <m:sSub>
                        <m:e>
                          <m:r>
                            <m:t>π</m:t>
                          </m:r>
                        </m:e>
                        <m:sub>
                          <m:r>
                            <m:t>t</m:t>
                          </m:r>
                        </m:sub>
                      </m:sSub>
                      <m:sSubSup>
                        <m:e>
                          <m:r>
                            <m:t>P</m:t>
                          </m:r>
                        </m:e>
                        <m:sub>
                          <m:r>
                            <m:t>t</m:t>
                          </m:r>
                        </m:sub>
                        <m:sup>
                          <m:r>
                            <m:t>g</m:t>
                          </m:r>
                          <m:r>
                            <m:t>r</m:t>
                          </m:r>
                          <m:r>
                            <m:t>i</m:t>
                          </m:r>
                          <m:r>
                            <m:t>d</m:t>
                          </m:r>
                        </m:sup>
                      </m:sSubSup>
                      <m:r>
                        <m:rPr>
                          <m:sty m:val="p"/>
                        </m:rPr>
                        <m:t>+</m:t>
                      </m:r>
                      <m:f>
                        <m:fPr>
                          <m:type m:val="bar"/>
                        </m:fPr>
                        <m:num>
                          <m:sSup>
                            <m:e>
                              <m:r>
                                <m:t>c</m:t>
                              </m:r>
                            </m:e>
                            <m:sup>
                              <m:r>
                                <m:t>g</m:t>
                              </m:r>
                              <m:r>
                                <m:t>a</m:t>
                              </m:r>
                              <m:r>
                                <m:t>s</m:t>
                              </m:r>
                            </m:sup>
                          </m:sSup>
                        </m:num>
                        <m:den>
                          <m:sSup>
                            <m:e>
                              <m:r>
                                <m:t>η</m:t>
                              </m:r>
                            </m:e>
                            <m:sup>
                              <m:r>
                                <m:t>G</m:t>
                              </m:r>
                              <m:r>
                                <m:t>T</m:t>
                              </m:r>
                            </m:sup>
                          </m:sSup>
                        </m:den>
                      </m:f>
                      <m:sSubSup>
                        <m:e>
                          <m:r>
                            <m:t>P</m:t>
                          </m:r>
                        </m:e>
                        <m:sub>
                          <m:r>
                            <m:t>t</m:t>
                          </m:r>
                        </m:sub>
                        <m:sup>
                          <m:r>
                            <m:t>G</m:t>
                          </m:r>
                          <m:r>
                            <m:t>T</m:t>
                          </m:r>
                        </m:sup>
                      </m:sSubSup>
                      <m:r>
                        <m:rPr>
                          <m:sty m:val="p"/>
                        </m:rPr>
                        <m:t>+</m:t>
                      </m:r>
                      <m:sSup>
                        <m:e>
                          <m:r>
                            <m:t>c</m:t>
                          </m:r>
                        </m:e>
                        <m:sup>
                          <m:r>
                            <m:t>d</m:t>
                          </m:r>
                          <m:r>
                            <m:t>e</m:t>
                          </m:r>
                          <m:r>
                            <m:t>g</m:t>
                          </m:r>
                        </m:sup>
                      </m:sSup>
                      <m:d>
                        <m:dPr>
                          <m:begChr m:val="("/>
                          <m:sepChr m:val=""/>
                          <m:endChr m:val=")"/>
                          <m:grow/>
                        </m:dPr>
                        <m:e>
                          <m:sSubSup>
                            <m:e>
                              <m:r>
                                <m:t>P</m:t>
                              </m:r>
                            </m:e>
                            <m:sub>
                              <m:r>
                                <m:t>t</m:t>
                              </m:r>
                            </m:sub>
                            <m:sup>
                              <m:r>
                                <m:t>c</m:t>
                              </m:r>
                              <m:r>
                                <m:t>h</m:t>
                              </m:r>
                            </m:sup>
                          </m:sSubSup>
                          <m:r>
                            <m:rPr>
                              <m:sty m:val="p"/>
                            </m:rPr>
                            <m:t>+</m:t>
                          </m:r>
                          <m:sSubSup>
                            <m:e>
                              <m:r>
                                <m:t>P</m:t>
                              </m:r>
                            </m:e>
                            <m:sub>
                              <m:r>
                                <m:t>t</m:t>
                              </m:r>
                            </m:sub>
                            <m:sup>
                              <m:r>
                                <m:t>d</m:t>
                              </m:r>
                              <m:r>
                                <m:t>i</m:t>
                              </m:r>
                              <m:r>
                                <m:t>s</m:t>
                              </m:r>
                            </m:sup>
                          </m:sSubSup>
                        </m:e>
                      </m:d>
                      <m:r>
                        <m:rPr>
                          <m:sty m:val="p"/>
                        </m:rPr>
                        <m:t>+</m:t>
                      </m:r>
                      <m:sSup>
                        <m:e>
                          <m:r>
                            <m:t>c</m:t>
                          </m:r>
                        </m:e>
                        <m:sup>
                          <m:r>
                            <m:t>j</m:t>
                          </m:r>
                          <m:r>
                            <m:t>c</m:t>
                          </m:r>
                          <m:r>
                            <m:t>t</m:t>
                          </m:r>
                        </m:sup>
                      </m:sSup>
                      <m:nary>
                        <m:naryPr>
                          <m:chr m:val="∑"/>
                          <m:limLoc m:val="undOvr"/>
                          <m:subHide m:val="off"/>
                          <m:supHide m:val="on"/>
                        </m:naryPr>
                        <m:sub>
                          <m:r>
                            <m:t>c</m:t>
                          </m:r>
                        </m:sub>
                        <m:sup>
                          <m:r>
                            <m:t>​</m:t>
                          </m:r>
                        </m:sup>
                        <m:e>
                          <m:sSub>
                            <m:e>
                              <m:r>
                                <m:t>B</m:t>
                              </m:r>
                            </m:e>
                            <m:sub>
                              <m:r>
                                <m:t>c</m:t>
                              </m:r>
                              <m:r>
                                <m:rPr>
                                  <m:sty m:val="p"/>
                                </m:rPr>
                                <m:t>,</m:t>
                              </m:r>
                              <m:r>
                                <m:t>t</m:t>
                              </m:r>
                            </m:sub>
                          </m:sSub>
                        </m:e>
                      </m:nary>
                      <m:r>
                        <m:rPr>
                          <m:sty m:val="p"/>
                        </m:rPr>
                        <m:t>+</m:t>
                      </m:r>
                      <m:sSup>
                        <m:e>
                          <m:r>
                            <m:t>c</m:t>
                          </m:r>
                        </m:e>
                        <m:sup>
                          <m:r>
                            <m:t>l</m:t>
                          </m:r>
                          <m:r>
                            <m:t>a</m:t>
                          </m:r>
                          <m:r>
                            <m:t>t</m:t>
                          </m:r>
                          <m:r>
                            <m:t>e</m:t>
                          </m:r>
                        </m:sup>
                      </m:sSup>
                      <m:nary>
                        <m:naryPr>
                          <m:chr m:val="∑"/>
                          <m:limLoc m:val="undOvr"/>
                          <m:subHide m:val="off"/>
                          <m:supHide m:val="on"/>
                        </m:naryPr>
                        <m:sub>
                          <m:r>
                            <m:t>c</m:t>
                          </m:r>
                        </m:sub>
                        <m:sup>
                          <m:r>
                            <m:t>​</m:t>
                          </m:r>
                        </m:sup>
                        <m:e>
                          <m:sSub>
                            <m:e>
                              <m:r>
                                <m:t>v</m:t>
                              </m:r>
                            </m:e>
                            <m:sub>
                              <m:r>
                                <m:t>c</m:t>
                              </m:r>
                              <m:r>
                                <m:rPr>
                                  <m:sty m:val="p"/>
                                </m:rPr>
                                <m:t>,</m:t>
                              </m:r>
                              <m:r>
                                <m:t>t</m:t>
                              </m:r>
                            </m:sub>
                          </m:sSub>
                        </m:e>
                      </m:nary>
                    </m:e>
                  </m:d>
                </m:e>
              </m:nary>
              <m:r>
                <m:t>Δ</m:t>
              </m:r>
              <m:r>
                <m:t>t</m:t>
              </m:r>
            </m:e>
          </m:mr>
          <m:mr>
            <m:e/>
            <m:e>
              <m:r>
                <m:rPr>
                  <m:sty m:val="p"/>
                </m:rPr>
                <m:t>−</m:t>
              </m:r>
              <m:nary>
                <m:naryPr>
                  <m:chr m:val="∑"/>
                  <m:limLoc m:val="undOvr"/>
                  <m:subHide m:val="off"/>
                  <m:supHide m:val="on"/>
                </m:naryPr>
                <m:sub>
                  <m:r>
                    <m:t>k</m:t>
                  </m:r>
                </m:sub>
                <m:sup>
                  <m:r>
                    <m:t>​</m:t>
                  </m:r>
                </m:sup>
                <m:e>
                  <m:sSub>
                    <m:e>
                      <m:r>
                        <m:t>π</m:t>
                      </m:r>
                    </m:e>
                    <m:sub>
                      <m:r>
                        <m:t>k</m:t>
                      </m:r>
                    </m:sub>
                  </m:sSub>
                </m:e>
              </m:nary>
              <m:sSub>
                <m:e>
                  <m:r>
                    <m:t>D</m:t>
                  </m:r>
                </m:e>
                <m:sub>
                  <m:r>
                    <m:t>k</m:t>
                  </m:r>
                </m:sub>
              </m:sSub>
              <m:sSub>
                <m:e>
                  <m:r>
                    <m:t>R</m:t>
                  </m:r>
                </m:e>
                <m:sub>
                  <m:r>
                    <m:t>k</m:t>
                  </m:r>
                </m:sub>
              </m:sSub>
              <m:r>
                <m:rPr>
                  <m:sty m:val="p"/>
                </m:rPr>
                <m:t>+</m:t>
              </m:r>
              <m:nary>
                <m:naryPr>
                  <m:chr m:val="∑"/>
                  <m:limLoc m:val="undOvr"/>
                  <m:subHide m:val="off"/>
                  <m:supHide m:val="on"/>
                </m:naryPr>
                <m:sub>
                  <m:r>
                    <m:t>k</m:t>
                  </m:r>
                </m:sub>
                <m:sup>
                  <m:r>
                    <m:t>​</m:t>
                  </m:r>
                </m:sup>
                <m:e>
                  <m:r>
                    <m:t>κ</m:t>
                  </m:r>
                </m:e>
              </m:nary>
              <m:sSub>
                <m:e>
                  <m:r>
                    <m:t>π</m:t>
                  </m:r>
                </m:e>
                <m:sub>
                  <m:r>
                    <m:t>k</m:t>
                  </m:r>
                </m:sub>
              </m:sSub>
              <m:sSub>
                <m:e>
                  <m:r>
                    <m:t>D</m:t>
                  </m:r>
                </m:e>
                <m:sub>
                  <m:r>
                    <m:t>k</m:t>
                  </m:r>
                </m:sub>
              </m:sSub>
              <m:sSubSup>
                <m:e>
                  <m:r>
                    <m:t>s</m:t>
                  </m:r>
                </m:e>
                <m:sub>
                  <m:r>
                    <m:t>k</m:t>
                  </m:r>
                </m:sub>
                <m:sup>
                  <m:r>
                    <m:t>f</m:t>
                  </m:r>
                </m:sup>
              </m:sSubSup>
              <m:r>
                <m:rPr>
                  <m:sty m:val="p"/>
                </m:rPr>
                <m:t>+</m:t>
              </m:r>
              <m:sSup>
                <m:e>
                  <m:r>
                    <m:t>J</m:t>
                  </m:r>
                </m:e>
                <m:sup>
                  <m:r>
                    <m:t>t</m:t>
                  </m:r>
                  <m:r>
                    <m:t>e</m:t>
                  </m:r>
                  <m:r>
                    <m:t>r</m:t>
                  </m:r>
                  <m:r>
                    <m:t>m</m:t>
                  </m:r>
                </m:sup>
              </m:sSup>
              <m:r>
                <m:rPr>
                  <m:sty m:val="p"/>
                </m:rPr>
                <m:t>,</m:t>
              </m:r>
            </m:e>
          </m:mr>
        </m:m>
      </m:oMath>
      <w:r>
        <w:tab/>
      </w:r>
      <w:r>
        <w:t xml:space="preserve">(12)</w:t>
      </w:r>
    </w:p>
    <w:p>
      <w:pPr>
        <w:pStyle w:val="BodyText"/>
      </w:pPr>
      <w:r>
        <w:t xml:space="preserve">which comprises electricity, gas, storage degradation, delay of deferred work and shortfall assessment, net of the DR revenue. The terminal term</w:t>
      </w:r>
      <w:r>
        <w:t xml:space="preserve"> </w:t>
      </w:r>
      <m:oMath>
        <m:sSup>
          <m:e>
            <m:r>
              <m:t>J</m:t>
            </m:r>
          </m:e>
          <m:sup>
            <m:r>
              <m:t>t</m:t>
            </m:r>
            <m:r>
              <m:t>e</m:t>
            </m:r>
            <m:r>
              <m:t>r</m:t>
            </m:r>
            <m:r>
              <m:t>m</m:t>
            </m:r>
          </m:sup>
        </m:sSup>
      </m:oMath>
      <w:r>
        <w:t xml:space="preserve"> </w:t>
      </w:r>
      <w:r>
        <w:t xml:space="preserve">values the backlog left at the end of the window at its energy cost and the storage deficit at its recharge cost, so that no strategy can shift cost beyond the evaluation window.</w:t>
      </w:r>
    </w:p>
    <w:bookmarkEnd w:id="35"/>
    <w:bookmarkStart w:id="36" w:name="firm-consecutive-dr-capacity"/>
    <w:p>
      <w:pPr>
        <w:pStyle w:val="Heading2"/>
      </w:pPr>
      <w:r>
        <w:t xml:space="preserve">3.6 Firm consecutive DR capacity</w:t>
      </w:r>
    </w:p>
    <w:p>
      <w:pPr>
        <w:pStyle w:val="FirstParagraph"/>
      </w:pPr>
      <w:r>
        <w:t xml:space="preserve">Let</w:t>
      </w:r>
      <w:r>
        <w:t xml:space="preserve"> </w:t>
      </w:r>
      <m:oMath>
        <m:r>
          <m:t>ω</m:t>
        </m:r>
        <m:r>
          <m:rPr>
            <m:sty m:val="p"/>
          </m:rPr>
          <m:t>∈</m:t>
        </m:r>
        <m:r>
          <m:t>Ω</m:t>
        </m:r>
      </m:oMath>
      <w:r>
        <w:t xml:space="preserve"> </w:t>
      </w:r>
      <w:r>
        <w:t xml:space="preserve">denote a realisation of computing arrivals, inference load, weather and event calls, and</w:t>
      </w:r>
      <w:r>
        <w:t xml:space="preserve"> </w:t>
      </w:r>
      <m:oMath>
        <m:sSub>
          <m:e>
            <m:acc>
              <m:accPr>
                <m:chr m:val="‾"/>
              </m:accPr>
              <m:e>
                <m:r>
                  <m:t>r</m:t>
                </m:r>
              </m:e>
            </m:acc>
          </m:e>
          <m:sub>
            <m:r>
              <m:t>k</m:t>
            </m:r>
            <m:r>
              <m:rPr>
                <m:sty m:val="p"/>
              </m:rPr>
              <m:t>,</m:t>
            </m:r>
            <m:r>
              <m:t>ω</m:t>
            </m:r>
          </m:sub>
        </m:sSub>
        <m:d>
          <m:dPr>
            <m:begChr m:val="("/>
            <m:sepChr m:val=""/>
            <m:endChr m:val=")"/>
            <m:grow/>
          </m:dPr>
          <m:e>
            <m:r>
              <m:t>C</m:t>
            </m:r>
          </m:e>
        </m:d>
      </m:oMath>
      <w:r>
        <w:t xml:space="preserve"> </w:t>
      </w:r>
      <w:r>
        <w:t xml:space="preserve">the reduction delivered in event</w:t>
      </w:r>
      <w:r>
        <w:t xml:space="preserve"> </w:t>
      </w:r>
      <m:oMath>
        <m:r>
          <m:t>k</m:t>
        </m:r>
      </m:oMath>
      <w:r>
        <w:t xml:space="preserve"> </w:t>
      </w:r>
      <w:r>
        <w:t xml:space="preserve">by a given operating strategy when the uniform commitment</w:t>
      </w:r>
      <w:r>
        <w:t xml:space="preserve"> </w:t>
      </w:r>
      <m:oMath>
        <m:r>
          <m:t>C</m:t>
        </m:r>
      </m:oMath>
      <w:r>
        <w:t xml:space="preserve"> </w:t>
      </w:r>
      <w:r>
        <w:t xml:space="preserve">is in force. The</w:t>
      </w:r>
      <w:r>
        <w:t xml:space="preserve"> </w:t>
      </w:r>
      <w:r>
        <w:rPr>
          <w:bCs/>
          <w:b/>
        </w:rPr>
        <w:t xml:space="preserve">firm consecutive DR capacity</w:t>
      </w:r>
      <w:r>
        <w:t xml:space="preserve"> </w:t>
      </w:r>
      <w:r>
        <w:t xml:space="preserve">at reliability</w:t>
      </w:r>
      <w:r>
        <w:t xml:space="preserve"> </w:t>
      </w:r>
      <m:oMath>
        <m:r>
          <m:t>ρ</m:t>
        </m:r>
      </m:oMath>
      <w:r>
        <w:t xml:space="preserve"> </w:t>
      </w:r>
      <w:r>
        <w:t xml:space="preserve">is</w:t>
      </w:r>
    </w:p>
    <w:p>
      <w:pPr>
        <w:pStyle w:val="Equation"/>
      </w:pPr>
      <w:r>
        <w:tab/>
      </w:r>
      <m:oMath>
        <m:sSubSup>
          <m:e>
            <m:r>
              <m:t>C</m:t>
            </m:r>
          </m:e>
          <m:sub>
            <m:r>
              <m:t>ρ</m:t>
            </m:r>
          </m:sub>
          <m:sup>
            <m:r>
              <m:t>f</m:t>
            </m:r>
            <m:r>
              <m:t>i</m:t>
            </m:r>
            <m:r>
              <m:t>r</m:t>
            </m:r>
            <m:r>
              <m:t>m</m:t>
            </m:r>
          </m:sup>
        </m:sSubSup>
        <m:r>
          <m:rPr>
            <m:sty m:val="p"/>
          </m:rPr>
          <m:t>=</m:t>
        </m:r>
        <m:r>
          <m:rPr>
            <m:sty m:val="p"/>
          </m:rPr>
          <m:t>max</m:t>
        </m:r>
        <m:d>
          <m:dPr>
            <m:begChr m:val="{"/>
            <m:sepChr m:val=""/>
            <m:endChr m:val="}"/>
            <m:grow/>
          </m:dPr>
          <m:e>
            <m:r>
              <m:t>C</m:t>
            </m:r>
            <m:r>
              <m:rPr>
                <m:sty m:val="p"/>
              </m:rPr>
              <m:t>:</m:t>
            </m:r>
            <m:r>
              <m:t> </m:t>
            </m:r>
            <m:sSub>
              <m:e>
                <m:r>
                  <m:rPr>
                    <m:sty m:val="p"/>
                  </m:rPr>
                  <m:t>Pr</m:t>
                </m:r>
              </m:e>
              <m:sub>
                <m:r>
                  <m:t>ω</m:t>
                </m:r>
              </m:sub>
            </m:sSub>
            <m:d>
              <m:dPr>
                <m:begChr m:val="["/>
                <m:sepChr m:val=""/>
                <m:endChr m:val="]"/>
                <m:grow/>
              </m:dPr>
              <m:e>
                <m:sSub>
                  <m:e>
                    <m:acc>
                      <m:accPr>
                        <m:chr m:val="‾"/>
                      </m:accPr>
                      <m:e>
                        <m:r>
                          <m:t>r</m:t>
                        </m:r>
                      </m:e>
                    </m:acc>
                  </m:e>
                  <m:sub>
                    <m:r>
                      <m:t>k</m:t>
                    </m:r>
                    <m:r>
                      <m:rPr>
                        <m:sty m:val="p"/>
                      </m:rPr>
                      <m:t>,</m:t>
                    </m:r>
                    <m:r>
                      <m:t>ω</m:t>
                    </m:r>
                  </m:sub>
                </m:sSub>
                <m:d>
                  <m:dPr>
                    <m:begChr m:val="("/>
                    <m:sepChr m:val=""/>
                    <m:endChr m:val=")"/>
                    <m:grow/>
                  </m:dPr>
                  <m:e>
                    <m:r>
                      <m:t>C</m:t>
                    </m:r>
                  </m:e>
                </m:d>
                <m:r>
                  <m:rPr>
                    <m:sty m:val="p"/>
                  </m:rPr>
                  <m:t>≥</m:t>
                </m:r>
                <m:d>
                  <m:dPr>
                    <m:begChr m:val="("/>
                    <m:sepChr m:val=""/>
                    <m:endChr m:val=")"/>
                    <m:grow/>
                  </m:dPr>
                  <m:e>
                    <m:r>
                      <m:t>1</m:t>
                    </m:r>
                    <m:r>
                      <m:rPr>
                        <m:sty m:val="p"/>
                      </m:rPr>
                      <m:t>−</m:t>
                    </m:r>
                    <m:sSub>
                      <m:e>
                        <m:r>
                          <m:t>ϵ</m:t>
                        </m:r>
                      </m:e>
                      <m:sub>
                        <m:r>
                          <m:t>f</m:t>
                        </m:r>
                      </m:sub>
                    </m:sSub>
                  </m:e>
                </m:d>
                <m:r>
                  <m:t>C</m:t>
                </m:r>
                <m:r>
                  <m:rPr>
                    <m:sty m:val="p"/>
                  </m:rPr>
                  <m:t>,</m:t>
                </m:r>
                <m:r>
                  <m:t> </m:t>
                </m:r>
                <m:r>
                  <m:rPr>
                    <m:sty m:val="p"/>
                  </m:rPr>
                  <m:t>∀</m:t>
                </m:r>
                <m:r>
                  <m:t>k</m:t>
                </m:r>
                <m:r>
                  <m:rPr>
                    <m:sty m:val="p"/>
                  </m:rPr>
                  <m:t>∈</m:t>
                </m:r>
                <m:r>
                  <m:rPr>
                    <m:scr m:val="script"/>
                    <m:sty m:val="p"/>
                  </m:rPr>
                  <m:t>K</m:t>
                </m:r>
              </m:e>
            </m:d>
            <m:r>
              <m:rPr>
                <m:sty m:val="p"/>
              </m:rPr>
              <m:t>≥</m:t>
            </m:r>
            <m:r>
              <m:t>ρ</m:t>
            </m:r>
          </m:e>
        </m:d>
        <m:r>
          <m:rPr>
            <m:sty m:val="p"/>
          </m:rPr>
          <m:t>,</m:t>
        </m:r>
      </m:oMath>
      <w:r>
        <w:tab/>
      </w:r>
      <w:r>
        <w:t xml:space="preserve">(13)</w:t>
      </w:r>
    </w:p>
    <w:p>
      <w:pPr>
        <w:pStyle w:val="BodyText"/>
      </w:pPr>
      <w:r>
        <w:t xml:space="preserve">with a metering tolerance</w:t>
      </w:r>
      <w:r>
        <w:t xml:space="preserve"> </w:t>
      </w:r>
      <m:oMath>
        <m:sSub>
          <m:e>
            <m:r>
              <m:t>ϵ</m:t>
            </m:r>
          </m:e>
          <m:sub>
            <m:r>
              <m:t>f</m:t>
            </m:r>
          </m:sub>
        </m:sSub>
      </m:oMath>
      <w:r>
        <w:t xml:space="preserve"> </w:t>
      </w:r>
      <w:r>
        <w:t xml:space="preserve">= 2 %. Its multi-event generalisation is the reliability region</w:t>
      </w:r>
      <w:r>
        <w:t xml:space="preserve"> </w:t>
      </w:r>
      <m:oMath>
        <m:sSub>
          <m:e>
            <m:r>
              <m:rPr>
                <m:scr m:val="script"/>
                <m:sty m:val="p"/>
              </m:rPr>
              <m:t>C</m:t>
            </m:r>
          </m:e>
          <m:sub>
            <m:r>
              <m:t>ρ</m:t>
            </m:r>
          </m:sub>
        </m:sSub>
        <m:r>
          <m:rPr>
            <m:sty m:val="p"/>
          </m:rPr>
          <m:t>=</m:t>
        </m:r>
        <m:r>
          <m:rPr>
            <m:sty m:val="p"/>
          </m:rPr>
          <m:t>{</m:t>
        </m:r>
        <m:d>
          <m:dPr>
            <m:begChr m:val="("/>
            <m:sepChr m:val=""/>
            <m:endChr m:val=")"/>
            <m:grow/>
          </m:dPr>
          <m:e>
            <m:sSub>
              <m:e>
                <m:r>
                  <m:t>C</m:t>
                </m:r>
              </m:e>
              <m:sub>
                <m:r>
                  <m:t>1</m:t>
                </m:r>
              </m:sub>
            </m:sSub>
            <m:r>
              <m:rPr>
                <m:sty m:val="p"/>
              </m:rPr>
              <m:t>,</m:t>
            </m:r>
            <m:r>
              <m:rPr>
                <m:sty m:val="p"/>
              </m:rPr>
              <m:t>…</m:t>
            </m:r>
            <m:r>
              <m:rPr>
                <m:sty m:val="p"/>
              </m:rPr>
              <m:t>,</m:t>
            </m:r>
            <m:sSub>
              <m:e>
                <m:r>
                  <m:t>C</m:t>
                </m:r>
              </m:e>
              <m:sub>
                <m:r>
                  <m:t>K</m:t>
                </m:r>
              </m:sub>
            </m:sSub>
          </m:e>
        </m:d>
        <m:r>
          <m:rPr>
            <m:sty m:val="p"/>
          </m:rPr>
          <m:t>:</m:t>
        </m:r>
        <m:r>
          <m:rPr>
            <m:sty m:val="p"/>
          </m:rPr>
          <m:t>Pr</m:t>
        </m:r>
        <m:d>
          <m:dPr>
            <m:begChr m:val="["/>
            <m:sepChr m:val=""/>
            <m:endChr m:val="]"/>
            <m:grow/>
          </m:dPr>
          <m:e>
            <m:sSub>
              <m:e>
                <m:acc>
                  <m:accPr>
                    <m:chr m:val="‾"/>
                  </m:accPr>
                  <m:e>
                    <m:r>
                      <m:t>r</m:t>
                    </m:r>
                  </m:e>
                </m:acc>
              </m:e>
              <m:sub>
                <m:r>
                  <m:t>k</m:t>
                </m:r>
                <m:r>
                  <m:rPr>
                    <m:sty m:val="p"/>
                  </m:rPr>
                  <m:t>,</m:t>
                </m:r>
                <m:r>
                  <m:t>ω</m:t>
                </m:r>
              </m:sub>
            </m:sSub>
            <m:r>
              <m:rPr>
                <m:sty m:val="p"/>
              </m:rPr>
              <m:t>≥</m:t>
            </m:r>
            <m:d>
              <m:dPr>
                <m:begChr m:val="("/>
                <m:sepChr m:val=""/>
                <m:endChr m:val=")"/>
                <m:grow/>
              </m:dPr>
              <m:e>
                <m:r>
                  <m:t>1</m:t>
                </m:r>
                <m:r>
                  <m:rPr>
                    <m:sty m:val="p"/>
                  </m:rPr>
                  <m:t>−</m:t>
                </m:r>
                <m:sSub>
                  <m:e>
                    <m:r>
                      <m:t>ϵ</m:t>
                    </m:r>
                  </m:e>
                  <m:sub>
                    <m:r>
                      <m:t>f</m:t>
                    </m:r>
                  </m:sub>
                </m:sSub>
              </m:e>
            </m:d>
            <m:sSub>
              <m:e>
                <m:r>
                  <m:t>C</m:t>
                </m:r>
              </m:e>
              <m:sub>
                <m:r>
                  <m:t>k</m:t>
                </m:r>
              </m:sub>
            </m:sSub>
            <m:r>
              <m:t> </m:t>
            </m:r>
            <m:r>
              <m:rPr>
                <m:sty m:val="p"/>
              </m:rPr>
              <m:t>∀</m:t>
            </m:r>
            <m:r>
              <m:t>k</m:t>
            </m:r>
          </m:e>
        </m:d>
        <m:r>
          <m:rPr>
            <m:sty m:val="p"/>
          </m:rPr>
          <m:t>≥</m:t>
        </m:r>
        <m:r>
          <m:t>ρ</m:t>
        </m:r>
        <m:r>
          <m:rPr>
            <m:sty m:val="p"/>
          </m:rPr>
          <m:t>}</m:t>
        </m:r>
      </m:oMath>
      <w:r>
        <w:t xml:space="preserve">, which shows how a higher commitment in one event compresses the deliverable space of the next.</w:t>
      </w:r>
      <w:r>
        <w:t xml:space="preserve"> </w:t>
      </w:r>
      <m:oMath>
        <m:sSubSup>
          <m:e>
            <m:r>
              <m:t>C</m:t>
            </m:r>
          </m:e>
          <m:sub>
            <m:r>
              <m:t>ρ</m:t>
            </m:r>
          </m:sub>
          <m:sup>
            <m:r>
              <m:t>f</m:t>
            </m:r>
            <m:r>
              <m:t>i</m:t>
            </m:r>
            <m:r>
              <m:t>r</m:t>
            </m:r>
            <m:r>
              <m:t>m</m:t>
            </m:r>
          </m:sup>
        </m:sSubSup>
      </m:oMath>
      <w:r>
        <w:t xml:space="preserve"> </w:t>
      </w:r>
      <w:r>
        <w:t xml:space="preserve">is a deliverability metric for the grid and is reported separately from the settlement validity (</w:t>
      </w:r>
      <m:oMath>
        <m:sSub>
          <m:e>
            <m:acc>
              <m:accPr>
                <m:chr m:val="‾"/>
              </m:accPr>
              <m:e>
                <m:r>
                  <m:t>r</m:t>
                </m:r>
              </m:e>
            </m:acc>
          </m:e>
          <m:sub>
            <m:r>
              <m:t>k</m:t>
            </m:r>
          </m:sub>
        </m:sSub>
        <m:r>
          <m:rPr>
            <m:sty m:val="p"/>
          </m:rPr>
          <m:t>≥</m:t>
        </m:r>
        <m:r>
          <m:t>0.8</m:t>
        </m:r>
        <m:sSub>
          <m:e>
            <m:r>
              <m:t>C</m:t>
            </m:r>
          </m:e>
          <m:sub>
            <m:r>
              <m:t>k</m:t>
            </m:r>
          </m:sub>
        </m:sSub>
      </m:oMath>
      <w:r>
        <w:t xml:space="preserve">).</w:t>
      </w:r>
    </w:p>
    <w:p>
      <w:pPr>
        <w:pStyle w:val="BodyText"/>
      </w:pPr>
      <w:r>
        <w:t xml:space="preserve">Because a larger commitment can only tighten the delivery requirement, the delivery indicator is monotone in</w:t>
      </w:r>
      <w:r>
        <w:t xml:space="preserve"> </w:t>
      </w:r>
      <m:oMath>
        <m:r>
          <m:t>C</m:t>
        </m:r>
      </m:oMath>
      <w:r>
        <w:t xml:space="preserve"> </w:t>
      </w:r>
      <w:r>
        <w:t xml:space="preserve">for a fixed realisation, and (13) is evaluated by sample average approximation (SAA): for every</w:t>
      </w:r>
      <w:r>
        <w:t xml:space="preserve"> </w:t>
      </w:r>
      <m:oMath>
        <m:r>
          <m:t>C</m:t>
        </m:r>
      </m:oMath>
      <w:r>
        <w:t xml:space="preserve"> </w:t>
      </w:r>
      <w:r>
        <w:t xml:space="preserve">on a grid</w:t>
      </w:r>
      <w:r>
        <w:t xml:space="preserve"> </w:t>
      </w:r>
      <m:oMath>
        <m:r>
          <m:rPr>
            <m:scr m:val="script"/>
            <m:sty m:val="p"/>
          </m:rPr>
          <m:t>G</m:t>
        </m:r>
      </m:oMath>
      <w:r>
        <w:t xml:space="preserve">, the strategy is simulated in closed loop on the realisations</w:t>
      </w:r>
      <w:r>
        <w:t xml:space="preserve"> </w:t>
      </w:r>
      <m:oMath>
        <m:r>
          <m:t>ω</m:t>
        </m:r>
        <m:r>
          <m:rPr>
            <m:sty m:val="p"/>
          </m:rPr>
          <m:t>∈</m:t>
        </m:r>
        <m:r>
          <m:t>Ω</m:t>
        </m:r>
      </m:oMath>
      <w:r>
        <w:t xml:space="preserve">, and</w:t>
      </w:r>
    </w:p>
    <w:p>
      <w:pPr>
        <w:pStyle w:val="Equation"/>
      </w:pPr>
      <w:r>
        <w:tab/>
      </w:r>
      <m:oMath>
        <m:sSubSup>
          <m:e>
            <m:acc>
              <m:accPr>
                <m:chr m:val="̂"/>
              </m:accPr>
              <m:e>
                <m:r>
                  <m:t>C</m:t>
                </m:r>
              </m:e>
            </m:acc>
          </m:e>
          <m:sub>
            <m:r>
              <m:t>ρ</m:t>
            </m:r>
          </m:sub>
          <m:sup>
            <m:r>
              <m:t>f</m:t>
            </m:r>
            <m:r>
              <m:t>i</m:t>
            </m:r>
            <m:r>
              <m:t>r</m:t>
            </m:r>
            <m:r>
              <m:t>m</m:t>
            </m:r>
          </m:sup>
        </m:sSubSup>
        <m:r>
          <m:rPr>
            <m:sty m:val="p"/>
          </m:rPr>
          <m:t>=</m:t>
        </m:r>
        <m:r>
          <m:rPr>
            <m:sty m:val="p"/>
          </m:rPr>
          <m:t>max</m:t>
        </m:r>
        <m:d>
          <m:dPr>
            <m:begChr m:val="{"/>
            <m:sepChr m:val=""/>
            <m:endChr m:val="}"/>
            <m:grow/>
          </m:dPr>
          <m:e>
            <m:r>
              <m:t>C</m:t>
            </m:r>
            <m:r>
              <m:rPr>
                <m:sty m:val="p"/>
              </m:rPr>
              <m:t>∈</m:t>
            </m:r>
            <m:r>
              <m:rPr>
                <m:scr m:val="script"/>
                <m:sty m:val="p"/>
              </m:rPr>
              <m:t>G</m:t>
            </m:r>
            <m:r>
              <m:rPr>
                <m:sty m:val="p"/>
              </m:rPr>
              <m:t>:</m:t>
            </m:r>
            <m:r>
              <m:t> </m:t>
            </m:r>
            <m:f>
              <m:fPr>
                <m:type m:val="bar"/>
              </m:fPr>
              <m:num>
                <m:r>
                  <m:t>1</m:t>
                </m:r>
              </m:num>
              <m:den>
                <m:d>
                  <m:dPr>
                    <m:begChr m:val="|"/>
                    <m:sepChr m:val=""/>
                    <m:endChr m:val="|"/>
                    <m:grow/>
                  </m:dPr>
                  <m:e>
                    <m:r>
                      <m:t>Ω</m:t>
                    </m:r>
                  </m:e>
                </m:d>
              </m:den>
            </m:f>
            <m:nary>
              <m:naryPr>
                <m:chr m:val="∑"/>
                <m:limLoc m:val="undOvr"/>
                <m:subHide m:val="off"/>
                <m:supHide m:val="on"/>
              </m:naryPr>
              <m:sub>
                <m:r>
                  <m:t>ω</m:t>
                </m:r>
              </m:sub>
              <m:sup>
                <m:r>
                  <m:t>​</m:t>
                </m:r>
              </m:sup>
              <m:e>
                <m:r>
                  <m:rPr>
                    <m:scr m:val="double-struck"/>
                    <m:sty m:val="p"/>
                  </m:rPr>
                  <m:t>1</m:t>
                </m:r>
              </m:e>
            </m:nary>
            <m:d>
              <m:dPr>
                <m:begChr m:val="["/>
                <m:sepChr m:val=""/>
                <m:endChr m:val="]"/>
                <m:grow/>
              </m:dPr>
              <m:e>
                <m:sSub>
                  <m:e>
                    <m:acc>
                      <m:accPr>
                        <m:chr m:val="‾"/>
                      </m:accPr>
                      <m:e>
                        <m:r>
                          <m:t>r</m:t>
                        </m:r>
                      </m:e>
                    </m:acc>
                  </m:e>
                  <m:sub>
                    <m:r>
                      <m:t>k</m:t>
                    </m:r>
                    <m:r>
                      <m:rPr>
                        <m:sty m:val="p"/>
                      </m:rPr>
                      <m:t>,</m:t>
                    </m:r>
                    <m:r>
                      <m:t>ω</m:t>
                    </m:r>
                  </m:sub>
                </m:sSub>
                <m:d>
                  <m:dPr>
                    <m:begChr m:val="("/>
                    <m:sepChr m:val=""/>
                    <m:endChr m:val=")"/>
                    <m:grow/>
                  </m:dPr>
                  <m:e>
                    <m:r>
                      <m:t>C</m:t>
                    </m:r>
                    <m:r>
                      <m:rPr>
                        <m:sty m:val="p"/>
                      </m:rPr>
                      <m:t>′</m:t>
                    </m:r>
                  </m:e>
                </m:d>
                <m:r>
                  <m:rPr>
                    <m:sty m:val="p"/>
                  </m:rPr>
                  <m:t>≥</m:t>
                </m:r>
                <m:d>
                  <m:dPr>
                    <m:begChr m:val="("/>
                    <m:sepChr m:val=""/>
                    <m:endChr m:val=")"/>
                    <m:grow/>
                  </m:dPr>
                  <m:e>
                    <m:r>
                      <m:t>1</m:t>
                    </m:r>
                    <m:r>
                      <m:rPr>
                        <m:sty m:val="p"/>
                      </m:rPr>
                      <m:t>−</m:t>
                    </m:r>
                    <m:sSub>
                      <m:e>
                        <m:r>
                          <m:t>ϵ</m:t>
                        </m:r>
                      </m:e>
                      <m:sub>
                        <m:r>
                          <m:t>f</m:t>
                        </m:r>
                      </m:sub>
                    </m:sSub>
                  </m:e>
                </m:d>
                <m:r>
                  <m:t>C</m:t>
                </m:r>
                <m:r>
                  <m:rPr>
                    <m:sty m:val="p"/>
                  </m:rPr>
                  <m:t>′</m:t>
                </m:r>
                <m:r>
                  <m:t> </m:t>
                </m:r>
                <m:r>
                  <m:rPr>
                    <m:sty m:val="p"/>
                  </m:rPr>
                  <m:t>∀</m:t>
                </m:r>
                <m:r>
                  <m:t>k</m:t>
                </m:r>
              </m:e>
            </m:d>
            <m:r>
              <m:rPr>
                <m:sty m:val="p"/>
              </m:rPr>
              <m:t>≥</m:t>
            </m:r>
            <m:r>
              <m:t>ρ</m:t>
            </m:r>
            <m:r>
              <m:t> </m:t>
            </m:r>
            <m:r>
              <m:t> </m:t>
            </m:r>
            <m:r>
              <m:rPr>
                <m:sty m:val="p"/>
              </m:rPr>
              <m:t>∀</m:t>
            </m:r>
            <m:r>
              <m:t>C</m:t>
            </m:r>
            <m:r>
              <m:rPr>
                <m:sty m:val="p"/>
              </m:rPr>
              <m:t>′</m:t>
            </m:r>
            <m:r>
              <m:rPr>
                <m:sty m:val="p"/>
              </m:rPr>
              <m:t>≤</m:t>
            </m:r>
            <m:r>
              <m:t>C</m:t>
            </m:r>
            <m:r>
              <m:rPr>
                <m:sty m:val="p"/>
              </m:rPr>
              <m:t>,</m:t>
            </m:r>
            <m:r>
              <m:t> </m:t>
            </m:r>
            <m:r>
              <m:t>C</m:t>
            </m:r>
            <m:r>
              <m:rPr>
                <m:sty m:val="p"/>
              </m:rPr>
              <m:t>′</m:t>
            </m:r>
            <m:r>
              <m:rPr>
                <m:sty m:val="p"/>
              </m:rPr>
              <m:t>∈</m:t>
            </m:r>
            <m:r>
              <m:rPr>
                <m:scr m:val="script"/>
                <m:sty m:val="p"/>
              </m:rPr>
              <m:t>G</m:t>
            </m:r>
          </m:e>
        </m:d>
        <m:r>
          <m:rPr>
            <m:sty m:val="p"/>
          </m:rPr>
          <m:t>.</m:t>
        </m:r>
      </m:oMath>
      <w:r>
        <w:tab/>
      </w:r>
      <w:r>
        <w:t xml:space="preserve">(14)</w:t>
      </w:r>
    </w:p>
    <w:p>
      <w:pPr>
        <w:pStyle w:val="BodyText"/>
      </w:pPr>
      <w:r>
        <w:t xml:space="preserve">Confidence intervals of</w:t>
      </w:r>
      <w:r>
        <w:t xml:space="preserve"> </w:t>
      </w:r>
      <m:oMath>
        <m:sSubSup>
          <m:e>
            <m:acc>
              <m:accPr>
                <m:chr m:val="̂"/>
              </m:accPr>
              <m:e>
                <m:r>
                  <m:t>C</m:t>
                </m:r>
              </m:e>
            </m:acc>
          </m:e>
          <m:sub>
            <m:r>
              <m:t>ρ</m:t>
            </m:r>
          </m:sub>
          <m:sup>
            <m:r>
              <m:t>f</m:t>
            </m:r>
            <m:r>
              <m:t>i</m:t>
            </m:r>
            <m:r>
              <m:t>r</m:t>
            </m:r>
            <m:r>
              <m:t>m</m:t>
            </m:r>
          </m:sup>
        </m:sSubSup>
      </m:oMath>
      <w:r>
        <w:t xml:space="preserve"> </w:t>
      </w:r>
      <w:r>
        <w:t xml:space="preserve">and of the capacity gain</w:t>
      </w:r>
      <w:r>
        <w:t xml:space="preserve"> </w:t>
      </w:r>
      <m:oMath>
        <m:r>
          <m:t>Δ</m:t>
        </m:r>
        <m:sSub>
          <m:e>
            <m:r>
              <m:t>C</m:t>
            </m:r>
          </m:e>
          <m:sub>
            <m:r>
              <m:t>ρ</m:t>
            </m:r>
          </m:sub>
        </m:sSub>
      </m:oMath>
      <w:r>
        <w:t xml:space="preserve"> </w:t>
      </w:r>
      <w:r>
        <w:t xml:space="preserve">between two strategies are obtained by a block bootstrap over operating days.</w:t>
      </w:r>
    </w:p>
    <w:bookmarkEnd w:id="36"/>
    <w:bookmarkStart w:id="37" w:name="Xaa7aecfe57e3dac941d27e6690d4ba56261f99e"/>
    <w:p>
      <w:pPr>
        <w:pStyle w:val="Heading2"/>
      </w:pPr>
      <w:r>
        <w:t xml:space="preserve">3.7 Theoretical properties of cross-event recovery</w:t>
      </w:r>
    </w:p>
    <w:p>
      <w:pPr>
        <w:pStyle w:val="FirstParagraph"/>
      </w:pPr>
      <w:r>
        <w:rPr>
          <w:bCs/>
          <w:b/>
        </w:rPr>
        <w:t xml:space="preserve">Proposition 1 (capability bound of the next event).</w:t>
      </w:r>
      <w:r>
        <w:t xml:space="preserve"> </w:t>
      </w:r>
      <w:r>
        <w:t xml:space="preserve">Let event A leave the computing debt</w:t>
      </w:r>
      <w:r>
        <w:t xml:space="preserve"> </w:t>
      </w:r>
      <m:oMath>
        <m:sSub>
          <m:e>
            <m:r>
              <m:t>X</m:t>
            </m:r>
          </m:e>
          <m:sub>
            <m:r>
              <m:t>A</m:t>
            </m:r>
          </m:sub>
        </m:sSub>
      </m:oMath>
      <w:r>
        <w:t xml:space="preserve"> </w:t>
      </w:r>
      <w:r>
        <w:t xml:space="preserve">and the storage state</w:t>
      </w:r>
      <w:r>
        <w:t xml:space="preserve"> </w:t>
      </w:r>
      <m:oMath>
        <m:sSub>
          <m:e>
            <m:r>
              <m:t>E</m:t>
            </m:r>
          </m:e>
          <m:sub>
            <m:r>
              <m:t>s</m:t>
            </m:r>
          </m:sub>
        </m:sSub>
      </m:oMath>
      <w:r>
        <w:t xml:space="preserve">, and let</w:t>
      </w:r>
      <w:r>
        <w:t xml:space="preserve"> </w:t>
      </w:r>
      <m:oMath>
        <m:r>
          <m:t>H</m:t>
        </m:r>
      </m:oMath>
      <w:r>
        <w:t xml:space="preserve"> </w:t>
      </w:r>
      <w:r>
        <w:t xml:space="preserve">be the recovery channel before event B of duration</w:t>
      </w:r>
      <w:r>
        <w:t xml:space="preserve"> </w:t>
      </w:r>
      <m:oMath>
        <m:sSub>
          <m:e>
            <m:r>
              <m:t>D</m:t>
            </m:r>
          </m:e>
          <m:sub>
            <m:r>
              <m:t>B</m:t>
            </m:r>
          </m:sub>
        </m:sSub>
      </m:oMath>
      <w:r>
        <w:t xml:space="preserve">. The reduction deliverable in B satisfies</w:t>
      </w:r>
      <w:r>
        <w:t xml:space="preserve"> </w:t>
      </w:r>
      <m:oMath>
        <m:sSub>
          <m:e>
            <m:r>
              <m:t>Γ</m:t>
            </m:r>
          </m:e>
          <m:sub>
            <m:r>
              <m:t>B</m:t>
            </m:r>
          </m:sub>
        </m:sSub>
        <m:r>
          <m:rPr>
            <m:sty m:val="p"/>
          </m:rPr>
          <m:t>≤</m:t>
        </m:r>
        <m:r>
          <m:rPr>
            <m:sty m:val="p"/>
          </m:rPr>
          <m:t>min</m:t>
        </m:r>
        <m:r>
          <m:rPr>
            <m:sty m:val="p"/>
          </m:rPr>
          <m:t>{</m:t>
        </m:r>
        <m:sSubSup>
          <m:e>
            <m:r>
              <m:t>Γ</m:t>
            </m:r>
          </m:e>
          <m:sub>
            <m:r>
              <m:t>B</m:t>
            </m:r>
          </m:sub>
          <m:sup>
            <m:r>
              <m:t>0</m:t>
            </m:r>
          </m:sup>
        </m:sSubSup>
        <m:r>
          <m:rPr>
            <m:sty m:val="p"/>
          </m:rPr>
          <m:t>,</m:t>
        </m:r>
        <m:sSup>
          <m:e>
            <m:r>
              <m:t>Γ</m:t>
            </m:r>
          </m:e>
          <m:sup>
            <m:r>
              <m:t>E</m:t>
            </m:r>
          </m:sup>
        </m:sSup>
        <m:r>
          <m:rPr>
            <m:sty m:val="p"/>
          </m:rPr>
          <m:t>,</m:t>
        </m:r>
        <m:sSup>
          <m:e>
            <m:r>
              <m:t>Γ</m:t>
            </m:r>
          </m:e>
          <m:sup>
            <m:r>
              <m:t>P</m:t>
            </m:r>
          </m:sup>
        </m:sSup>
        <m:r>
          <m:rPr>
            <m:sty m:val="p"/>
          </m:rPr>
          <m:t>}</m:t>
        </m:r>
      </m:oMath>
      <w:r>
        <w:t xml:space="preserve">, where</w:t>
      </w:r>
      <w:r>
        <w:t xml:space="preserve"> </w:t>
      </w:r>
      <m:oMath>
        <m:sSubSup>
          <m:e>
            <m:r>
              <m:t>Γ</m:t>
            </m:r>
          </m:e>
          <m:sub>
            <m:r>
              <m:t>B</m:t>
            </m:r>
          </m:sub>
          <m:sup>
            <m:r>
              <m:t>0</m:t>
            </m:r>
          </m:sup>
        </m:sSubSup>
      </m:oMath>
      <w:r>
        <w:t xml:space="preserve"> </w:t>
      </w:r>
      <w:r>
        <w:t xml:space="preserve">is the single-event capability, the energy bound is</w:t>
      </w:r>
      <w:r>
        <w:t xml:space="preserve"> </w:t>
      </w:r>
      <m:oMath>
        <m:sSup>
          <m:e>
            <m:r>
              <m:t>Γ</m:t>
            </m:r>
          </m:e>
          <m:sup>
            <m:r>
              <m:t>E</m:t>
            </m:r>
          </m:sup>
        </m:sSup>
        <m:r>
          <m:rPr>
            <m:sty m:val="p"/>
          </m:rPr>
          <m:t>=</m:t>
        </m:r>
        <m:d>
          <m:dPr>
            <m:begChr m:val="("/>
            <m:sepChr m:val=""/>
            <m:endChr m:val=")"/>
            <m:grow/>
          </m:dPr>
          <m:e>
            <m:sSub>
              <m:e>
                <m:acc>
                  <m:accPr>
                    <m:chr m:val="‾"/>
                  </m:accPr>
                  <m:e>
                    <m:r>
                      <m:t>X</m:t>
                    </m:r>
                  </m:e>
                </m:acc>
              </m:e>
              <m:sub>
                <m:r>
                  <m:t>B</m:t>
                </m:r>
              </m:sub>
            </m:sSub>
            <m:r>
              <m:rPr>
                <m:sty m:val="p"/>
              </m:rPr>
              <m:t>−</m:t>
            </m:r>
            <m:sSub>
              <m:e>
                <m:r>
                  <m:t>X</m:t>
                </m:r>
              </m:e>
              <m:sub>
                <m:r>
                  <m:t>A</m:t>
                </m:r>
              </m:sub>
            </m:sSub>
            <m:r>
              <m:rPr>
                <m:sty m:val="p"/>
              </m:rPr>
              <m:t>+</m:t>
            </m:r>
            <m:sSub>
              <m:e>
                <m:r>
                  <m:t>E</m:t>
                </m:r>
              </m:e>
              <m:sub>
                <m:r>
                  <m:t>s</m:t>
                </m:r>
              </m:sub>
            </m:sSub>
            <m:r>
              <m:rPr>
                <m:sty m:val="p"/>
              </m:rPr>
              <m:t>+</m:t>
            </m:r>
            <m:sSup>
              <m:e>
                <m:r>
                  <m:t>H</m:t>
                </m:r>
              </m:e>
              <m:sup>
                <m:r>
                  <m:t>e</m:t>
                </m:r>
                <m:r>
                  <m:t>f</m:t>
                </m:r>
                <m:r>
                  <m:t>f</m:t>
                </m:r>
              </m:sup>
            </m:sSup>
          </m:e>
        </m:d>
        <m:r>
          <m:rPr>
            <m:sty m:val="p"/>
          </m:rPr>
          <m:t>/</m:t>
        </m:r>
        <m:sSub>
          <m:e>
            <m:r>
              <m:t>D</m:t>
            </m:r>
          </m:e>
          <m:sub>
            <m:r>
              <m:t>B</m:t>
            </m:r>
          </m:sub>
        </m:sSub>
        <m:r>
          <m:rPr>
            <m:sty m:val="p"/>
          </m:rPr>
          <m:t>+</m:t>
        </m:r>
        <m:r>
          <m:t>g</m:t>
        </m:r>
      </m:oMath>
      <w:r>
        <w:t xml:space="preserve"> </w:t>
      </w:r>
      <w:r>
        <w:t xml:space="preserve">with</w:t>
      </w:r>
      <w:r>
        <w:t xml:space="preserve"> </w:t>
      </w:r>
      <m:oMath>
        <m:sSup>
          <m:e>
            <m:r>
              <m:t>H</m:t>
            </m:r>
          </m:e>
          <m:sup>
            <m:r>
              <m:t>e</m:t>
            </m:r>
            <m:r>
              <m:t>f</m:t>
            </m:r>
            <m:r>
              <m:t>f</m:t>
            </m:r>
          </m:sup>
        </m:sSup>
        <m:r>
          <m:rPr>
            <m:sty m:val="p"/>
          </m:rPr>
          <m:t>=</m:t>
        </m:r>
        <m:r>
          <m:t>H</m:t>
        </m:r>
      </m:oMath>
      <w:r>
        <w:t xml:space="preserve"> </w:t>
      </w:r>
      <w:r>
        <w:t xml:space="preserve">if</w:t>
      </w:r>
      <w:r>
        <w:t xml:space="preserve"> </w:t>
      </w:r>
      <m:oMath>
        <m:r>
          <m:t>H</m:t>
        </m:r>
        <m:r>
          <m:rPr>
            <m:sty m:val="p"/>
          </m:rPr>
          <m:t>≤</m:t>
        </m:r>
        <m:sSub>
          <m:e>
            <m:r>
              <m:t>X</m:t>
            </m:r>
          </m:e>
          <m:sub>
            <m:r>
              <m:t>A</m:t>
            </m:r>
          </m:sub>
        </m:sSub>
      </m:oMath>
      <w:r>
        <w:t xml:space="preserve"> </w:t>
      </w:r>
      <w:r>
        <w:t xml:space="preserve">and</w:t>
      </w:r>
      <w:r>
        <w:t xml:space="preserve"> </w:t>
      </w:r>
      <m:oMath>
        <m:sSub>
          <m:e>
            <m:r>
              <m:t>X</m:t>
            </m:r>
          </m:e>
          <m:sub>
            <m:r>
              <m:t>A</m:t>
            </m:r>
          </m:sub>
        </m:sSub>
        <m:r>
          <m:rPr>
            <m:sty m:val="p"/>
          </m:rPr>
          <m:t>+</m:t>
        </m:r>
        <m:r>
          <m:t>η</m:t>
        </m:r>
        <m:d>
          <m:dPr>
            <m:begChr m:val="("/>
            <m:sepChr m:val=""/>
            <m:endChr m:val=")"/>
            <m:grow/>
          </m:dPr>
          <m:e>
            <m:r>
              <m:t>H</m:t>
            </m:r>
            <m:r>
              <m:rPr>
                <m:sty m:val="p"/>
              </m:rPr>
              <m:t>−</m:t>
            </m:r>
            <m:sSub>
              <m:e>
                <m:r>
                  <m:t>X</m:t>
                </m:r>
              </m:e>
              <m:sub>
                <m:r>
                  <m:t>A</m:t>
                </m:r>
              </m:sub>
            </m:sSub>
          </m:e>
        </m:d>
      </m:oMath>
      <w:r>
        <w:t xml:space="preserve"> </w:t>
      </w:r>
      <w:r>
        <w:t xml:space="preserve">otherwise,</w:t>
      </w:r>
      <w:r>
        <w:t xml:space="preserve"> </w:t>
      </w:r>
      <m:oMath>
        <m:r>
          <m:t>η</m:t>
        </m:r>
      </m:oMath>
      <w:r>
        <w:t xml:space="preserve"> </w:t>
      </w:r>
      <w:r>
        <w:t xml:space="preserve">is the round-trip efficiency of recharging and</w:t>
      </w:r>
      <w:r>
        <w:t xml:space="preserve"> </w:t>
      </w:r>
      <m:oMath>
        <m:r>
          <m:t>g</m:t>
        </m:r>
      </m:oMath>
      <w:r>
        <w:t xml:space="preserve"> </w:t>
      </w:r>
      <w:r>
        <w:t xml:space="preserve">the additional gas-engine output, and the power bound</w:t>
      </w:r>
      <w:r>
        <w:t xml:space="preserve"> </w:t>
      </w:r>
      <m:oMath>
        <m:sSup>
          <m:e>
            <m:r>
              <m:t>Γ</m:t>
            </m:r>
          </m:e>
          <m:sup>
            <m:r>
              <m:t>P</m:t>
            </m:r>
          </m:sup>
        </m:sSup>
      </m:oMath>
      <w:r>
        <w:t xml:space="preserve"> </w:t>
      </w:r>
      <w:r>
        <w:t xml:space="preserve">accounts for the backlog of A that falls due within B and for work that can be swapped past the end of B. The channel width, the task deadlines and the stored energy therefore jointly determine the next deliverable reduction.</w:t>
      </w:r>
    </w:p>
    <w:p>
      <w:pPr>
        <w:pStyle w:val="BodyText"/>
      </w:pPr>
      <w:r>
        <w:rPr>
          <w:bCs/>
          <w:b/>
        </w:rPr>
        <w:t xml:space="preserve">Proposition 2 (value of joint recovery).</w:t>
      </w:r>
      <w:r>
        <w:t xml:space="preserve"> </w:t>
      </w:r>
      <w:r>
        <w:t xml:space="preserve">In a single-class model with constant arrivals and a constant channel width</w:t>
      </w:r>
      <w:r>
        <w:t xml:space="preserve"> </w:t>
      </w:r>
      <m:oMath>
        <m:r>
          <m:t>h</m:t>
        </m:r>
      </m:oMath>
      <w:r>
        <w:t xml:space="preserve">, joint recovery repays only the computing debt</w:t>
      </w:r>
      <w:r>
        <w:t xml:space="preserve"> </w:t>
      </w:r>
      <m:oMath>
        <m:sSup>
          <m:e>
            <m:r>
              <m:t>c</m:t>
            </m:r>
          </m:e>
          <m:sup>
            <m:r>
              <m:rPr>
                <m:lit/>
                <m:sty m:val="p"/>
              </m:rPr>
              <m:t>*</m:t>
            </m:r>
          </m:sup>
        </m:sSup>
        <m:r>
          <m:rPr>
            <m:sty m:val="p"/>
          </m:rPr>
          <m:t>=</m:t>
        </m:r>
        <m:sSup>
          <m:e>
            <m:d>
              <m:dPr>
                <m:begChr m:val="["/>
                <m:sepChr m:val=""/>
                <m:endChr m:val="]"/>
                <m:grow/>
              </m:dPr>
              <m:e>
                <m:r>
                  <m:t>X</m:t>
                </m:r>
                <m:r>
                  <m:rPr>
                    <m:sty m:val="p"/>
                  </m:rPr>
                  <m:t>−</m:t>
                </m:r>
                <m:sSub>
                  <m:e>
                    <m:r>
                      <m:t>p</m:t>
                    </m:r>
                  </m:e>
                  <m:sub>
                    <m:r>
                      <m:t>f</m:t>
                    </m:r>
                  </m:sub>
                </m:sSub>
                <m:d>
                  <m:dPr>
                    <m:begChr m:val="("/>
                    <m:sepChr m:val=""/>
                    <m:endChr m:val=")"/>
                    <m:grow/>
                  </m:dPr>
                  <m:e>
                    <m:r>
                      <m:t>L</m:t>
                    </m:r>
                    <m:r>
                      <m:rPr>
                        <m:sty m:val="p"/>
                      </m:rPr>
                      <m:t>−</m:t>
                    </m:r>
                    <m:sSub>
                      <m:e>
                        <m:r>
                          <m:t>D</m:t>
                        </m:r>
                      </m:e>
                      <m:sub>
                        <m:r>
                          <m:t>B</m:t>
                        </m:r>
                      </m:sub>
                    </m:sSub>
                  </m:e>
                </m:d>
              </m:e>
            </m:d>
          </m:e>
          <m:sup>
            <m:r>
              <m:rPr>
                <m:lit/>
                <m:sty m:val="p"/>
              </m:rPr>
              <m:t>+</m:t>
            </m:r>
          </m:sup>
        </m:sSup>
      </m:oMath>
      <w:r>
        <w:t xml:space="preserve"> </w:t>
      </w:r>
      <w:r>
        <w:t xml:space="preserve">that would fall due before the end of the next event and uses the rest of the channel for recharge, whereas independent recovery repays the full debt</w:t>
      </w:r>
      <w:r>
        <w:t xml:space="preserve"> </w:t>
      </w:r>
      <m:oMath>
        <m:r>
          <m:t>X</m:t>
        </m:r>
      </m:oMath>
      <w:r>
        <w:t xml:space="preserve"> </w:t>
      </w:r>
      <w:r>
        <w:t xml:space="preserve">first. The minimum full-recovery intervals differ by</w:t>
      </w:r>
    </w:p>
    <w:p>
      <w:pPr>
        <w:pStyle w:val="Equation"/>
      </w:pPr>
      <w:r>
        <w:tab/>
      </w:r>
      <m:oMath>
        <m:sSubSup>
          <m:e>
            <m:r>
              <m:t>τ</m:t>
            </m:r>
          </m:e>
          <m:sub>
            <m:r>
              <m:t>I</m:t>
            </m:r>
            <m:r>
              <m:t>R</m:t>
            </m:r>
          </m:sub>
          <m:sup>
            <m:r>
              <m:rPr>
                <m:lit/>
                <m:sty m:val="p"/>
              </m:rPr>
              <m:t>*</m:t>
            </m:r>
          </m:sup>
        </m:sSubSup>
        <m:r>
          <m:rPr>
            <m:sty m:val="p"/>
          </m:rPr>
          <m:t>−</m:t>
        </m:r>
        <m:sSubSup>
          <m:e>
            <m:r>
              <m:t>τ</m:t>
            </m:r>
          </m:e>
          <m:sub>
            <m:r>
              <m:t>J</m:t>
            </m:r>
            <m:r>
              <m:t>R</m:t>
            </m:r>
          </m:sub>
          <m:sup>
            <m:r>
              <m:rPr>
                <m:lit/>
                <m:sty m:val="p"/>
              </m:rPr>
              <m:t>*</m:t>
            </m:r>
          </m:sup>
        </m:sSubSup>
        <m:r>
          <m:rPr>
            <m:sty m:val="p"/>
          </m:rPr>
          <m:t>=</m:t>
        </m:r>
        <m:f>
          <m:fPr>
            <m:type m:val="bar"/>
          </m:fPr>
          <m:num>
            <m:r>
              <m:rPr>
                <m:sty m:val="p"/>
              </m:rPr>
              <m:t>min</m:t>
            </m:r>
            <m:r>
              <m:rPr>
                <m:sty m:val="p"/>
              </m:rPr>
              <m:t>{</m:t>
            </m:r>
            <m:r>
              <m:t>X</m:t>
            </m:r>
            <m:r>
              <m:rPr>
                <m:sty m:val="p"/>
              </m:rPr>
              <m:t>,</m:t>
            </m:r>
            <m:r>
              <m:t> </m:t>
            </m:r>
            <m:sSub>
              <m:e>
                <m:r>
                  <m:t>p</m:t>
                </m:r>
              </m:e>
              <m:sub>
                <m:r>
                  <m:t>f</m:t>
                </m:r>
              </m:sub>
            </m:sSub>
            <m:d>
              <m:dPr>
                <m:begChr m:val="("/>
                <m:sepChr m:val=""/>
                <m:endChr m:val=")"/>
                <m:grow/>
              </m:dPr>
              <m:e>
                <m:r>
                  <m:t>L</m:t>
                </m:r>
                <m:r>
                  <m:rPr>
                    <m:sty m:val="p"/>
                  </m:rPr>
                  <m:t>−</m:t>
                </m:r>
                <m:sSub>
                  <m:e>
                    <m:r>
                      <m:t>D</m:t>
                    </m:r>
                  </m:e>
                  <m:sub>
                    <m:r>
                      <m:t>B</m:t>
                    </m:r>
                  </m:sub>
                </m:sSub>
              </m:e>
            </m:d>
            <m:r>
              <m:rPr>
                <m:sty m:val="p"/>
              </m:rPr>
              <m:t>}</m:t>
            </m:r>
          </m:num>
          <m:den>
            <m:r>
              <m:t>h</m:t>
            </m:r>
          </m:den>
        </m:f>
        <m:r>
          <m:rPr>
            <m:sty m:val="p"/>
          </m:rPr>
          <m:t>.</m:t>
        </m:r>
      </m:oMath>
      <w:r>
        <w:tab/>
      </w:r>
      <w:r>
        <w:t xml:space="preserve">(15)</w:t>
      </w:r>
    </w:p>
    <w:p>
      <w:pPr>
        <w:pStyle w:val="BodyText"/>
      </w:pPr>
      <w:r>
        <w:t xml:space="preserve">Joint recovery has no value when the deadline is not longer than the next event (</w:t>
      </w:r>
      <m:oMath>
        <m:r>
          <m:t>L</m:t>
        </m:r>
        <m:r>
          <m:rPr>
            <m:sty m:val="p"/>
          </m:rPr>
          <m:t>≤</m:t>
        </m:r>
        <m:sSub>
          <m:e>
            <m:r>
              <m:t>D</m:t>
            </m:r>
          </m:e>
          <m:sub>
            <m:r>
              <m:t>B</m:t>
            </m:r>
          </m:sub>
        </m:sSub>
      </m:oMath>
      <w:r>
        <w:t xml:space="preserve">), when storage does not need recharging, or when the channel is either too narrow or wide enough to repay both debts within the interval.</w:t>
      </w:r>
    </w:p>
    <w:p>
      <w:pPr>
        <w:pStyle w:val="BodyText"/>
      </w:pPr>
      <w:r>
        <w:t xml:space="preserve">The proofs are given in Appendix B, which also shows from the Karush–Kuhn–Tucker conditions of (2)–(12) that a single channel price values both debts when catch-up and recharge are interior (Remark B.1); this is the price that IR-P passes to the IT scheduler (Section 4.3). Proposition 2 underlies the mechanism of Section 5.2: long-deadline work need not be caught up immediately, which frees the recovery channel for the storage that the next event needs.</w:t>
      </w:r>
    </w:p>
    <w:bookmarkEnd w:id="37"/>
    <w:bookmarkEnd w:id="38"/>
    <w:bookmarkStart w:id="50" w:name="Xfb5511b2430a8518c21d8b90caea4b06b05b6b2"/>
    <w:p>
      <w:pPr>
        <w:pStyle w:val="Heading1"/>
      </w:pPr>
      <w:r>
        <w:t xml:space="preserve">4. Recovery-aware coordinated scheduling framework</w:t>
      </w:r>
    </w:p>
    <w:p>
      <w:pPr>
        <w:pStyle w:val="FirstParagraph"/>
      </w:pPr>
      <w:r>
        <w:t xml:space="preserve">The framework comprises two layers (Fig. 2). The day-ahead layer certifies the commitments from the closed-loop capability of the intraday controller on historical days, and the intraday layer operates the AIDC with cross-event joint recovery. Algorithm 1 in Table 1 summarises both layers.</w:t>
      </w:r>
    </w:p>
    <w:p>
      <w:pPr>
        <w:pStyle w:val="Figure"/>
      </w:pPr>
      <w:r>
        <w:drawing>
          <wp:inline>
            <wp:extent cx="5338799" cy="2640434"/>
            <wp:effectExtent b="0" l="0" r="0" t="0"/>
            <wp:docPr descr="" title="" id="40" name="Picture"/>
            <a:graphic>
              <a:graphicData uri="http://schemas.openxmlformats.org/drawingml/2006/picture">
                <pic:pic>
                  <pic:nvPicPr>
                    <pic:cNvPr descr="/home/user/datacenter/paper/figures/Fig2_framework.png" id="41" name="Picture"/>
                    <pic:cNvPicPr>
                      <a:picLocks noChangeArrowheads="1" noChangeAspect="1"/>
                    </pic:cNvPicPr>
                  </pic:nvPicPr>
                  <pic:blipFill>
                    <a:blip r:embed="rId39"/>
                    <a:stretch>
                      <a:fillRect/>
                    </a:stretch>
                  </pic:blipFill>
                  <pic:spPr bwMode="auto">
                    <a:xfrm>
                      <a:off x="0" y="0"/>
                      <a:ext cx="5338799" cy="2640434"/>
                    </a:xfrm>
                    <a:prstGeom prst="rect">
                      <a:avLst/>
                    </a:prstGeom>
                    <a:noFill/>
                    <a:ln w="9525">
                      <a:noFill/>
                      <a:headEnd/>
                      <a:tailEnd/>
                    </a:ln>
                  </pic:spPr>
                </pic:pic>
              </a:graphicData>
            </a:graphic>
          </wp:inline>
        </w:drawing>
      </w:r>
    </w:p>
    <w:p>
      <w:pPr>
        <w:pStyle w:val="FigureCaption"/>
      </w:pPr>
      <w:r>
        <w:rPr>
          <w:bCs/>
          <w:b/>
        </w:rPr>
        <w:t xml:space="preserve">Fig. 2.</w:t>
      </w:r>
      <w:r>
        <w:t xml:space="preserve"> </w:t>
      </w:r>
      <w:r>
        <w:t xml:space="preserve">Recovery-aware coordinated scheduling framework. Day-ahead layer: closed-loop back-test of the intraday controller on the historical days, capability per day, Wasserstein-robust capacity (Proposition 3) and cost-optimal commitment (21). Intraday layer: cross-event joint recovery MPC with a 15-min step and an 18-h horizon.</w:t>
      </w:r>
    </w:p>
    <w:bookmarkStart w:id="46" w:name="day-ahead-recovery-aware-commitment"/>
    <w:p>
      <w:pPr>
        <w:pStyle w:val="Heading2"/>
      </w:pPr>
      <w:r>
        <w:t xml:space="preserve">4.1 Day-ahead recovery-aware commitment</w:t>
      </w:r>
    </w:p>
    <w:bookmarkStart w:id="42" w:name="X37f9b18f4e96bb9814fc784081f3b6206332fc9"/>
    <w:p>
      <w:pPr>
        <w:pStyle w:val="Heading3"/>
      </w:pPr>
      <w:r>
        <w:t xml:space="preserve">4.1.1 Closed-loop capability on historical days</w:t>
      </w:r>
    </w:p>
    <w:p>
      <w:pPr>
        <w:pStyle w:val="FirstParagraph"/>
      </w:pPr>
      <w:r>
        <w:t xml:space="preserve">The commitment of every event must anticipate the recovery state that the preceding events leave behind, as delivered by the controller that operates the AIDC. The day-ahead layer therefore measures the capability of that controller in closed loop. For every historical day</w:t>
      </w:r>
      <w:r>
        <w:t xml:space="preserve"> </w:t>
      </w:r>
      <m:oMath>
        <m:r>
          <m:t>d</m:t>
        </m:r>
      </m:oMath>
      <w:r>
        <w:t xml:space="preserve"> </w:t>
      </w:r>
      <w:r>
        <w:t xml:space="preserve">of</w:t>
      </w:r>
      <w:r>
        <w:t xml:space="preserve"> </w:t>
      </w:r>
      <m:oMath>
        <m:sSup>
          <m:e>
            <m:r>
              <m:t>Ω</m:t>
            </m:r>
          </m:e>
          <m:sup>
            <m:r>
              <m:t>D</m:t>
            </m:r>
            <m:r>
              <m:t>A</m:t>
            </m:r>
          </m:sup>
        </m:sSup>
      </m:oMath>
      <w:r>
        <w:t xml:space="preserve"> </w:t>
      </w:r>
      <w:r>
        <w:t xml:space="preserve">and every candidate commitment</w:t>
      </w:r>
      <w:r>
        <w:t xml:space="preserve"> </w:t>
      </w:r>
      <m:oMath>
        <m:r>
          <m:t>C</m:t>
        </m:r>
      </m:oMath>
      <w:r>
        <w:t xml:space="preserve"> </w:t>
      </w:r>
      <w:r>
        <w:t xml:space="preserve">of the grid</w:t>
      </w:r>
      <w:r>
        <w:t xml:space="preserve"> </w:t>
      </w:r>
      <m:oMath>
        <m:r>
          <m:rPr>
            <m:scr m:val="script"/>
            <m:sty m:val="p"/>
          </m:rPr>
          <m:t>G</m:t>
        </m:r>
      </m:oMath>
      <w:r>
        <w:t xml:space="preserve">, the intraday controller of Section 4.2 is simulated with the realised data of day</w:t>
      </w:r>
      <w:r>
        <w:t xml:space="preserve"> </w:t>
      </w:r>
      <m:oMath>
        <m:r>
          <m:t>d</m:t>
        </m:r>
      </m:oMath>
      <w:r>
        <w:t xml:space="preserve">, which yields the comprehensive cost</w:t>
      </w:r>
      <w:r>
        <w:t xml:space="preserve"> </w:t>
      </w:r>
      <m:oMath>
        <m:sSub>
          <m:e>
            <m:r>
              <m:t>J</m:t>
            </m:r>
          </m:e>
          <m:sub>
            <m:r>
              <m:t>d</m:t>
            </m:r>
          </m:sub>
        </m:sSub>
        <m:d>
          <m:dPr>
            <m:begChr m:val="("/>
            <m:sepChr m:val=""/>
            <m:endChr m:val=")"/>
            <m:grow/>
          </m:dPr>
          <m:e>
            <m:r>
              <m:t>C</m:t>
            </m:r>
          </m:e>
        </m:d>
      </m:oMath>
      <w:r>
        <w:t xml:space="preserve"> </w:t>
      </w:r>
      <w:r>
        <w:t xml:space="preserve">and the capability</w:t>
      </w:r>
    </w:p>
    <w:p>
      <w:pPr>
        <w:pStyle w:val="Equation"/>
      </w:pPr>
      <w:r>
        <w:tab/>
      </w:r>
      <m:oMath>
        <m:sSub>
          <m:e>
            <m:r>
              <m:t>ξ</m:t>
            </m:r>
          </m:e>
          <m:sub>
            <m:r>
              <m:t>d</m:t>
            </m:r>
          </m:sub>
        </m:sSub>
        <m:r>
          <m:rPr>
            <m:sty m:val="p"/>
          </m:rPr>
          <m:t>=</m:t>
        </m:r>
        <m:r>
          <m:rPr>
            <m:sty m:val="p"/>
          </m:rPr>
          <m:t>max</m:t>
        </m:r>
        <m:d>
          <m:dPr>
            <m:begChr m:val="{"/>
            <m:sepChr m:val=""/>
            <m:endChr m:val="}"/>
            <m:grow/>
          </m:dPr>
          <m:e>
            <m:r>
              <m:t>C</m:t>
            </m:r>
            <m:r>
              <m:rPr>
                <m:sty m:val="p"/>
              </m:rPr>
              <m:t>∈</m:t>
            </m:r>
            <m:r>
              <m:rPr>
                <m:scr m:val="script"/>
                <m:sty m:val="p"/>
              </m:rPr>
              <m:t>G</m:t>
            </m:r>
            <m:r>
              <m:rPr>
                <m:sty m:val="p"/>
              </m:rPr>
              <m:t>:</m:t>
            </m:r>
            <m:r>
              <m:t> </m:t>
            </m:r>
            <m:sSub>
              <m:e>
                <m:acc>
                  <m:accPr>
                    <m:chr m:val="‾"/>
                  </m:accPr>
                  <m:e>
                    <m:r>
                      <m:t>r</m:t>
                    </m:r>
                  </m:e>
                </m:acc>
              </m:e>
              <m:sub>
                <m:r>
                  <m:t>k</m:t>
                </m:r>
                <m:r>
                  <m:rPr>
                    <m:sty m:val="p"/>
                  </m:rPr>
                  <m:t>,</m:t>
                </m:r>
                <m:r>
                  <m:t>d</m:t>
                </m:r>
              </m:sub>
            </m:sSub>
            <m:d>
              <m:dPr>
                <m:begChr m:val="("/>
                <m:sepChr m:val=""/>
                <m:endChr m:val=")"/>
                <m:grow/>
              </m:dPr>
              <m:e>
                <m:r>
                  <m:t>C</m:t>
                </m:r>
                <m:r>
                  <m:rPr>
                    <m:sty m:val="p"/>
                  </m:rPr>
                  <m:t>′</m:t>
                </m:r>
              </m:e>
            </m:d>
            <m:r>
              <m:rPr>
                <m:sty m:val="p"/>
              </m:rPr>
              <m:t>≥</m:t>
            </m:r>
            <m:d>
              <m:dPr>
                <m:begChr m:val="("/>
                <m:sepChr m:val=""/>
                <m:endChr m:val=")"/>
                <m:grow/>
              </m:dPr>
              <m:e>
                <m:r>
                  <m:t>1</m:t>
                </m:r>
                <m:r>
                  <m:rPr>
                    <m:sty m:val="p"/>
                  </m:rPr>
                  <m:t>−</m:t>
                </m:r>
                <m:sSub>
                  <m:e>
                    <m:r>
                      <m:t>ϵ</m:t>
                    </m:r>
                  </m:e>
                  <m:sub>
                    <m:r>
                      <m:t>f</m:t>
                    </m:r>
                  </m:sub>
                </m:sSub>
              </m:e>
            </m:d>
            <m:r>
              <m:t>C</m:t>
            </m:r>
            <m:r>
              <m:rPr>
                <m:sty m:val="p"/>
              </m:rPr>
              <m:t>′</m:t>
            </m:r>
            <m:r>
              <m:t> </m:t>
            </m:r>
            <m:r>
              <m:t> </m:t>
            </m:r>
            <m:r>
              <m:rPr>
                <m:sty m:val="p"/>
              </m:rPr>
              <m:t>∀</m:t>
            </m:r>
            <m:r>
              <m:t>k</m:t>
            </m:r>
            <m:r>
              <m:rPr>
                <m:sty m:val="p"/>
              </m:rPr>
              <m:t>,</m:t>
            </m:r>
            <m:r>
              <m:t> </m:t>
            </m:r>
            <m:r>
              <m:rPr>
                <m:sty m:val="p"/>
              </m:rPr>
              <m:t>∀</m:t>
            </m:r>
            <m:r>
              <m:t>C</m:t>
            </m:r>
            <m:r>
              <m:rPr>
                <m:sty m:val="p"/>
              </m:rPr>
              <m:t>′</m:t>
            </m:r>
            <m:r>
              <m:rPr>
                <m:sty m:val="p"/>
              </m:rPr>
              <m:t>≤</m:t>
            </m:r>
            <m:r>
              <m:t>C</m:t>
            </m:r>
            <m:r>
              <m:rPr>
                <m:sty m:val="p"/>
              </m:rPr>
              <m:t>,</m:t>
            </m:r>
            <m:r>
              <m:t> </m:t>
            </m:r>
            <m:r>
              <m:t>C</m:t>
            </m:r>
            <m:r>
              <m:rPr>
                <m:sty m:val="p"/>
              </m:rPr>
              <m:t>′</m:t>
            </m:r>
            <m:r>
              <m:rPr>
                <m:sty m:val="p"/>
              </m:rPr>
              <m:t>∈</m:t>
            </m:r>
            <m:r>
              <m:rPr>
                <m:scr m:val="script"/>
                <m:sty m:val="p"/>
              </m:rPr>
              <m:t>G</m:t>
            </m:r>
          </m:e>
        </m:d>
        <m:r>
          <m:rPr>
            <m:sty m:val="p"/>
          </m:rPr>
          <m:t>+</m:t>
        </m:r>
        <m:f>
          <m:fPr>
            <m:type m:val="lin"/>
          </m:fPr>
          <m:num>
            <m:r>
              <m:t>1</m:t>
            </m:r>
          </m:num>
          <m:den>
            <m:r>
              <m:t>2</m:t>
            </m:r>
          </m:den>
        </m:f>
        <m:sSub>
          <m:e>
            <m:r>
              <m:t>Δ</m:t>
            </m:r>
          </m:e>
          <m:sub>
            <m:r>
              <m:rPr>
                <m:scr m:val="script"/>
                <m:sty m:val="p"/>
              </m:rPr>
              <m:t>G</m:t>
            </m:r>
          </m:sub>
        </m:sSub>
        <m:r>
          <m:rPr>
            <m:sty m:val="p"/>
          </m:rPr>
          <m:t>,</m:t>
        </m:r>
      </m:oMath>
      <w:r>
        <w:tab/>
      </w:r>
      <w:r>
        <w:t xml:space="preserve">(16)</w:t>
      </w:r>
    </w:p>
    <w:p>
      <w:pPr>
        <w:pStyle w:val="BodyText"/>
      </w:pPr>
      <w:r>
        <w:t xml:space="preserve">the midpoint between the largest uniform commitment that the controller delivers in full on day</w:t>
      </w:r>
      <w:r>
        <w:t xml:space="preserve"> </w:t>
      </w:r>
      <m:oMath>
        <m:r>
          <m:t>d</m:t>
        </m:r>
      </m:oMath>
      <w:r>
        <w:t xml:space="preserve"> </w:t>
      </w:r>
      <w:r>
        <w:t xml:space="preserve">and the next commitment of the grid (step</w:t>
      </w:r>
      <w:r>
        <w:t xml:space="preserve"> </w:t>
      </w:r>
      <m:oMath>
        <m:sSub>
          <m:e>
            <m:r>
              <m:t>Δ</m:t>
            </m:r>
          </m:e>
          <m:sub>
            <m:r>
              <m:rPr>
                <m:scr m:val="script"/>
                <m:sty m:val="p"/>
              </m:rPr>
              <m:t>G</m:t>
            </m:r>
          </m:sub>
        </m:sSub>
      </m:oMath>
      <w:r>
        <w:t xml:space="preserve">), at which delivery first fails. The back-test visits the commitments in increasing order and stops simulating a day after its first failure; it yields every</w:t>
      </w:r>
      <w:r>
        <w:t xml:space="preserve"> </w:t>
      </w:r>
      <m:oMath>
        <m:sSub>
          <m:e>
            <m:r>
              <m:t>ξ</m:t>
            </m:r>
          </m:e>
          <m:sub>
            <m:r>
              <m:t>d</m:t>
            </m:r>
          </m:sub>
        </m:sSub>
      </m:oMath>
      <w:r>
        <w:t xml:space="preserve">, and every</w:t>
      </w:r>
      <w:r>
        <w:t xml:space="preserve"> </w:t>
      </w:r>
      <m:oMath>
        <m:sSub>
          <m:e>
            <m:r>
              <m:t>J</m:t>
            </m:r>
          </m:e>
          <m:sub>
            <m:r>
              <m:t>d</m:t>
            </m:r>
          </m:sub>
        </m:sSub>
        <m:d>
          <m:dPr>
            <m:begChr m:val="("/>
            <m:sepChr m:val=""/>
            <m:endChr m:val=")"/>
            <m:grow/>
          </m:dPr>
          <m:e>
            <m:r>
              <m:t>C</m:t>
            </m:r>
          </m:e>
        </m:d>
      </m:oMath>
      <w:r>
        <w:t xml:space="preserve"> </w:t>
      </w:r>
      <w:r>
        <w:t xml:space="preserve">for</w:t>
      </w:r>
      <w:r>
        <w:t xml:space="preserve"> </w:t>
      </w:r>
      <m:oMath>
        <m:r>
          <m:t>C</m:t>
        </m:r>
        <m:r>
          <m:rPr>
            <m:sty m:val="p"/>
          </m:rPr>
          <m:t>≤</m:t>
        </m:r>
        <m:sSub>
          <m:e>
            <m:r>
              <m:rPr>
                <m:sty m:val="p"/>
              </m:rPr>
              <m:t>min</m:t>
            </m:r>
          </m:e>
          <m:sub>
            <m:r>
              <m:t>d</m:t>
            </m:r>
          </m:sub>
        </m:sSub>
        <m:sSub>
          <m:e>
            <m:r>
              <m:t>ξ</m:t>
            </m:r>
          </m:e>
          <m:sub>
            <m:r>
              <m:t>d</m:t>
            </m:r>
          </m:sub>
        </m:sSub>
      </m:oMath>
      <w:r>
        <w:t xml:space="preserve">, with about half of the closed-loop runs of the full grid.</w:t>
      </w:r>
    </w:p>
    <w:bookmarkEnd w:id="42"/>
    <w:bookmarkStart w:id="43" w:name="Xadcc2e01ac3c598a94067ee960f0a1ce38e1627"/>
    <w:p>
      <w:pPr>
        <w:pStyle w:val="Heading3"/>
      </w:pPr>
      <w:r>
        <w:t xml:space="preserve">4.1.2 Wasserstein ambiguity set and dual reformulation</w:t>
      </w:r>
    </w:p>
    <w:p>
      <w:pPr>
        <w:pStyle w:val="FirstParagraph"/>
      </w:pPr>
      <w:r>
        <w:t xml:space="preserve">The empirical distribution</w:t>
      </w:r>
      <w:r>
        <w:t xml:space="preserve"> </w:t>
      </w:r>
      <m:oMath>
        <m:sSub>
          <m:e>
            <m:acc>
              <m:accPr>
                <m:chr m:val="̂"/>
              </m:accPr>
              <m:e>
                <m:r>
                  <m:t>P</m:t>
                </m:r>
              </m:e>
            </m:acc>
          </m:e>
          <m:sub>
            <m:r>
              <m:t>N</m:t>
            </m:r>
          </m:sub>
        </m:sSub>
        <m:r>
          <m:rPr>
            <m:sty m:val="p"/>
          </m:rPr>
          <m:t>=</m:t>
        </m:r>
        <m:f>
          <m:fPr>
            <m:type m:val="bar"/>
          </m:fPr>
          <m:num>
            <m:r>
              <m:t>1</m:t>
            </m:r>
          </m:num>
          <m:den>
            <m:r>
              <m:t>N</m:t>
            </m:r>
          </m:den>
        </m:f>
        <m:nary>
          <m:naryPr>
            <m:chr m:val="∑"/>
            <m:limLoc m:val="undOvr"/>
            <m:subHide m:val="off"/>
            <m:supHide m:val="on"/>
          </m:naryPr>
          <m:sub>
            <m:r>
              <m:t>d</m:t>
            </m:r>
          </m:sub>
          <m:sup>
            <m:r>
              <m:t>​</m:t>
            </m:r>
          </m:sup>
          <m:e>
            <m:sSub>
              <m:e>
                <m:r>
                  <m:t>δ</m:t>
                </m:r>
              </m:e>
              <m:sub>
                <m:sSub>
                  <m:e>
                    <m:r>
                      <m:t>ξ</m:t>
                    </m:r>
                  </m:e>
                  <m:sub>
                    <m:r>
                      <m:t>d</m:t>
                    </m:r>
                  </m:sub>
                </m:sSub>
              </m:sub>
            </m:sSub>
          </m:e>
        </m:nary>
      </m:oMath>
      <w:r>
        <w:t xml:space="preserve"> </w:t>
      </w:r>
      <w:r>
        <w:t xml:space="preserve">summarises the deliverability of the controller on the</w:t>
      </w:r>
      <w:r>
        <w:t xml:space="preserve"> </w:t>
      </w:r>
      <m:oMath>
        <m:r>
          <m:t>N</m:t>
        </m:r>
      </m:oMath>
      <w:r>
        <w:t xml:space="preserve"> </w:t>
      </w:r>
      <w:r>
        <w:t xml:space="preserve">historical days. Because the operating day can differ from them, the commitment is protected against all distributions within the 1-Wasserstein ball</w:t>
      </w:r>
      <w:r>
        <w:t xml:space="preserve"> </w:t>
      </w:r>
      <m:oMath>
        <m:sSub>
          <m:e>
            <m:r>
              <m:rPr>
                <m:scr m:val="script"/>
                <m:sty m:val="p"/>
              </m:rPr>
              <m:t>B</m:t>
            </m:r>
          </m:e>
          <m:sub>
            <m:r>
              <m:t>ε</m:t>
            </m:r>
          </m:sub>
        </m:sSub>
        <m:d>
          <m:dPr>
            <m:begChr m:val="("/>
            <m:sepChr m:val=""/>
            <m:endChr m:val=")"/>
            <m:grow/>
          </m:dPr>
          <m:e>
            <m:sSub>
              <m:e>
                <m:acc>
                  <m:accPr>
                    <m:chr m:val="̂"/>
                  </m:accPr>
                  <m:e>
                    <m:r>
                      <m:t>P</m:t>
                    </m:r>
                  </m:e>
                </m:acc>
              </m:e>
              <m:sub>
                <m:r>
                  <m:t>N</m:t>
                </m:r>
              </m:sub>
            </m:sSub>
          </m:e>
        </m:d>
        <m:r>
          <m:rPr>
            <m:sty m:val="p"/>
          </m:rPr>
          <m:t>=</m:t>
        </m:r>
        <m:r>
          <m:rPr>
            <m:sty m:val="p"/>
          </m:rPr>
          <m:t>{</m:t>
        </m:r>
        <m:r>
          <m:t>Q</m:t>
        </m:r>
        <m:r>
          <m:rPr>
            <m:sty m:val="p"/>
          </m:rPr>
          <m:t>:</m:t>
        </m:r>
        <m:r>
          <m:t> </m:t>
        </m:r>
        <m:sSub>
          <m:e>
            <m:r>
              <m:t>W</m:t>
            </m:r>
          </m:e>
          <m:sub>
            <m:r>
              <m:t>1</m:t>
            </m:r>
          </m:sub>
        </m:sSub>
        <m:d>
          <m:dPr>
            <m:begChr m:val="("/>
            <m:sepChr m:val=""/>
            <m:endChr m:val=")"/>
            <m:grow/>
          </m:dPr>
          <m:e>
            <m:r>
              <m:t>Q</m:t>
            </m:r>
            <m:r>
              <m:rPr>
                <m:sty m:val="p"/>
              </m:rPr>
              <m:t>,</m:t>
            </m:r>
            <m:sSub>
              <m:e>
                <m:acc>
                  <m:accPr>
                    <m:chr m:val="̂"/>
                  </m:accPr>
                  <m:e>
                    <m:r>
                      <m:t>P</m:t>
                    </m:r>
                  </m:e>
                </m:acc>
              </m:e>
              <m:sub>
                <m:r>
                  <m:t>N</m:t>
                </m:r>
              </m:sub>
            </m:sSub>
          </m:e>
        </m:d>
        <m:r>
          <m:rPr>
            <m:sty m:val="p"/>
          </m:rPr>
          <m:t>≤</m:t>
        </m:r>
        <m:r>
          <m:t>ε</m:t>
        </m:r>
        <m:r>
          <m:rPr>
            <m:sty m:val="p"/>
          </m:rPr>
          <m:t>}</m:t>
        </m:r>
      </m:oMath>
      <w:r>
        <w:t xml:space="preserve"> </w:t>
      </w:r>
      <w:r>
        <w:t xml:space="preserve">[26]:</w:t>
      </w:r>
    </w:p>
    <w:p>
      <w:pPr>
        <w:pStyle w:val="Equation"/>
      </w:pPr>
      <w:r>
        <w:tab/>
      </w:r>
      <m:oMath>
        <m:sSubSup>
          <m:e>
            <m:r>
              <m:t>C</m:t>
            </m:r>
          </m:e>
          <m:sub>
            <m:r>
              <m:t>ρ</m:t>
            </m:r>
          </m:sub>
          <m:sup>
            <m:r>
              <m:t>D</m:t>
            </m:r>
            <m:r>
              <m:t>R</m:t>
            </m:r>
            <m:r>
              <m:t>O</m:t>
            </m:r>
          </m:sup>
        </m:sSubSup>
        <m:d>
          <m:dPr>
            <m:begChr m:val="("/>
            <m:sepChr m:val=""/>
            <m:endChr m:val=")"/>
            <m:grow/>
          </m:dPr>
          <m:e>
            <m:r>
              <m:t>ε</m:t>
            </m:r>
          </m:e>
        </m:d>
        <m:r>
          <m:rPr>
            <m:sty m:val="p"/>
          </m:rPr>
          <m:t>=</m:t>
        </m:r>
        <m:r>
          <m:rPr>
            <m:sty m:val="p"/>
          </m:rPr>
          <m:t>max</m:t>
        </m:r>
        <m:d>
          <m:dPr>
            <m:begChr m:val="{"/>
            <m:sepChr m:val=""/>
            <m:endChr m:val="}"/>
            <m:grow/>
          </m:dPr>
          <m:e>
            <m:r>
              <m:t>C</m:t>
            </m:r>
            <m:r>
              <m:rPr>
                <m:sty m:val="p"/>
              </m:rPr>
              <m:t>∈</m:t>
            </m:r>
            <m:r>
              <m:rPr>
                <m:scr m:val="script"/>
                <m:sty m:val="p"/>
              </m:rPr>
              <m:t>G</m:t>
            </m:r>
            <m:r>
              <m:rPr>
                <m:sty m:val="p"/>
              </m:rPr>
              <m:t>:</m:t>
            </m:r>
            <m:r>
              <m:t> </m:t>
            </m:r>
            <m:sSub>
              <m:e>
                <m:r>
                  <m:rPr>
                    <m:lit/>
                    <m:sty m:val="p"/>
                  </m:rPr>
                  <m:t>inf</m:t>
                </m:r>
              </m:e>
              <m:sub>
                <m:r>
                  <m:t>Q</m:t>
                </m:r>
                <m:r>
                  <m:rPr>
                    <m:sty m:val="p"/>
                  </m:rPr>
                  <m:t>∈</m:t>
                </m:r>
                <m:sSub>
                  <m:e>
                    <m:r>
                      <m:rPr>
                        <m:scr m:val="script"/>
                        <m:sty m:val="p"/>
                      </m:rPr>
                      <m:t>B</m:t>
                    </m:r>
                  </m:e>
                  <m:sub>
                    <m:r>
                      <m:t>ε</m:t>
                    </m:r>
                  </m:sub>
                </m:sSub>
                <m:d>
                  <m:dPr>
                    <m:begChr m:val="("/>
                    <m:sepChr m:val=""/>
                    <m:endChr m:val=")"/>
                    <m:grow/>
                  </m:dPr>
                  <m:e>
                    <m:sSub>
                      <m:e>
                        <m:acc>
                          <m:accPr>
                            <m:chr m:val="̂"/>
                          </m:accPr>
                          <m:e>
                            <m:r>
                              <m:t>P</m:t>
                            </m:r>
                          </m:e>
                        </m:acc>
                      </m:e>
                      <m:sub>
                        <m:r>
                          <m:t>N</m:t>
                        </m:r>
                      </m:sub>
                    </m:sSub>
                  </m:e>
                </m:d>
              </m:sub>
            </m:sSub>
            <m:r>
              <m:t>Q</m:t>
            </m:r>
            <m:d>
              <m:dPr>
                <m:begChr m:val="("/>
                <m:sepChr m:val=""/>
                <m:endChr m:val=")"/>
                <m:grow/>
              </m:dPr>
              <m:e>
                <m:r>
                  <m:t>ξ</m:t>
                </m:r>
                <m:r>
                  <m:rPr>
                    <m:sty m:val="p"/>
                  </m:rPr>
                  <m:t>≥</m:t>
                </m:r>
                <m:r>
                  <m:t>C</m:t>
                </m:r>
              </m:e>
            </m:d>
            <m:r>
              <m:rPr>
                <m:sty m:val="p"/>
              </m:rPr>
              <m:t>≥</m:t>
            </m:r>
            <m:r>
              <m:t>ρ</m:t>
            </m:r>
          </m:e>
        </m:d>
        <m:r>
          <m:rPr>
            <m:sty m:val="p"/>
          </m:rPr>
          <m:t>,</m:t>
        </m:r>
      </m:oMath>
      <w:r>
        <w:tab/>
      </w:r>
      <w:r>
        <w:t xml:space="preserve">(17)</w:t>
      </w:r>
    </w:p>
    <w:p>
      <w:pPr>
        <w:pStyle w:val="BodyText"/>
      </w:pPr>
      <w:r>
        <w:t xml:space="preserve">the distributionally robust counterpart of (13). The radius</w:t>
      </w:r>
      <w:r>
        <w:t xml:space="preserve"> </w:t>
      </w:r>
      <m:oMath>
        <m:r>
          <m:t>ε</m:t>
        </m:r>
      </m:oMath>
      <w:r>
        <w:t xml:space="preserve"> </w:t>
      </w:r>
      <w:r>
        <w:t xml:space="preserve">(MW) is the largest average shift of the capability that the commitment must withstand.</w:t>
      </w:r>
    </w:p>
    <w:p>
      <w:pPr>
        <w:pStyle w:val="BodyText"/>
      </w:pPr>
      <w:r>
        <w:t xml:space="preserve">The inner problem of (17) is an optimisation over probability distributions. For a commitment</w:t>
      </w:r>
      <w:r>
        <w:t xml:space="preserve"> </w:t>
      </w:r>
      <m:oMath>
        <m:r>
          <m:t>C</m:t>
        </m:r>
      </m:oMath>
      <w:r>
        <w:t xml:space="preserve">, let</w:t>
      </w:r>
      <w:r>
        <w:t xml:space="preserve"> </w:t>
      </w:r>
      <m:oMath>
        <m:sSub>
          <m:e>
            <m:r>
              <m:rPr>
                <m:scr m:val="script"/>
                <m:sty m:val="p"/>
              </m:rPr>
              <m:t>D</m:t>
            </m:r>
          </m:e>
          <m:sub>
            <m:r>
              <m:t>C</m:t>
            </m:r>
          </m:sub>
        </m:sSub>
        <m:r>
          <m:rPr>
            <m:sty m:val="p"/>
          </m:rPr>
          <m:t>=</m:t>
        </m:r>
        <m:r>
          <m:rPr>
            <m:sty m:val="p"/>
          </m:rPr>
          <m:t>{</m:t>
        </m:r>
        <m:r>
          <m:t>d</m:t>
        </m:r>
        <m:r>
          <m:rPr>
            <m:sty m:val="p"/>
          </m:rPr>
          <m:t>:</m:t>
        </m:r>
        <m:sSub>
          <m:e>
            <m:r>
              <m:t>ξ</m:t>
            </m:r>
          </m:e>
          <m:sub>
            <m:r>
              <m:t>d</m:t>
            </m:r>
          </m:sub>
        </m:sSub>
        <m:r>
          <m:rPr>
            <m:sty m:val="p"/>
          </m:rPr>
          <m:t>≥</m:t>
        </m:r>
        <m:r>
          <m:t>C</m:t>
        </m:r>
        <m:r>
          <m:rPr>
            <m:sty m:val="p"/>
          </m:rPr>
          <m:t>}</m:t>
        </m:r>
      </m:oMath>
      <w:r>
        <w:t xml:space="preserve"> </w:t>
      </w:r>
      <w:r>
        <w:t xml:space="preserve">be the days that deliver it,</w:t>
      </w:r>
      <w:r>
        <w:t xml:space="preserve"> </w:t>
      </w:r>
      <m:oMath>
        <m:r>
          <m:t>n</m:t>
        </m:r>
        <m:d>
          <m:dPr>
            <m:begChr m:val="("/>
            <m:sepChr m:val=""/>
            <m:endChr m:val=")"/>
            <m:grow/>
          </m:dPr>
          <m:e>
            <m:r>
              <m:t>C</m:t>
            </m:r>
          </m:e>
        </m:d>
        <m:r>
          <m:rPr>
            <m:sty m:val="p"/>
          </m:rPr>
          <m:t>=</m:t>
        </m:r>
        <m:d>
          <m:dPr>
            <m:begChr m:val="|"/>
            <m:sepChr m:val=""/>
            <m:endChr m:val="|"/>
            <m:grow/>
          </m:dPr>
          <m:e>
            <m:sSub>
              <m:e>
                <m:r>
                  <m:rPr>
                    <m:scr m:val="script"/>
                    <m:sty m:val="p"/>
                  </m:rPr>
                  <m:t>D</m:t>
                </m:r>
              </m:e>
              <m:sub>
                <m:r>
                  <m:t>C</m:t>
                </m:r>
              </m:sub>
            </m:sSub>
          </m:e>
        </m:d>
      </m:oMath>
      <w:r>
        <w:t xml:space="preserve">, and</w:t>
      </w:r>
      <w:r>
        <w:t xml:space="preserve"> </w:t>
      </w:r>
      <m:oMath>
        <m:sSub>
          <m:e>
            <m:r>
              <m:t>δ</m:t>
            </m:r>
          </m:e>
          <m:sub>
            <m:r>
              <m:t>d</m:t>
            </m:r>
          </m:sub>
        </m:sSub>
        <m:d>
          <m:dPr>
            <m:begChr m:val="("/>
            <m:sepChr m:val=""/>
            <m:endChr m:val=")"/>
            <m:grow/>
          </m:dPr>
          <m:e>
            <m:r>
              <m:t>C</m:t>
            </m:r>
          </m:e>
        </m:d>
        <m:r>
          <m:rPr>
            <m:sty m:val="p"/>
          </m:rPr>
          <m:t>=</m:t>
        </m:r>
        <m:sSub>
          <m:e>
            <m:r>
              <m:t>ξ</m:t>
            </m:r>
          </m:e>
          <m:sub>
            <m:r>
              <m:t>d</m:t>
            </m:r>
          </m:sub>
        </m:sSub>
        <m:r>
          <m:rPr>
            <m:sty m:val="p"/>
          </m:rPr>
          <m:t>−</m:t>
        </m:r>
        <m:r>
          <m:t>C</m:t>
        </m:r>
      </m:oMath>
      <w:r>
        <w:t xml:space="preserve"> </w:t>
      </w:r>
      <w:r>
        <w:t xml:space="preserve">their capability margins. The least favourable distribution moves the probability mass</w:t>
      </w:r>
      <w:r>
        <w:t xml:space="preserve"> </w:t>
      </w:r>
      <m:oMath>
        <m:sSub>
          <m:e>
            <m:r>
              <m:t>w</m:t>
            </m:r>
          </m:e>
          <m:sub>
            <m:r>
              <m:t>d</m:t>
            </m:r>
          </m:sub>
        </m:sSub>
        <m:r>
          <m:rPr>
            <m:sty m:val="p"/>
          </m:rPr>
          <m:t>∈</m:t>
        </m:r>
        <m:d>
          <m:dPr>
            <m:begChr m:val="["/>
            <m:sepChr m:val=""/>
            <m:endChr m:val="]"/>
            <m:grow/>
          </m:dPr>
          <m:e>
            <m:r>
              <m:t>0</m:t>
            </m:r>
            <m:r>
              <m:rPr>
                <m:sty m:val="p"/>
              </m:rPr>
              <m:t>,</m:t>
            </m:r>
            <m:r>
              <m:t>1</m:t>
            </m:r>
            <m:r>
              <m:rPr>
                <m:sty m:val="p"/>
              </m:rPr>
              <m:t>/</m:t>
            </m:r>
            <m:r>
              <m:t>N</m:t>
            </m:r>
          </m:e>
        </m:d>
      </m:oMath>
      <w:r>
        <w:t xml:space="preserve"> </w:t>
      </w:r>
      <w:r>
        <w:t xml:space="preserve">from the atoms in</w:t>
      </w:r>
      <w:r>
        <w:t xml:space="preserve"> </w:t>
      </w:r>
      <m:oMath>
        <m:sSub>
          <m:e>
            <m:r>
              <m:rPr>
                <m:scr m:val="script"/>
                <m:sty m:val="p"/>
              </m:rPr>
              <m:t>D</m:t>
            </m:r>
          </m:e>
          <m:sub>
            <m:r>
              <m:t>C</m:t>
            </m:r>
          </m:sub>
        </m:sSub>
      </m:oMath>
      <w:r>
        <w:t xml:space="preserve"> </w:t>
      </w:r>
      <w:r>
        <w:t xml:space="preserve">to just below</w:t>
      </w:r>
      <w:r>
        <w:t xml:space="preserve"> </w:t>
      </w:r>
      <m:oMath>
        <m:r>
          <m:t>C</m:t>
        </m:r>
      </m:oMath>
      <w:r>
        <w:t xml:space="preserve"> </w:t>
      </w:r>
      <w:r>
        <w:t xml:space="preserve">at the transport cost</w:t>
      </w:r>
      <w:r>
        <w:t xml:space="preserve"> </w:t>
      </w:r>
      <m:oMath>
        <m:sSub>
          <m:e>
            <m:r>
              <m:t>δ</m:t>
            </m:r>
          </m:e>
          <m:sub>
            <m:r>
              <m:t>d</m:t>
            </m:r>
          </m:sub>
        </m:sSub>
        <m:d>
          <m:dPr>
            <m:begChr m:val="("/>
            <m:sepChr m:val=""/>
            <m:endChr m:val=")"/>
            <m:grow/>
          </m:dPr>
          <m:e>
            <m:r>
              <m:t>C</m:t>
            </m:r>
          </m:e>
        </m:d>
      </m:oMath>
      <w:r>
        <w:t xml:space="preserve"> </w:t>
      </w:r>
      <w:r>
        <w:t xml:space="preserve">per unit of mass, which turns the worst-case failure probability into a fractional knapsack problem ((B.4) in Appendix B). Its linear-programming dual is the one-dimensional problem</w:t>
      </w:r>
    </w:p>
    <w:p>
      <w:pPr>
        <w:pStyle w:val="Equation"/>
      </w:pPr>
      <w:r>
        <w:tab/>
      </w:r>
      <m:oMath>
        <m:sSub>
          <m:e>
            <m:r>
              <m:rPr>
                <m:lit/>
                <m:sty m:val="p"/>
              </m:rPr>
              <m:t>sup</m:t>
            </m:r>
          </m:e>
          <m:sub>
            <m:r>
              <m:t>Q</m:t>
            </m:r>
            <m:r>
              <m:rPr>
                <m:sty m:val="p"/>
              </m:rPr>
              <m:t>∈</m:t>
            </m:r>
            <m:sSub>
              <m:e>
                <m:r>
                  <m:rPr>
                    <m:scr m:val="script"/>
                    <m:sty m:val="p"/>
                  </m:rPr>
                  <m:t>B</m:t>
                </m:r>
              </m:e>
              <m:sub>
                <m:r>
                  <m:t>ε</m:t>
                </m:r>
              </m:sub>
            </m:sSub>
            <m:d>
              <m:dPr>
                <m:begChr m:val="("/>
                <m:sepChr m:val=""/>
                <m:endChr m:val=")"/>
                <m:grow/>
              </m:dPr>
              <m:e>
                <m:sSub>
                  <m:e>
                    <m:acc>
                      <m:accPr>
                        <m:chr m:val="̂"/>
                      </m:accPr>
                      <m:e>
                        <m:r>
                          <m:t>P</m:t>
                        </m:r>
                      </m:e>
                    </m:acc>
                  </m:e>
                  <m:sub>
                    <m:r>
                      <m:t>N</m:t>
                    </m:r>
                  </m:sub>
                </m:sSub>
              </m:e>
            </m:d>
          </m:sub>
        </m:sSub>
        <m:r>
          <m:t>Q</m:t>
        </m:r>
        <m:d>
          <m:dPr>
            <m:begChr m:val="("/>
            <m:sepChr m:val=""/>
            <m:endChr m:val=")"/>
            <m:grow/>
          </m:dPr>
          <m:e>
            <m:r>
              <m:t>ξ</m:t>
            </m:r>
            <m:r>
              <m:rPr>
                <m:sty m:val="p"/>
              </m:rPr>
              <m:t>&lt;</m:t>
            </m:r>
            <m:r>
              <m:t>C</m:t>
            </m:r>
          </m:e>
        </m:d>
        <m:r>
          <m:rPr>
            <m:sty m:val="p"/>
          </m:rPr>
          <m:t>=</m:t>
        </m:r>
        <m:f>
          <m:fPr>
            <m:type m:val="bar"/>
          </m:fPr>
          <m:num>
            <m:r>
              <m:t>N</m:t>
            </m:r>
            <m:r>
              <m:rPr>
                <m:sty m:val="p"/>
              </m:rPr>
              <m:t>−</m:t>
            </m:r>
            <m:r>
              <m:t>n</m:t>
            </m:r>
            <m:d>
              <m:dPr>
                <m:begChr m:val="("/>
                <m:sepChr m:val=""/>
                <m:endChr m:val=")"/>
                <m:grow/>
              </m:dPr>
              <m:e>
                <m:r>
                  <m:t>C</m:t>
                </m:r>
              </m:e>
            </m:d>
          </m:num>
          <m:den>
            <m:r>
              <m:t>N</m:t>
            </m:r>
          </m:den>
        </m:f>
        <m:r>
          <m:rPr>
            <m:sty m:val="p"/>
          </m:rPr>
          <m:t>+</m:t>
        </m:r>
        <m:sSub>
          <m:e>
            <m:r>
              <m:rPr>
                <m:sty m:val="p"/>
              </m:rPr>
              <m:t>min</m:t>
            </m:r>
          </m:e>
          <m:sub>
            <m:r>
              <m:t>λ</m:t>
            </m:r>
            <m:r>
              <m:rPr>
                <m:sty m:val="p"/>
              </m:rPr>
              <m:t>≥</m:t>
            </m:r>
            <m:r>
              <m:t>0</m:t>
            </m:r>
          </m:sub>
        </m:sSub>
        <m:d>
          <m:dPr>
            <m:begChr m:val="{"/>
            <m:sepChr m:val=""/>
            <m:endChr m:val="}"/>
            <m:grow/>
          </m:dPr>
          <m:e>
            <m:r>
              <m:t>λ</m:t>
            </m:r>
            <m:r>
              <m:t>ε</m:t>
            </m:r>
            <m:r>
              <m:rPr>
                <m:sty m:val="p"/>
              </m:rPr>
              <m:t>+</m:t>
            </m:r>
            <m:f>
              <m:fPr>
                <m:type m:val="bar"/>
              </m:fPr>
              <m:num>
                <m:r>
                  <m:t>1</m:t>
                </m:r>
              </m:num>
              <m:den>
                <m:r>
                  <m:t>N</m:t>
                </m:r>
              </m:den>
            </m:f>
            <m:nary>
              <m:naryPr>
                <m:chr m:val="∑"/>
                <m:limLoc m:val="undOvr"/>
                <m:subHide m:val="off"/>
                <m:supHide m:val="on"/>
              </m:naryPr>
              <m:sub>
                <m:r>
                  <m:t>d</m:t>
                </m:r>
                <m:r>
                  <m:rPr>
                    <m:sty m:val="p"/>
                  </m:rPr>
                  <m:t>∈</m:t>
                </m:r>
                <m:sSub>
                  <m:e>
                    <m:r>
                      <m:rPr>
                        <m:scr m:val="script"/>
                        <m:sty m:val="p"/>
                      </m:rPr>
                      <m:t>D</m:t>
                    </m:r>
                  </m:e>
                  <m:sub>
                    <m:r>
                      <m:t>C</m:t>
                    </m:r>
                  </m:sub>
                </m:sSub>
              </m:sub>
              <m:sup>
                <m:r>
                  <m:t>​</m:t>
                </m:r>
              </m:sup>
              <m:e>
                <m:r>
                  <m:rPr>
                    <m:sty m:val="p"/>
                  </m:rPr>
                  <m:t>max</m:t>
                </m:r>
              </m:e>
            </m:nary>
            <m:r>
              <m:rPr>
                <m:sty m:val="p"/>
              </m:rPr>
              <m:t>{</m:t>
            </m:r>
            <m:r>
              <m:t>1</m:t>
            </m:r>
            <m:r>
              <m:rPr>
                <m:sty m:val="p"/>
              </m:rPr>
              <m:t>−</m:t>
            </m:r>
            <m:r>
              <m:t>λ</m:t>
            </m:r>
            <m:r>
              <m:t> </m:t>
            </m:r>
            <m:sSub>
              <m:e>
                <m:r>
                  <m:t>δ</m:t>
                </m:r>
              </m:e>
              <m:sub>
                <m:r>
                  <m:t>d</m:t>
                </m:r>
              </m:sub>
            </m:sSub>
            <m:d>
              <m:dPr>
                <m:begChr m:val="("/>
                <m:sepChr m:val=""/>
                <m:endChr m:val=")"/>
                <m:grow/>
              </m:dPr>
              <m:e>
                <m:r>
                  <m:t>C</m:t>
                </m:r>
              </m:e>
            </m:d>
            <m:r>
              <m:rPr>
                <m:sty m:val="p"/>
              </m:rPr>
              <m:t>,</m:t>
            </m:r>
            <m:r>
              <m:t> </m:t>
            </m:r>
            <m:r>
              <m:t>0</m:t>
            </m:r>
            <m:r>
              <m:rPr>
                <m:sty m:val="p"/>
              </m:rPr>
              <m:t>}</m:t>
            </m:r>
          </m:e>
        </m:d>
        <m:r>
          <m:rPr>
            <m:sty m:val="p"/>
          </m:rPr>
          <m:t>,</m:t>
        </m:r>
      </m:oMath>
      <w:r>
        <w:tab/>
      </w:r>
      <w:r>
        <w:t xml:space="preserve">(18)</w:t>
      </w:r>
    </w:p>
    <w:p>
      <w:pPr>
        <w:pStyle w:val="BodyText"/>
      </w:pPr>
      <w:r>
        <w:t xml:space="preserve">where</w:t>
      </w:r>
      <w:r>
        <w:t xml:space="preserve"> </w:t>
      </w:r>
      <m:oMath>
        <m:r>
          <m:t>λ</m:t>
        </m:r>
      </m:oMath>
      <w:r>
        <w:t xml:space="preserve"> </w:t>
      </w:r>
      <w:r>
        <w:t xml:space="preserve">is the shadow price of the transport budget. The objective of (18) is convex and piecewise linear in</w:t>
      </w:r>
      <w:r>
        <w:t xml:space="preserve"> </w:t>
      </w:r>
      <m:oMath>
        <m:r>
          <m:t>λ</m:t>
        </m:r>
      </m:oMath>
      <w:r>
        <w:t xml:space="preserve"> </w:t>
      </w:r>
      <w:r>
        <w:t xml:space="preserve">with breakpoints at</w:t>
      </w:r>
      <w:r>
        <w:t xml:space="preserve"> </w:t>
      </w:r>
      <m:oMath>
        <m:r>
          <m:t>λ</m:t>
        </m:r>
        <m:r>
          <m:rPr>
            <m:sty m:val="p"/>
          </m:rPr>
          <m:t>=</m:t>
        </m:r>
        <m:r>
          <m:t>1</m:t>
        </m:r>
        <m:r>
          <m:rPr>
            <m:sty m:val="p"/>
          </m:rPr>
          <m:t>/</m:t>
        </m:r>
        <m:sSub>
          <m:e>
            <m:r>
              <m:t>δ</m:t>
            </m:r>
          </m:e>
          <m:sub>
            <m:r>
              <m:t>d</m:t>
            </m:r>
          </m:sub>
        </m:sSub>
        <m:d>
          <m:dPr>
            <m:begChr m:val="("/>
            <m:sepChr m:val=""/>
            <m:endChr m:val=")"/>
            <m:grow/>
          </m:dPr>
          <m:e>
            <m:r>
              <m:t>C</m:t>
            </m:r>
          </m:e>
        </m:d>
      </m:oMath>
      <w:r>
        <w:t xml:space="preserve">, so the infinite-dimensional inner problem of (17) reduces to sorting the capability margins.</w:t>
      </w:r>
    </w:p>
    <w:p>
      <w:pPr>
        <w:pStyle w:val="BodyText"/>
      </w:pPr>
      <w:r>
        <w:rPr>
          <w:bCs/>
          <w:b/>
        </w:rPr>
        <w:t xml:space="preserve">Proposition 3 (exact distributionally robust firm capacity).</w:t>
      </w:r>
      <w:r>
        <w:t xml:space="preserve"> </w:t>
      </w:r>
      <w:r>
        <w:t xml:space="preserve">For a commitment</w:t>
      </w:r>
      <w:r>
        <w:t xml:space="preserve"> </w:t>
      </w:r>
      <m:oMath>
        <m:r>
          <m:t>C</m:t>
        </m:r>
      </m:oMath>
      <w:r>
        <w:t xml:space="preserve">, let</w:t>
      </w:r>
      <w:r>
        <w:t xml:space="preserve"> </w:t>
      </w:r>
      <m:oMath>
        <m:sSub>
          <m:e>
            <m:r>
              <m:t>δ</m:t>
            </m:r>
          </m:e>
          <m:sub>
            <m:d>
              <m:dPr>
                <m:begChr m:val="("/>
                <m:sepChr m:val=""/>
                <m:endChr m:val=")"/>
                <m:grow/>
              </m:dPr>
              <m:e>
                <m:r>
                  <m:t>1</m:t>
                </m:r>
              </m:e>
            </m:d>
          </m:sub>
        </m:sSub>
        <m:d>
          <m:dPr>
            <m:begChr m:val="("/>
            <m:sepChr m:val=""/>
            <m:endChr m:val=")"/>
            <m:grow/>
          </m:dPr>
          <m:e>
            <m:r>
              <m:t>C</m:t>
            </m:r>
          </m:e>
        </m:d>
        <m:r>
          <m:rPr>
            <m:sty m:val="p"/>
          </m:rPr>
          <m:t>≤</m:t>
        </m:r>
        <m:sSub>
          <m:e>
            <m:r>
              <m:t>δ</m:t>
            </m:r>
          </m:e>
          <m:sub>
            <m:d>
              <m:dPr>
                <m:begChr m:val="("/>
                <m:sepChr m:val=""/>
                <m:endChr m:val=")"/>
                <m:grow/>
              </m:dPr>
              <m:e>
                <m:r>
                  <m:t>2</m:t>
                </m:r>
              </m:e>
            </m:d>
          </m:sub>
        </m:sSub>
        <m:d>
          <m:dPr>
            <m:begChr m:val="("/>
            <m:sepChr m:val=""/>
            <m:endChr m:val=")"/>
            <m:grow/>
          </m:dPr>
          <m:e>
            <m:r>
              <m:t>C</m:t>
            </m:r>
          </m:e>
        </m:d>
        <m:r>
          <m:rPr>
            <m:sty m:val="p"/>
          </m:rPr>
          <m:t>≤</m:t>
        </m:r>
        <m:r>
          <m:rPr>
            <m:sty m:val="p"/>
          </m:rPr>
          <m:t>…</m:t>
        </m:r>
      </m:oMath>
      <w:r>
        <w:t xml:space="preserve"> </w:t>
      </w:r>
      <w:r>
        <w:t xml:space="preserve">be the sorted margins of the days in</w:t>
      </w:r>
      <w:r>
        <w:t xml:space="preserve"> </w:t>
      </w:r>
      <m:oMath>
        <m:sSub>
          <m:e>
            <m:r>
              <m:rPr>
                <m:scr m:val="script"/>
                <m:sty m:val="p"/>
              </m:rPr>
              <m:t>D</m:t>
            </m:r>
          </m:e>
          <m:sub>
            <m:r>
              <m:t>C</m:t>
            </m:r>
          </m:sub>
        </m:sSub>
      </m:oMath>
      <w:r>
        <w:t xml:space="preserve"> </w:t>
      </w:r>
      <w:r>
        <w:t xml:space="preserve">and</w:t>
      </w:r>
      <w:r>
        <w:t xml:space="preserve"> </w:t>
      </w:r>
      <m:oMath>
        <m:r>
          <m:t>q</m:t>
        </m:r>
        <m:d>
          <m:dPr>
            <m:begChr m:val="("/>
            <m:sepChr m:val=""/>
            <m:endChr m:val=")"/>
            <m:grow/>
          </m:dPr>
          <m:e>
            <m:r>
              <m:t>C</m:t>
            </m:r>
          </m:e>
        </m:d>
        <m:r>
          <m:rPr>
            <m:sty m:val="p"/>
          </m:rPr>
          <m:t>=</m:t>
        </m:r>
        <m:r>
          <m:t>n</m:t>
        </m:r>
        <m:d>
          <m:dPr>
            <m:begChr m:val="("/>
            <m:sepChr m:val=""/>
            <m:endChr m:val=")"/>
            <m:grow/>
          </m:dPr>
          <m:e>
            <m:r>
              <m:t>C</m:t>
            </m:r>
          </m:e>
        </m:d>
        <m:r>
          <m:rPr>
            <m:sty m:val="p"/>
          </m:rPr>
          <m:t>−</m:t>
        </m:r>
        <m:r>
          <m:t>ρ</m:t>
        </m:r>
        <m:r>
          <m:t>N</m:t>
        </m:r>
      </m:oMath>
      <w:r>
        <w:t xml:space="preserve">. The robust constraint in (17) holds if and only if</w:t>
      </w:r>
      <w:r>
        <w:t xml:space="preserve"> </w:t>
      </w:r>
      <m:oMath>
        <m:r>
          <m:t>q</m:t>
        </m:r>
        <m:d>
          <m:dPr>
            <m:begChr m:val="("/>
            <m:sepChr m:val=""/>
            <m:endChr m:val=")"/>
            <m:grow/>
          </m:dPr>
          <m:e>
            <m:r>
              <m:t>C</m:t>
            </m:r>
          </m:e>
        </m:d>
        <m:r>
          <m:rPr>
            <m:sty m:val="p"/>
          </m:rPr>
          <m:t>≥</m:t>
        </m:r>
        <m:r>
          <m:t>0</m:t>
        </m:r>
      </m:oMath>
      <w:r>
        <w:t xml:space="preserve"> </w:t>
      </w:r>
      <w:r>
        <w:t xml:space="preserve">and</w:t>
      </w:r>
    </w:p>
    <w:p>
      <w:pPr>
        <w:pStyle w:val="Equation"/>
      </w:pPr>
      <w:r>
        <w:tab/>
      </w:r>
      <m:oMath>
        <m:sSub>
          <m:e>
            <m:r>
              <m:t>Φ</m:t>
            </m:r>
          </m:e>
          <m:sub>
            <m:r>
              <m:t>ρ</m:t>
            </m:r>
          </m:sub>
        </m:sSub>
        <m:d>
          <m:dPr>
            <m:begChr m:val="("/>
            <m:sepChr m:val=""/>
            <m:endChr m:val=")"/>
            <m:grow/>
          </m:dPr>
          <m:e>
            <m:r>
              <m:t>C</m:t>
            </m:r>
          </m:e>
        </m:d>
        <m:r>
          <m:rPr>
            <m:sty m:val="p"/>
          </m:rPr>
          <m:t>=</m:t>
        </m:r>
        <m:f>
          <m:fPr>
            <m:type m:val="bar"/>
          </m:fPr>
          <m:num>
            <m:r>
              <m:t>1</m:t>
            </m:r>
          </m:num>
          <m:den>
            <m:r>
              <m:t>N</m:t>
            </m:r>
          </m:den>
        </m:f>
        <m:d>
          <m:dPr>
            <m:begChr m:val="["/>
            <m:sepChr m:val=""/>
            <m:endChr m:val="]"/>
            <m:grow/>
          </m:dPr>
          <m:e>
            <m:nary>
              <m:naryPr>
                <m:chr m:val="∑"/>
                <m:limLoc m:val="undOvr"/>
                <m:subHide m:val="off"/>
                <m:supHide m:val="off"/>
              </m:naryPr>
              <m:sub>
                <m:r>
                  <m:t>j</m:t>
                </m:r>
                <m:r>
                  <m:rPr>
                    <m:sty m:val="p"/>
                  </m:rPr>
                  <m:t>=</m:t>
                </m:r>
                <m:r>
                  <m:t>1</m:t>
                </m:r>
              </m:sub>
              <m:sup>
                <m:r>
                  <m:rPr>
                    <m:sty m:val="p"/>
                  </m:rPr>
                  <m:t>⌊</m:t>
                </m:r>
                <m:r>
                  <m:t>q</m:t>
                </m:r>
                <m:r>
                  <m:rPr>
                    <m:sty m:val="p"/>
                  </m:rPr>
                  <m:t>⌋</m:t>
                </m:r>
              </m:sup>
              <m:e>
                <m:sSub>
                  <m:e>
                    <m:r>
                      <m:t>δ</m:t>
                    </m:r>
                  </m:e>
                  <m:sub>
                    <m:d>
                      <m:dPr>
                        <m:begChr m:val="("/>
                        <m:sepChr m:val=""/>
                        <m:endChr m:val=")"/>
                        <m:grow/>
                      </m:dPr>
                      <m:e>
                        <m:r>
                          <m:t>j</m:t>
                        </m:r>
                      </m:e>
                    </m:d>
                  </m:sub>
                </m:sSub>
              </m:e>
            </m:nary>
            <m:d>
              <m:dPr>
                <m:begChr m:val="("/>
                <m:sepChr m:val=""/>
                <m:endChr m:val=")"/>
                <m:grow/>
              </m:dPr>
              <m:e>
                <m:r>
                  <m:t>C</m:t>
                </m:r>
              </m:e>
            </m:d>
            <m:r>
              <m:rPr>
                <m:sty m:val="p"/>
              </m:rPr>
              <m:t>+</m:t>
            </m:r>
            <m:d>
              <m:dPr>
                <m:begChr m:val="("/>
                <m:sepChr m:val=""/>
                <m:endChr m:val=")"/>
                <m:grow/>
              </m:dPr>
              <m:e>
                <m:r>
                  <m:t>q</m:t>
                </m:r>
                <m:r>
                  <m:rPr>
                    <m:sty m:val="p"/>
                  </m:rPr>
                  <m:t>−</m:t>
                </m:r>
                <m:r>
                  <m:rPr>
                    <m:sty m:val="p"/>
                  </m:rPr>
                  <m:t>⌊</m:t>
                </m:r>
                <m:r>
                  <m:t>q</m:t>
                </m:r>
                <m:r>
                  <m:rPr>
                    <m:sty m:val="p"/>
                  </m:rPr>
                  <m:t>⌋</m:t>
                </m:r>
              </m:e>
            </m:d>
            <m:r>
              <m:t> </m:t>
            </m:r>
            <m:sSub>
              <m:e>
                <m:r>
                  <m:t>δ</m:t>
                </m:r>
              </m:e>
              <m:sub>
                <m:d>
                  <m:dPr>
                    <m:begChr m:val="("/>
                    <m:sepChr m:val=""/>
                    <m:endChr m:val=")"/>
                    <m:grow/>
                  </m:dPr>
                  <m:e>
                    <m:r>
                      <m:rPr>
                        <m:sty m:val="p"/>
                      </m:rPr>
                      <m:t>⌊</m:t>
                    </m:r>
                    <m:r>
                      <m:t>q</m:t>
                    </m:r>
                    <m:r>
                      <m:rPr>
                        <m:sty m:val="p"/>
                      </m:rPr>
                      <m:t>⌋</m:t>
                    </m:r>
                    <m:r>
                      <m:rPr>
                        <m:sty m:val="p"/>
                      </m:rPr>
                      <m:t>+</m:t>
                    </m:r>
                    <m:r>
                      <m:t>1</m:t>
                    </m:r>
                  </m:e>
                </m:d>
              </m:sub>
            </m:sSub>
            <m:d>
              <m:dPr>
                <m:begChr m:val="("/>
                <m:sepChr m:val=""/>
                <m:endChr m:val=")"/>
                <m:grow/>
              </m:dPr>
              <m:e>
                <m:r>
                  <m:t>C</m:t>
                </m:r>
              </m:e>
            </m:d>
          </m:e>
        </m:d>
        <m:r>
          <m:t> </m:t>
        </m:r>
        <m:r>
          <m:rPr>
            <m:sty m:val="p"/>
          </m:rPr>
          <m:t>≥</m:t>
        </m:r>
        <m:r>
          <m:t> </m:t>
        </m:r>
        <m:r>
          <m:t>ε</m:t>
        </m:r>
        <m:r>
          <m:rPr>
            <m:sty m:val="p"/>
          </m:rPr>
          <m:t>.</m:t>
        </m:r>
      </m:oMath>
      <w:r>
        <w:tab/>
      </w:r>
      <w:r>
        <w:t xml:space="preserve">(19)</w:t>
      </w:r>
    </w:p>
    <w:p>
      <w:pPr>
        <w:pStyle w:val="BodyText"/>
      </w:pPr>
      <w:r>
        <w:t xml:space="preserve">Hence (i)</w:t>
      </w:r>
      <w:r>
        <w:t xml:space="preserve"> </w:t>
      </w:r>
      <m:oMath>
        <m:sSubSup>
          <m:e>
            <m:r>
              <m:t>C</m:t>
            </m:r>
          </m:e>
          <m:sub>
            <m:r>
              <m:t>ρ</m:t>
            </m:r>
          </m:sub>
          <m:sup>
            <m:r>
              <m:t>D</m:t>
            </m:r>
            <m:r>
              <m:t>R</m:t>
            </m:r>
            <m:r>
              <m:t>O</m:t>
            </m:r>
          </m:sup>
        </m:sSubSup>
        <m:d>
          <m:dPr>
            <m:begChr m:val="("/>
            <m:sepChr m:val=""/>
            <m:endChr m:val=")"/>
            <m:grow/>
          </m:dPr>
          <m:e>
            <m:r>
              <m:t>ε</m:t>
            </m:r>
          </m:e>
        </m:d>
        <m:r>
          <m:rPr>
            <m:sty m:val="p"/>
          </m:rPr>
          <m:t>=</m:t>
        </m:r>
        <m:r>
          <m:rPr>
            <m:sty m:val="p"/>
          </m:rPr>
          <m:t>max</m:t>
        </m:r>
        <m:r>
          <m:rPr>
            <m:sty m:val="p"/>
          </m:rPr>
          <m:t>{</m:t>
        </m:r>
        <m:r>
          <m:t>C</m:t>
        </m:r>
        <m:r>
          <m:rPr>
            <m:sty m:val="p"/>
          </m:rPr>
          <m:t>∈</m:t>
        </m:r>
        <m:r>
          <m:rPr>
            <m:scr m:val="script"/>
            <m:sty m:val="p"/>
          </m:rPr>
          <m:t>G</m:t>
        </m:r>
        <m:r>
          <m:rPr>
            <m:sty m:val="p"/>
          </m:rPr>
          <m:t>:</m:t>
        </m:r>
        <m:r>
          <m:t> </m:t>
        </m:r>
        <m:r>
          <m:t>q</m:t>
        </m:r>
        <m:d>
          <m:dPr>
            <m:begChr m:val="("/>
            <m:sepChr m:val=""/>
            <m:endChr m:val=")"/>
            <m:grow/>
          </m:dPr>
          <m:e>
            <m:r>
              <m:t>C</m:t>
            </m:r>
          </m:e>
        </m:d>
        <m:r>
          <m:rPr>
            <m:sty m:val="p"/>
          </m:rPr>
          <m:t>≥</m:t>
        </m:r>
        <m:r>
          <m:t>0</m:t>
        </m:r>
        <m:r>
          <m:rPr>
            <m:sty m:val="p"/>
          </m:rPr>
          <m:t>,</m:t>
        </m:r>
        <m:r>
          <m:t> </m:t>
        </m:r>
        <m:sSub>
          <m:e>
            <m:r>
              <m:t>Φ</m:t>
            </m:r>
          </m:e>
          <m:sub>
            <m:r>
              <m:t>ρ</m:t>
            </m:r>
          </m:sub>
        </m:sSub>
        <m:d>
          <m:dPr>
            <m:begChr m:val="("/>
            <m:sepChr m:val=""/>
            <m:endChr m:val=")"/>
            <m:grow/>
          </m:dPr>
          <m:e>
            <m:r>
              <m:t>C</m:t>
            </m:r>
          </m:e>
        </m:d>
        <m:r>
          <m:rPr>
            <m:sty m:val="p"/>
          </m:rPr>
          <m:t>≥</m:t>
        </m:r>
        <m:r>
          <m:t>ε</m:t>
        </m:r>
        <m:r>
          <m:rPr>
            <m:sty m:val="p"/>
          </m:rPr>
          <m:t>}</m:t>
        </m:r>
      </m:oMath>
      <w:r>
        <w:t xml:space="preserve"> </w:t>
      </w:r>
      <w:r>
        <w:t xml:space="preserve">is obtained by sorting; (ii) for</w:t>
      </w:r>
      <w:r>
        <w:t xml:space="preserve"> </w:t>
      </w:r>
      <m:oMath>
        <m:r>
          <m:t>ε</m:t>
        </m:r>
        <m:r>
          <m:rPr>
            <m:sty m:val="p"/>
          </m:rPr>
          <m:t>=</m:t>
        </m:r>
        <m:r>
          <m:t>0</m:t>
        </m:r>
      </m:oMath>
      <w:r>
        <w:t xml:space="preserve"> </w:t>
      </w:r>
      <w:r>
        <w:t xml:space="preserve">it equals the sample-average capacity, the empirical</w:t>
      </w:r>
      <w:r>
        <w:t xml:space="preserve"> </w:t>
      </w:r>
      <m:oMath>
        <m:d>
          <m:dPr>
            <m:begChr m:val="("/>
            <m:sepChr m:val=""/>
            <m:endChr m:val=")"/>
            <m:grow/>
          </m:dPr>
          <m:e>
            <m:r>
              <m:t>1</m:t>
            </m:r>
            <m:r>
              <m:rPr>
                <m:sty m:val="p"/>
              </m:rPr>
              <m:t>−</m:t>
            </m:r>
            <m:r>
              <m:t>ρ</m:t>
            </m:r>
          </m:e>
        </m:d>
      </m:oMath>
      <w:r>
        <w:t xml:space="preserve">-quantile of</w:t>
      </w:r>
      <w:r>
        <w:t xml:space="preserve"> </w:t>
      </w:r>
      <m:oMath>
        <m:r>
          <m:t>ξ</m:t>
        </m:r>
      </m:oMath>
      <w:r>
        <w:t xml:space="preserve">; (iii) it is non-increasing in</w:t>
      </w:r>
      <w:r>
        <w:t xml:space="preserve"> </w:t>
      </w:r>
      <m:oMath>
        <m:r>
          <m:t>ε</m:t>
        </m:r>
      </m:oMath>
      <w:r>
        <w:t xml:space="preserve">, and it is insensitive to the radius when the days just above the commitment keep a large margin, i.e. when the capability distribution is concentrated.</w:t>
      </w:r>
      <w:r>
        <w:t xml:space="preserve"> </w:t>
      </w:r>
      <m:oMath>
        <m:sSub>
          <m:e>
            <m:r>
              <m:t>Φ</m:t>
            </m:r>
          </m:e>
          <m:sub>
            <m:r>
              <m:t>ρ</m:t>
            </m:r>
          </m:sub>
        </m:sSub>
        <m:d>
          <m:dPr>
            <m:begChr m:val="("/>
            <m:sepChr m:val=""/>
            <m:endChr m:val=")"/>
            <m:grow/>
          </m:dPr>
          <m:e>
            <m:r>
              <m:t>C</m:t>
            </m:r>
          </m:e>
        </m:d>
      </m:oMath>
      <w:r>
        <w:t xml:space="preserve"> </w:t>
      </w:r>
      <w:r>
        <w:t xml:space="preserve">is the smallest average capability loss (MW) that would push the full-delivery probability below</w:t>
      </w:r>
      <w:r>
        <w:t xml:space="preserve"> </w:t>
      </w:r>
      <m:oMath>
        <m:r>
          <m:t>ρ</m:t>
        </m:r>
      </m:oMath>
      <w:r>
        <w:t xml:space="preserve">; it is the certified reliability margin of the commitment. The proof is given in Appendix B.</w:t>
      </w:r>
    </w:p>
    <w:bookmarkEnd w:id="43"/>
    <w:bookmarkStart w:id="44" w:name="X2c7193dfae7b36af0c54c07cdebba91f41a8206"/>
    <w:p>
      <w:pPr>
        <w:pStyle w:val="Heading3"/>
      </w:pPr>
      <w:r>
        <w:t xml:space="preserve">4.1.3 Radius selection and cost-optimal commitment</w:t>
      </w:r>
    </w:p>
    <w:p>
      <w:pPr>
        <w:pStyle w:val="FirstParagraph"/>
      </w:pPr>
      <w:r>
        <w:t xml:space="preserve">The radius is set to the expected 1-Wasserstein estimation error of the empirical distribution [29],</w:t>
      </w:r>
    </w:p>
    <w:p>
      <w:pPr>
        <w:pStyle w:val="Equation"/>
      </w:pPr>
      <w:r>
        <w:tab/>
      </w:r>
      <m:oMath>
        <m:sSub>
          <m:e>
            <m:r>
              <m:t>ε</m:t>
            </m:r>
          </m:e>
          <m:sub>
            <m:r>
              <m:t>N</m:t>
            </m:r>
          </m:sub>
        </m:sSub>
        <m:r>
          <m:rPr>
            <m:sty m:val="p"/>
          </m:rPr>
          <m:t>=</m:t>
        </m:r>
        <m:f>
          <m:fPr>
            <m:type m:val="bar"/>
          </m:fPr>
          <m:num>
            <m:r>
              <m:t>1</m:t>
            </m:r>
          </m:num>
          <m:den>
            <m:rad>
              <m:radPr>
                <m:degHide m:val="on"/>
              </m:radPr>
              <m:deg/>
              <m:e>
                <m:r>
                  <m:t>N</m:t>
                </m:r>
              </m:e>
            </m:rad>
          </m:den>
        </m:f>
        <m:r>
          <m:rPr>
            <m:sty m:val="p"/>
          </m:rPr>
          <m:t>∫</m:t>
        </m:r>
        <m:rad>
          <m:radPr>
            <m:degHide m:val="on"/>
          </m:radPr>
          <m:deg/>
          <m:e>
            <m:sSub>
              <m:e>
                <m:acc>
                  <m:accPr>
                    <m:chr m:val="̂"/>
                  </m:accPr>
                  <m:e>
                    <m:r>
                      <m:t>F</m:t>
                    </m:r>
                  </m:e>
                </m:acc>
              </m:e>
              <m:sub>
                <m:r>
                  <m:t>N</m:t>
                </m:r>
              </m:sub>
            </m:sSub>
            <m:d>
              <m:dPr>
                <m:begChr m:val="("/>
                <m:sepChr m:val=""/>
                <m:endChr m:val=")"/>
                <m:grow/>
              </m:dPr>
              <m:e>
                <m:r>
                  <m:t>ξ</m:t>
                </m:r>
              </m:e>
            </m:d>
            <m:d>
              <m:dPr>
                <m:begChr m:val="("/>
                <m:sepChr m:val=""/>
                <m:endChr m:val=")"/>
                <m:grow/>
              </m:dPr>
              <m:e>
                <m:r>
                  <m:t>1</m:t>
                </m:r>
                <m:r>
                  <m:rPr>
                    <m:sty m:val="p"/>
                  </m:rPr>
                  <m:t>−</m:t>
                </m:r>
                <m:sSub>
                  <m:e>
                    <m:acc>
                      <m:accPr>
                        <m:chr m:val="̂"/>
                      </m:accPr>
                      <m:e>
                        <m:r>
                          <m:t>F</m:t>
                        </m:r>
                      </m:e>
                    </m:acc>
                  </m:e>
                  <m:sub>
                    <m:r>
                      <m:t>N</m:t>
                    </m:r>
                  </m:sub>
                </m:sSub>
                <m:d>
                  <m:dPr>
                    <m:begChr m:val="("/>
                    <m:sepChr m:val=""/>
                    <m:endChr m:val=")"/>
                    <m:grow/>
                  </m:dPr>
                  <m:e>
                    <m:r>
                      <m:t>ξ</m:t>
                    </m:r>
                  </m:e>
                </m:d>
              </m:e>
            </m:d>
          </m:e>
        </m:rad>
        <m:r>
          <m:t> </m:t>
        </m:r>
        <m:r>
          <m:t>d</m:t>
        </m:r>
        <m:r>
          <m:t>ξ</m:t>
        </m:r>
        <m:r>
          <m:rPr>
            <m:sty m:val="p"/>
          </m:rPr>
          <m:t>,</m:t>
        </m:r>
      </m:oMath>
      <w:r>
        <w:tab/>
      </w:r>
      <w:r>
        <w:t xml:space="preserve">(20)</w:t>
      </w:r>
    </w:p>
    <w:p>
      <w:pPr>
        <w:pStyle w:val="BodyText"/>
      </w:pPr>
      <w:r>
        <w:t xml:space="preserve">where</w:t>
      </w:r>
      <w:r>
        <w:t xml:space="preserve"> </w:t>
      </w:r>
      <m:oMath>
        <m:sSub>
          <m:e>
            <m:acc>
              <m:accPr>
                <m:chr m:val="̂"/>
              </m:accPr>
              <m:e>
                <m:r>
                  <m:t>F</m:t>
                </m:r>
              </m:e>
            </m:acc>
          </m:e>
          <m:sub>
            <m:r>
              <m:t>N</m:t>
            </m:r>
          </m:sub>
        </m:sSub>
      </m:oMath>
      <w:r>
        <w:t xml:space="preserve"> </w:t>
      </w:r>
      <w:r>
        <w:t xml:space="preserve">is the empirical distribution function of the capability. The radius is small for a concentrated capability distribution and large for a dispersed one; a leave-one-out validation on</w:t>
      </w:r>
      <w:r>
        <w:t xml:space="preserve"> </w:t>
      </w:r>
      <m:oMath>
        <m:sSup>
          <m:e>
            <m:r>
              <m:t>Ω</m:t>
            </m:r>
          </m:e>
          <m:sup>
            <m:r>
              <m:t>D</m:t>
            </m:r>
            <m:r>
              <m:t>A</m:t>
            </m:r>
          </m:sup>
        </m:sSup>
      </m:oMath>
      <w:r>
        <w:t xml:space="preserve"> </w:t>
      </w:r>
      <w:r>
        <w:t xml:space="preserve">serves as a check (Section 5.6). Among the robustly deliverable commitments, the operator selects the one with the lowest back-tested cost,</w:t>
      </w:r>
    </w:p>
    <w:p>
      <w:pPr>
        <w:pStyle w:val="Equation"/>
      </w:pPr>
      <w:r>
        <w:tab/>
      </w:r>
      <m:oMath>
        <m:sSup>
          <m:e>
            <m:r>
              <m:t>C</m:t>
            </m:r>
          </m:e>
          <m:sup>
            <m:r>
              <m:rPr>
                <m:lit/>
                <m:sty m:val="p"/>
              </m:rPr>
              <m:t>*</m:t>
            </m:r>
          </m:sup>
        </m:sSup>
        <m:r>
          <m:rPr>
            <m:sty m:val="p"/>
          </m:rPr>
          <m:t>=</m:t>
        </m:r>
        <m:r>
          <m:rPr>
            <m:sty m:val="p"/>
          </m:rPr>
          <m:t>arg</m:t>
        </m:r>
        <m:r>
          <m:rPr>
            <m:sty m:val="p"/>
          </m:rPr>
          <m:t>min</m:t>
        </m:r>
        <m:d>
          <m:dPr>
            <m:begChr m:val="{"/>
            <m:sepChr m:val=""/>
            <m:endChr m:val="}"/>
            <m:grow/>
          </m:dPr>
          <m:e>
            <m:acc>
              <m:accPr>
                <m:chr m:val="‾"/>
              </m:accPr>
              <m:e>
                <m:r>
                  <m:t>J</m:t>
                </m:r>
              </m:e>
            </m:acc>
            <m:d>
              <m:dPr>
                <m:begChr m:val="("/>
                <m:sepChr m:val=""/>
                <m:endChr m:val=")"/>
                <m:grow/>
              </m:dPr>
              <m:e>
                <m:r>
                  <m:t>C</m:t>
                </m:r>
              </m:e>
            </m:d>
            <m:r>
              <m:rPr>
                <m:sty m:val="p"/>
              </m:rPr>
              <m:t>=</m:t>
            </m:r>
            <m:f>
              <m:fPr>
                <m:type m:val="lin"/>
              </m:fPr>
              <m:num>
                <m:r>
                  <m:t>1</m:t>
                </m:r>
              </m:num>
              <m:den>
                <m:r>
                  <m:t>N</m:t>
                </m:r>
              </m:den>
            </m:f>
            <m:nary>
              <m:naryPr>
                <m:chr m:val="∑"/>
                <m:limLoc m:val="undOvr"/>
                <m:subHide m:val="off"/>
                <m:supHide m:val="on"/>
              </m:naryPr>
              <m:sub>
                <m:r>
                  <m:t>d</m:t>
                </m:r>
              </m:sub>
              <m:sup>
                <m:r>
                  <m:t>​</m:t>
                </m:r>
              </m:sup>
              <m:e>
                <m:sSub>
                  <m:e>
                    <m:r>
                      <m:t>J</m:t>
                    </m:r>
                  </m:e>
                  <m:sub>
                    <m:r>
                      <m:t>d</m:t>
                    </m:r>
                  </m:sub>
                </m:sSub>
              </m:e>
            </m:nary>
            <m:d>
              <m:dPr>
                <m:begChr m:val="("/>
                <m:sepChr m:val=""/>
                <m:endChr m:val=")"/>
                <m:grow/>
              </m:dPr>
              <m:e>
                <m:r>
                  <m:t>C</m:t>
                </m:r>
              </m:e>
            </m:d>
            <m:r>
              <m:rPr>
                <m:sty m:val="p"/>
              </m:rPr>
              <m:t>:</m:t>
            </m:r>
            <m:r>
              <m:t> </m:t>
            </m:r>
            <m:r>
              <m:t>C</m:t>
            </m:r>
            <m:r>
              <m:rPr>
                <m:sty m:val="p"/>
              </m:rPr>
              <m:t>∈</m:t>
            </m:r>
            <m:r>
              <m:rPr>
                <m:scr m:val="script"/>
                <m:sty m:val="p"/>
              </m:rPr>
              <m:t>G</m:t>
            </m:r>
            <m:r>
              <m:rPr>
                <m:sty m:val="p"/>
              </m:rPr>
              <m:t>,</m:t>
            </m:r>
            <m:r>
              <m:t> </m:t>
            </m:r>
            <m:r>
              <m:t>C</m:t>
            </m:r>
            <m:r>
              <m:rPr>
                <m:sty m:val="p"/>
              </m:rPr>
              <m:t>≤</m:t>
            </m:r>
            <m:sSubSup>
              <m:e>
                <m:r>
                  <m:t>C</m:t>
                </m:r>
              </m:e>
              <m:sub>
                <m:r>
                  <m:t>ρ</m:t>
                </m:r>
              </m:sub>
              <m:sup>
                <m:r>
                  <m:t>D</m:t>
                </m:r>
                <m:r>
                  <m:t>R</m:t>
                </m:r>
                <m:r>
                  <m:t>O</m:t>
                </m:r>
              </m:sup>
            </m:sSubSup>
            <m:d>
              <m:dPr>
                <m:begChr m:val="("/>
                <m:sepChr m:val=""/>
                <m:endChr m:val=")"/>
                <m:grow/>
              </m:dPr>
              <m:e>
                <m:r>
                  <m:t>ε</m:t>
                </m:r>
              </m:e>
            </m:d>
          </m:e>
        </m:d>
        <m:r>
          <m:rPr>
            <m:sty m:val="p"/>
          </m:rPr>
          <m:t>.</m:t>
        </m:r>
      </m:oMath>
      <w:r>
        <w:tab/>
      </w:r>
      <w:r>
        <w:t xml:space="preserve">(21)</w:t>
      </w:r>
    </w:p>
    <w:p>
      <w:pPr>
        <w:pStyle w:val="BodyText"/>
      </w:pPr>
      <w:r>
        <w:t xml:space="preserve">Every strategy can be paired with this procedure, which makes the endogenous-commitment comparison of Section 5.6 fair: all strategies use the same days, the same objective and the same reliability target.</w:t>
      </w:r>
    </w:p>
    <w:bookmarkEnd w:id="44"/>
    <w:bookmarkStart w:id="45" w:name="perfect-recourse-benchmark-commitment"/>
    <w:p>
      <w:pPr>
        <w:pStyle w:val="Heading3"/>
      </w:pPr>
      <w:r>
        <w:t xml:space="preserve">4.1.4 Perfect-recourse benchmark commitment</w:t>
      </w:r>
    </w:p>
    <w:p>
      <w:pPr>
        <w:pStyle w:val="FirstParagraph"/>
      </w:pPr>
      <w:r>
        <w:t xml:space="preserve">For comparison, the commitments can also be obtained from a two-stage stochastic MILP with perfect recourse, in which</w:t>
      </w:r>
      <w:r>
        <w:t xml:space="preserve"> </w:t>
      </w:r>
      <m:oMath>
        <m:r>
          <m:rPr>
            <m:sty m:val="b"/>
          </m:rPr>
          <m:t>C</m:t>
        </m:r>
      </m:oMath>
      <w:r>
        <w:t xml:space="preserve"> </w:t>
      </w:r>
      <w:r>
        <w:t xml:space="preserve">is the first-stage decision and the joint recovery model (2)–(12) of every scenario is the second stage,</w:t>
      </w:r>
    </w:p>
    <w:p>
      <w:pPr>
        <w:pStyle w:val="Equation"/>
      </w:pPr>
      <w:r>
        <w:tab/>
      </w:r>
      <m:oMath>
        <m:sSub>
          <m:e>
            <m:r>
              <m:rPr>
                <m:sty m:val="p"/>
              </m:rPr>
              <m:t>min</m:t>
            </m:r>
          </m:e>
          <m:sub>
            <m:r>
              <m:rPr>
                <m:sty m:val="b"/>
              </m:rPr>
              <m:t>C</m:t>
            </m:r>
          </m:sub>
        </m:sSub>
        <m:r>
          <m:t> </m:t>
        </m:r>
        <m:r>
          <m:rPr>
            <m:sty m:val="p"/>
          </m:rPr>
          <m:t>−</m:t>
        </m:r>
        <m:sSup>
          <m:e>
            <m:r>
              <m:t>ϵ</m:t>
            </m:r>
          </m:e>
          <m:sup>
            <m:r>
              <m:t>C</m:t>
            </m:r>
          </m:sup>
        </m:sSup>
        <m:nary>
          <m:naryPr>
            <m:chr m:val="∑"/>
            <m:limLoc m:val="undOvr"/>
            <m:subHide m:val="off"/>
            <m:supHide m:val="on"/>
          </m:naryPr>
          <m:sub>
            <m:r>
              <m:t>k</m:t>
            </m:r>
          </m:sub>
          <m:sup>
            <m:r>
              <m:t>​</m:t>
            </m:r>
          </m:sup>
          <m:e>
            <m:sSub>
              <m:e>
                <m:r>
                  <m:t>C</m:t>
                </m:r>
              </m:e>
              <m:sub>
                <m:r>
                  <m:t>k</m:t>
                </m:r>
              </m:sub>
            </m:sSub>
          </m:e>
        </m:nary>
        <m:r>
          <m:rPr>
            <m:sty m:val="p"/>
          </m:rPr>
          <m:t>+</m:t>
        </m:r>
        <m:nary>
          <m:naryPr>
            <m:chr m:val="∑"/>
            <m:limLoc m:val="undOvr"/>
            <m:subHide m:val="off"/>
            <m:supHide m:val="on"/>
          </m:naryPr>
          <m:sub>
            <m:r>
              <m:t>ω</m:t>
            </m:r>
          </m:sub>
          <m:sup>
            <m:r>
              <m:t>​</m:t>
            </m:r>
          </m:sup>
          <m:e>
            <m:sSub>
              <m:e>
                <m:r>
                  <m:t>p</m:t>
                </m:r>
              </m:e>
              <m:sub>
                <m:r>
                  <m:t>ω</m:t>
                </m:r>
              </m:sub>
            </m:sSub>
          </m:e>
        </m:nary>
        <m:sSub>
          <m:e>
            <m:r>
              <m:t>J</m:t>
            </m:r>
          </m:e>
          <m:sub>
            <m:r>
              <m:t>ω</m:t>
            </m:r>
          </m:sub>
        </m:sSub>
        <m:d>
          <m:dPr>
            <m:begChr m:val="("/>
            <m:sepChr m:val=""/>
            <m:endChr m:val=")"/>
            <m:grow/>
          </m:dPr>
          <m:e>
            <m:r>
              <m:rPr>
                <m:sty m:val="b"/>
              </m:rPr>
              <m:t>C</m:t>
            </m:r>
          </m:e>
        </m:d>
        <m:r>
          <m:rPr>
            <m:sty m:val="p"/>
          </m:rPr>
          <m:t>,</m:t>
        </m:r>
        <m:r>
          <m:t>  </m:t>
        </m:r>
        <m:sSub>
          <m:e>
            <m:acc>
              <m:accPr>
                <m:chr m:val="‾"/>
              </m:accPr>
              <m:e>
                <m:r>
                  <m:t>r</m:t>
                </m:r>
              </m:e>
            </m:acc>
          </m:e>
          <m:sub>
            <m:r>
              <m:t>k</m:t>
            </m:r>
            <m:r>
              <m:rPr>
                <m:sty m:val="p"/>
              </m:rPr>
              <m:t>,</m:t>
            </m:r>
            <m:r>
              <m:t>ω</m:t>
            </m:r>
          </m:sub>
        </m:sSub>
        <m:r>
          <m:rPr>
            <m:sty m:val="p"/>
          </m:rPr>
          <m:t>≥</m:t>
        </m:r>
        <m:d>
          <m:dPr>
            <m:begChr m:val="("/>
            <m:sepChr m:val=""/>
            <m:endChr m:val=")"/>
            <m:grow/>
          </m:dPr>
          <m:e>
            <m:r>
              <m:t>1</m:t>
            </m:r>
            <m:r>
              <m:rPr>
                <m:sty m:val="p"/>
              </m:rPr>
              <m:t>−</m:t>
            </m:r>
            <m:sSub>
              <m:e>
                <m:r>
                  <m:t>ϵ</m:t>
                </m:r>
              </m:e>
              <m:sub>
                <m:r>
                  <m:t>f</m:t>
                </m:r>
              </m:sub>
            </m:sSub>
          </m:e>
        </m:d>
        <m:sSub>
          <m:e>
            <m:r>
              <m:t>C</m:t>
            </m:r>
          </m:e>
          <m:sub>
            <m:r>
              <m:t>k</m:t>
            </m:r>
          </m:sub>
        </m:sSub>
        <m:r>
          <m:rPr>
            <m:sty m:val="p"/>
          </m:rPr>
          <m:t>−</m:t>
        </m:r>
        <m:r>
          <m:t>M</m:t>
        </m:r>
        <m:d>
          <m:dPr>
            <m:begChr m:val="("/>
            <m:sepChr m:val=""/>
            <m:endChr m:val=")"/>
            <m:grow/>
          </m:dPr>
          <m:e>
            <m:r>
              <m:t>1</m:t>
            </m:r>
            <m:r>
              <m:rPr>
                <m:sty m:val="p"/>
              </m:rPr>
              <m:t>−</m:t>
            </m:r>
            <m:sSub>
              <m:e>
                <m:r>
                  <m:t>u</m:t>
                </m:r>
              </m:e>
              <m:sub>
                <m:r>
                  <m:t>ω</m:t>
                </m:r>
              </m:sub>
            </m:sSub>
          </m:e>
        </m:d>
        <m:r>
          <m:t> </m:t>
        </m:r>
        <m:r>
          <m:rPr>
            <m:sty m:val="p"/>
          </m:rPr>
          <m:t>∀</m:t>
        </m:r>
        <m:r>
          <m:t>k</m:t>
        </m:r>
        <m:r>
          <m:rPr>
            <m:sty m:val="p"/>
          </m:rPr>
          <m:t>,</m:t>
        </m:r>
        <m:r>
          <m:t> </m:t>
        </m:r>
        <m:nary>
          <m:naryPr>
            <m:chr m:val="∑"/>
            <m:limLoc m:val="undOvr"/>
            <m:subHide m:val="off"/>
            <m:supHide m:val="on"/>
          </m:naryPr>
          <m:sub>
            <m:r>
              <m:t>ω</m:t>
            </m:r>
          </m:sub>
          <m:sup>
            <m:r>
              <m:t>​</m:t>
            </m:r>
          </m:sup>
          <m:e>
            <m:sSub>
              <m:e>
                <m:r>
                  <m:t>p</m:t>
                </m:r>
              </m:e>
              <m:sub>
                <m:r>
                  <m:t>ω</m:t>
                </m:r>
              </m:sub>
            </m:sSub>
          </m:e>
        </m:nary>
        <m:sSub>
          <m:e>
            <m:r>
              <m:t>u</m:t>
            </m:r>
          </m:e>
          <m:sub>
            <m:r>
              <m:t>ω</m:t>
            </m:r>
          </m:sub>
        </m:sSub>
        <m:r>
          <m:rPr>
            <m:sty m:val="p"/>
          </m:rPr>
          <m:t>≥</m:t>
        </m:r>
        <m:r>
          <m:t>ρ</m:t>
        </m:r>
        <m:r>
          <m:rPr>
            <m:sty m:val="p"/>
          </m:rPr>
          <m:t>.</m:t>
        </m:r>
      </m:oMath>
      <w:r>
        <w:tab/>
      </w:r>
      <w:r>
        <w:t xml:space="preserve">(22)</w:t>
      </w:r>
    </w:p>
    <w:p>
      <w:pPr>
        <w:pStyle w:val="BodyText"/>
      </w:pPr>
      <w:r>
        <w:t xml:space="preserve">Because the recourse of (22) knows each scenario in advance, it measures the physical consecutive capability; in the case study it returns the single-event capabilities (8.18/7.98 MW in S1). Two-stage distributionally robust models solved by column-and-constraint generation [28] share this recourse structure, whereas the closed-loop capability (16) certifies what the controller actually delivers.</w:t>
      </w:r>
    </w:p>
    <w:bookmarkEnd w:id="45"/>
    <w:bookmarkEnd w:id="46"/>
    <w:bookmarkStart w:id="47" w:name="intraday-cross-event-joint-recovery-mpc"/>
    <w:p>
      <w:pPr>
        <w:pStyle w:val="Heading2"/>
      </w:pPr>
      <w:r>
        <w:t xml:space="preserve">4.2 Intraday cross-event joint recovery MPC</w:t>
      </w:r>
    </w:p>
    <w:p>
      <w:pPr>
        <w:pStyle w:val="FirstParagraph"/>
      </w:pPr>
      <w:r>
        <w:t xml:space="preserve">Every 15 min the controller solves the MILP (2)–(12) over an 18-h horizon with the measured state, forecasts corrected by the latest observed errors and the terminal state references of the day-ahead plan, and applies the first-step decisions (JR-D). Because all confirmed events are visible within the horizon, the controller decides at every step which debt to repay first: it carries long-deadline backlog across events when doing so frees the channel for the storage that the next event needs, and it repays the debts that would otherwise fall due. The scenario variant JR-S replaces the forecast by a scenario tree with non-anticipative first-step decisions, in which an event that is not yet confirmed appears only in the scenarios in which it is called. The plant replay enforces the physical limits in the order storage, cold storage and deferrable computing, so that the grid import never exceeds</w:t>
      </w:r>
      <w:r>
        <w:t xml:space="preserve"> </w:t>
      </w:r>
      <m:oMath>
        <m:sSup>
          <m:e>
            <m:r>
              <m:t>P</m:t>
            </m:r>
          </m:e>
          <m:sup>
            <m:r>
              <m:t>c</m:t>
            </m:r>
            <m:r>
              <m:t>a</m:t>
            </m:r>
            <m:r>
              <m:t>p</m:t>
            </m:r>
          </m:sup>
        </m:sSup>
      </m:oMath>
      <w:r>
        <w:t xml:space="preserve">.</w:t>
      </w:r>
    </w:p>
    <w:p>
      <w:pPr>
        <w:pStyle w:val="TableCaption"/>
      </w:pPr>
      <w:r>
        <w:rPr>
          <w:bCs/>
          <w:b/>
        </w:rPr>
        <w:t xml:space="preserve">Table 1.</w:t>
      </w:r>
      <w:r>
        <w:t xml:space="preserve"> </w:t>
      </w:r>
      <w:r>
        <w:t xml:space="preserve">Pseudocode of the recovery-aware commitment and the cross-event joint recovery.</w:t>
      </w:r>
    </w:p>
    <w:tbl>
      <w:tblPr>
        <w:tblStyle w:val="Table"/>
        <w:tblW w:type="pct" w:w="5000"/>
        <w:jc w:val="start"/>
        <w:tblBorders>
          <w:top w:val="single" w:sz="8" w:space="0" w:color="000000"/>
          <w:bottom w:val="single" w:sz="8" w:space="0" w:color="000000"/>
        </w:tblBorders>
        <w:tblLayout w:type="fixed"/>
        <w:tblLook w:firstRow="1" w:lastRow="0" w:firstColumn="0" w:lastColumn="0" w:noHBand="0" w:noVBand="0" w:val="0020"/>
      </w:tblPr>
      <w:tblGrid>
        <w:gridCol w:w="454"/>
        <w:gridCol w:w="8616"/>
      </w:tblGrid>
      <w:tr>
        <w:trPr>
          <w:tblHeader w:val="true"/>
        </w:trPr>
        <w:tc>
          <w:tcPr>
            <w:tcW w:w="454" w:type="dxa"/>
            <w:tcBorders>
              <w:bottom w:val="single" w:sz="4" w:space="0" w:color="000000"/>
            </w:tcBorders>
          </w:tcPr>
          <w:p>
            <w:pPr>
              <w:pStyle w:val="TableText"/>
            </w:pPr>
          </w:p>
        </w:tc>
        <w:tc>
          <w:tcPr>
            <w:tcW w:w="8616" w:type="dxa"/>
            <w:tcBorders>
              <w:bottom w:val="single" w:sz="4" w:space="0" w:color="000000"/>
            </w:tcBorders>
          </w:tcPr>
          <w:p>
            <w:pPr>
              <w:pStyle w:val="TableText"/>
              <w:jc w:val="left"/>
            </w:pPr>
            <w:r>
              <w:rPr>
                <w:bCs/>
                <w:b/>
              </w:rPr>
              <w:t xml:space="preserve">Algorithm 1</w:t>
            </w:r>
            <w:r>
              <w:t xml:space="preserve"> </w:t>
            </w:r>
            <w:r>
              <w:t xml:space="preserve">Recovery-aware commitment and cross-event joint recovery</w:t>
            </w:r>
          </w:p>
        </w:tc>
      </w:tr>
      <w:tr>
        <w:tc>
          <w:tcPr>
            <w:tcW w:w="454" w:type="dxa"/>
          </w:tcPr>
          <w:p>
            <w:pPr>
              <w:pStyle w:val="TableText"/>
            </w:pPr>
          </w:p>
        </w:tc>
        <w:tc>
          <w:tcPr>
            <w:tcW w:w="8616" w:type="dxa"/>
          </w:tcPr>
          <w:p>
            <w:pPr>
              <w:pStyle w:val="TableText"/>
              <w:jc w:val="left"/>
            </w:pPr>
            <w:r>
              <w:rPr>
                <w:bCs/>
                <w:b/>
              </w:rPr>
              <w:t xml:space="preserve">Input:</w:t>
            </w:r>
            <w:r>
              <w:t xml:space="preserve"> </w:t>
            </w:r>
            <w:r>
              <w:t xml:space="preserve">historical days</w:t>
            </w:r>
            <w:r>
              <w:t xml:space="preserve"> </w:t>
            </w:r>
            <m:oMath>
              <m:sSup>
                <m:e>
                  <m:r>
                    <m:t>Ω</m:t>
                  </m:r>
                </m:e>
                <m:sup>
                  <m:r>
                    <m:t>D</m:t>
                  </m:r>
                  <m:r>
                    <m:t>A</m:t>
                  </m:r>
                </m:sup>
              </m:sSup>
            </m:oMath>
            <w:r>
              <w:t xml:space="preserve"> </w:t>
            </w:r>
            <w:r>
              <w:t xml:space="preserve">(</w:t>
            </w:r>
            <m:oMath>
              <m:r>
                <m:t>N</m:t>
              </m:r>
            </m:oMath>
            <w:r>
              <w:t xml:space="preserve"> </w:t>
            </w:r>
            <w:r>
              <w:t xml:space="preserve">days), operating days</w:t>
            </w:r>
            <w:r>
              <w:t xml:space="preserve"> </w:t>
            </w:r>
            <m:oMath>
              <m:r>
                <m:t>Ω</m:t>
              </m:r>
            </m:oMath>
            <w:r>
              <w:t xml:space="preserve">, commitment grid</w:t>
            </w:r>
            <w:r>
              <w:t xml:space="preserve"> </w:t>
            </w:r>
            <m:oMath>
              <m:r>
                <m:rPr>
                  <m:scr m:val="script"/>
                  <m:sty m:val="p"/>
                </m:rPr>
                <m:t>G</m:t>
              </m:r>
            </m:oMath>
            <w:r>
              <w:t xml:space="preserve"> </w:t>
            </w:r>
            <w:r>
              <w:t xml:space="preserve">(step</w:t>
            </w:r>
            <w:r>
              <w:t xml:space="preserve"> </w:t>
            </w:r>
            <m:oMath>
              <m:sSub>
                <m:e>
                  <m:r>
                    <m:t>Δ</m:t>
                  </m:r>
                </m:e>
                <m:sub>
                  <m:r>
                    <m:rPr>
                      <m:scr m:val="script"/>
                      <m:sty m:val="p"/>
                    </m:rPr>
                    <m:t>G</m:t>
                  </m:r>
                </m:sub>
              </m:sSub>
            </m:oMath>
            <w:r>
              <w:t xml:space="preserve">), reliability</w:t>
            </w:r>
            <w:r>
              <w:t xml:space="preserve"> </w:t>
            </w:r>
            <m:oMath>
              <m:r>
                <m:t>ρ</m:t>
              </m:r>
            </m:oMath>
            <w:r>
              <w:t xml:space="preserve">, event set</w:t>
            </w:r>
            <w:r>
              <w:t xml:space="preserve"> </w:t>
            </w:r>
            <m:oMath>
              <m:r>
                <m:rPr>
                  <m:scr m:val="script"/>
                  <m:sty m:val="p"/>
                </m:rPr>
                <m:t>K</m:t>
              </m:r>
            </m:oMath>
            <w:r>
              <w:t xml:space="preserve">, horizon</w:t>
            </w:r>
            <w:r>
              <w:t xml:space="preserve"> </w:t>
            </w:r>
            <m:oMath>
              <m:sSub>
                <m:e>
                  <m:r>
                    <m:t>T</m:t>
                  </m:r>
                </m:e>
                <m:sub>
                  <m:r>
                    <m:t>H</m:t>
                  </m:r>
                </m:sub>
              </m:sSub>
            </m:oMath>
            <w:r>
              <w:t xml:space="preserve">, plant parameters (Table A1)</w:t>
            </w:r>
          </w:p>
        </w:tc>
      </w:tr>
      <w:tr>
        <w:tc>
          <w:tcPr>
            <w:tcW w:w="454" w:type="dxa"/>
          </w:tcPr>
          <w:p>
            <w:pPr>
              <w:pStyle w:val="TableText"/>
            </w:pPr>
          </w:p>
        </w:tc>
        <w:tc>
          <w:tcPr>
            <w:tcW w:w="8616" w:type="dxa"/>
          </w:tcPr>
          <w:p>
            <w:pPr>
              <w:pStyle w:val="TableText"/>
              <w:jc w:val="left"/>
            </w:pPr>
            <w:r>
              <w:rPr>
                <w:bCs/>
                <w:b/>
              </w:rPr>
              <w:t xml:space="preserve">Output:</w:t>
            </w:r>
            <w:r>
              <w:t xml:space="preserve"> </w:t>
            </w:r>
            <w:r>
              <w:t xml:space="preserve">cost-optimal commitment</w:t>
            </w:r>
            <w:r>
              <w:t xml:space="preserve"> </w:t>
            </w:r>
            <m:oMath>
              <m:sSup>
                <m:e>
                  <m:r>
                    <m:t>C</m:t>
                  </m:r>
                </m:e>
                <m:sup>
                  <m:r>
                    <m:rPr>
                      <m:lit/>
                      <m:sty m:val="p"/>
                    </m:rPr>
                    <m:t>*</m:t>
                  </m:r>
                </m:sup>
              </m:sSup>
            </m:oMath>
            <w:r>
              <w:t xml:space="preserve">, firm capacity</w:t>
            </w:r>
            <w:r>
              <w:t xml:space="preserve"> </w:t>
            </w:r>
            <m:oMath>
              <m:sSubSup>
                <m:e>
                  <m:acc>
                    <m:accPr>
                      <m:chr m:val="̂"/>
                    </m:accPr>
                    <m:e>
                      <m:r>
                        <m:t>C</m:t>
                      </m:r>
                    </m:e>
                  </m:acc>
                </m:e>
                <m:sub>
                  <m:r>
                    <m:t>ρ</m:t>
                  </m:r>
                </m:sub>
                <m:sup>
                  <m:r>
                    <m:t>f</m:t>
                  </m:r>
                  <m:r>
                    <m:t>i</m:t>
                  </m:r>
                  <m:r>
                    <m:t>r</m:t>
                  </m:r>
                  <m:r>
                    <m:t>m</m:t>
                  </m:r>
                </m:sup>
              </m:sSubSup>
            </m:oMath>
            <w:r>
              <w:t xml:space="preserve">, closed-loop trajectories</w:t>
            </w:r>
          </w:p>
        </w:tc>
      </w:tr>
      <w:tr>
        <w:tc>
          <w:tcPr>
            <w:tcW w:w="454" w:type="dxa"/>
          </w:tcPr>
          <w:p>
            <w:pPr>
              <w:pStyle w:val="TableText"/>
            </w:pPr>
          </w:p>
        </w:tc>
        <w:tc>
          <w:tcPr>
            <w:tcW w:w="8616" w:type="dxa"/>
          </w:tcPr>
          <w:p>
            <w:pPr>
              <w:pStyle w:val="TableText"/>
              <w:jc w:val="left"/>
            </w:pPr>
            <w:r>
              <w:rPr>
                <w:bCs/>
                <w:b/>
              </w:rPr>
              <w:t xml:space="preserve">Stage I — Day-ahead recovery-aware commitment</w:t>
            </w:r>
            <w:r>
              <w:t xml:space="preserve"> </w:t>
            </w:r>
            <w:r>
              <w:t xml:space="preserve">(Section 4.1)</w:t>
            </w:r>
          </w:p>
        </w:tc>
      </w:tr>
      <w:tr>
        <w:tc>
          <w:tcPr>
            <w:tcW w:w="454" w:type="dxa"/>
          </w:tcPr>
          <w:p>
            <w:pPr>
              <w:pStyle w:val="TableText"/>
              <w:jc w:val="left"/>
            </w:pPr>
            <w:r>
              <w:t xml:space="preserve">1</w:t>
            </w:r>
          </w:p>
        </w:tc>
        <w:tc>
          <w:tcPr>
            <w:tcW w:w="8616" w:type="dxa"/>
          </w:tcPr>
          <w:p>
            <w:pPr>
              <w:pStyle w:val="TableText"/>
              <w:jc w:val="left"/>
            </w:pPr>
            <w:r>
              <w:rPr>
                <w:bCs/>
                <w:b/>
              </w:rPr>
              <w:t xml:space="preserve">for</w:t>
            </w:r>
            <w:r>
              <w:t xml:space="preserve"> </w:t>
            </w:r>
            <m:oMath>
              <m:r>
                <m:t>C</m:t>
              </m:r>
              <m:r>
                <m:rPr>
                  <m:sty m:val="p"/>
                </m:rPr>
                <m:t>∈</m:t>
              </m:r>
              <m:r>
                <m:rPr>
                  <m:scr m:val="script"/>
                  <m:sty m:val="p"/>
                </m:rPr>
                <m:t>G</m:t>
              </m:r>
            </m:oMath>
            <w:r>
              <w:t xml:space="preserve"> </w:t>
            </w:r>
            <w:r>
              <w:t xml:space="preserve">in increasing order and every day</w:t>
            </w:r>
            <w:r>
              <w:t xml:space="preserve"> </w:t>
            </w:r>
            <m:oMath>
              <m:r>
                <m:t>d</m:t>
              </m:r>
              <m:r>
                <m:rPr>
                  <m:sty m:val="p"/>
                </m:rPr>
                <m:t>∈</m:t>
              </m:r>
              <m:sSup>
                <m:e>
                  <m:r>
                    <m:t>Ω</m:t>
                  </m:r>
                </m:e>
                <m:sup>
                  <m:r>
                    <m:t>D</m:t>
                  </m:r>
                  <m:r>
                    <m:t>A</m:t>
                  </m:r>
                </m:sup>
              </m:sSup>
            </m:oMath>
            <w:r>
              <w:t xml:space="preserve"> </w:t>
            </w:r>
            <w:r>
              <w:t xml:space="preserve">that delivered all smaller</w:t>
            </w:r>
            <w:r>
              <w:t xml:space="preserve"> </w:t>
            </w:r>
            <m:oMath>
              <m:r>
                <m:t>C</m:t>
              </m:r>
            </m:oMath>
            <w:r>
              <w:t xml:space="preserve"> </w:t>
            </w:r>
            <w:r>
              <w:rPr>
                <w:bCs/>
                <w:b/>
              </w:rPr>
              <w:t xml:space="preserve">do</w:t>
            </w:r>
          </w:p>
        </w:tc>
      </w:tr>
      <w:tr>
        <w:tc>
          <w:tcPr>
            <w:tcW w:w="454" w:type="dxa"/>
          </w:tcPr>
          <w:p>
            <w:pPr>
              <w:pStyle w:val="TableText"/>
              <w:jc w:val="left"/>
            </w:pPr>
            <w:r>
              <w:t xml:space="preserve">2</w:t>
            </w:r>
          </w:p>
        </w:tc>
        <w:tc>
          <w:tcPr>
            <w:tcW w:w="8616" w:type="dxa"/>
          </w:tcPr>
          <w:p>
            <w:pPr>
              <w:pStyle w:val="TableText"/>
              <w:jc w:val="left"/>
            </w:pPr>
            <w:r>
              <w:t xml:space="preserve"> run Stage III on day</w:t>
            </w:r>
            <w:r>
              <w:t xml:space="preserve"> </w:t>
            </w:r>
            <m:oMath>
              <m:r>
                <m:t>d</m:t>
              </m:r>
            </m:oMath>
            <w:r>
              <w:t xml:space="preserve"> </w:t>
            </w:r>
            <w:r>
              <w:t xml:space="preserve">with commitment</w:t>
            </w:r>
            <w:r>
              <w:t xml:space="preserve"> </w:t>
            </w:r>
            <m:oMath>
              <m:r>
                <m:t>C</m:t>
              </m:r>
            </m:oMath>
            <w:r>
              <w:t xml:space="preserve"> </w:t>
            </w:r>
            <w:r>
              <w:t xml:space="preserve">→ cost</w:t>
            </w:r>
            <w:r>
              <w:t xml:space="preserve"> </w:t>
            </w:r>
            <m:oMath>
              <m:sSub>
                <m:e>
                  <m:r>
                    <m:t>J</m:t>
                  </m:r>
                </m:e>
                <m:sub>
                  <m:r>
                    <m:t>d</m:t>
                  </m:r>
                </m:sub>
              </m:sSub>
              <m:d>
                <m:dPr>
                  <m:begChr m:val="("/>
                  <m:sepChr m:val=""/>
                  <m:endChr m:val=")"/>
                  <m:grow/>
                </m:dPr>
                <m:e>
                  <m:r>
                    <m:t>C</m:t>
                  </m:r>
                </m:e>
              </m:d>
            </m:oMath>
            <w:r>
              <w:t xml:space="preserve"> </w:t>
            </w:r>
            <w:r>
              <w:t xml:space="preserve">and full delivery of every event</w:t>
            </w:r>
          </w:p>
        </w:tc>
      </w:tr>
      <w:tr>
        <w:tc>
          <w:tcPr>
            <w:tcW w:w="454" w:type="dxa"/>
          </w:tcPr>
          <w:p>
            <w:pPr>
              <w:pStyle w:val="TableText"/>
              <w:jc w:val="left"/>
            </w:pPr>
            <w:r>
              <w:t xml:space="preserve">3</w:t>
            </w:r>
          </w:p>
        </w:tc>
        <w:tc>
          <w:tcPr>
            <w:tcW w:w="8616" w:type="dxa"/>
          </w:tcPr>
          <w:p>
            <w:pPr>
              <w:pStyle w:val="TableText"/>
              <w:jc w:val="left"/>
            </w:pPr>
            <w:r>
              <w:t xml:space="preserve">capability</w:t>
            </w:r>
            <w:r>
              <w:t xml:space="preserve"> </w:t>
            </w:r>
            <m:oMath>
              <m:sSub>
                <m:e>
                  <m:r>
                    <m:t>ξ</m:t>
                  </m:r>
                </m:e>
                <m:sub>
                  <m:r>
                    <m:t>d</m:t>
                  </m:r>
                </m:sub>
              </m:sSub>
            </m:oMath>
            <w:r>
              <w:t xml:space="preserve"> </w:t>
            </w:r>
            <w:r>
              <w:t xml:space="preserve">of every day (16); empirical distribution</w:t>
            </w:r>
            <w:r>
              <w:t xml:space="preserve"> </w:t>
            </w:r>
            <m:oMath>
              <m:sSub>
                <m:e>
                  <m:acc>
                    <m:accPr>
                      <m:chr m:val="̂"/>
                    </m:accPr>
                    <m:e>
                      <m:r>
                        <m:t>P</m:t>
                      </m:r>
                    </m:e>
                  </m:acc>
                </m:e>
                <m:sub>
                  <m:r>
                    <m:t>N</m:t>
                  </m:r>
                </m:sub>
              </m:sSub>
            </m:oMath>
            <w:r>
              <w:t xml:space="preserve">; radius</w:t>
            </w:r>
            <w:r>
              <w:t xml:space="preserve"> </w:t>
            </w:r>
            <m:oMath>
              <m:r>
                <m:t>ε</m:t>
              </m:r>
              <m:r>
                <m:rPr>
                  <m:sty m:val="p"/>
                </m:rPr>
                <m:t>←</m:t>
              </m:r>
              <m:sSub>
                <m:e>
                  <m:r>
                    <m:t>ε</m:t>
                  </m:r>
                </m:e>
                <m:sub>
                  <m:r>
                    <m:t>N</m:t>
                  </m:r>
                </m:sub>
              </m:sSub>
            </m:oMath>
            <w:r>
              <w:t xml:space="preserve"> </w:t>
            </w:r>
            <w:r>
              <w:t xml:space="preserve">(20)</w:t>
            </w:r>
          </w:p>
        </w:tc>
      </w:tr>
      <w:tr>
        <w:tc>
          <w:tcPr>
            <w:tcW w:w="454" w:type="dxa"/>
          </w:tcPr>
          <w:p>
            <w:pPr>
              <w:pStyle w:val="TableText"/>
              <w:jc w:val="left"/>
            </w:pPr>
            <w:r>
              <w:t xml:space="preserve">4</w:t>
            </w:r>
          </w:p>
        </w:tc>
        <w:tc>
          <w:tcPr>
            <w:tcW w:w="8616" w:type="dxa"/>
          </w:tcPr>
          <w:p>
            <w:pPr>
              <w:pStyle w:val="TableText"/>
              <w:jc w:val="left"/>
            </w:pPr>
            <w:r>
              <w:rPr>
                <w:bCs/>
                <w:b/>
              </w:rPr>
              <w:t xml:space="preserve">for</w:t>
            </w:r>
            <w:r>
              <w:t xml:space="preserve"> </w:t>
            </w:r>
            <m:oMath>
              <m:r>
                <m:t>C</m:t>
              </m:r>
              <m:r>
                <m:rPr>
                  <m:sty m:val="p"/>
                </m:rPr>
                <m:t>∈</m:t>
              </m:r>
              <m:r>
                <m:rPr>
                  <m:scr m:val="script"/>
                  <m:sty m:val="p"/>
                </m:rPr>
                <m:t>G</m:t>
              </m:r>
            </m:oMath>
            <w:r>
              <w:t xml:space="preserve"> </w:t>
            </w:r>
            <w:r>
              <w:rPr>
                <w:bCs/>
                <w:b/>
              </w:rPr>
              <w:t xml:space="preserve">do</w:t>
            </w:r>
            <w:r>
              <w:t xml:space="preserve"> </w:t>
            </w:r>
            <w:r>
              <w:t xml:space="preserve">sort the margins</w:t>
            </w:r>
            <w:r>
              <w:t xml:space="preserve"> </w:t>
            </w:r>
            <m:oMath>
              <m:sSub>
                <m:e>
                  <m:r>
                    <m:t>δ</m:t>
                  </m:r>
                </m:e>
                <m:sub>
                  <m:r>
                    <m:t>d</m:t>
                  </m:r>
                </m:sub>
              </m:sSub>
              <m:d>
                <m:dPr>
                  <m:begChr m:val="("/>
                  <m:sepChr m:val=""/>
                  <m:endChr m:val=")"/>
                  <m:grow/>
                </m:dPr>
                <m:e>
                  <m:r>
                    <m:t>C</m:t>
                  </m:r>
                </m:e>
              </m:d>
            </m:oMath>
            <w:r>
              <w:t xml:space="preserve">,</w:t>
            </w:r>
            <w:r>
              <w:t xml:space="preserve"> </w:t>
            </w:r>
            <m:oMath>
              <m:r>
                <m:t>d</m:t>
              </m:r>
              <m:r>
                <m:rPr>
                  <m:sty m:val="p"/>
                </m:rPr>
                <m:t>∈</m:t>
              </m:r>
              <m:sSub>
                <m:e>
                  <m:r>
                    <m:rPr>
                      <m:scr m:val="script"/>
                      <m:sty m:val="p"/>
                    </m:rPr>
                    <m:t>D</m:t>
                  </m:r>
                </m:e>
                <m:sub>
                  <m:r>
                    <m:t>C</m:t>
                  </m:r>
                </m:sub>
              </m:sSub>
            </m:oMath>
            <w:r>
              <w:t xml:space="preserve">;</w:t>
            </w:r>
            <w:r>
              <w:t xml:space="preserve"> </w:t>
            </w:r>
            <m:oMath>
              <m:r>
                <m:t>q</m:t>
              </m:r>
              <m:d>
                <m:dPr>
                  <m:begChr m:val="("/>
                  <m:sepChr m:val=""/>
                  <m:endChr m:val=")"/>
                  <m:grow/>
                </m:dPr>
                <m:e>
                  <m:r>
                    <m:t>C</m:t>
                  </m:r>
                </m:e>
              </m:d>
              <m:r>
                <m:rPr>
                  <m:sty m:val="p"/>
                </m:rPr>
                <m:t>←</m:t>
              </m:r>
              <m:r>
                <m:t>n</m:t>
              </m:r>
              <m:d>
                <m:dPr>
                  <m:begChr m:val="("/>
                  <m:sepChr m:val=""/>
                  <m:endChr m:val=")"/>
                  <m:grow/>
                </m:dPr>
                <m:e>
                  <m:r>
                    <m:t>C</m:t>
                  </m:r>
                </m:e>
              </m:d>
              <m:r>
                <m:rPr>
                  <m:sty m:val="p"/>
                </m:rPr>
                <m:t>−</m:t>
              </m:r>
              <m:r>
                <m:t>ρ</m:t>
              </m:r>
              <m:r>
                <m:t>N</m:t>
              </m:r>
            </m:oMath>
            <w:r>
              <w:t xml:space="preserve">; margin</w:t>
            </w:r>
            <w:r>
              <w:t xml:space="preserve"> </w:t>
            </w:r>
            <m:oMath>
              <m:sSub>
                <m:e>
                  <m:r>
                    <m:t>Φ</m:t>
                  </m:r>
                </m:e>
                <m:sub>
                  <m:r>
                    <m:t>ρ</m:t>
                  </m:r>
                </m:sub>
              </m:sSub>
              <m:d>
                <m:dPr>
                  <m:begChr m:val="("/>
                  <m:sepChr m:val=""/>
                  <m:endChr m:val=")"/>
                  <m:grow/>
                </m:dPr>
                <m:e>
                  <m:r>
                    <m:t>C</m:t>
                  </m:r>
                </m:e>
              </m:d>
            </m:oMath>
            <w:r>
              <w:t xml:space="preserve"> </w:t>
            </w:r>
            <w:r>
              <w:t xml:space="preserve">(18)–(19)</w:t>
            </w:r>
          </w:p>
        </w:tc>
      </w:tr>
      <w:tr>
        <w:tc>
          <w:tcPr>
            <w:tcW w:w="454" w:type="dxa"/>
          </w:tcPr>
          <w:p>
            <w:pPr>
              <w:pStyle w:val="TableText"/>
              <w:jc w:val="left"/>
            </w:pPr>
            <w:r>
              <w:t xml:space="preserve">5</w:t>
            </w:r>
          </w:p>
        </w:tc>
        <w:tc>
          <w:tcPr>
            <w:tcW w:w="8616" w:type="dxa"/>
          </w:tcPr>
          <w:p>
            <w:pPr>
              <w:pStyle w:val="TableText"/>
              <w:jc w:val="left"/>
            </w:pPr>
            <m:oMath>
              <m:sSubSup>
                <m:e>
                  <m:r>
                    <m:t>C</m:t>
                  </m:r>
                </m:e>
                <m:sub>
                  <m:r>
                    <m:t>ρ</m:t>
                  </m:r>
                </m:sub>
                <m:sup>
                  <m:r>
                    <m:t>D</m:t>
                  </m:r>
                  <m:r>
                    <m:t>R</m:t>
                  </m:r>
                  <m:r>
                    <m:t>O</m:t>
                  </m:r>
                </m:sup>
              </m:sSubSup>
              <m:r>
                <m:rPr>
                  <m:sty m:val="p"/>
                </m:rPr>
                <m:t>←</m:t>
              </m:r>
              <m:r>
                <m:rPr>
                  <m:sty m:val="p"/>
                </m:rPr>
                <m:t>max</m:t>
              </m:r>
              <m:r>
                <m:rPr>
                  <m:sty m:val="p"/>
                </m:rPr>
                <m:t>{</m:t>
              </m:r>
              <m:r>
                <m:t>C</m:t>
              </m:r>
              <m:r>
                <m:rPr>
                  <m:sty m:val="p"/>
                </m:rPr>
                <m:t>∈</m:t>
              </m:r>
              <m:r>
                <m:rPr>
                  <m:scr m:val="script"/>
                  <m:sty m:val="p"/>
                </m:rPr>
                <m:t>G</m:t>
              </m:r>
              <m:r>
                <m:rPr>
                  <m:sty m:val="p"/>
                </m:rPr>
                <m:t>:</m:t>
              </m:r>
              <m:r>
                <m:t> </m:t>
              </m:r>
              <m:r>
                <m:t>q</m:t>
              </m:r>
              <m:d>
                <m:dPr>
                  <m:begChr m:val="("/>
                  <m:sepChr m:val=""/>
                  <m:endChr m:val=")"/>
                  <m:grow/>
                </m:dPr>
                <m:e>
                  <m:r>
                    <m:t>C</m:t>
                  </m:r>
                </m:e>
              </m:d>
              <m:r>
                <m:rPr>
                  <m:sty m:val="p"/>
                </m:rPr>
                <m:t>≥</m:t>
              </m:r>
              <m:r>
                <m:t>0</m:t>
              </m:r>
              <m:r>
                <m:rPr>
                  <m:sty m:val="p"/>
                </m:rPr>
                <m:t>,</m:t>
              </m:r>
              <m:r>
                <m:t> </m:t>
              </m:r>
              <m:sSub>
                <m:e>
                  <m:r>
                    <m:t>Φ</m:t>
                  </m:r>
                </m:e>
                <m:sub>
                  <m:r>
                    <m:t>ρ</m:t>
                  </m:r>
                </m:sub>
              </m:sSub>
              <m:d>
                <m:dPr>
                  <m:begChr m:val="("/>
                  <m:sepChr m:val=""/>
                  <m:endChr m:val=")"/>
                  <m:grow/>
                </m:dPr>
                <m:e>
                  <m:r>
                    <m:t>C</m:t>
                  </m:r>
                </m:e>
              </m:d>
              <m:r>
                <m:rPr>
                  <m:sty m:val="p"/>
                </m:rPr>
                <m:t>≥</m:t>
              </m:r>
              <m:r>
                <m:t>ε</m:t>
              </m:r>
              <m:r>
                <m:rPr>
                  <m:sty m:val="p"/>
                </m:rPr>
                <m:t>}</m:t>
              </m:r>
            </m:oMath>
            <w:r>
              <w:t xml:space="preserve"> </w:t>
            </w:r>
            <w:r>
              <w:t xml:space="preserve">(17);</w:t>
            </w:r>
            <w:r>
              <w:t xml:space="preserve"> </w:t>
            </w:r>
            <m:oMath>
              <m:sSup>
                <m:e>
                  <m:r>
                    <m:t>C</m:t>
                  </m:r>
                </m:e>
                <m:sup>
                  <m:r>
                    <m:rPr>
                      <m:lit/>
                      <m:sty m:val="p"/>
                    </m:rPr>
                    <m:t>*</m:t>
                  </m:r>
                </m:sup>
              </m:sSup>
              <m:r>
                <m:rPr>
                  <m:sty m:val="p"/>
                </m:rPr>
                <m:t>←</m:t>
              </m:r>
              <m:r>
                <m:rPr>
                  <m:sty m:val="p"/>
                </m:rPr>
                <m:t>arg</m:t>
              </m:r>
              <m:r>
                <m:rPr>
                  <m:sty m:val="p"/>
                </m:rPr>
                <m:t>min</m:t>
              </m:r>
              <m:r>
                <m:rPr>
                  <m:sty m:val="p"/>
                </m:rPr>
                <m:t>{</m:t>
              </m:r>
              <m:acc>
                <m:accPr>
                  <m:chr m:val="‾"/>
                </m:accPr>
                <m:e>
                  <m:r>
                    <m:t>J</m:t>
                  </m:r>
                </m:e>
              </m:acc>
              <m:d>
                <m:dPr>
                  <m:begChr m:val="("/>
                  <m:sepChr m:val=""/>
                  <m:endChr m:val=")"/>
                  <m:grow/>
                </m:dPr>
                <m:e>
                  <m:r>
                    <m:t>C</m:t>
                  </m:r>
                </m:e>
              </m:d>
              <m:r>
                <m:rPr>
                  <m:sty m:val="p"/>
                </m:rPr>
                <m:t>:</m:t>
              </m:r>
              <m:r>
                <m:t> </m:t>
              </m:r>
              <m:r>
                <m:t>C</m:t>
              </m:r>
              <m:r>
                <m:rPr>
                  <m:sty m:val="p"/>
                </m:rPr>
                <m:t>≤</m:t>
              </m:r>
              <m:sSubSup>
                <m:e>
                  <m:r>
                    <m:t>C</m:t>
                  </m:r>
                </m:e>
                <m:sub>
                  <m:r>
                    <m:t>ρ</m:t>
                  </m:r>
                </m:sub>
                <m:sup>
                  <m:r>
                    <m:t>D</m:t>
                  </m:r>
                  <m:r>
                    <m:t>R</m:t>
                  </m:r>
                  <m:r>
                    <m:t>O</m:t>
                  </m:r>
                </m:sup>
              </m:sSubSup>
              <m:r>
                <m:rPr>
                  <m:sty m:val="p"/>
                </m:rPr>
                <m:t>}</m:t>
              </m:r>
            </m:oMath>
            <w:r>
              <w:t xml:space="preserve"> </w:t>
            </w:r>
            <w:r>
              <w:t xml:space="preserve">(21)</w:t>
            </w:r>
          </w:p>
        </w:tc>
      </w:tr>
      <w:tr>
        <w:tc>
          <w:tcPr>
            <w:tcW w:w="454" w:type="dxa"/>
          </w:tcPr>
          <w:p>
            <w:pPr>
              <w:pStyle w:val="TableText"/>
            </w:pPr>
          </w:p>
        </w:tc>
        <w:tc>
          <w:tcPr>
            <w:tcW w:w="8616" w:type="dxa"/>
          </w:tcPr>
          <w:p>
            <w:pPr>
              <w:pStyle w:val="TableText"/>
              <w:jc w:val="left"/>
            </w:pPr>
            <w:r>
              <w:rPr>
                <w:bCs/>
                <w:b/>
              </w:rPr>
              <w:t xml:space="preserve">Stage II — Firm capacity on the operating days</w:t>
            </w:r>
            <w:r>
              <w:t xml:space="preserve"> </w:t>
            </w:r>
            <w:r>
              <w:t xml:space="preserve">(Section 3.6)</w:t>
            </w:r>
          </w:p>
        </w:tc>
      </w:tr>
      <w:tr>
        <w:tc>
          <w:tcPr>
            <w:tcW w:w="454" w:type="dxa"/>
          </w:tcPr>
          <w:p>
            <w:pPr>
              <w:pStyle w:val="TableText"/>
              <w:jc w:val="left"/>
            </w:pPr>
            <w:r>
              <w:t xml:space="preserve">6</w:t>
            </w:r>
          </w:p>
        </w:tc>
        <w:tc>
          <w:tcPr>
            <w:tcW w:w="8616" w:type="dxa"/>
          </w:tcPr>
          <w:p>
            <w:pPr>
              <w:pStyle w:val="TableText"/>
              <w:jc w:val="left"/>
            </w:pPr>
            <w:r>
              <w:rPr>
                <w:bCs/>
                <w:b/>
              </w:rPr>
              <w:t xml:space="preserve">for</w:t>
            </w:r>
            <w:r>
              <w:t xml:space="preserve"> </w:t>
            </w:r>
            <w:r>
              <w:t xml:space="preserve">every</w:t>
            </w:r>
            <w:r>
              <w:t xml:space="preserve"> </w:t>
            </w:r>
            <m:oMath>
              <m:r>
                <m:t>C</m:t>
              </m:r>
              <m:r>
                <m:rPr>
                  <m:sty m:val="p"/>
                </m:rPr>
                <m:t>∈</m:t>
              </m:r>
              <m:r>
                <m:rPr>
                  <m:scr m:val="script"/>
                  <m:sty m:val="p"/>
                </m:rPr>
                <m:t>G</m:t>
              </m:r>
            </m:oMath>
            <w:r>
              <w:t xml:space="preserve"> </w:t>
            </w:r>
            <w:r>
              <w:t xml:space="preserve">and</w:t>
            </w:r>
            <w:r>
              <w:t xml:space="preserve"> </w:t>
            </w:r>
            <m:oMath>
              <m:r>
                <m:t>ω</m:t>
              </m:r>
              <m:r>
                <m:rPr>
                  <m:sty m:val="p"/>
                </m:rPr>
                <m:t>∈</m:t>
              </m:r>
              <m:r>
                <m:t>Ω</m:t>
              </m:r>
            </m:oMath>
            <w:r>
              <w:t xml:space="preserve"> </w:t>
            </w:r>
            <w:r>
              <w:rPr>
                <w:bCs/>
                <w:b/>
              </w:rPr>
              <w:t xml:space="preserve">do</w:t>
            </w:r>
            <w:r>
              <w:t xml:space="preserve"> </w:t>
            </w:r>
            <w:r>
              <w:t xml:space="preserve">run Stage III with commitment</w:t>
            </w:r>
            <w:r>
              <w:t xml:space="preserve"> </w:t>
            </w:r>
            <m:oMath>
              <m:r>
                <m:t>C</m:t>
              </m:r>
            </m:oMath>
          </w:p>
        </w:tc>
      </w:tr>
      <w:tr>
        <w:tc>
          <w:tcPr>
            <w:tcW w:w="454" w:type="dxa"/>
          </w:tcPr>
          <w:p>
            <w:pPr>
              <w:pStyle w:val="TableText"/>
              <w:jc w:val="left"/>
            </w:pPr>
            <w:r>
              <w:t xml:space="preserve">7</w:t>
            </w:r>
          </w:p>
        </w:tc>
        <w:tc>
          <w:tcPr>
            <w:tcW w:w="8616" w:type="dxa"/>
          </w:tcPr>
          <w:p>
            <w:pPr>
              <w:pStyle w:val="TableText"/>
              <w:jc w:val="left"/>
            </w:pPr>
            <m:oMath>
              <m:sSubSup>
                <m:e>
                  <m:acc>
                    <m:accPr>
                      <m:chr m:val="̂"/>
                    </m:accPr>
                    <m:e>
                      <m:r>
                        <m:t>C</m:t>
                      </m:r>
                    </m:e>
                  </m:acc>
                </m:e>
                <m:sub>
                  <m:r>
                    <m:t>ρ</m:t>
                  </m:r>
                </m:sub>
                <m:sup>
                  <m:r>
                    <m:t>f</m:t>
                  </m:r>
                  <m:r>
                    <m:t>i</m:t>
                  </m:r>
                  <m:r>
                    <m:t>r</m:t>
                  </m:r>
                  <m:r>
                    <m:t>m</m:t>
                  </m:r>
                </m:sup>
              </m:sSubSup>
              <m:r>
                <m:rPr>
                  <m:sty m:val="p"/>
                </m:rPr>
                <m:t>←</m:t>
              </m:r>
            </m:oMath>
            <w:r>
              <w:t xml:space="preserve"> </w:t>
            </w:r>
            <w:r>
              <w:t xml:space="preserve">largest</w:t>
            </w:r>
            <w:r>
              <w:t xml:space="preserve"> </w:t>
            </w:r>
            <m:oMath>
              <m:r>
                <m:t>C</m:t>
              </m:r>
            </m:oMath>
            <w:r>
              <w:t xml:space="preserve"> </w:t>
            </w:r>
            <w:r>
              <w:t xml:space="preserve">whose full-delivery share is at least</w:t>
            </w:r>
            <w:r>
              <w:t xml:space="preserve"> </w:t>
            </w:r>
            <m:oMath>
              <m:r>
                <m:t>ρ</m:t>
              </m:r>
            </m:oMath>
            <w:r>
              <w:t xml:space="preserve"> </w:t>
            </w:r>
            <w:r>
              <w:t xml:space="preserve">for all</w:t>
            </w:r>
            <w:r>
              <w:t xml:space="preserve"> </w:t>
            </w:r>
            <m:oMath>
              <m:r>
                <m:t>C</m:t>
              </m:r>
              <m:r>
                <m:rPr>
                  <m:sty m:val="p"/>
                </m:rPr>
                <m:t>′</m:t>
              </m:r>
              <m:r>
                <m:rPr>
                  <m:sty m:val="p"/>
                </m:rPr>
                <m:t>≤</m:t>
              </m:r>
              <m:r>
                <m:t>C</m:t>
              </m:r>
            </m:oMath>
            <w:r>
              <w:t xml:space="preserve"> </w:t>
            </w:r>
            <w:r>
              <w:t xml:space="preserve">(14); bootstrap confidence intervals over days</w:t>
            </w:r>
          </w:p>
        </w:tc>
      </w:tr>
      <w:tr>
        <w:tc>
          <w:tcPr>
            <w:tcW w:w="454" w:type="dxa"/>
          </w:tcPr>
          <w:p>
            <w:pPr>
              <w:pStyle w:val="TableText"/>
            </w:pPr>
          </w:p>
        </w:tc>
        <w:tc>
          <w:tcPr>
            <w:tcW w:w="8616" w:type="dxa"/>
          </w:tcPr>
          <w:p>
            <w:pPr>
              <w:pStyle w:val="TableText"/>
              <w:jc w:val="left"/>
            </w:pPr>
            <w:r>
              <w:rPr>
                <w:bCs/>
                <w:b/>
              </w:rPr>
              <w:t xml:space="preserve">Stage III — Intraday cross-event joint recovery MPC</w:t>
            </w:r>
            <w:r>
              <w:t xml:space="preserve"> </w:t>
            </w:r>
            <w:r>
              <w:t xml:space="preserve">(Section 4.2), every</w:t>
            </w:r>
            <w:r>
              <w:t xml:space="preserve"> </w:t>
            </w:r>
            <m:oMath>
              <m:r>
                <m:t>Δ</m:t>
              </m:r>
              <m:r>
                <m:t>t</m:t>
              </m:r>
            </m:oMath>
            <w:r>
              <w:t xml:space="preserve"> </w:t>
            </w:r>
            <w:r>
              <w:t xml:space="preserve">= 15 min</w:t>
            </w:r>
          </w:p>
        </w:tc>
      </w:tr>
      <w:tr>
        <w:tc>
          <w:tcPr>
            <w:tcW w:w="454" w:type="dxa"/>
          </w:tcPr>
          <w:p>
            <w:pPr>
              <w:pStyle w:val="TableText"/>
              <w:jc w:val="left"/>
            </w:pPr>
            <w:r>
              <w:t xml:space="preserve">8</w:t>
            </w:r>
          </w:p>
        </w:tc>
        <w:tc>
          <w:tcPr>
            <w:tcW w:w="8616" w:type="dxa"/>
          </w:tcPr>
          <w:p>
            <w:pPr>
              <w:pStyle w:val="TableText"/>
              <w:jc w:val="left"/>
            </w:pPr>
            <w:r>
              <w:t xml:space="preserve">measure</w:t>
            </w:r>
            <w:r>
              <w:t xml:space="preserve"> </w:t>
            </w:r>
            <m:oMath>
              <m:sSub>
                <m:e>
                  <m:r>
                    <m:rPr>
                      <m:sty m:val="b"/>
                    </m:rPr>
                    <m:t>x</m:t>
                  </m:r>
                </m:e>
                <m:sub>
                  <m:r>
                    <m:t>t</m:t>
                  </m:r>
                </m:sub>
              </m:sSub>
              <m:r>
                <m:rPr>
                  <m:sty m:val="p"/>
                </m:rPr>
                <m:t>=</m:t>
              </m:r>
              <m:d>
                <m:dPr>
                  <m:begChr m:val="("/>
                  <m:sepChr m:val=""/>
                  <m:endChr m:val=")"/>
                  <m:grow/>
                </m:dPr>
                <m:e>
                  <m:sSub>
                    <m:e>
                      <m:r>
                        <m:t>B</m:t>
                      </m:r>
                    </m:e>
                    <m:sub>
                      <m:r>
                        <m:t>1</m:t>
                      </m:r>
                      <m:r>
                        <m:rPr>
                          <m:sty m:val="p"/>
                        </m:rPr>
                        <m:t>.</m:t>
                      </m:r>
                      <m:r>
                        <m:t>.3</m:t>
                      </m:r>
                      <m:r>
                        <m:rPr>
                          <m:sty m:val="p"/>
                        </m:rPr>
                        <m:t>,</m:t>
                      </m:r>
                      <m:r>
                        <m:t>t</m:t>
                      </m:r>
                    </m:sub>
                  </m:sSub>
                  <m:r>
                    <m:rPr>
                      <m:sty m:val="p"/>
                    </m:rPr>
                    <m:t>,</m:t>
                  </m:r>
                  <m:sSub>
                    <m:e>
                      <m:r>
                        <m:t>E</m:t>
                      </m:r>
                    </m:e>
                    <m:sub>
                      <m:r>
                        <m:t>t</m:t>
                      </m:r>
                    </m:sub>
                  </m:sSub>
                  <m:r>
                    <m:rPr>
                      <m:sty m:val="p"/>
                    </m:rPr>
                    <m:t>,</m:t>
                  </m:r>
                  <m:sSub>
                    <m:e>
                      <m:r>
                        <m:t>S</m:t>
                      </m:r>
                    </m:e>
                    <m:sub>
                      <m:r>
                        <m:t>t</m:t>
                      </m:r>
                    </m:sub>
                  </m:sSub>
                </m:e>
              </m:d>
            </m:oMath>
            <w:r>
              <w:t xml:space="preserve">, the gas-engine state, the event status and the loads</w:t>
            </w:r>
          </w:p>
        </w:tc>
      </w:tr>
      <w:tr>
        <w:tc>
          <w:tcPr>
            <w:tcW w:w="454" w:type="dxa"/>
          </w:tcPr>
          <w:p>
            <w:pPr>
              <w:pStyle w:val="TableText"/>
              <w:jc w:val="left"/>
            </w:pPr>
            <w:r>
              <w:t xml:space="preserve">9</w:t>
            </w:r>
          </w:p>
        </w:tc>
        <w:tc>
          <w:tcPr>
            <w:tcW w:w="8616" w:type="dxa"/>
          </w:tcPr>
          <w:p>
            <w:pPr>
              <w:pStyle w:val="TableText"/>
              <w:jc w:val="left"/>
            </w:pPr>
            <w:r>
              <w:t xml:space="preserve">correct the forecasts with the latest observed errors (JR-S: build the scenario tree)</w:t>
            </w:r>
          </w:p>
        </w:tc>
      </w:tr>
      <w:tr>
        <w:tc>
          <w:tcPr>
            <w:tcW w:w="454" w:type="dxa"/>
          </w:tcPr>
          <w:p>
            <w:pPr>
              <w:pStyle w:val="TableText"/>
              <w:jc w:val="left"/>
            </w:pPr>
            <w:r>
              <w:t xml:space="preserve">10</w:t>
            </w:r>
          </w:p>
        </w:tc>
        <w:tc>
          <w:tcPr>
            <w:tcW w:w="8616" w:type="dxa"/>
          </w:tcPr>
          <w:p>
            <w:pPr>
              <w:pStyle w:val="TableText"/>
              <w:jc w:val="left"/>
            </w:pPr>
            <w:r>
              <w:t xml:space="preserve">solve the joint recovery MILP (2)–(12) over</w:t>
            </w:r>
            <w:r>
              <w:t xml:space="preserve"> </w:t>
            </w:r>
            <m:oMath>
              <m:r>
                <m:t>t</m:t>
              </m:r>
              <m:r>
                <m:rPr>
                  <m:sty m:val="p"/>
                </m:rPr>
                <m:t>,</m:t>
              </m:r>
              <m:r>
                <m:rPr>
                  <m:sty m:val="p"/>
                </m:rPr>
                <m:t>…</m:t>
              </m:r>
              <m:r>
                <m:rPr>
                  <m:sty m:val="p"/>
                </m:rPr>
                <m:t>,</m:t>
              </m:r>
              <m:r>
                <m:t>t</m:t>
              </m:r>
              <m:r>
                <m:rPr>
                  <m:sty m:val="p"/>
                </m:rPr>
                <m:t>+</m:t>
              </m:r>
              <m:sSub>
                <m:e>
                  <m:r>
                    <m:t>T</m:t>
                  </m:r>
                </m:e>
                <m:sub>
                  <m:r>
                    <m:t>H</m:t>
                  </m:r>
                </m:sub>
              </m:sSub>
            </m:oMath>
            <w:r>
              <w:t xml:space="preserve"> </w:t>
            </w:r>
            <w:r>
              <w:t xml:space="preserve">with all confirmed events</w:t>
            </w:r>
          </w:p>
        </w:tc>
      </w:tr>
      <w:tr>
        <w:tc>
          <w:tcPr>
            <w:tcW w:w="454" w:type="dxa"/>
          </w:tcPr>
          <w:p>
            <w:pPr>
              <w:pStyle w:val="TableText"/>
              <w:jc w:val="left"/>
            </w:pPr>
            <w:r>
              <w:t xml:space="preserve">11</w:t>
            </w:r>
          </w:p>
        </w:tc>
        <w:tc>
          <w:tcPr>
            <w:tcW w:w="8616" w:type="dxa"/>
          </w:tcPr>
          <w:p>
            <w:pPr>
              <w:pStyle w:val="TableText"/>
              <w:jc w:val="left"/>
            </w:pPr>
            <w:r>
              <w:t xml:space="preserve">apply the first-step decisions; replay the plant (storage → TES → compute throttling)</w:t>
            </w:r>
          </w:p>
        </w:tc>
      </w:tr>
      <w:tr>
        <w:tc>
          <w:tcPr>
            <w:tcW w:w="454" w:type="dxa"/>
          </w:tcPr>
          <w:p>
            <w:pPr>
              <w:pStyle w:val="TableText"/>
              <w:jc w:val="left"/>
            </w:pPr>
            <w:r>
              <w:t xml:space="preserve">12</w:t>
            </w:r>
          </w:p>
        </w:tc>
        <w:tc>
          <w:tcPr>
            <w:tcW w:w="8616" w:type="dxa"/>
          </w:tcPr>
          <w:p>
            <w:pPr>
              <w:pStyle w:val="TableText"/>
              <w:jc w:val="left"/>
            </w:pPr>
            <w:r>
              <w:t xml:space="preserve">update the backlogs by earliest-deadline-first execution and the settlement (11)</w:t>
            </w:r>
          </w:p>
        </w:tc>
      </w:tr>
      <w:tr>
        <w:tc>
          <w:tcPr>
            <w:tcW w:w="454" w:type="dxa"/>
          </w:tcPr>
          <w:p>
            <w:pPr>
              <w:pStyle w:val="TableText"/>
              <w:jc w:val="left"/>
            </w:pPr>
            <w:r>
              <w:t xml:space="preserve">13</w:t>
            </w:r>
          </w:p>
        </w:tc>
        <w:tc>
          <w:tcPr>
            <w:tcW w:w="8616" w:type="dxa"/>
          </w:tcPr>
          <w:p>
            <w:pPr>
              <w:pStyle w:val="TableText"/>
              <w:jc w:val="left"/>
            </w:pPr>
            <w:r>
              <w:rPr>
                <w:bCs/>
                <w:b/>
              </w:rPr>
              <w:t xml:space="preserve">return</w:t>
            </w:r>
            <w:r>
              <w:t xml:space="preserve"> </w:t>
            </w:r>
            <m:oMath>
              <m:sSup>
                <m:e>
                  <m:r>
                    <m:t>C</m:t>
                  </m:r>
                </m:e>
                <m:sup>
                  <m:r>
                    <m:rPr>
                      <m:lit/>
                      <m:sty m:val="p"/>
                    </m:rPr>
                    <m:t>*</m:t>
                  </m:r>
                </m:sup>
              </m:sSup>
            </m:oMath>
            <w:r>
              <w:t xml:space="preserve">,</w:t>
            </w:r>
            <w:r>
              <w:t xml:space="preserve"> </w:t>
            </w:r>
            <m:oMath>
              <m:sSubSup>
                <m:e>
                  <m:acc>
                    <m:accPr>
                      <m:chr m:val="̂"/>
                    </m:accPr>
                    <m:e>
                      <m:r>
                        <m:t>C</m:t>
                      </m:r>
                    </m:e>
                  </m:acc>
                </m:e>
                <m:sub>
                  <m:r>
                    <m:t>ρ</m:t>
                  </m:r>
                </m:sub>
                <m:sup>
                  <m:r>
                    <m:t>f</m:t>
                  </m:r>
                  <m:r>
                    <m:t>i</m:t>
                  </m:r>
                  <m:r>
                    <m:t>r</m:t>
                  </m:r>
                  <m:r>
                    <m:t>m</m:t>
                  </m:r>
                </m:sup>
              </m:sSubSup>
            </m:oMath>
            <w:r>
              <w:t xml:space="preserve"> </w:t>
            </w:r>
            <w:r>
              <w:t xml:space="preserve">and the trajectories</w:t>
            </w:r>
          </w:p>
        </w:tc>
      </w:tr>
    </w:tbl>
    <w:bookmarkEnd w:id="47"/>
    <w:bookmarkStart w:id="48" w:name="Xe60f4e51a24ddaf93e6f0521204d2f02adc5adc"/>
    <w:p>
      <w:pPr>
        <w:pStyle w:val="Heading2"/>
      </w:pPr>
      <w:r>
        <w:t xml:space="preserve">4.3 Benchmarks and controlled scenario matrix</w:t>
      </w:r>
    </w:p>
    <w:p>
      <w:pPr>
        <w:pStyle w:val="FirstParagraph"/>
      </w:pPr>
      <w:r>
        <w:t xml:space="preserve">All strategies face the same commitments, service deadlines, physical limits and settlement rules. Table 2 lists the controlled scenario matrix, which isolates the contribution of each resource, each device and each layer of coordination.</w:t>
      </w:r>
    </w:p>
    <w:p>
      <w:pPr>
        <w:pStyle w:val="Compact"/>
        <w:numPr>
          <w:ilvl w:val="0"/>
          <w:numId w:val="1003"/>
        </w:numPr>
      </w:pPr>
      <w:r>
        <w:rPr>
          <w:bCs/>
          <w:b/>
        </w:rPr>
        <w:t xml:space="preserve">IR-O*</w:t>
      </w:r>
      <w:r>
        <w:t xml:space="preserve"> </w:t>
      </w:r>
      <w:r>
        <w:t xml:space="preserve">— independent recovery with an optimised static split. The IT scheduler plans its own share</w:t>
      </w:r>
      <w:r>
        <w:t xml:space="preserve"> </w:t>
      </w:r>
      <m:oMath>
        <m:r>
          <m:t>α</m:t>
        </m:r>
        <m:sSub>
          <m:e>
            <m:r>
              <m:t>C</m:t>
            </m:r>
          </m:e>
          <m:sub>
            <m:r>
              <m:t>k</m:t>
            </m:r>
          </m:sub>
        </m:sSub>
      </m:oMath>
      <w:r>
        <w:t xml:space="preserve"> </w:t>
      </w:r>
      <w:r>
        <w:t xml:space="preserve">of every event and its catch-up with priority on the connection headroom; the facility energy-management system then optimises storage and IES with the IT schedule fixed. The split</w:t>
      </w:r>
      <w:r>
        <w:t xml:space="preserve"> </w:t>
      </w:r>
      <m:oMath>
        <m:r>
          <m:t>α</m:t>
        </m:r>
      </m:oMath>
      <w:r>
        <w:t xml:space="preserve"> </w:t>
      </w:r>
      <w:r>
        <w:t xml:space="preserve">is tuned day-ahead on the historical scenarios over</w:t>
      </w:r>
      <w:r>
        <w:t xml:space="preserve"> </w:t>
      </w:r>
      <m:oMath>
        <m:r>
          <m:t>α</m:t>
        </m:r>
        <m:r>
          <m:rPr>
            <m:sty m:val="p"/>
          </m:rPr>
          <m:t>∈</m:t>
        </m:r>
        <m:d>
          <m:dPr>
            <m:begChr m:val="["/>
            <m:sepChr m:val=""/>
            <m:endChr m:val="]"/>
            <m:grow/>
          </m:dPr>
          <m:e>
            <m:r>
              <m:t>0.2</m:t>
            </m:r>
            <m:r>
              <m:rPr>
                <m:sty m:val="p"/>
              </m:rPr>
              <m:t>,</m:t>
            </m:r>
            <m:r>
              <m:t>1.0</m:t>
            </m:r>
          </m:e>
        </m:d>
      </m:oMath>
      <w:r>
        <w:t xml:space="preserve"> </w:t>
      </w:r>
      <w:r>
        <w:t xml:space="preserve">for every commitment level.</w:t>
      </w:r>
    </w:p>
    <w:p>
      <w:pPr>
        <w:pStyle w:val="Compact"/>
        <w:numPr>
          <w:ilvl w:val="0"/>
          <w:numId w:val="1003"/>
        </w:numPr>
      </w:pPr>
      <w:r>
        <w:rPr>
          <w:bCs/>
          <w:b/>
        </w:rPr>
        <w:t xml:space="preserve">IR-P</w:t>
      </w:r>
      <w:r>
        <w:t xml:space="preserve"> </w:t>
      </w:r>
      <w:r>
        <w:t xml:space="preserve">— price-coordinated independent recovery. Instead of a fixed share, the IT scheduler receives the channel shadow price of the day-ahead joint plan on top of the TOU price (a one-way, day-ahead price signal).</w:t>
      </w:r>
    </w:p>
    <w:p>
      <w:pPr>
        <w:pStyle w:val="Compact"/>
        <w:numPr>
          <w:ilvl w:val="0"/>
          <w:numId w:val="1003"/>
        </w:numPr>
      </w:pPr>
      <w:r>
        <w:rPr>
          <w:bCs/>
          <w:b/>
        </w:rPr>
        <w:t xml:space="preserve">JR-M</w:t>
      </w:r>
      <w:r>
        <w:t xml:space="preserve"> </w:t>
      </w:r>
      <w:r>
        <w:t xml:space="preserve">— event-by-event joint recovery. The joint model is used, but only the current or next event is visible, which represents single-event DR scheduling and isolates the value of cross-event foresight.</w:t>
      </w:r>
    </w:p>
    <w:p>
      <w:pPr>
        <w:pStyle w:val="Compact"/>
        <w:numPr>
          <w:ilvl w:val="0"/>
          <w:numId w:val="1003"/>
        </w:numPr>
      </w:pPr>
      <w:r>
        <w:rPr>
          <w:bCs/>
          <w:b/>
        </w:rPr>
        <w:t xml:space="preserve">JR-oracle</w:t>
      </w:r>
      <w:r>
        <w:t xml:space="preserve"> </w:t>
      </w:r>
      <w:r>
        <w:t xml:space="preserve">— joint recovery with perfect information (reference).</w:t>
      </w:r>
    </w:p>
    <w:p>
      <w:pPr>
        <w:pStyle w:val="TableCaption"/>
      </w:pPr>
      <w:r>
        <w:rPr>
          <w:bCs/>
          <w:b/>
        </w:rPr>
        <w:t xml:space="preserve">Table 2.</w:t>
      </w:r>
      <w:r>
        <w:t xml:space="preserve"> </w:t>
      </w:r>
      <w:r>
        <w:t xml:space="preserve">Controlled scenario matrix (✓ included, × excluded, – not applicable). The resource and device configurations are operated by the JR-D controller with the connection limit of the base case.</w:t>
      </w:r>
    </w:p>
    <w:tbl>
      <w:tblPr>
        <w:tblStyle w:val="Table"/>
        <w:tblW w:type="pct" w:w="5000"/>
        <w:jc w:val="start"/>
        <w:tblBorders>
          <w:top w:val="single" w:sz="8" w:space="0" w:color="000000"/>
          <w:bottom w:val="single" w:sz="8" w:space="0" w:color="000000"/>
        </w:tblBorders>
        <w:tblLayout w:type="fixed"/>
        <w:tblLook w:firstRow="1" w:lastRow="0" w:firstColumn="0" w:lastColumn="0" w:noHBand="0" w:noVBand="0" w:val="0020"/>
      </w:tblPr>
      <w:tblGrid>
        <w:gridCol w:w="2442"/>
        <w:gridCol w:w="1024"/>
        <w:gridCol w:w="723"/>
        <w:gridCol w:w="814"/>
        <w:gridCol w:w="784"/>
        <w:gridCol w:w="1145"/>
        <w:gridCol w:w="934"/>
        <w:gridCol w:w="1204"/>
      </w:tblGrid>
      <w:tr>
        <w:trPr>
          <w:tblHeader w:val="true"/>
        </w:trPr>
        <w:tc>
          <w:tcPr>
            <w:tcW w:w="2442" w:type="dxa"/>
            <w:tcBorders>
              <w:bottom w:val="single" w:sz="4" w:space="0" w:color="000000"/>
            </w:tcBorders>
          </w:tcPr>
          <w:p>
            <w:pPr>
              <w:pStyle w:val="TableText"/>
              <w:jc w:val="left"/>
            </w:pPr>
            <w:r>
              <w:t xml:space="preserve">Configuration</w:t>
            </w:r>
          </w:p>
        </w:tc>
        <w:tc>
          <w:tcPr>
            <w:tcW w:w="1024" w:type="dxa"/>
            <w:tcBorders>
              <w:bottom w:val="single" w:sz="4" w:space="0" w:color="000000"/>
            </w:tcBorders>
          </w:tcPr>
          <w:p>
            <w:pPr>
              <w:pStyle w:val="TableText"/>
              <w:jc w:val="left"/>
            </w:pPr>
            <w:r>
              <w:t xml:space="preserve">Compute flexibility</w:t>
            </w:r>
          </w:p>
        </w:tc>
        <w:tc>
          <w:tcPr>
            <w:tcW w:w="723" w:type="dxa"/>
            <w:tcBorders>
              <w:bottom w:val="single" w:sz="4" w:space="0" w:color="000000"/>
            </w:tcBorders>
          </w:tcPr>
          <w:p>
            <w:pPr>
              <w:pStyle w:val="TableText"/>
              <w:jc w:val="left"/>
            </w:pPr>
            <w:r>
              <w:t xml:space="preserve">BESS</w:t>
            </w:r>
          </w:p>
        </w:tc>
        <w:tc>
          <w:tcPr>
            <w:tcW w:w="814" w:type="dxa"/>
            <w:tcBorders>
              <w:bottom w:val="single" w:sz="4" w:space="0" w:color="000000"/>
            </w:tcBorders>
          </w:tcPr>
          <w:p>
            <w:pPr>
              <w:pStyle w:val="TableText"/>
              <w:jc w:val="left"/>
            </w:pPr>
            <w:r>
              <w:t xml:space="preserve">Cold storage</w:t>
            </w:r>
          </w:p>
        </w:tc>
        <w:tc>
          <w:tcPr>
            <w:tcW w:w="784" w:type="dxa"/>
            <w:tcBorders>
              <w:bottom w:val="single" w:sz="4" w:space="0" w:color="000000"/>
            </w:tcBorders>
          </w:tcPr>
          <w:p>
            <w:pPr>
              <w:pStyle w:val="TableText"/>
              <w:jc w:val="left"/>
            </w:pPr>
            <w:r>
              <w:t xml:space="preserve">Gas engine</w:t>
            </w:r>
          </w:p>
        </w:tc>
        <w:tc>
          <w:tcPr>
            <w:tcW w:w="1145" w:type="dxa"/>
            <w:tcBorders>
              <w:bottom w:val="single" w:sz="4" w:space="0" w:color="000000"/>
            </w:tcBorders>
          </w:tcPr>
          <w:p>
            <w:pPr>
              <w:pStyle w:val="TableText"/>
              <w:jc w:val="left"/>
            </w:pPr>
            <w:r>
              <w:t xml:space="preserve">Absorption chiller</w:t>
            </w:r>
          </w:p>
        </w:tc>
        <w:tc>
          <w:tcPr>
            <w:tcW w:w="934" w:type="dxa"/>
            <w:tcBorders>
              <w:bottom w:val="single" w:sz="4" w:space="0" w:color="000000"/>
            </w:tcBorders>
          </w:tcPr>
          <w:p>
            <w:pPr>
              <w:pStyle w:val="TableText"/>
              <w:jc w:val="left"/>
            </w:pPr>
            <w:r>
              <w:t xml:space="preserve">Joint recovery</w:t>
            </w:r>
          </w:p>
        </w:tc>
        <w:tc>
          <w:tcPr>
            <w:tcW w:w="1204" w:type="dxa"/>
            <w:tcBorders>
              <w:bottom w:val="single" w:sz="4" w:space="0" w:color="000000"/>
            </w:tcBorders>
          </w:tcPr>
          <w:p>
            <w:pPr>
              <w:pStyle w:val="TableText"/>
              <w:jc w:val="left"/>
            </w:pPr>
            <w:r>
              <w:t xml:space="preserve">Cross-event foresight</w:t>
            </w:r>
          </w:p>
        </w:tc>
      </w:tr>
      <w:tr>
        <w:tc>
          <w:tcPr>
            <w:tcW w:w="2442" w:type="dxa"/>
          </w:tcPr>
          <w:p>
            <w:pPr>
              <w:pStyle w:val="TableText"/>
              <w:jc w:val="left"/>
            </w:pPr>
            <w:r>
              <w:t xml:space="preserve">R1 BESS only</w:t>
            </w:r>
          </w:p>
        </w:tc>
        <w:tc>
          <w:tcPr>
            <w:tcW w:w="1024" w:type="dxa"/>
          </w:tcPr>
          <w:p>
            <w:pPr>
              <w:pStyle w:val="TableText"/>
              <w:jc w:val="left"/>
            </w:pPr>
            <w:r>
              <w:t xml:space="preserve">×</w:t>
            </w:r>
          </w:p>
        </w:tc>
        <w:tc>
          <w:tcPr>
            <w:tcW w:w="723" w:type="dxa"/>
          </w:tcPr>
          <w:p>
            <w:pPr>
              <w:pStyle w:val="TableText"/>
              <w:jc w:val="left"/>
            </w:pPr>
            <w:r>
              <w:t xml:space="preserve">✓</w:t>
            </w:r>
          </w:p>
        </w:tc>
        <w:tc>
          <w:tcPr>
            <w:tcW w:w="814" w:type="dxa"/>
          </w:tcPr>
          <w:p>
            <w:pPr>
              <w:pStyle w:val="TableText"/>
              <w:jc w:val="left"/>
            </w:pPr>
            <w:r>
              <w:t xml:space="preserve">×</w:t>
            </w:r>
          </w:p>
        </w:tc>
        <w:tc>
          <w:tcPr>
            <w:tcW w:w="784" w:type="dxa"/>
          </w:tcPr>
          <w:p>
            <w:pPr>
              <w:pStyle w:val="TableText"/>
              <w:jc w:val="left"/>
            </w:pPr>
            <w:r>
              <w:t xml:space="preserve">✓</w:t>
            </w:r>
          </w:p>
        </w:tc>
        <w:tc>
          <w:tcPr>
            <w:tcW w:w="1145" w:type="dxa"/>
          </w:tcPr>
          <w:p>
            <w:pPr>
              <w:pStyle w:val="TableText"/>
              <w:jc w:val="left"/>
            </w:pPr>
            <w:r>
              <w:t xml:space="preserve">✓</w:t>
            </w:r>
          </w:p>
        </w:tc>
        <w:tc>
          <w:tcPr>
            <w:tcW w:w="934" w:type="dxa"/>
          </w:tcPr>
          <w:p>
            <w:pPr>
              <w:pStyle w:val="TableText"/>
              <w:jc w:val="left"/>
            </w:pPr>
            <w:r>
              <w:t xml:space="preserve">–</w:t>
            </w:r>
          </w:p>
        </w:tc>
        <w:tc>
          <w:tcPr>
            <w:tcW w:w="1204" w:type="dxa"/>
          </w:tcPr>
          <w:p>
            <w:pPr>
              <w:pStyle w:val="TableText"/>
              <w:jc w:val="left"/>
            </w:pPr>
            <w:r>
              <w:t xml:space="preserve">✓</w:t>
            </w:r>
          </w:p>
        </w:tc>
      </w:tr>
      <w:tr>
        <w:tc>
          <w:tcPr>
            <w:tcW w:w="2442" w:type="dxa"/>
          </w:tcPr>
          <w:p>
            <w:pPr>
              <w:pStyle w:val="TableText"/>
              <w:jc w:val="left"/>
            </w:pPr>
            <w:r>
              <w:t xml:space="preserve">R2 Compute only</w:t>
            </w:r>
          </w:p>
        </w:tc>
        <w:tc>
          <w:tcPr>
            <w:tcW w:w="1024" w:type="dxa"/>
          </w:tcPr>
          <w:p>
            <w:pPr>
              <w:pStyle w:val="TableText"/>
              <w:jc w:val="left"/>
            </w:pPr>
            <w:r>
              <w:t xml:space="preserve">✓</w:t>
            </w:r>
          </w:p>
        </w:tc>
        <w:tc>
          <w:tcPr>
            <w:tcW w:w="723" w:type="dxa"/>
          </w:tcPr>
          <w:p>
            <w:pPr>
              <w:pStyle w:val="TableText"/>
              <w:jc w:val="left"/>
            </w:pPr>
            <w:r>
              <w:t xml:space="preserve">×</w:t>
            </w:r>
          </w:p>
        </w:tc>
        <w:tc>
          <w:tcPr>
            <w:tcW w:w="814" w:type="dxa"/>
          </w:tcPr>
          <w:p>
            <w:pPr>
              <w:pStyle w:val="TableText"/>
              <w:jc w:val="left"/>
            </w:pPr>
            <w:r>
              <w:t xml:space="preserve">×</w:t>
            </w:r>
          </w:p>
        </w:tc>
        <w:tc>
          <w:tcPr>
            <w:tcW w:w="784" w:type="dxa"/>
          </w:tcPr>
          <w:p>
            <w:pPr>
              <w:pStyle w:val="TableText"/>
              <w:jc w:val="left"/>
            </w:pPr>
            <w:r>
              <w:t xml:space="preserve">✓</w:t>
            </w:r>
          </w:p>
        </w:tc>
        <w:tc>
          <w:tcPr>
            <w:tcW w:w="1145" w:type="dxa"/>
          </w:tcPr>
          <w:p>
            <w:pPr>
              <w:pStyle w:val="TableText"/>
              <w:jc w:val="left"/>
            </w:pPr>
            <w:r>
              <w:t xml:space="preserve">✓</w:t>
            </w:r>
          </w:p>
        </w:tc>
        <w:tc>
          <w:tcPr>
            <w:tcW w:w="934" w:type="dxa"/>
          </w:tcPr>
          <w:p>
            <w:pPr>
              <w:pStyle w:val="TableText"/>
              <w:jc w:val="left"/>
            </w:pPr>
            <w:r>
              <w:t xml:space="preserve">–</w:t>
            </w:r>
          </w:p>
        </w:tc>
        <w:tc>
          <w:tcPr>
            <w:tcW w:w="1204" w:type="dxa"/>
          </w:tcPr>
          <w:p>
            <w:pPr>
              <w:pStyle w:val="TableText"/>
              <w:jc w:val="left"/>
            </w:pPr>
            <w:r>
              <w:t xml:space="preserve">✓</w:t>
            </w:r>
          </w:p>
        </w:tc>
      </w:tr>
      <w:tr>
        <w:tc>
          <w:tcPr>
            <w:tcW w:w="2442" w:type="dxa"/>
          </w:tcPr>
          <w:p>
            <w:pPr>
              <w:pStyle w:val="TableText"/>
              <w:jc w:val="left"/>
            </w:pPr>
            <w:r>
              <w:t xml:space="preserve">R3 Compute + BESS</w:t>
            </w:r>
          </w:p>
        </w:tc>
        <w:tc>
          <w:tcPr>
            <w:tcW w:w="1024" w:type="dxa"/>
          </w:tcPr>
          <w:p>
            <w:pPr>
              <w:pStyle w:val="TableText"/>
              <w:jc w:val="left"/>
            </w:pPr>
            <w:r>
              <w:t xml:space="preserve">✓</w:t>
            </w:r>
          </w:p>
        </w:tc>
        <w:tc>
          <w:tcPr>
            <w:tcW w:w="723" w:type="dxa"/>
          </w:tcPr>
          <w:p>
            <w:pPr>
              <w:pStyle w:val="TableText"/>
              <w:jc w:val="left"/>
            </w:pPr>
            <w:r>
              <w:t xml:space="preserve">✓</w:t>
            </w:r>
          </w:p>
        </w:tc>
        <w:tc>
          <w:tcPr>
            <w:tcW w:w="814" w:type="dxa"/>
          </w:tcPr>
          <w:p>
            <w:pPr>
              <w:pStyle w:val="TableText"/>
              <w:jc w:val="left"/>
            </w:pPr>
            <w:r>
              <w:t xml:space="preserve">×</w:t>
            </w:r>
          </w:p>
        </w:tc>
        <w:tc>
          <w:tcPr>
            <w:tcW w:w="784" w:type="dxa"/>
          </w:tcPr>
          <w:p>
            <w:pPr>
              <w:pStyle w:val="TableText"/>
              <w:jc w:val="left"/>
            </w:pPr>
            <w:r>
              <w:t xml:space="preserve">✓</w:t>
            </w:r>
          </w:p>
        </w:tc>
        <w:tc>
          <w:tcPr>
            <w:tcW w:w="1145" w:type="dxa"/>
          </w:tcPr>
          <w:p>
            <w:pPr>
              <w:pStyle w:val="TableText"/>
              <w:jc w:val="left"/>
            </w:pPr>
            <w:r>
              <w:t xml:space="preserve">✓</w:t>
            </w:r>
          </w:p>
        </w:tc>
        <w:tc>
          <w:tcPr>
            <w:tcW w:w="934" w:type="dxa"/>
          </w:tcPr>
          <w:p>
            <w:pPr>
              <w:pStyle w:val="TableText"/>
              <w:jc w:val="left"/>
            </w:pPr>
            <w:r>
              <w:t xml:space="preserve">✓</w:t>
            </w:r>
          </w:p>
        </w:tc>
        <w:tc>
          <w:tcPr>
            <w:tcW w:w="1204" w:type="dxa"/>
          </w:tcPr>
          <w:p>
            <w:pPr>
              <w:pStyle w:val="TableText"/>
              <w:jc w:val="left"/>
            </w:pPr>
            <w:r>
              <w:t xml:space="preserve">✓</w:t>
            </w:r>
          </w:p>
        </w:tc>
      </w:tr>
      <w:tr>
        <w:tc>
          <w:tcPr>
            <w:tcW w:w="2442" w:type="dxa"/>
          </w:tcPr>
          <w:p>
            <w:pPr>
              <w:pStyle w:val="TableText"/>
              <w:jc w:val="left"/>
            </w:pPr>
            <w:r>
              <w:t xml:space="preserve">D1 w/o gas engine</w:t>
            </w:r>
          </w:p>
        </w:tc>
        <w:tc>
          <w:tcPr>
            <w:tcW w:w="1024" w:type="dxa"/>
          </w:tcPr>
          <w:p>
            <w:pPr>
              <w:pStyle w:val="TableText"/>
              <w:jc w:val="left"/>
            </w:pPr>
            <w:r>
              <w:t xml:space="preserve">✓</w:t>
            </w:r>
          </w:p>
        </w:tc>
        <w:tc>
          <w:tcPr>
            <w:tcW w:w="723" w:type="dxa"/>
          </w:tcPr>
          <w:p>
            <w:pPr>
              <w:pStyle w:val="TableText"/>
              <w:jc w:val="left"/>
            </w:pPr>
            <w:r>
              <w:t xml:space="preserve">✓</w:t>
            </w:r>
          </w:p>
        </w:tc>
        <w:tc>
          <w:tcPr>
            <w:tcW w:w="814" w:type="dxa"/>
          </w:tcPr>
          <w:p>
            <w:pPr>
              <w:pStyle w:val="TableText"/>
              <w:jc w:val="left"/>
            </w:pPr>
            <w:r>
              <w:t xml:space="preserve">✓</w:t>
            </w:r>
          </w:p>
        </w:tc>
        <w:tc>
          <w:tcPr>
            <w:tcW w:w="784" w:type="dxa"/>
          </w:tcPr>
          <w:p>
            <w:pPr>
              <w:pStyle w:val="TableText"/>
              <w:jc w:val="left"/>
            </w:pPr>
            <w:r>
              <w:t xml:space="preserve">×</w:t>
            </w:r>
          </w:p>
        </w:tc>
        <w:tc>
          <w:tcPr>
            <w:tcW w:w="1145" w:type="dxa"/>
          </w:tcPr>
          <w:p>
            <w:pPr>
              <w:pStyle w:val="TableText"/>
              <w:jc w:val="left"/>
            </w:pPr>
            <w:r>
              <w:t xml:space="preserve">× (no heat)</w:t>
            </w:r>
          </w:p>
        </w:tc>
        <w:tc>
          <w:tcPr>
            <w:tcW w:w="934" w:type="dxa"/>
          </w:tcPr>
          <w:p>
            <w:pPr>
              <w:pStyle w:val="TableText"/>
              <w:jc w:val="left"/>
            </w:pPr>
            <w:r>
              <w:t xml:space="preserve">✓</w:t>
            </w:r>
          </w:p>
        </w:tc>
        <w:tc>
          <w:tcPr>
            <w:tcW w:w="1204" w:type="dxa"/>
          </w:tcPr>
          <w:p>
            <w:pPr>
              <w:pStyle w:val="TableText"/>
              <w:jc w:val="left"/>
            </w:pPr>
            <w:r>
              <w:t xml:space="preserve">✓</w:t>
            </w:r>
          </w:p>
        </w:tc>
      </w:tr>
      <w:tr>
        <w:tc>
          <w:tcPr>
            <w:tcW w:w="2442" w:type="dxa"/>
          </w:tcPr>
          <w:p>
            <w:pPr>
              <w:pStyle w:val="TableText"/>
              <w:jc w:val="left"/>
            </w:pPr>
            <w:r>
              <w:t xml:space="preserve">D2 w/o absorption chiller</w:t>
            </w:r>
          </w:p>
        </w:tc>
        <w:tc>
          <w:tcPr>
            <w:tcW w:w="1024" w:type="dxa"/>
          </w:tcPr>
          <w:p>
            <w:pPr>
              <w:pStyle w:val="TableText"/>
              <w:jc w:val="left"/>
            </w:pPr>
            <w:r>
              <w:t xml:space="preserve">✓</w:t>
            </w:r>
          </w:p>
        </w:tc>
        <w:tc>
          <w:tcPr>
            <w:tcW w:w="723" w:type="dxa"/>
          </w:tcPr>
          <w:p>
            <w:pPr>
              <w:pStyle w:val="TableText"/>
              <w:jc w:val="left"/>
            </w:pPr>
            <w:r>
              <w:t xml:space="preserve">✓</w:t>
            </w:r>
          </w:p>
        </w:tc>
        <w:tc>
          <w:tcPr>
            <w:tcW w:w="814" w:type="dxa"/>
          </w:tcPr>
          <w:p>
            <w:pPr>
              <w:pStyle w:val="TableText"/>
              <w:jc w:val="left"/>
            </w:pPr>
            <w:r>
              <w:t xml:space="preserve">✓</w:t>
            </w:r>
          </w:p>
        </w:tc>
        <w:tc>
          <w:tcPr>
            <w:tcW w:w="784" w:type="dxa"/>
          </w:tcPr>
          <w:p>
            <w:pPr>
              <w:pStyle w:val="TableText"/>
              <w:jc w:val="left"/>
            </w:pPr>
            <w:r>
              <w:t xml:space="preserve">✓</w:t>
            </w:r>
          </w:p>
        </w:tc>
        <w:tc>
          <w:tcPr>
            <w:tcW w:w="1145" w:type="dxa"/>
          </w:tcPr>
          <w:p>
            <w:pPr>
              <w:pStyle w:val="TableText"/>
              <w:jc w:val="left"/>
            </w:pPr>
            <w:r>
              <w:t xml:space="preserve">×</w:t>
            </w:r>
          </w:p>
        </w:tc>
        <w:tc>
          <w:tcPr>
            <w:tcW w:w="934" w:type="dxa"/>
          </w:tcPr>
          <w:p>
            <w:pPr>
              <w:pStyle w:val="TableText"/>
              <w:jc w:val="left"/>
            </w:pPr>
            <w:r>
              <w:t xml:space="preserve">✓</w:t>
            </w:r>
          </w:p>
        </w:tc>
        <w:tc>
          <w:tcPr>
            <w:tcW w:w="1204" w:type="dxa"/>
          </w:tcPr>
          <w:p>
            <w:pPr>
              <w:pStyle w:val="TableText"/>
              <w:jc w:val="left"/>
            </w:pPr>
            <w:r>
              <w:t xml:space="preserve">✓</w:t>
            </w:r>
          </w:p>
        </w:tc>
      </w:tr>
      <w:tr>
        <w:tc>
          <w:tcPr>
            <w:tcW w:w="2442" w:type="dxa"/>
          </w:tcPr>
          <w:p>
            <w:pPr>
              <w:pStyle w:val="TableText"/>
              <w:jc w:val="left"/>
            </w:pPr>
            <w:r>
              <w:t xml:space="preserve">D3 w/o cold storage</w:t>
            </w:r>
          </w:p>
        </w:tc>
        <w:tc>
          <w:tcPr>
            <w:tcW w:w="1024" w:type="dxa"/>
          </w:tcPr>
          <w:p>
            <w:pPr>
              <w:pStyle w:val="TableText"/>
              <w:jc w:val="left"/>
            </w:pPr>
            <w:r>
              <w:t xml:space="preserve">✓</w:t>
            </w:r>
          </w:p>
        </w:tc>
        <w:tc>
          <w:tcPr>
            <w:tcW w:w="723" w:type="dxa"/>
          </w:tcPr>
          <w:p>
            <w:pPr>
              <w:pStyle w:val="TableText"/>
              <w:jc w:val="left"/>
            </w:pPr>
            <w:r>
              <w:t xml:space="preserve">✓</w:t>
            </w:r>
          </w:p>
        </w:tc>
        <w:tc>
          <w:tcPr>
            <w:tcW w:w="814" w:type="dxa"/>
          </w:tcPr>
          <w:p>
            <w:pPr>
              <w:pStyle w:val="TableText"/>
              <w:jc w:val="left"/>
            </w:pPr>
            <w:r>
              <w:t xml:space="preserve">×</w:t>
            </w:r>
          </w:p>
        </w:tc>
        <w:tc>
          <w:tcPr>
            <w:tcW w:w="784" w:type="dxa"/>
          </w:tcPr>
          <w:p>
            <w:pPr>
              <w:pStyle w:val="TableText"/>
              <w:jc w:val="left"/>
            </w:pPr>
            <w:r>
              <w:t xml:space="preserve">✓</w:t>
            </w:r>
          </w:p>
        </w:tc>
        <w:tc>
          <w:tcPr>
            <w:tcW w:w="1145" w:type="dxa"/>
          </w:tcPr>
          <w:p>
            <w:pPr>
              <w:pStyle w:val="TableText"/>
              <w:jc w:val="left"/>
            </w:pPr>
            <w:r>
              <w:t xml:space="preserve">✓</w:t>
            </w:r>
          </w:p>
        </w:tc>
        <w:tc>
          <w:tcPr>
            <w:tcW w:w="934" w:type="dxa"/>
          </w:tcPr>
          <w:p>
            <w:pPr>
              <w:pStyle w:val="TableText"/>
              <w:jc w:val="left"/>
            </w:pPr>
            <w:r>
              <w:t xml:space="preserve">✓</w:t>
            </w:r>
          </w:p>
        </w:tc>
        <w:tc>
          <w:tcPr>
            <w:tcW w:w="1204" w:type="dxa"/>
          </w:tcPr>
          <w:p>
            <w:pPr>
              <w:pStyle w:val="TableText"/>
              <w:jc w:val="left"/>
            </w:pPr>
            <w:r>
              <w:t xml:space="preserve">✓</w:t>
            </w:r>
          </w:p>
        </w:tc>
      </w:tr>
      <w:tr>
        <w:tc>
          <w:tcPr>
            <w:tcW w:w="2442" w:type="dxa"/>
          </w:tcPr>
          <w:p>
            <w:pPr>
              <w:pStyle w:val="TableText"/>
              <w:jc w:val="left"/>
            </w:pPr>
            <w:r>
              <w:t xml:space="preserve">D4 w/o all three</w:t>
            </w:r>
          </w:p>
        </w:tc>
        <w:tc>
          <w:tcPr>
            <w:tcW w:w="1024" w:type="dxa"/>
          </w:tcPr>
          <w:p>
            <w:pPr>
              <w:pStyle w:val="TableText"/>
              <w:jc w:val="left"/>
            </w:pPr>
            <w:r>
              <w:t xml:space="preserve">✓</w:t>
            </w:r>
          </w:p>
        </w:tc>
        <w:tc>
          <w:tcPr>
            <w:tcW w:w="723" w:type="dxa"/>
          </w:tcPr>
          <w:p>
            <w:pPr>
              <w:pStyle w:val="TableText"/>
              <w:jc w:val="left"/>
            </w:pPr>
            <w:r>
              <w:t xml:space="preserve">✓</w:t>
            </w:r>
          </w:p>
        </w:tc>
        <w:tc>
          <w:tcPr>
            <w:tcW w:w="814" w:type="dxa"/>
          </w:tcPr>
          <w:p>
            <w:pPr>
              <w:pStyle w:val="TableText"/>
              <w:jc w:val="left"/>
            </w:pPr>
            <w:r>
              <w:t xml:space="preserve">×</w:t>
            </w:r>
          </w:p>
        </w:tc>
        <w:tc>
          <w:tcPr>
            <w:tcW w:w="784" w:type="dxa"/>
          </w:tcPr>
          <w:p>
            <w:pPr>
              <w:pStyle w:val="TableText"/>
              <w:jc w:val="left"/>
            </w:pPr>
            <w:r>
              <w:t xml:space="preserve">×</w:t>
            </w:r>
          </w:p>
        </w:tc>
        <w:tc>
          <w:tcPr>
            <w:tcW w:w="1145" w:type="dxa"/>
          </w:tcPr>
          <w:p>
            <w:pPr>
              <w:pStyle w:val="TableText"/>
              <w:jc w:val="left"/>
            </w:pPr>
            <w:r>
              <w:t xml:space="preserve">×</w:t>
            </w:r>
          </w:p>
        </w:tc>
        <w:tc>
          <w:tcPr>
            <w:tcW w:w="934" w:type="dxa"/>
          </w:tcPr>
          <w:p>
            <w:pPr>
              <w:pStyle w:val="TableText"/>
              <w:jc w:val="left"/>
            </w:pPr>
            <w:r>
              <w:t xml:space="preserve">✓</w:t>
            </w:r>
          </w:p>
        </w:tc>
        <w:tc>
          <w:tcPr>
            <w:tcW w:w="1204" w:type="dxa"/>
          </w:tcPr>
          <w:p>
            <w:pPr>
              <w:pStyle w:val="TableText"/>
              <w:jc w:val="left"/>
            </w:pPr>
            <w:r>
              <w:t xml:space="preserve">✓</w:t>
            </w:r>
          </w:p>
        </w:tc>
      </w:tr>
      <w:tr>
        <w:tc>
          <w:tcPr>
            <w:tcW w:w="2442" w:type="dxa"/>
          </w:tcPr>
          <w:p>
            <w:pPr>
              <w:pStyle w:val="TableText"/>
              <w:jc w:val="left"/>
            </w:pPr>
            <w:r>
              <w:t xml:space="preserve">IR-O* / IR-P</w:t>
            </w:r>
          </w:p>
        </w:tc>
        <w:tc>
          <w:tcPr>
            <w:tcW w:w="1024" w:type="dxa"/>
          </w:tcPr>
          <w:p>
            <w:pPr>
              <w:pStyle w:val="TableText"/>
              <w:jc w:val="left"/>
            </w:pPr>
            <w:r>
              <w:t xml:space="preserve">✓</w:t>
            </w:r>
          </w:p>
        </w:tc>
        <w:tc>
          <w:tcPr>
            <w:tcW w:w="723" w:type="dxa"/>
          </w:tcPr>
          <w:p>
            <w:pPr>
              <w:pStyle w:val="TableText"/>
              <w:jc w:val="left"/>
            </w:pPr>
            <w:r>
              <w:t xml:space="preserve">✓</w:t>
            </w:r>
          </w:p>
        </w:tc>
        <w:tc>
          <w:tcPr>
            <w:tcW w:w="814" w:type="dxa"/>
          </w:tcPr>
          <w:p>
            <w:pPr>
              <w:pStyle w:val="TableText"/>
              <w:jc w:val="left"/>
            </w:pPr>
            <w:r>
              <w:t xml:space="preserve">✓</w:t>
            </w:r>
          </w:p>
        </w:tc>
        <w:tc>
          <w:tcPr>
            <w:tcW w:w="784" w:type="dxa"/>
          </w:tcPr>
          <w:p>
            <w:pPr>
              <w:pStyle w:val="TableText"/>
              <w:jc w:val="left"/>
            </w:pPr>
            <w:r>
              <w:t xml:space="preserve">✓</w:t>
            </w:r>
          </w:p>
        </w:tc>
        <w:tc>
          <w:tcPr>
            <w:tcW w:w="1145" w:type="dxa"/>
          </w:tcPr>
          <w:p>
            <w:pPr>
              <w:pStyle w:val="TableText"/>
              <w:jc w:val="left"/>
            </w:pPr>
            <w:r>
              <w:t xml:space="preserve">✓</w:t>
            </w:r>
          </w:p>
        </w:tc>
        <w:tc>
          <w:tcPr>
            <w:tcW w:w="934" w:type="dxa"/>
          </w:tcPr>
          <w:p>
            <w:pPr>
              <w:pStyle w:val="TableText"/>
              <w:jc w:val="left"/>
            </w:pPr>
            <w:r>
              <w:t xml:space="preserve">×</w:t>
            </w:r>
          </w:p>
        </w:tc>
        <w:tc>
          <w:tcPr>
            <w:tcW w:w="1204" w:type="dxa"/>
          </w:tcPr>
          <w:p>
            <w:pPr>
              <w:pStyle w:val="TableText"/>
              <w:jc w:val="left"/>
            </w:pPr>
            <w:r>
              <w:t xml:space="preserve">✓</w:t>
            </w:r>
          </w:p>
        </w:tc>
      </w:tr>
      <w:tr>
        <w:tc>
          <w:tcPr>
            <w:tcW w:w="2442" w:type="dxa"/>
          </w:tcPr>
          <w:p>
            <w:pPr>
              <w:pStyle w:val="TableText"/>
              <w:jc w:val="left"/>
            </w:pPr>
            <w:r>
              <w:t xml:space="preserve">JR-M</w:t>
            </w:r>
          </w:p>
        </w:tc>
        <w:tc>
          <w:tcPr>
            <w:tcW w:w="1024" w:type="dxa"/>
          </w:tcPr>
          <w:p>
            <w:pPr>
              <w:pStyle w:val="TableText"/>
              <w:jc w:val="left"/>
            </w:pPr>
            <w:r>
              <w:t xml:space="preserve">✓</w:t>
            </w:r>
          </w:p>
        </w:tc>
        <w:tc>
          <w:tcPr>
            <w:tcW w:w="723" w:type="dxa"/>
          </w:tcPr>
          <w:p>
            <w:pPr>
              <w:pStyle w:val="TableText"/>
              <w:jc w:val="left"/>
            </w:pPr>
            <w:r>
              <w:t xml:space="preserve">✓</w:t>
            </w:r>
          </w:p>
        </w:tc>
        <w:tc>
          <w:tcPr>
            <w:tcW w:w="814" w:type="dxa"/>
          </w:tcPr>
          <w:p>
            <w:pPr>
              <w:pStyle w:val="TableText"/>
              <w:jc w:val="left"/>
            </w:pPr>
            <w:r>
              <w:t xml:space="preserve">✓</w:t>
            </w:r>
          </w:p>
        </w:tc>
        <w:tc>
          <w:tcPr>
            <w:tcW w:w="784" w:type="dxa"/>
          </w:tcPr>
          <w:p>
            <w:pPr>
              <w:pStyle w:val="TableText"/>
              <w:jc w:val="left"/>
            </w:pPr>
            <w:r>
              <w:t xml:space="preserve">✓</w:t>
            </w:r>
          </w:p>
        </w:tc>
        <w:tc>
          <w:tcPr>
            <w:tcW w:w="1145" w:type="dxa"/>
          </w:tcPr>
          <w:p>
            <w:pPr>
              <w:pStyle w:val="TableText"/>
              <w:jc w:val="left"/>
            </w:pPr>
            <w:r>
              <w:t xml:space="preserve">✓</w:t>
            </w:r>
          </w:p>
        </w:tc>
        <w:tc>
          <w:tcPr>
            <w:tcW w:w="934" w:type="dxa"/>
          </w:tcPr>
          <w:p>
            <w:pPr>
              <w:pStyle w:val="TableText"/>
              <w:jc w:val="left"/>
            </w:pPr>
            <w:r>
              <w:t xml:space="preserve">✓</w:t>
            </w:r>
          </w:p>
        </w:tc>
        <w:tc>
          <w:tcPr>
            <w:tcW w:w="1204" w:type="dxa"/>
          </w:tcPr>
          <w:p>
            <w:pPr>
              <w:pStyle w:val="TableText"/>
              <w:jc w:val="left"/>
            </w:pPr>
            <w:r>
              <w:t xml:space="preserve">×</w:t>
            </w:r>
          </w:p>
        </w:tc>
      </w:tr>
      <w:tr>
        <w:tc>
          <w:tcPr>
            <w:tcW w:w="2442" w:type="dxa"/>
          </w:tcPr>
          <w:p>
            <w:pPr>
              <w:pStyle w:val="TableText"/>
              <w:jc w:val="left"/>
            </w:pPr>
            <w:r>
              <w:t xml:space="preserve">JR-D (proposed)</w:t>
            </w:r>
          </w:p>
        </w:tc>
        <w:tc>
          <w:tcPr>
            <w:tcW w:w="1024" w:type="dxa"/>
          </w:tcPr>
          <w:p>
            <w:pPr>
              <w:pStyle w:val="TableText"/>
              <w:jc w:val="left"/>
            </w:pPr>
            <w:r>
              <w:t xml:space="preserve">✓</w:t>
            </w:r>
          </w:p>
        </w:tc>
        <w:tc>
          <w:tcPr>
            <w:tcW w:w="723" w:type="dxa"/>
          </w:tcPr>
          <w:p>
            <w:pPr>
              <w:pStyle w:val="TableText"/>
              <w:jc w:val="left"/>
            </w:pPr>
            <w:r>
              <w:t xml:space="preserve">✓</w:t>
            </w:r>
          </w:p>
        </w:tc>
        <w:tc>
          <w:tcPr>
            <w:tcW w:w="814" w:type="dxa"/>
          </w:tcPr>
          <w:p>
            <w:pPr>
              <w:pStyle w:val="TableText"/>
              <w:jc w:val="left"/>
            </w:pPr>
            <w:r>
              <w:t xml:space="preserve">✓</w:t>
            </w:r>
          </w:p>
        </w:tc>
        <w:tc>
          <w:tcPr>
            <w:tcW w:w="784" w:type="dxa"/>
          </w:tcPr>
          <w:p>
            <w:pPr>
              <w:pStyle w:val="TableText"/>
              <w:jc w:val="left"/>
            </w:pPr>
            <w:r>
              <w:t xml:space="preserve">✓</w:t>
            </w:r>
          </w:p>
        </w:tc>
        <w:tc>
          <w:tcPr>
            <w:tcW w:w="1145" w:type="dxa"/>
          </w:tcPr>
          <w:p>
            <w:pPr>
              <w:pStyle w:val="TableText"/>
              <w:jc w:val="left"/>
            </w:pPr>
            <w:r>
              <w:t xml:space="preserve">✓</w:t>
            </w:r>
          </w:p>
        </w:tc>
        <w:tc>
          <w:tcPr>
            <w:tcW w:w="934" w:type="dxa"/>
          </w:tcPr>
          <w:p>
            <w:pPr>
              <w:pStyle w:val="TableText"/>
              <w:jc w:val="left"/>
            </w:pPr>
            <w:r>
              <w:t xml:space="preserve">✓</w:t>
            </w:r>
          </w:p>
        </w:tc>
        <w:tc>
          <w:tcPr>
            <w:tcW w:w="1204" w:type="dxa"/>
          </w:tcPr>
          <w:p>
            <w:pPr>
              <w:pStyle w:val="TableText"/>
              <w:jc w:val="left"/>
            </w:pPr>
            <w:r>
              <w:t xml:space="preserve">✓</w:t>
            </w:r>
          </w:p>
        </w:tc>
      </w:tr>
    </w:tbl>
    <w:bookmarkEnd w:id="48"/>
    <w:bookmarkStart w:id="49" w:name="implementation"/>
    <w:p>
      <w:pPr>
        <w:pStyle w:val="Heading2"/>
      </w:pPr>
      <w:r>
        <w:t xml:space="preserve">4.4 Implementation</w:t>
      </w:r>
    </w:p>
    <w:p>
      <w:pPr>
        <w:pStyle w:val="FirstParagraph"/>
      </w:pPr>
      <w:r>
        <w:t xml:space="preserve">The models are implemented in MATLAB/GNU Octave and solved with GLPK (Gurobi and</w:t>
      </w:r>
      <w:r>
        <w:t xml:space="preserve"> </w:t>
      </w:r>
      <w:r>
        <w:rPr>
          <w:rStyle w:val="VerbatimChar"/>
        </w:rPr>
        <w:t xml:space="preserve">intlinprog</w:t>
      </w:r>
      <w:r>
        <w:t xml:space="preserve"> </w:t>
      </w:r>
      <w:r>
        <w:t xml:space="preserve">are supported). The intraday MILP has about</w:t>
      </w:r>
      <w:r>
        <w:t xml:space="preserve"> </w:t>
      </w:r>
      <m:oMath>
        <m:sSup>
          <m:e>
            <m:r>
              <m:t>10</m:t>
            </m:r>
          </m:e>
          <m:sup>
            <m:r>
              <m:t>4</m:t>
            </m:r>
          </m:sup>
        </m:sSup>
      </m:oMath>
      <w:r>
        <w:t xml:space="preserve"> </w:t>
      </w:r>
      <w:r>
        <w:t xml:space="preserve">variables and one binary per event; the MILP solves of a closed-loop day take about 5 s for JR-D and about 60 s for JR-S on one CPU core.</w:t>
      </w:r>
    </w:p>
    <w:bookmarkEnd w:id="49"/>
    <w:bookmarkEnd w:id="50"/>
    <w:bookmarkStart w:id="95" w:name="case-studies"/>
    <w:p>
      <w:pPr>
        <w:pStyle w:val="Heading1"/>
      </w:pPr>
      <w:r>
        <w:t xml:space="preserve">5. Case studies</w:t>
      </w:r>
    </w:p>
    <w:bookmarkStart w:id="51" w:name="case-description"/>
    <w:p>
      <w:pPr>
        <w:pStyle w:val="Heading2"/>
      </w:pPr>
      <w:r>
        <w:t xml:space="preserve">5.1 Case description</w:t>
      </w:r>
    </w:p>
    <w:p>
      <w:pPr>
        <w:pStyle w:val="FirstParagraph"/>
      </w:pPr>
      <w:r>
        <w:t xml:space="preserve">The AIDC of Section 2.1 operates under the Jiangsu two-part TOU tariff and DR rules; its parameters are listed in Table A1. All load and weather profiles are derived from public data: the deferrable training and batch work from the Alibaba PAI GPU cluster trace [30], split by task runtime into the classes C1–C3; the online inference load from the Azure LLM inference trace 2024 [31]; and the PV output and chiller COP from ERA5 reanalysis weather of Suzhou in the summer of 2024. The DR day is a hot weekday (5 August 2024, maximum temperature 38.3 °C). The DR baseline is the average of the five preceding workdays [6,32], and the connection limit is</w:t>
      </w:r>
      <w:r>
        <w:t xml:space="preserve"> </w:t>
      </w:r>
      <m:oMath>
        <m:sSup>
          <m:e>
            <m:r>
              <m:t>P</m:t>
            </m:r>
          </m:e>
          <m:sup>
            <m:r>
              <m:t>c</m:t>
            </m:r>
            <m:r>
              <m:t>a</m:t>
            </m:r>
            <m:r>
              <m:t>p</m:t>
            </m:r>
          </m:sup>
        </m:sSup>
      </m:oMath>
      <w:r>
        <w:t xml:space="preserve"> </w:t>
      </w:r>
      <w:r>
        <w:t xml:space="preserve">= 16.03 MW, 1.10 times the typical-day peak of 14.57 MW. Without DR the AIDC imports up to this limit when the BESS recharges in the valley hours (mean daily peak 15.82 MW over the operating days), whereas during the evening events the baseline is 9.4–9.8 MW. The recovery channel (1) is therefore about 6.4 MW wide: it repays both debts of a 7-MW event within a 3-h interval but only part of them within 30 min. The forecasts use the mean of the preceding weekdays for computing, of the available inference days for inference, and of the preceding three days for PV and temperature. The historical days</w:t>
      </w:r>
      <w:r>
        <w:t xml:space="preserve"> </w:t>
      </w:r>
      <m:oMath>
        <m:sSup>
          <m:e>
            <m:r>
              <m:t>Ω</m:t>
            </m:r>
          </m:e>
          <m:sup>
            <m:r>
              <m:t>D</m:t>
            </m:r>
            <m:r>
              <m:t>A</m:t>
            </m:r>
          </m:sup>
        </m:sSup>
      </m:oMath>
      <w:r>
        <w:t xml:space="preserve"> </w:t>
      </w:r>
      <w:r>
        <w:t xml:space="preserve">are the 14 weekdays of the trace before the DR day; the deterministic forecasts and the IR-O* split are tuned on five of them, selected at the 10–90 % quantiles of the daily deferrable load.</w:t>
      </w:r>
    </w:p>
    <w:p>
      <w:pPr>
        <w:pStyle w:val="BodyText"/>
      </w:pPr>
      <w:r>
        <w:t xml:space="preserve">The operating-day set</w:t>
      </w:r>
      <w:r>
        <w:t xml:space="preserve"> </w:t>
      </w:r>
      <m:oMath>
        <m:r>
          <m:t>Ω</m:t>
        </m:r>
      </m:oMath>
      <w:r>
        <w:t xml:space="preserve"> </w:t>
      </w:r>
      <w:r>
        <w:t xml:space="preserve">(scenario S4) contains 26 days, each combining a different PAI weekday after the DR day with a hot summer day and an Azure inference day. On 16 of the 26 days the load without DR deviates from the baseline by more than 1 MW during at least one event, on 14 of them upwards (range −1.45 to +3.30 MW), so the commitments must be delivered under realistic baseline errors. Every strategy is simulated in closed loop on every day, and all statistics are reported with 95 % block-bootstrap confidence intervals over days.</w:t>
      </w:r>
    </w:p>
    <w:p>
      <w:pPr>
        <w:pStyle w:val="BodyText"/>
      </w:pPr>
      <w:r>
        <w:t xml:space="preserve">Table 3 lists the event scenarios. The commitment is uniform across events (</w:t>
      </w:r>
      <m:oMath>
        <m:sSub>
          <m:e>
            <m:r>
              <m:t>C</m:t>
            </m:r>
          </m:e>
          <m:sub>
            <m:r>
              <m:t>k</m:t>
            </m:r>
          </m:sub>
        </m:sSub>
        <m:r>
          <m:rPr>
            <m:sty m:val="p"/>
          </m:rPr>
          <m:t>=</m:t>
        </m:r>
        <m:r>
          <m:t>C</m:t>
        </m:r>
      </m:oMath>
      <w:r>
        <w:t xml:space="preserve">), which corresponds to the standard DR product; non-uniform commitments are examined through the reliability region in Section 5.3. All strategies of Section 4.3 use the same MPC settings (15-min step, 18-h horizon), the same commitments and the same settlement rules (Table 2). The static split of IR-O* is re-tuned on</w:t>
      </w:r>
      <w:r>
        <w:t xml:space="preserve"> </w:t>
      </w:r>
      <m:oMath>
        <m:sSup>
          <m:e>
            <m:r>
              <m:t>Ω</m:t>
            </m:r>
          </m:e>
          <m:sup>
            <m:r>
              <m:t>D</m:t>
            </m:r>
            <m:r>
              <m:t>A</m:t>
            </m:r>
          </m:sup>
        </m:sSup>
      </m:oMath>
      <w:r>
        <w:t xml:space="preserve"> </w:t>
      </w:r>
      <w:r>
        <w:t xml:space="preserve">for every commitment level (</w:t>
      </w:r>
      <m:oMath>
        <m:sSup>
          <m:e>
            <m:r>
              <m:t>α</m:t>
            </m:r>
          </m:e>
          <m:sup>
            <m:r>
              <m:rPr>
                <m:lit/>
                <m:sty m:val="p"/>
              </m:rPr>
              <m:t>*</m:t>
            </m:r>
          </m:sup>
        </m:sSup>
      </m:oMath>
      <w:r>
        <w:t xml:space="preserve"> </w:t>
      </w:r>
      <w:r>
        <w:t xml:space="preserve">between 0.2 and 0.9), so that the benchmark always operates in its best day-ahead configuration.</w:t>
      </w:r>
    </w:p>
    <w:p>
      <w:pPr>
        <w:pStyle w:val="TableCaption"/>
      </w:pPr>
      <w:r>
        <w:rPr>
          <w:bCs/>
          <w:b/>
        </w:rPr>
        <w:t xml:space="preserve">Table 3.</w:t>
      </w:r>
      <w:r>
        <w:t xml:space="preserve"> </w:t>
      </w:r>
      <w:r>
        <w:t xml:space="preserve">Event scenarios.</w:t>
      </w:r>
    </w:p>
    <w:tbl>
      <w:tblPr>
        <w:tblStyle w:val="Table"/>
        <w:tblW w:type="pct" w:w="5000"/>
        <w:jc w:val="start"/>
        <w:tblBorders>
          <w:top w:val="single" w:sz="8" w:space="0" w:color="000000"/>
          <w:bottom w:val="single" w:sz="8" w:space="0" w:color="000000"/>
        </w:tblBorders>
        <w:tblLayout w:type="fixed"/>
        <w:tblLook w:firstRow="1" w:lastRow="0" w:firstColumn="0" w:lastColumn="0" w:noHBand="0" w:noVBand="0" w:val="0020"/>
      </w:tblPr>
      <w:tblGrid>
        <w:gridCol w:w="941"/>
        <w:gridCol w:w="2730"/>
        <w:gridCol w:w="1607"/>
        <w:gridCol w:w="1183"/>
        <w:gridCol w:w="2609"/>
      </w:tblGrid>
      <w:tr>
        <w:trPr>
          <w:tblHeader w:val="true"/>
        </w:trPr>
        <w:tc>
          <w:tcPr>
            <w:tcW w:w="941" w:type="dxa"/>
            <w:tcBorders>
              <w:bottom w:val="single" w:sz="4" w:space="0" w:color="000000"/>
            </w:tcBorders>
          </w:tcPr>
          <w:p>
            <w:pPr>
              <w:pStyle w:val="TableText"/>
              <w:jc w:val="left"/>
            </w:pPr>
            <w:r>
              <w:t xml:space="preserve">Scenario</w:t>
            </w:r>
          </w:p>
        </w:tc>
        <w:tc>
          <w:tcPr>
            <w:tcW w:w="2730" w:type="dxa"/>
            <w:tcBorders>
              <w:bottom w:val="single" w:sz="4" w:space="0" w:color="000000"/>
            </w:tcBorders>
          </w:tcPr>
          <w:p>
            <w:pPr>
              <w:pStyle w:val="TableText"/>
              <w:jc w:val="left"/>
            </w:pPr>
            <w:r>
              <w:t xml:space="preserve">Events (h)</w:t>
            </w:r>
          </w:p>
        </w:tc>
        <w:tc>
          <w:tcPr>
            <w:tcW w:w="1607" w:type="dxa"/>
            <w:tcBorders>
              <w:bottom w:val="single" w:sz="4" w:space="0" w:color="000000"/>
            </w:tcBorders>
          </w:tcPr>
          <w:p>
            <w:pPr>
              <w:pStyle w:val="TableText"/>
              <w:jc w:val="left"/>
            </w:pPr>
            <w:r>
              <w:t xml:space="preserve">Notice</w:t>
            </w:r>
          </w:p>
        </w:tc>
        <w:tc>
          <w:tcPr>
            <w:tcW w:w="1183" w:type="dxa"/>
            <w:tcBorders>
              <w:bottom w:val="single" w:sz="4" w:space="0" w:color="000000"/>
            </w:tcBorders>
          </w:tcPr>
          <w:p>
            <w:pPr>
              <w:pStyle w:val="TableText"/>
              <w:jc w:val="left"/>
            </w:pPr>
            <w:r>
              <w:t xml:space="preserve">Price coefficient</w:t>
            </w:r>
          </w:p>
        </w:tc>
        <w:tc>
          <w:tcPr>
            <w:tcW w:w="2609" w:type="dxa"/>
            <w:tcBorders>
              <w:bottom w:val="single" w:sz="4" w:space="0" w:color="000000"/>
            </w:tcBorders>
          </w:tcPr>
          <w:p>
            <w:pPr>
              <w:pStyle w:val="TableText"/>
              <w:jc w:val="left"/>
            </w:pPr>
            <w:r>
              <w:t xml:space="preserve">Purpose</w:t>
            </w:r>
          </w:p>
        </w:tc>
      </w:tr>
      <w:tr>
        <w:tc>
          <w:tcPr>
            <w:tcW w:w="941" w:type="dxa"/>
          </w:tcPr>
          <w:p>
            <w:pPr>
              <w:pStyle w:val="TableText"/>
              <w:jc w:val="left"/>
            </w:pPr>
            <w:r>
              <w:t xml:space="preserve">S1</w:t>
            </w:r>
          </w:p>
        </w:tc>
        <w:tc>
          <w:tcPr>
            <w:tcW w:w="2730" w:type="dxa"/>
          </w:tcPr>
          <w:p>
            <w:pPr>
              <w:pStyle w:val="TableText"/>
              <w:jc w:val="left"/>
            </w:pPr>
            <w:r>
              <w:t xml:space="preserve">17–18, 19–20</w:t>
            </w:r>
          </w:p>
        </w:tc>
        <w:tc>
          <w:tcPr>
            <w:tcW w:w="1607" w:type="dxa"/>
          </w:tcPr>
          <w:p>
            <w:pPr>
              <w:pStyle w:val="TableText"/>
              <w:jc w:val="left"/>
            </w:pPr>
            <w:r>
              <w:t xml:space="preserve">day-ahead</w:t>
            </w:r>
          </w:p>
        </w:tc>
        <w:tc>
          <w:tcPr>
            <w:tcW w:w="1183" w:type="dxa"/>
          </w:tcPr>
          <w:p>
            <w:pPr>
              <w:pStyle w:val="TableText"/>
              <w:jc w:val="left"/>
            </w:pPr>
            <w:r>
              <w:t xml:space="preserve">1.0</w:t>
            </w:r>
          </w:p>
        </w:tc>
        <w:tc>
          <w:tcPr>
            <w:tcW w:w="2609" w:type="dxa"/>
          </w:tcPr>
          <w:p>
            <w:pPr>
              <w:pStyle w:val="TableText"/>
              <w:jc w:val="left"/>
            </w:pPr>
            <w:r>
              <w:t xml:space="preserve">base case (Jiangsu: ≤ 2 agreed events, ≤ 2 h per day)</w:t>
            </w:r>
          </w:p>
        </w:tc>
      </w:tr>
      <w:tr>
        <w:tc>
          <w:tcPr>
            <w:tcW w:w="941" w:type="dxa"/>
          </w:tcPr>
          <w:p>
            <w:pPr>
              <w:pStyle w:val="TableText"/>
              <w:jc w:val="left"/>
            </w:pPr>
            <w:r>
              <w:t xml:space="preserve">S2</w:t>
            </w:r>
          </w:p>
        </w:tc>
        <w:tc>
          <w:tcPr>
            <w:tcW w:w="2730" w:type="dxa"/>
          </w:tcPr>
          <w:p>
            <w:pPr>
              <w:pStyle w:val="TableText"/>
              <w:jc w:val="left"/>
            </w:pPr>
            <w:r>
              <w:t xml:space="preserve">17–18, 18.5–19.5</w:t>
            </w:r>
          </w:p>
        </w:tc>
        <w:tc>
          <w:tcPr>
            <w:tcW w:w="1607" w:type="dxa"/>
          </w:tcPr>
          <w:p>
            <w:pPr>
              <w:pStyle w:val="TableText"/>
              <w:jc w:val="left"/>
            </w:pPr>
            <w:r>
              <w:t xml:space="preserve">day-ahead</w:t>
            </w:r>
          </w:p>
        </w:tc>
        <w:tc>
          <w:tcPr>
            <w:tcW w:w="1183" w:type="dxa"/>
          </w:tcPr>
          <w:p>
            <w:pPr>
              <w:pStyle w:val="TableText"/>
              <w:jc w:val="left"/>
            </w:pPr>
            <w:r>
              <w:t xml:space="preserve">1.0</w:t>
            </w:r>
          </w:p>
        </w:tc>
        <w:tc>
          <w:tcPr>
            <w:tcW w:w="2609" w:type="dxa"/>
          </w:tcPr>
          <w:p>
            <w:pPr>
              <w:pStyle w:val="TableText"/>
              <w:jc w:val="left"/>
            </w:pPr>
            <w:r>
              <w:t xml:space="preserve">short interval τ = 30 min (15 min–3 h in Section 5.4)</w:t>
            </w:r>
          </w:p>
        </w:tc>
      </w:tr>
      <w:tr>
        <w:tc>
          <w:tcPr>
            <w:tcW w:w="941" w:type="dxa"/>
          </w:tcPr>
          <w:p>
            <w:pPr>
              <w:pStyle w:val="TableText"/>
              <w:jc w:val="left"/>
            </w:pPr>
            <w:r>
              <w:t xml:space="preserve">S3</w:t>
            </w:r>
          </w:p>
        </w:tc>
        <w:tc>
          <w:tcPr>
            <w:tcW w:w="2730" w:type="dxa"/>
          </w:tcPr>
          <w:p>
            <w:pPr>
              <w:pStyle w:val="TableText"/>
              <w:jc w:val="left"/>
            </w:pPr>
            <w:r>
              <w:t xml:space="preserve">17–18, 19–20, 21–22</w:t>
            </w:r>
          </w:p>
        </w:tc>
        <w:tc>
          <w:tcPr>
            <w:tcW w:w="1607" w:type="dxa"/>
          </w:tcPr>
          <w:p>
            <w:pPr>
              <w:pStyle w:val="TableText"/>
              <w:jc w:val="left"/>
            </w:pPr>
            <w:r>
              <w:t xml:space="preserve">day-ahead, day-ahead, 3 h</w:t>
            </w:r>
          </w:p>
        </w:tc>
        <w:tc>
          <w:tcPr>
            <w:tcW w:w="1183" w:type="dxa"/>
          </w:tcPr>
          <w:p>
            <w:pPr>
              <w:pStyle w:val="TableText"/>
              <w:jc w:val="left"/>
            </w:pPr>
            <w:r>
              <w:t xml:space="preserve">1.0, 1.0, 1.4</w:t>
            </w:r>
          </w:p>
        </w:tc>
        <w:tc>
          <w:tcPr>
            <w:tcW w:w="2609" w:type="dxa"/>
          </w:tcPr>
          <w:p>
            <w:pPr>
              <w:pStyle w:val="TableText"/>
              <w:jc w:val="left"/>
            </w:pPr>
            <w:r>
              <w:t xml:space="preserve">high stress: additional rapid peak-shaving call</w:t>
            </w:r>
          </w:p>
        </w:tc>
      </w:tr>
      <w:tr>
        <w:tc>
          <w:tcPr>
            <w:tcW w:w="941" w:type="dxa"/>
          </w:tcPr>
          <w:p>
            <w:pPr>
              <w:pStyle w:val="TableText"/>
              <w:jc w:val="left"/>
            </w:pPr>
            <w:r>
              <w:t xml:space="preserve">S4</w:t>
            </w:r>
          </w:p>
        </w:tc>
        <w:tc>
          <w:tcPr>
            <w:tcW w:w="2730" w:type="dxa"/>
          </w:tcPr>
          <w:p>
            <w:pPr>
              <w:pStyle w:val="TableText"/>
              <w:jc w:val="left"/>
            </w:pPr>
            <w:r>
              <w:t xml:space="preserve">S1–S3 on the 26 operating days</w:t>
            </w:r>
          </w:p>
        </w:tc>
        <w:tc>
          <w:tcPr>
            <w:tcW w:w="1607" w:type="dxa"/>
          </w:tcPr>
          <w:p>
            <w:pPr>
              <w:pStyle w:val="TableText"/>
              <w:jc w:val="left"/>
            </w:pPr>
            <w:r>
              <w:t xml:space="preserve">as S1–S3</w:t>
            </w:r>
          </w:p>
        </w:tc>
        <w:tc>
          <w:tcPr>
            <w:tcW w:w="1183" w:type="dxa"/>
          </w:tcPr>
          <w:p>
            <w:pPr>
              <w:pStyle w:val="TableText"/>
              <w:jc w:val="left"/>
            </w:pPr>
            <w:r>
              <w:t xml:space="preserve">as S1–S3</w:t>
            </w:r>
          </w:p>
        </w:tc>
        <w:tc>
          <w:tcPr>
            <w:tcW w:w="2609" w:type="dxa"/>
          </w:tcPr>
          <w:p>
            <w:pPr>
              <w:pStyle w:val="TableText"/>
              <w:jc w:val="left"/>
            </w:pPr>
            <w:r>
              <w:t xml:space="preserve">statistics and economics</w:t>
            </w:r>
          </w:p>
        </w:tc>
      </w:tr>
      <w:tr>
        <w:tc>
          <w:tcPr>
            <w:tcW w:w="941" w:type="dxa"/>
          </w:tcPr>
          <w:p>
            <w:pPr>
              <w:pStyle w:val="TableText"/>
              <w:jc w:val="left"/>
            </w:pPr>
            <w:r>
              <w:t xml:space="preserve">S4-U</w:t>
            </w:r>
          </w:p>
        </w:tc>
        <w:tc>
          <w:tcPr>
            <w:tcW w:w="2730" w:type="dxa"/>
          </w:tcPr>
          <w:p>
            <w:pPr>
              <w:pStyle w:val="TableText"/>
              <w:jc w:val="left"/>
            </w:pPr>
            <w:r>
              <w:t xml:space="preserve">17–18, 19–20, 21–22; third event called with probability 0.6</w:t>
            </w:r>
          </w:p>
        </w:tc>
        <w:tc>
          <w:tcPr>
            <w:tcW w:w="1607" w:type="dxa"/>
          </w:tcPr>
          <w:p>
            <w:pPr>
              <w:pStyle w:val="TableText"/>
              <w:jc w:val="left"/>
            </w:pPr>
            <w:r>
              <w:t xml:space="preserve">day-ahead, day-ahead, 1 h</w:t>
            </w:r>
          </w:p>
        </w:tc>
        <w:tc>
          <w:tcPr>
            <w:tcW w:w="1183" w:type="dxa"/>
          </w:tcPr>
          <w:p>
            <w:pPr>
              <w:pStyle w:val="TableText"/>
              <w:jc w:val="left"/>
            </w:pPr>
            <w:r>
              <w:t xml:space="preserve">1.0, 1.0, 1.6</w:t>
            </w:r>
          </w:p>
        </w:tc>
        <w:tc>
          <w:tcPr>
            <w:tcW w:w="2609" w:type="dxa"/>
          </w:tcPr>
          <w:p>
            <w:pPr>
              <w:pStyle w:val="TableText"/>
              <w:jc w:val="left"/>
            </w:pPr>
            <w:r>
              <w:t xml:space="preserve">event-call uncertainty</w:t>
            </w:r>
          </w:p>
        </w:tc>
      </w:tr>
    </w:tbl>
    <w:bookmarkEnd w:id="51"/>
    <w:bookmarkStart w:id="61" w:name="recovery-mechanism-on-a-typical-day"/>
    <w:p>
      <w:pPr>
        <w:pStyle w:val="Heading2"/>
      </w:pPr>
      <w:r>
        <w:t xml:space="preserve">5.2 Recovery mechanism on a typical day</w:t>
      </w:r>
    </w:p>
    <w:p>
      <w:pPr>
        <w:pStyle w:val="FirstParagraph"/>
      </w:pPr>
      <w:r>
        <w:t xml:space="preserve">Figs. 3, 4 and 5 trace the two events of S2 on a representative operating day with a uniform commitment of 7 MW, and contrast them with the same events 3 h apart. With the 30-min interval, JR-D delivers 8.18 MW in the first and 8.02 MW in the second event, IR-O* delivers 7.00 MW and 6.84 MW and misses full delivery in the second event, and JR-M collapses to 4.64 MW in the second event (Fig. 3a–b). With the 3-h interval all three strategies deliver both events in full (Fig. 4). On this day the shortfall of IR-O* is small (2 % of the commitment); on another operating day it reaches 17 %, and there too the 3-h interval restores full delivery. The difference therefore arises entirely from how the debts of the first event are incurred and repaid.</w:t>
      </w:r>
    </w:p>
    <w:p>
      <w:pPr>
        <w:pStyle w:val="Figure"/>
      </w:pPr>
      <w:r>
        <w:drawing>
          <wp:inline>
            <wp:extent cx="5723999" cy="4213749"/>
            <wp:effectExtent b="0" l="0" r="0" t="0"/>
            <wp:docPr descr="" title="" id="53" name="Picture"/>
            <a:graphic>
              <a:graphicData uri="http://schemas.openxmlformats.org/drawingml/2006/picture">
                <pic:pic>
                  <pic:nvPicPr>
                    <pic:cNvPr descr="/home/user/datacenter/paper/figures/Fig3_power_balance.png" id="54" name="Picture"/>
                    <pic:cNvPicPr>
                      <a:picLocks noChangeArrowheads="1" noChangeAspect="1"/>
                    </pic:cNvPicPr>
                  </pic:nvPicPr>
                  <pic:blipFill>
                    <a:blip r:embed="rId52"/>
                    <a:stretch>
                      <a:fillRect/>
                    </a:stretch>
                  </pic:blipFill>
                  <pic:spPr bwMode="auto">
                    <a:xfrm>
                      <a:off x="0" y="0"/>
                      <a:ext cx="5723999" cy="4213749"/>
                    </a:xfrm>
                    <a:prstGeom prst="rect">
                      <a:avLst/>
                    </a:prstGeom>
                    <a:noFill/>
                    <a:ln w="9525">
                      <a:noFill/>
                      <a:headEnd/>
                      <a:tailEnd/>
                    </a:ln>
                  </pic:spPr>
                </pic:pic>
              </a:graphicData>
            </a:graphic>
          </wp:inline>
        </w:drawing>
      </w:r>
    </w:p>
    <w:p>
      <w:pPr>
        <w:pStyle w:val="FigureCaption"/>
      </w:pPr>
      <w:r>
        <w:rPr>
          <w:bCs/>
          <w:b/>
        </w:rPr>
        <w:t xml:space="preserve">Fig. 3.</w:t>
      </w:r>
      <w:r>
        <w:t xml:space="preserve"> </w:t>
      </w:r>
      <w:r>
        <w:t xml:space="preserve">Power balance on the typical day (S2, 30-min interval, 7 MW, operating day r21) under (a) IR-O* and (b) JR-D: supply (grid import, PV, gas engine, BESS discharge) above zero and demand below zero; events shaded. (c, d) Use of the recovery channel</w:t>
      </w:r>
      <w:r>
        <w:t xml:space="preserve"> </w:t>
      </w:r>
      <m:oMath>
        <m:sSup>
          <m:e>
            <m:r>
              <m:t>P</m:t>
            </m:r>
          </m:e>
          <m:sup>
            <m:r>
              <m:t>c</m:t>
            </m:r>
            <m:r>
              <m:t>a</m:t>
            </m:r>
            <m:r>
              <m:t>p</m:t>
            </m:r>
          </m:sup>
        </m:sSup>
        <m:r>
          <m:rPr>
            <m:sty m:val="p"/>
          </m:rPr>
          <m:t>−</m:t>
        </m:r>
        <m:sSup>
          <m:e>
            <m:r>
              <m:t>P</m:t>
            </m:r>
          </m:e>
          <m:sup>
            <m:r>
              <m:t>b</m:t>
            </m:r>
            <m:r>
              <m:t>a</m:t>
            </m:r>
            <m:r>
              <m:t>s</m:t>
            </m:r>
            <m:r>
              <m:t>e</m:t>
            </m:r>
          </m:sup>
        </m:sSup>
      </m:oMath>
      <w:r>
        <w:t xml:space="preserve"> </w:t>
      </w:r>
      <w:r>
        <w:t xml:space="preserve">for compute catch-up and storage recharge, with the energies drawn in the interval between the events.</w:t>
      </w:r>
    </w:p>
    <w:p>
      <w:pPr>
        <w:pStyle w:val="Figure"/>
      </w:pPr>
      <w:r>
        <w:drawing>
          <wp:inline>
            <wp:extent cx="5695199" cy="3717573"/>
            <wp:effectExtent b="0" l="0" r="0" t="0"/>
            <wp:docPr descr="" title="" id="56" name="Picture"/>
            <a:graphic>
              <a:graphicData uri="http://schemas.openxmlformats.org/drawingml/2006/picture">
                <pic:pic>
                  <pic:nvPicPr>
                    <pic:cNvPr descr="/home/user/datacenter/paper/figures/Fig4_backlog_storage.png" id="57" name="Picture"/>
                    <pic:cNvPicPr>
                      <a:picLocks noChangeArrowheads="1" noChangeAspect="1"/>
                    </pic:cNvPicPr>
                  </pic:nvPicPr>
                  <pic:blipFill>
                    <a:blip r:embed="rId55"/>
                    <a:stretch>
                      <a:fillRect/>
                    </a:stretch>
                  </pic:blipFill>
                  <pic:spPr bwMode="auto">
                    <a:xfrm>
                      <a:off x="0" y="0"/>
                      <a:ext cx="5695199" cy="3717573"/>
                    </a:xfrm>
                    <a:prstGeom prst="rect">
                      <a:avLst/>
                    </a:prstGeom>
                    <a:noFill/>
                    <a:ln w="9525">
                      <a:noFill/>
                      <a:headEnd/>
                      <a:tailEnd/>
                    </a:ln>
                  </pic:spPr>
                </pic:pic>
              </a:graphicData>
            </a:graphic>
          </wp:inline>
        </w:drawing>
      </w:r>
    </w:p>
    <w:p>
      <w:pPr>
        <w:pStyle w:val="FigureCaption"/>
      </w:pPr>
      <w:r>
        <w:rPr>
          <w:bCs/>
          <w:b/>
        </w:rPr>
        <w:t xml:space="preserve">Fig. 4.</w:t>
      </w:r>
      <w:r>
        <w:t xml:space="preserve"> </w:t>
      </w:r>
      <w:r>
        <w:t xml:space="preserve">Recovery states on the typical day for the 30-min (a, c) and the 3-h interval (b, d): (a, b) backlog of the deferrable classes under JR-D and total backlog under IR-O* and JR-M; (c, d) energy in the BESS and the cold storage.</w:t>
      </w:r>
    </w:p>
    <w:p>
      <w:pPr>
        <w:pStyle w:val="Figure"/>
      </w:pPr>
      <w:r>
        <w:drawing>
          <wp:inline>
            <wp:extent cx="5428799" cy="2505599"/>
            <wp:effectExtent b="0" l="0" r="0" t="0"/>
            <wp:docPr descr="" title="" id="59" name="Picture"/>
            <a:graphic>
              <a:graphicData uri="http://schemas.openxmlformats.org/drawingml/2006/picture">
                <pic:pic>
                  <pic:nvPicPr>
                    <pic:cNvPr descr="/home/user/datacenter/paper/figures/Fig5_recovery_sankey.png" id="60" name="Picture"/>
                    <pic:cNvPicPr>
                      <a:picLocks noChangeArrowheads="1" noChangeAspect="1"/>
                    </pic:cNvPicPr>
                  </pic:nvPicPr>
                  <pic:blipFill>
                    <a:blip r:embed="rId58"/>
                    <a:stretch>
                      <a:fillRect/>
                    </a:stretch>
                  </pic:blipFill>
                  <pic:spPr bwMode="auto">
                    <a:xfrm>
                      <a:off x="0" y="0"/>
                      <a:ext cx="5428799" cy="2505599"/>
                    </a:xfrm>
                    <a:prstGeom prst="rect">
                      <a:avLst/>
                    </a:prstGeom>
                    <a:noFill/>
                    <a:ln w="9525">
                      <a:noFill/>
                      <a:headEnd/>
                      <a:tailEnd/>
                    </a:ln>
                  </pic:spPr>
                </pic:pic>
              </a:graphicData>
            </a:graphic>
          </wp:inline>
        </w:drawing>
      </w:r>
    </w:p>
    <w:p>
      <w:pPr>
        <w:pStyle w:val="FigureCaption"/>
      </w:pPr>
      <w:r>
        <w:rPr>
          <w:bCs/>
          <w:b/>
        </w:rPr>
        <w:t xml:space="preserve">Fig. 5.</w:t>
      </w:r>
      <w:r>
        <w:t xml:space="preserve"> </w:t>
      </w:r>
      <w:r>
        <w:t xml:space="preserve">Sources and uses of the recovery energy on the typical day (S2, 7 MW), relative to the no-DR operation of the same day, under (a) IR-O* and (b) JR-D: grid energy drawn through the channel is attributed to the connection margin, gas engine, absorption chiller, PV and cold storage; uses are catch-up and recharge in the interval and after the events.</w:t>
      </w:r>
    </w:p>
    <w:p>
      <w:pPr>
        <w:pStyle w:val="BodyText"/>
      </w:pPr>
      <w:r>
        <w:rPr>
          <w:bCs/>
          <w:b/>
        </w:rPr>
        <w:t xml:space="preserve">Which debt to incur.</w:t>
      </w:r>
      <w:r>
        <w:t xml:space="preserve"> </w:t>
      </w:r>
      <w:r>
        <w:t xml:space="preserve">JR-D defers the long-deadline class C3 during the first event: at its end, 3.0×10³ GPU·h of C3 work are deferred, against 2.0×10³ GPU·h under IR-O* (Fig. 4a). Because C3 does not fall due before the end of the second event, this debt can be carried across it, which is the mechanism of Proposition 2: the necessary catch-up</w:t>
      </w:r>
      <w:r>
        <w:t xml:space="preserve"> </w:t>
      </w:r>
      <m:oMath>
        <m:sSup>
          <m:e>
            <m:r>
              <m:t>c</m:t>
            </m:r>
          </m:e>
          <m:sup>
            <m:r>
              <m:rPr>
                <m:lit/>
                <m:sty m:val="p"/>
              </m:rPr>
              <m:t>*</m:t>
            </m:r>
          </m:sup>
        </m:sSup>
      </m:oMath>
      <w:r>
        <w:t xml:space="preserve"> </w:t>
      </w:r>
      <w:r>
        <w:t xml:space="preserve">is limited to the work that would fall due in the next event.</w:t>
      </w:r>
    </w:p>
    <w:p>
      <w:pPr>
        <w:pStyle w:val="BodyText"/>
      </w:pPr>
      <w:r>
        <w:rPr>
          <w:bCs/>
          <w:b/>
        </w:rPr>
        <w:t xml:space="preserve">How to use the channel.</w:t>
      </w:r>
      <w:r>
        <w:t xml:space="preserve"> </w:t>
      </w:r>
      <w:r>
        <w:t xml:space="preserve">In the 30-min interval the grid import of all strategies reaches the connection limit. IR-O* spends the channel on catch-up and recharges the BESS by only 0.16 MWh, whereas JR-D recharges it by 0.73 MWh and starts the second event with 6.22 MWh instead of 5.91 MWh (Fig. 3c–d). Measured against the no-DR operation, in which the BESS discharges to shave the evening peak, JR-D devotes 57 % of the recovery energy drawn in the interval to the BESS instead of 32 % (Fig. 5). JR-M, which plans each event alone, over-delivers the first event to collect the 120 % payment and empties the BESS to 1.27 MWh; the backlog it leaves cannot be deferred again and the second event fails.</w:t>
      </w:r>
    </w:p>
    <w:p>
      <w:pPr>
        <w:pStyle w:val="BodyText"/>
      </w:pPr>
      <w:r>
        <w:rPr>
          <w:bCs/>
          <w:b/>
        </w:rPr>
        <w:t xml:space="preserve">Who provides the channel.</w:t>
      </w:r>
      <w:r>
        <w:t xml:space="preserve"> </w:t>
      </w:r>
      <w:r>
        <w:t xml:space="preserve">The gas engine and the absorption chiller provide 85 % of the energy that recovery draws through the channel (Fig. 5). The gas engine runs at full output with and without DR, so it adds no energy during recovery but lowers the import by 3 MW and thereby widens the headroom</w:t>
      </w:r>
      <w:r>
        <w:t xml:space="preserve"> </w:t>
      </w:r>
      <m:oMath>
        <m:sSup>
          <m:e>
            <m:r>
              <m:t>P</m:t>
            </m:r>
          </m:e>
          <m:sup>
            <m:r>
              <m:t>c</m:t>
            </m:r>
            <m:r>
              <m:t>a</m:t>
            </m:r>
            <m:r>
              <m:t>p</m:t>
            </m:r>
          </m:sup>
        </m:sSup>
        <m:r>
          <m:rPr>
            <m:sty m:val="p"/>
          </m:rPr>
          <m:t>−</m:t>
        </m:r>
        <m:sSup>
          <m:e>
            <m:r>
              <m:t>P</m:t>
            </m:r>
          </m:e>
          <m:sup>
            <m:r>
              <m:t>b</m:t>
            </m:r>
            <m:r>
              <m:t>a</m:t>
            </m:r>
            <m:r>
              <m:t>s</m:t>
            </m:r>
            <m:r>
              <m:t>e</m:t>
            </m:r>
          </m:sup>
        </m:sSup>
      </m:oMath>
      <w:r>
        <w:t xml:space="preserve">; Section 5.7 quantifies these roles.</w:t>
      </w:r>
    </w:p>
    <w:p>
      <w:pPr>
        <w:pStyle w:val="BodyText"/>
      </w:pPr>
      <w:r>
        <w:t xml:space="preserve">These results confirm that the deliverable reduction of the second event is decided by the recovery state that the first event leaves behind, and that joint recovery shapes this state through both the choice of deferred work and the allocation of the channel.</w:t>
      </w:r>
    </w:p>
    <w:bookmarkEnd w:id="61"/>
    <w:bookmarkStart w:id="68" w:name="firm-consecutive-dr-capacity-1"/>
    <w:p>
      <w:pPr>
        <w:pStyle w:val="Heading2"/>
      </w:pPr>
      <w:r>
        <w:t xml:space="preserve">5.3 Firm consecutive DR capacity</w:t>
      </w:r>
    </w:p>
    <w:p>
      <w:pPr>
        <w:pStyle w:val="FirstParagraph"/>
      </w:pPr>
      <w:r>
        <w:t xml:space="preserve">Fig. 6 shows the share of the 26 operating days on which every event is delivered in full, as a function of the uniform commitment, and Table 4 lists the firm capacities. JR-D firmly delivers 7.5 MW in S1 and in S2 (95 % CI 7.5–8 MW), 94 % of the single-event capability of the second event (7.98 MW). Above this level its share drops to 81 % at 8 MW and to zero at 8.5 MW, where the commitment exceeds what the AIDC can reduce below the baseline at the minimum import of 1.5 MW; this limit is physical, not a recovery limit. JR-M firmly delivers 6.5 MW in S1 but only 4.5 MW in S2, so cross-event foresight adds 1.0 MW (95 % CI 0.5–1.5) with the 1-h interval and 3.0 MW (2.5–3.0) with the 30-min interval. The third, rapid event of S3 makes the evening more demanding: JR-D firmly delivers 6.5 MW per event (4.5–7.0) and JR-M 4.5 MW (1.5–5.0), so foresight adds 2.0 MW (2.0–3.0), while the independent benchmarks deliver all three events in full on at most 77 % of the days at any commitment.</w:t>
      </w:r>
    </w:p>
    <w:p>
      <w:pPr>
        <w:pStyle w:val="Figure"/>
      </w:pPr>
      <w:r>
        <w:drawing>
          <wp:inline>
            <wp:extent cx="5716799" cy="3988961"/>
            <wp:effectExtent b="0" l="0" r="0" t="0"/>
            <wp:docPr descr="" title="" id="63" name="Picture"/>
            <a:graphic>
              <a:graphicData uri="http://schemas.openxmlformats.org/drawingml/2006/picture">
                <pic:pic>
                  <pic:nvPicPr>
                    <pic:cNvPr descr="/home/user/datacenter/paper/figures/Fig6_reliable_capacity.png" id="64" name="Picture"/>
                    <pic:cNvPicPr>
                      <a:picLocks noChangeArrowheads="1" noChangeAspect="1"/>
                    </pic:cNvPicPr>
                  </pic:nvPicPr>
                  <pic:blipFill>
                    <a:blip r:embed="rId62"/>
                    <a:stretch>
                      <a:fillRect/>
                    </a:stretch>
                  </pic:blipFill>
                  <pic:spPr bwMode="auto">
                    <a:xfrm>
                      <a:off x="0" y="0"/>
                      <a:ext cx="5716799" cy="3988961"/>
                    </a:xfrm>
                    <a:prstGeom prst="rect">
                      <a:avLst/>
                    </a:prstGeom>
                    <a:noFill/>
                    <a:ln w="9525">
                      <a:noFill/>
                      <a:headEnd/>
                      <a:tailEnd/>
                    </a:ln>
                  </pic:spPr>
                </pic:pic>
              </a:graphicData>
            </a:graphic>
          </wp:inline>
        </w:drawing>
      </w:r>
    </w:p>
    <w:p>
      <w:pPr>
        <w:pStyle w:val="FigureCaption"/>
      </w:pPr>
      <w:r>
        <w:rPr>
          <w:bCs/>
          <w:b/>
        </w:rPr>
        <w:t xml:space="preserve">Fig. 6.</w:t>
      </w:r>
      <w:r>
        <w:t xml:space="preserve"> </w:t>
      </w:r>
      <w:r>
        <w:t xml:space="preserve">Share of the 26 operating days on which every event is delivered in full (a–c) and on which every event is valid under the 80 % rule (d–f) versus the uniform commitment, for S1, S2 and S3; bands: 95 % block-bootstrap intervals; ticks: firm capacities at 95 %; arrows: gain of JR-D over the best independent benchmark, a lower bound because neither independent benchmark is firm at 1 MW.</w:t>
      </w:r>
    </w:p>
    <w:p>
      <w:pPr>
        <w:pStyle w:val="TableCaption"/>
      </w:pPr>
      <w:r>
        <w:rPr>
          <w:bCs/>
          <w:b/>
        </w:rPr>
        <w:t xml:space="preserve">Table 4.</w:t>
      </w:r>
      <w:r>
        <w:t xml:space="preserve"> </w:t>
      </w:r>
      <w:r>
        <w:t xml:space="preserve">Firm consecutive DR capacity</w:t>
      </w:r>
      <w:r>
        <w:t xml:space="preserve"> </w:t>
      </w:r>
      <m:oMath>
        <m:sSubSup>
          <m:e>
            <m:r>
              <m:t>C</m:t>
            </m:r>
          </m:e>
          <m:sub>
            <m:r>
              <m:t>0.95</m:t>
            </m:r>
          </m:sub>
          <m:sup>
            <m:r>
              <m:t>f</m:t>
            </m:r>
            <m:r>
              <m:t>i</m:t>
            </m:r>
            <m:r>
              <m:t>r</m:t>
            </m:r>
            <m:r>
              <m:t>m</m:t>
            </m:r>
          </m:sup>
        </m:sSubSup>
      </m:oMath>
      <w:r>
        <w:t xml:space="preserve"> </w:t>
      </w:r>
      <w:r>
        <w:t xml:space="preserve">(MW) on the 26 operating days, with 95 % block-bootstrap confidence intervals;</w:t>
      </w:r>
      <w:r>
        <w:t xml:space="preserve"> </w:t>
      </w:r>
      <w:r>
        <w:t xml:space="preserve">“</w:t>
      </w:r>
      <w:r>
        <w:t xml:space="preserve">&lt; 1</w:t>
      </w:r>
      <w:r>
        <w:t xml:space="preserve">”</w:t>
      </w:r>
      <w:r>
        <w:t xml:space="preserve"> </w:t>
      </w:r>
      <w:r>
        <w:t xml:space="preserve">means that full delivery on 95 % of the days is not reached even at 1 MW.</w:t>
      </w:r>
    </w:p>
    <w:tbl>
      <w:tblPr>
        <w:tblStyle w:val="Table"/>
        <w:tblW w:type="pct" w:w="5000"/>
        <w:jc w:val="start"/>
        <w:tblBorders>
          <w:top w:val="single" w:sz="8" w:space="0" w:color="000000"/>
          <w:bottom w:val="single" w:sz="8" w:space="0" w:color="000000"/>
        </w:tblBorders>
        <w:tblLayout w:type="fixed"/>
        <w:tblLook w:firstRow="1" w:lastRow="0" w:firstColumn="0" w:lastColumn="0" w:noHBand="0" w:noVBand="0" w:val="0020"/>
      </w:tblPr>
      <w:tblGrid>
        <w:gridCol w:w="1326"/>
        <w:gridCol w:w="1054"/>
        <w:gridCol w:w="874"/>
        <w:gridCol w:w="1778"/>
        <w:gridCol w:w="1778"/>
        <w:gridCol w:w="2260"/>
      </w:tblGrid>
      <w:tr>
        <w:trPr>
          <w:tblHeader w:val="true"/>
        </w:trPr>
        <w:tc>
          <w:tcPr>
            <w:tcW w:w="1326" w:type="dxa"/>
            <w:tcBorders>
              <w:bottom w:val="single" w:sz="4" w:space="0" w:color="000000"/>
            </w:tcBorders>
          </w:tcPr>
          <w:p>
            <w:pPr>
              <w:pStyle w:val="TableText"/>
              <w:jc w:val="left"/>
            </w:pPr>
            <w:r>
              <w:t xml:space="preserve">Scenario</w:t>
            </w:r>
          </w:p>
        </w:tc>
        <w:tc>
          <w:tcPr>
            <w:tcW w:w="1054" w:type="dxa"/>
            <w:tcBorders>
              <w:bottom w:val="single" w:sz="4" w:space="0" w:color="000000"/>
            </w:tcBorders>
          </w:tcPr>
          <w:p>
            <w:pPr>
              <w:pStyle w:val="TableText"/>
              <w:jc w:val="left"/>
            </w:pPr>
            <w:r>
              <w:t xml:space="preserve">IR-O*</w:t>
            </w:r>
          </w:p>
        </w:tc>
        <w:tc>
          <w:tcPr>
            <w:tcW w:w="874" w:type="dxa"/>
            <w:tcBorders>
              <w:bottom w:val="single" w:sz="4" w:space="0" w:color="000000"/>
            </w:tcBorders>
          </w:tcPr>
          <w:p>
            <w:pPr>
              <w:pStyle w:val="TableText"/>
              <w:jc w:val="left"/>
            </w:pPr>
            <w:r>
              <w:t xml:space="preserve">IR-P</w:t>
            </w:r>
          </w:p>
        </w:tc>
        <w:tc>
          <w:tcPr>
            <w:tcW w:w="1778" w:type="dxa"/>
            <w:tcBorders>
              <w:bottom w:val="single" w:sz="4" w:space="0" w:color="000000"/>
            </w:tcBorders>
          </w:tcPr>
          <w:p>
            <w:pPr>
              <w:pStyle w:val="TableText"/>
              <w:jc w:val="left"/>
            </w:pPr>
            <w:r>
              <w:t xml:space="preserve">JR-M</w:t>
            </w:r>
          </w:p>
        </w:tc>
        <w:tc>
          <w:tcPr>
            <w:tcW w:w="1778" w:type="dxa"/>
            <w:tcBorders>
              <w:bottom w:val="single" w:sz="4" w:space="0" w:color="000000"/>
            </w:tcBorders>
          </w:tcPr>
          <w:p>
            <w:pPr>
              <w:pStyle w:val="TableText"/>
              <w:jc w:val="left"/>
            </w:pPr>
            <w:r>
              <w:t xml:space="preserve">JR-D</w:t>
            </w:r>
          </w:p>
        </w:tc>
        <w:tc>
          <w:tcPr>
            <w:tcW w:w="2260" w:type="dxa"/>
            <w:tcBorders>
              <w:bottom w:val="single" w:sz="4" w:space="0" w:color="000000"/>
            </w:tcBorders>
          </w:tcPr>
          <w:p>
            <w:pPr>
              <w:pStyle w:val="TableText"/>
              <w:jc w:val="left"/>
            </w:pPr>
            <w:r>
              <w:t xml:space="preserve">Foresight gain JR-D − JR-M</w:t>
            </w:r>
          </w:p>
        </w:tc>
      </w:tr>
      <w:tr>
        <w:tc>
          <w:tcPr>
            <w:tcW w:w="1326" w:type="dxa"/>
          </w:tcPr>
          <w:p>
            <w:pPr>
              <w:pStyle w:val="TableText"/>
              <w:jc w:val="left"/>
            </w:pPr>
            <w:r>
              <w:t xml:space="preserve">S1</w:t>
            </w:r>
          </w:p>
        </w:tc>
        <w:tc>
          <w:tcPr>
            <w:tcW w:w="1054" w:type="dxa"/>
          </w:tcPr>
          <w:p>
            <w:pPr>
              <w:pStyle w:val="TableText"/>
              <w:jc w:val="left"/>
            </w:pPr>
            <w:r>
              <w:t xml:space="preserve">&lt; 1</w:t>
            </w:r>
          </w:p>
        </w:tc>
        <w:tc>
          <w:tcPr>
            <w:tcW w:w="874" w:type="dxa"/>
          </w:tcPr>
          <w:p>
            <w:pPr>
              <w:pStyle w:val="TableText"/>
              <w:jc w:val="left"/>
            </w:pPr>
            <w:r>
              <w:t xml:space="preserve">&lt; 1</w:t>
            </w:r>
          </w:p>
        </w:tc>
        <w:tc>
          <w:tcPr>
            <w:tcW w:w="1778" w:type="dxa"/>
          </w:tcPr>
          <w:p>
            <w:pPr>
              <w:pStyle w:val="TableText"/>
              <w:jc w:val="left"/>
            </w:pPr>
            <w:r>
              <w:t xml:space="preserve">6.5 [6.0, 7.0]</w:t>
            </w:r>
          </w:p>
        </w:tc>
        <w:tc>
          <w:tcPr>
            <w:tcW w:w="1778" w:type="dxa"/>
          </w:tcPr>
          <w:p>
            <w:pPr>
              <w:pStyle w:val="TableText"/>
              <w:jc w:val="left"/>
            </w:pPr>
            <w:r>
              <w:t xml:space="preserve">7.5 [7.5, 8.0]</w:t>
            </w:r>
          </w:p>
        </w:tc>
        <w:tc>
          <w:tcPr>
            <w:tcW w:w="2260" w:type="dxa"/>
          </w:tcPr>
          <w:p>
            <w:pPr>
              <w:pStyle w:val="TableText"/>
              <w:jc w:val="left"/>
            </w:pPr>
            <w:r>
              <w:t xml:space="preserve">+1.0 [+0.5, +1.5]</w:t>
            </w:r>
          </w:p>
        </w:tc>
      </w:tr>
      <w:tr>
        <w:tc>
          <w:tcPr>
            <w:tcW w:w="1326" w:type="dxa"/>
          </w:tcPr>
          <w:p>
            <w:pPr>
              <w:pStyle w:val="TableText"/>
              <w:jc w:val="left"/>
            </w:pPr>
            <w:r>
              <w:t xml:space="preserve">S2</w:t>
            </w:r>
          </w:p>
        </w:tc>
        <w:tc>
          <w:tcPr>
            <w:tcW w:w="1054" w:type="dxa"/>
          </w:tcPr>
          <w:p>
            <w:pPr>
              <w:pStyle w:val="TableText"/>
              <w:jc w:val="left"/>
            </w:pPr>
            <w:r>
              <w:t xml:space="preserve">&lt; 1</w:t>
            </w:r>
          </w:p>
        </w:tc>
        <w:tc>
          <w:tcPr>
            <w:tcW w:w="874" w:type="dxa"/>
          </w:tcPr>
          <w:p>
            <w:pPr>
              <w:pStyle w:val="TableText"/>
              <w:jc w:val="left"/>
            </w:pPr>
            <w:r>
              <w:t xml:space="preserve">&lt; 1</w:t>
            </w:r>
          </w:p>
        </w:tc>
        <w:tc>
          <w:tcPr>
            <w:tcW w:w="1778" w:type="dxa"/>
          </w:tcPr>
          <w:p>
            <w:pPr>
              <w:pStyle w:val="TableText"/>
              <w:jc w:val="left"/>
            </w:pPr>
            <w:r>
              <w:t xml:space="preserve">4.5 [4.5, 5.0]</w:t>
            </w:r>
          </w:p>
        </w:tc>
        <w:tc>
          <w:tcPr>
            <w:tcW w:w="1778" w:type="dxa"/>
          </w:tcPr>
          <w:p>
            <w:pPr>
              <w:pStyle w:val="TableText"/>
              <w:jc w:val="left"/>
            </w:pPr>
            <w:r>
              <w:t xml:space="preserve">7.5 [7.5, 8.0]</w:t>
            </w:r>
          </w:p>
        </w:tc>
        <w:tc>
          <w:tcPr>
            <w:tcW w:w="2260" w:type="dxa"/>
          </w:tcPr>
          <w:p>
            <w:pPr>
              <w:pStyle w:val="TableText"/>
              <w:jc w:val="left"/>
            </w:pPr>
            <w:r>
              <w:t xml:space="preserve">+3.0 [+2.5, +3.0]</w:t>
            </w:r>
          </w:p>
        </w:tc>
      </w:tr>
      <w:tr>
        <w:tc>
          <w:tcPr>
            <w:tcW w:w="1326" w:type="dxa"/>
          </w:tcPr>
          <w:p>
            <w:pPr>
              <w:pStyle w:val="TableText"/>
              <w:jc w:val="left"/>
            </w:pPr>
            <w:r>
              <w:t xml:space="preserve">S3</w:t>
            </w:r>
          </w:p>
        </w:tc>
        <w:tc>
          <w:tcPr>
            <w:tcW w:w="1054" w:type="dxa"/>
          </w:tcPr>
          <w:p>
            <w:pPr>
              <w:pStyle w:val="TableText"/>
              <w:jc w:val="left"/>
            </w:pPr>
            <w:r>
              <w:t xml:space="preserve">&lt; 1</w:t>
            </w:r>
          </w:p>
        </w:tc>
        <w:tc>
          <w:tcPr>
            <w:tcW w:w="874" w:type="dxa"/>
          </w:tcPr>
          <w:p>
            <w:pPr>
              <w:pStyle w:val="TableText"/>
              <w:jc w:val="left"/>
            </w:pPr>
            <w:r>
              <w:t xml:space="preserve">&lt; 1</w:t>
            </w:r>
          </w:p>
        </w:tc>
        <w:tc>
          <w:tcPr>
            <w:tcW w:w="1778" w:type="dxa"/>
          </w:tcPr>
          <w:p>
            <w:pPr>
              <w:pStyle w:val="TableText"/>
              <w:jc w:val="left"/>
            </w:pPr>
            <w:r>
              <w:t xml:space="preserve">4.5 [1.5, 5.0]</w:t>
            </w:r>
          </w:p>
        </w:tc>
        <w:tc>
          <w:tcPr>
            <w:tcW w:w="1778" w:type="dxa"/>
          </w:tcPr>
          <w:p>
            <w:pPr>
              <w:pStyle w:val="TableText"/>
              <w:jc w:val="left"/>
            </w:pPr>
            <w:r>
              <w:t xml:space="preserve">6.5 [4.5, 7.0]</w:t>
            </w:r>
          </w:p>
        </w:tc>
        <w:tc>
          <w:tcPr>
            <w:tcW w:w="2260" w:type="dxa"/>
          </w:tcPr>
          <w:p>
            <w:pPr>
              <w:pStyle w:val="TableText"/>
              <w:jc w:val="left"/>
            </w:pPr>
            <w:r>
              <w:t xml:space="preserve">+2.0 [+2.0, +3.0]</w:t>
            </w:r>
          </w:p>
        </w:tc>
      </w:tr>
    </w:tbl>
    <w:p>
      <w:pPr>
        <w:pStyle w:val="BodyText"/>
      </w:pPr>
      <w:r>
        <w:t xml:space="preserve">The independent benchmarks do not reach 95 % at any commitment, not even at 1 MW, where IR-O* and IR-P deliver in full on 69 % of the days in S1 and 73 % in S2. Their failures concentrate on the days on which the load without DR exceeds the baseline, by more than 1 MW on 14 of the 26 days and by up to 3.3 MW (Section 5.1); a reduction measured against the baseline then requires a correspondingly larger true reduction. The IT scheduler of independent recovery defers only its planned share of the commitment, so the whole deviation falls on the storage, which must also serve the second event. On the day with the largest deviation, IR-O* defers 4.9×10³ GPU·h at 3 MW in S2, less than on an average day, and delivers 1.26 MW and 2.35 MW instead of 3 MW; JR-D defers 9.5×10³ GPU·h, 2.8 times its average, and delivers both events in full. In S1 the facility controller of IR-O* also charges the BESS only for its own share (7.6 MWh on average at the start of the first event at 3 MW, against 11.3 MWh under JR-D). The firm capacity of independent recovery is therefore limited by baseline uncertainty long before the recovery channel binds, and Section 5.8 shows that no static split, not even the best one in hindsight, removes this limit. Under the 80 % settlement rule the ordering is the same: on at least 95 % of the days JR-D is valid up to 9 MW, the top of the grid, in S1 and S2 and up to 7.5 MW in S3, JR-M up to 8.5, 5.5 and 5.0 MW, and the independent benchmarks not even at 1 MW. Even the payment validity of independent recovery cannot be guaranteed.</w:t>
      </w:r>
    </w:p>
    <w:p>
      <w:pPr>
        <w:pStyle w:val="BodyText"/>
      </w:pPr>
      <w:r>
        <w:t xml:space="preserve">Fig. 7 extends the uniform commitment to the two-event region of S2: for a fixed first-event commitment</w:t>
      </w:r>
      <w:r>
        <w:t xml:space="preserve"> </w:t>
      </w:r>
      <m:oMath>
        <m:sSub>
          <m:e>
            <m:r>
              <m:t>C</m:t>
            </m:r>
          </m:e>
          <m:sub>
            <m:r>
              <m:t>1</m:t>
            </m:r>
          </m:sub>
        </m:sSub>
      </m:oMath>
      <w:r>
        <w:t xml:space="preserve">, it shows the largest second-event commitment that is delivered in full in both events on at least 95 % of the days. The boundary of JR-D is almost flat: JR-D firmly delivers 8.0 MW in the second event after a first event of 2 or 4 MW and still 7.75 MW after 6–8 MW, so a large first event costs the second one almost nothing. The boundary of JR-M falls from 5.5 MW at</w:t>
      </w:r>
      <w:r>
        <w:t xml:space="preserve"> </w:t>
      </w:r>
      <m:oMath>
        <m:sSub>
          <m:e>
            <m:r>
              <m:t>C</m:t>
            </m:r>
          </m:e>
          <m:sub>
            <m:r>
              <m:t>1</m:t>
            </m:r>
          </m:sub>
        </m:sSub>
      </m:oMath>
      <w:r>
        <w:t xml:space="preserve"> </w:t>
      </w:r>
      <w:r>
        <w:t xml:space="preserve">= 2 MW to 3.75 MW at</w:t>
      </w:r>
      <w:r>
        <w:t xml:space="preserve"> </w:t>
      </w:r>
      <m:oMath>
        <m:sSub>
          <m:e>
            <m:r>
              <m:t>C</m:t>
            </m:r>
          </m:e>
          <m:sub>
            <m:r>
              <m:t>1</m:t>
            </m:r>
          </m:sub>
        </m:sSub>
      </m:oMath>
      <w:r>
        <w:t xml:space="preserve"> </w:t>
      </w:r>
      <w:r>
        <w:t xml:space="preserve">= 8 MW. Even a small first event limits JR-M, because an event-by-event plan prepares the storage only for the event at hand: with</w:t>
      </w:r>
      <w:r>
        <w:t xml:space="preserve"> </w:t>
      </w:r>
      <m:oMath>
        <m:sSub>
          <m:e>
            <m:r>
              <m:t>C</m:t>
            </m:r>
          </m:e>
          <m:sub>
            <m:r>
              <m:t>1</m:t>
            </m:r>
          </m:sub>
        </m:sSub>
      </m:oMath>
      <w:r>
        <w:t xml:space="preserve"> </w:t>
      </w:r>
      <w:r>
        <w:t xml:space="preserve">= 2 MW and</w:t>
      </w:r>
      <w:r>
        <w:t xml:space="preserve"> </w:t>
      </w:r>
      <m:oMath>
        <m:sSub>
          <m:e>
            <m:r>
              <m:t>C</m:t>
            </m:r>
          </m:e>
          <m:sub>
            <m:r>
              <m:t>2</m:t>
            </m:r>
          </m:sub>
        </m:sSub>
      </m:oMath>
      <w:r>
        <w:t xml:space="preserve"> </w:t>
      </w:r>
      <w:r>
        <w:t xml:space="preserve">= 6 MW (five sampled operating days), JR-M starts the first event with 4.4–5.9 MWh in the BESS, against 11.4 MWh under JR-D, and the second event with 4.1 MWh and up to 2.4×10³ GPU·h of backlog, whereas JR-D starts it with 7.4–7.7 MWh and no backlog. The independent benchmarks have no firm pair at all, since they are not firm even at (1, 1) MW. With perfect information on the DR day (dashed in Fig. 7, supplementary Fig. S1), the second event can deliver 8.1 MW, expressed as a commitment delivered in full, whatever the first commitment, and this physical capability is the same for joint, event-by-event and independent recovery with the best static split. Physical capability therefore does not distinguish the controllers; firm capacity does. JR-D comes within 0.1–0.3 MW of the physical boundary, whereas JR-M stays 2.6–4.3 MW below it: the gap is created by operating in closed loop under forecast and baseline errors, which is exactly what a perfect-recourse assessment leaves out.</w:t>
      </w:r>
    </w:p>
    <w:p>
      <w:pPr>
        <w:pStyle w:val="Figure"/>
      </w:pPr>
      <w:r>
        <w:drawing>
          <wp:inline>
            <wp:extent cx="2786399" cy="2612631"/>
            <wp:effectExtent b="0" l="0" r="0" t="0"/>
            <wp:docPr descr="" title="" id="66" name="Picture"/>
            <a:graphic>
              <a:graphicData uri="http://schemas.openxmlformats.org/drawingml/2006/picture">
                <pic:pic>
                  <pic:nvPicPr>
                    <pic:cNvPr descr="/home/user/datacenter/paper/figures/Fig7_two_event_region.png" id="67" name="Picture"/>
                    <pic:cNvPicPr>
                      <a:picLocks noChangeArrowheads="1" noChangeAspect="1"/>
                    </pic:cNvPicPr>
                  </pic:nvPicPr>
                  <pic:blipFill>
                    <a:blip r:embed="rId65"/>
                    <a:stretch>
                      <a:fillRect/>
                    </a:stretch>
                  </pic:blipFill>
                  <pic:spPr bwMode="auto">
                    <a:xfrm>
                      <a:off x="0" y="0"/>
                      <a:ext cx="2786399" cy="2612631"/>
                    </a:xfrm>
                    <a:prstGeom prst="rect">
                      <a:avLst/>
                    </a:prstGeom>
                    <a:noFill/>
                    <a:ln w="9525">
                      <a:noFill/>
                      <a:headEnd/>
                      <a:tailEnd/>
                    </a:ln>
                  </pic:spPr>
                </pic:pic>
              </a:graphicData>
            </a:graphic>
          </wp:inline>
        </w:drawing>
      </w:r>
    </w:p>
    <w:p>
      <w:pPr>
        <w:pStyle w:val="FigureCaption"/>
      </w:pPr>
      <w:r>
        <w:rPr>
          <w:bCs/>
          <w:b/>
        </w:rPr>
        <w:t xml:space="preserve">Fig. 7.</w:t>
      </w:r>
      <w:r>
        <w:t xml:space="preserve"> </w:t>
      </w:r>
      <w:r>
        <w:t xml:space="preserve">Two-event firm region in S2 (30-min interval, reliability 95 %): largest second-event commitment delivered in full for a fixed first-event commitment, for JR-D and JR-M (bisection on the 26 operating days), and the physical capability with perfect information on the DR day (dashed), which is the same for joint, event-by-event and independent recovery.</w:t>
      </w:r>
    </w:p>
    <w:bookmarkEnd w:id="68"/>
    <w:bookmarkStart w:id="75" w:name="X4eda4816a475d9d8ab2e81920262fa7275786c7"/>
    <w:p>
      <w:pPr>
        <w:pStyle w:val="Heading2"/>
      </w:pPr>
      <w:r>
        <w:t xml:space="preserve">5.4 Capacity-gain decomposition and multidimensional sensitivity analysis</w:t>
      </w:r>
    </w:p>
    <w:p>
      <w:pPr>
        <w:pStyle w:val="FirstParagraph"/>
      </w:pPr>
      <w:r>
        <w:t xml:space="preserve">Fig. 8 decomposes the firm capacity over the event interval τ, from 15 min to 3 h (two one-hour events, base system, bisection on the 26 operating days). JR-D firmly delivers 7.50–8.00 MW at every interval: with cross-event foresight the firm capacity hardly depends on how soon the next event follows. Without foresight it does. The firm capacity of JR-M rises from 3.50 MW at 15 min to 4.75 MW at 30 min, 6.75 MW at 1 h and 7.75 MW at 2 h and 3 h, so the foresight value, the gain of JR-D over JR-M, is 4.0, 3.0, 1.0, 0.25 and 0 MW. It vanishes once the interval is long enough to repay both debts, the condition of Proposition 2. IR-O* stays below 1 MW at every interval, so the coordination value, the gain of JR-M over IR-O*, is at least 2.5 MW at 15 min and grows to at least 6.75 MW at 2 h and 3 h. Coordination is therefore valuable at every interval, because it lets one controller re-plan all resources on the measured state, while foresight adds its value precisely where coordination alone falls short, at short intervals.</w:t>
      </w:r>
    </w:p>
    <w:p>
      <w:pPr>
        <w:pStyle w:val="Figure"/>
      </w:pPr>
      <w:r>
        <w:drawing>
          <wp:inline>
            <wp:extent cx="5641199" cy="2578311"/>
            <wp:effectExtent b="0" l="0" r="0" t="0"/>
            <wp:docPr descr="" title="" id="70" name="Picture"/>
            <a:graphic>
              <a:graphicData uri="http://schemas.openxmlformats.org/drawingml/2006/picture">
                <pic:pic>
                  <pic:nvPicPr>
                    <pic:cNvPr descr="/home/user/datacenter/paper/figures/Fig8_value_decomposition.png" id="71" name="Picture"/>
                    <pic:cNvPicPr>
                      <a:picLocks noChangeArrowheads="1" noChangeAspect="1"/>
                    </pic:cNvPicPr>
                  </pic:nvPicPr>
                  <pic:blipFill>
                    <a:blip r:embed="rId69"/>
                    <a:stretch>
                      <a:fillRect/>
                    </a:stretch>
                  </pic:blipFill>
                  <pic:spPr bwMode="auto">
                    <a:xfrm>
                      <a:off x="0" y="0"/>
                      <a:ext cx="5641199" cy="2578311"/>
                    </a:xfrm>
                    <a:prstGeom prst="rect">
                      <a:avLst/>
                    </a:prstGeom>
                    <a:noFill/>
                    <a:ln w="9525">
                      <a:noFill/>
                      <a:headEnd/>
                      <a:tailEnd/>
                    </a:ln>
                  </pic:spPr>
                </pic:pic>
              </a:graphicData>
            </a:graphic>
          </wp:inline>
        </w:drawing>
      </w:r>
    </w:p>
    <w:p>
      <w:pPr>
        <w:pStyle w:val="FigureCaption"/>
      </w:pPr>
      <w:r>
        <w:rPr>
          <w:bCs/>
          <w:b/>
        </w:rPr>
        <w:t xml:space="preserve">Fig. 8.</w:t>
      </w:r>
      <w:r>
        <w:t xml:space="preserve"> </w:t>
      </w:r>
      <w:r>
        <w:t xml:space="preserve">Firm capacity versus the event interval (two one-hour events, base system): (a) firm capacity of IR-O*, JR-M and JR-D with the coordination and foresight values shaded; (b) decomposition into the coordination value (JR-M − IR-O*, a lower bound where IR-O* stays below 1 MW, hatched) and the cross-event foresight value (JR-D − JR-M).</w:t>
      </w:r>
    </w:p>
    <w:p>
      <w:pPr>
        <w:pStyle w:val="BodyText"/>
      </w:pPr>
      <w:r>
        <w:t xml:space="preserve">At a fixed commitment of 7 MW, the interval–margin map (Fig. 9a–c) confirms the conditions of Proposition 2. JR-D delivers in full on 96–100 % of the days in all 20 combinations of τ and γ. JR-M delivers in full on 0–31 % of the days when the interval is 15 or 30 min and on 88–100 % from 1 h on, whatever the connection margin, so the foresight gain is 69–100 percentage points for τ ≤ 0.5 h, 0–12 points at 1 h and 0–4 points for τ ≥ 2 h (Fig. 9c). A wider connection does not rescue JR-M at short intervals: JR-M enters the interval with the battery that it emptied in the first event, and within 30 min the battery can take back at most 3 MWh at its 6-MW rating, whatever the connection (Section 5.5). Once the interval is long enough to repay both debts, the order of repayment no longer matters, and joint recovery loses its edge, exactly as Proposition 2 predicts. The gain of JR-D over the best independent benchmark (12–54 points, Fig. 9b) shows no trend in τ, consistent with independent recovery failing on baseline deviations rather than on the channel.</w:t>
      </w:r>
    </w:p>
    <w:p>
      <w:pPr>
        <w:pStyle w:val="Figure"/>
      </w:pPr>
      <w:r>
        <w:drawing>
          <wp:inline>
            <wp:extent cx="5709599" cy="2511858"/>
            <wp:effectExtent b="0" l="0" r="0" t="0"/>
            <wp:docPr descr="" title="" id="73" name="Picture"/>
            <a:graphic>
              <a:graphicData uri="http://schemas.openxmlformats.org/drawingml/2006/picture">
                <pic:pic>
                  <pic:nvPicPr>
                    <pic:cNvPr descr="/home/user/datacenter/paper/figures/Fig9_sensitivity.png" id="74" name="Picture"/>
                    <pic:cNvPicPr>
                      <a:picLocks noChangeArrowheads="1" noChangeAspect="1"/>
                    </pic:cNvPicPr>
                  </pic:nvPicPr>
                  <pic:blipFill>
                    <a:blip r:embed="rId72"/>
                    <a:stretch>
                      <a:fillRect/>
                    </a:stretch>
                  </pic:blipFill>
                  <pic:spPr bwMode="auto">
                    <a:xfrm>
                      <a:off x="0" y="0"/>
                      <a:ext cx="5709599" cy="2511858"/>
                    </a:xfrm>
                    <a:prstGeom prst="rect">
                      <a:avLst/>
                    </a:prstGeom>
                    <a:noFill/>
                    <a:ln w="9525">
                      <a:noFill/>
                      <a:headEnd/>
                      <a:tailEnd/>
                    </a:ln>
                  </pic:spPr>
                </pic:pic>
              </a:graphicData>
            </a:graphic>
          </wp:inline>
        </w:drawing>
      </w:r>
    </w:p>
    <w:p>
      <w:pPr>
        <w:pStyle w:val="FigureCaption"/>
      </w:pPr>
      <w:r>
        <w:rPr>
          <w:bCs/>
          <w:b/>
        </w:rPr>
        <w:t xml:space="preserve">Fig. 9.</w:t>
      </w:r>
      <w:r>
        <w:t xml:space="preserve"> </w:t>
      </w:r>
      <w:r>
        <w:t xml:space="preserve">Sensitivity at a commitment of 7 MW: (a) full-delivery share of JR-D over the event interval and the connection margin; (b) gain of JR-D over the best independent benchmark; (c) gain over JR-M (percentage points); (d) full-delivery share versus the scale of the lag bounds (S1).</w:t>
      </w:r>
    </w:p>
    <w:p>
      <w:pPr>
        <w:pStyle w:val="BodyText"/>
      </w:pPr>
      <w:r>
        <w:t xml:space="preserve">The lag bounds of the deferrable work decide how much debt can be carried (Fig. 9d; S1, 7 MW, connection kept). With all lag bounds scaled by 0.5, 0.75, 1, 1.25 and 1.5, JR-D delivers both events in full on 96–100 % of the days, whereas JR-M does so on 19, 46, 92, 100 and 100 %. Shorter deadlines shrink the debt that may be carried,</w:t>
      </w:r>
      <w:r>
        <w:t xml:space="preserve"> </w:t>
      </w:r>
      <m:oMath>
        <m:r>
          <m:rPr>
            <m:sty m:val="p"/>
          </m:rPr>
          <m:t>min</m:t>
        </m:r>
        <m:r>
          <m:rPr>
            <m:sty m:val="p"/>
          </m:rPr>
          <m:t>{</m:t>
        </m:r>
        <m:r>
          <m:t>X</m:t>
        </m:r>
        <m:r>
          <m:rPr>
            <m:sty m:val="p"/>
          </m:rPr>
          <m:t>,</m:t>
        </m:r>
        <m:sSub>
          <m:e>
            <m:r>
              <m:t>p</m:t>
            </m:r>
          </m:e>
          <m:sub>
            <m:r>
              <m:t>f</m:t>
            </m:r>
          </m:sub>
        </m:sSub>
        <m:d>
          <m:dPr>
            <m:begChr m:val="("/>
            <m:sepChr m:val=""/>
            <m:endChr m:val=")"/>
            <m:grow/>
          </m:dPr>
          <m:e>
            <m:r>
              <m:t>L</m:t>
            </m:r>
            <m:r>
              <m:rPr>
                <m:sty m:val="p"/>
              </m:rPr>
              <m:t>−</m:t>
            </m:r>
            <m:sSub>
              <m:e>
                <m:r>
                  <m:t>D</m:t>
                </m:r>
              </m:e>
              <m:sub>
                <m:r>
                  <m:t>B</m:t>
                </m:r>
              </m:sub>
            </m:sSub>
          </m:e>
        </m:d>
        <m:r>
          <m:rPr>
            <m:sty m:val="p"/>
          </m:rPr>
          <m:t>}</m:t>
        </m:r>
      </m:oMath>
      <w:r>
        <w:t xml:space="preserve"> </w:t>
      </w:r>
      <w:r>
        <w:t xml:space="preserve">in Proposition 2, so event-by-event recovery runs out of room, while cross-event foresight still finds a feasible order of repayment; longer deadlines let even an event-by-event plan wait. Independent recovery is unaffected (85 % for IR-O*, 12 % for IR-P at every scale), consistent with its failures stemming from baseline deviations rather than from deadlines.</w:t>
      </w:r>
    </w:p>
    <w:bookmarkEnd w:id="75"/>
    <w:bookmarkStart w:id="79" w:name="X632c523b3126e39327cb659bb20ef2dd8433bcb"/>
    <w:p>
      <w:pPr>
        <w:pStyle w:val="Heading2"/>
      </w:pPr>
      <w:r>
        <w:t xml:space="preserve">5.5 Equivalent battery and connection capacity</w:t>
      </w:r>
    </w:p>
    <w:p>
      <w:pPr>
        <w:pStyle w:val="FirstParagraph"/>
      </w:pPr>
      <w:r>
        <w:t xml:space="preserve">Fig. 10 translates the capacity gain into the battery energy and the connection capacity that it substitutes. The firm capacities are found by bisection on the 26 operating days of S2 (resolution 0.25 MW). With the connection limit kept at its base value, the firm capacity of JR-D rises from 3.75 MW without a BESS to 6.00 MW with 6 MWh and 7.75 MW with the base 12 MWh (Fig. 10a). JR-M gains much less from the same battery (3.75, 4.50 and 4.75 MW) and never exceeds 5.25 MW, and IR-O* stays below 1 MW at every size: a battery reserved for a fixed share of the reduction cannot absorb the baseline deviations that make independent recovery fail. Cross-event foresight therefore substitutes battery energy. JR-D needs 2.7 MWh to firmly deliver the 4.75 MW that JR-M reaches with 12 MWh, a saving of 9.3 MWh, or about 5.6 million CNY at a system cost of 0.6 CNY/Wh, and no battery size lets JR-M reach the firm capacity of JR-D. Beyond 12 MWh the firm capacity of JR-D declines (7.50 MW at 18 MWh and 6.75 MW at 24 MWh). This decline stems from the baseline rule, not from recovery: a larger battery shaves the evening peak in normal operation, which lowers the five-day baseline and with it the reduction that can be shown against it.</w:t>
      </w:r>
    </w:p>
    <w:p>
      <w:pPr>
        <w:pStyle w:val="Figure"/>
      </w:pPr>
      <w:r>
        <w:drawing>
          <wp:inline>
            <wp:extent cx="5641199" cy="2639264"/>
            <wp:effectExtent b="0" l="0" r="0" t="0"/>
            <wp:docPr descr="" title="" id="77" name="Picture"/>
            <a:graphic>
              <a:graphicData uri="http://schemas.openxmlformats.org/drawingml/2006/picture">
                <pic:pic>
                  <pic:nvPicPr>
                    <pic:cNvPr descr="/home/user/datacenter/paper/figures/Fig10_substitution.png" id="78" name="Picture"/>
                    <pic:cNvPicPr>
                      <a:picLocks noChangeArrowheads="1" noChangeAspect="1"/>
                    </pic:cNvPicPr>
                  </pic:nvPicPr>
                  <pic:blipFill>
                    <a:blip r:embed="rId76"/>
                    <a:stretch>
                      <a:fillRect/>
                    </a:stretch>
                  </pic:blipFill>
                  <pic:spPr bwMode="auto">
                    <a:xfrm>
                      <a:off x="0" y="0"/>
                      <a:ext cx="5641199" cy="2639264"/>
                    </a:xfrm>
                    <a:prstGeom prst="rect">
                      <a:avLst/>
                    </a:prstGeom>
                    <a:noFill/>
                    <a:ln w="9525">
                      <a:noFill/>
                      <a:headEnd/>
                      <a:tailEnd/>
                    </a:ln>
                  </pic:spPr>
                </pic:pic>
              </a:graphicData>
            </a:graphic>
          </wp:inline>
        </w:drawing>
      </w:r>
    </w:p>
    <w:p>
      <w:pPr>
        <w:pStyle w:val="FigureCaption"/>
      </w:pPr>
      <w:r>
        <w:rPr>
          <w:bCs/>
          <w:b/>
        </w:rPr>
        <w:t xml:space="preserve">Fig. 10.</w:t>
      </w:r>
      <w:r>
        <w:t xml:space="preserve"> </w:t>
      </w:r>
      <w:r>
        <w:t xml:space="preserve">System-level value of joint recovery in S2 (firm capacity by bisection, resolution 0.25 MW): (a) firm capacity versus BESS energy (2-h rating, connection fixed); (b) versus the connection limit; (c) battery energy and connection capacity saved by cross-event foresight at the firm capacity of JR-M (hatched: lower bound).</w:t>
      </w:r>
    </w:p>
    <w:p>
      <w:pPr>
        <w:pStyle w:val="BodyText"/>
      </w:pPr>
      <w:r>
        <w:t xml:space="preserve">The connection margin matters much less (Fig. 10b). Raising the connection limit from 14.57 MW (</w:t>
      </w:r>
      <m:oMath>
        <m:r>
          <m:t>γ</m:t>
        </m:r>
      </m:oMath>
      <w:r>
        <w:t xml:space="preserve"> </w:t>
      </w:r>
      <w:r>
        <w:t xml:space="preserve">= 1.00) to 18.94 MW (</w:t>
      </w:r>
      <m:oMath>
        <m:r>
          <m:t>γ</m:t>
        </m:r>
      </m:oMath>
      <w:r>
        <w:t xml:space="preserve"> </w:t>
      </w:r>
      <w:r>
        <w:t xml:space="preserve">= 1.30) adds only 0.5 MW to the firm capacity of JR-D (7.50 → 8.00 MW) and of JR-M (4.50 → 5.00 MW), and IR-O* stays below 1 MW. Event-by-event recovery cannot buy its way out with connection capacity: with 4.4 MW more connection than JR-D at</w:t>
      </w:r>
      <w:r>
        <w:t xml:space="preserve"> </w:t>
      </w:r>
      <m:oMath>
        <m:r>
          <m:t>γ</m:t>
        </m:r>
      </m:oMath>
      <w:r>
        <w:t xml:space="preserve"> </w:t>
      </w:r>
      <w:r>
        <w:t xml:space="preserve">= 1.00, JR-M still firmly delivers 2.5 MW less. Conversely, JR-D firmly delivers what JR-M delivers at the base connection already at the smallest margin tested, i.e. with at least 1.46 MW less connection (Fig. 10c). At a 30-min interval the binding limit is the recharge rate of the battery (6 MW, at most 3 MWh within the interval), not the width of the channel: JR-M empties the battery in the first event and cannot restore it whatever the connection, whereas JR-D keeps the energy that the second event needs.</w:t>
      </w:r>
    </w:p>
    <w:bookmarkEnd w:id="79"/>
    <w:bookmarkStart w:id="83" w:name="Xf69f47d92a251ef28c3ceaa33aebb0944aec0f5"/>
    <w:p>
      <w:pPr>
        <w:pStyle w:val="Heading2"/>
      </w:pPr>
      <w:r>
        <w:t xml:space="preserve">5.6 Distributionally robust day-ahead commitment</w:t>
      </w:r>
    </w:p>
    <w:p>
      <w:pPr>
        <w:pStyle w:val="FirstParagraph"/>
      </w:pPr>
      <w:r>
        <w:rPr>
          <w:bCs/>
          <w:b/>
        </w:rPr>
        <w:t xml:space="preserve">Capabilities.</w:t>
      </w:r>
      <w:r>
        <w:t xml:space="preserve"> </w:t>
      </w:r>
      <w:r>
        <w:t xml:space="preserve">Fig. 11a and d show the closed-loop capability</w:t>
      </w:r>
      <w:r>
        <w:t xml:space="preserve"> </w:t>
      </w:r>
      <m:oMath>
        <m:sSub>
          <m:e>
            <m:r>
              <m:t>ξ</m:t>
            </m:r>
          </m:e>
          <m:sub>
            <m:r>
              <m:t>d</m:t>
            </m:r>
          </m:sub>
        </m:sSub>
      </m:oMath>
      <w:r>
        <w:t xml:space="preserve"> </w:t>
      </w:r>
      <w:r>
        <w:t xml:space="preserve">(16) of every controller on the 14 historical days and on the 26 operating days. In S1, independent recovery has a dispersed, bimodal capability: IR-O* fails already at 1 MW on 4 of the 14 historical days and reaches 7.75–8.25 MW on the others, and the same pattern recurs on the operating days (8 of 26 below 1 MW). The capability of JR-M lies at 7.75–8.25 MW on the historical days and spreads down to 6.25 MW on the operating days. JR-D reaches 8.25 MW, the midpoint between the last delivered and the first failed commitment at its physical limit, on every historical day and on 21 of the 26 operating days.</w:t>
      </w:r>
    </w:p>
    <w:p>
      <w:pPr>
        <w:pStyle w:val="Figure"/>
      </w:pPr>
      <w:r>
        <w:drawing>
          <wp:inline>
            <wp:extent cx="5723999" cy="4470171"/>
            <wp:effectExtent b="0" l="0" r="0" t="0"/>
            <wp:docPr descr="" title="" id="81" name="Picture"/>
            <a:graphic>
              <a:graphicData uri="http://schemas.openxmlformats.org/drawingml/2006/picture">
                <pic:pic>
                  <pic:nvPicPr>
                    <pic:cNvPr descr="/home/user/datacenter/paper/figures/Fig11_dro_calibration.png" id="82" name="Picture"/>
                    <pic:cNvPicPr>
                      <a:picLocks noChangeArrowheads="1" noChangeAspect="1"/>
                    </pic:cNvPicPr>
                  </pic:nvPicPr>
                  <pic:blipFill>
                    <a:blip r:embed="rId80"/>
                    <a:stretch>
                      <a:fillRect/>
                    </a:stretch>
                  </pic:blipFill>
                  <pic:spPr bwMode="auto">
                    <a:xfrm>
                      <a:off x="0" y="0"/>
                      <a:ext cx="5723999" cy="4470171"/>
                    </a:xfrm>
                    <a:prstGeom prst="rect">
                      <a:avLst/>
                    </a:prstGeom>
                    <a:noFill/>
                    <a:ln w="9525">
                      <a:noFill/>
                      <a:headEnd/>
                      <a:tailEnd/>
                    </a:ln>
                  </pic:spPr>
                </pic:pic>
              </a:graphicData>
            </a:graphic>
          </wp:inline>
        </w:drawing>
      </w:r>
    </w:p>
    <w:p>
      <w:pPr>
        <w:pStyle w:val="FigureCaption"/>
      </w:pPr>
      <w:r>
        <w:rPr>
          <w:bCs/>
          <w:b/>
        </w:rPr>
        <w:t xml:space="preserve">Fig. 11.</w:t>
      </w:r>
      <w:r>
        <w:t xml:space="preserve"> </w:t>
      </w:r>
      <w:r>
        <w:t xml:space="preserve">Distributionally robust commitment in S1 (a–c) and S2 (d–f): (a, d) closed-loop capability per day on the 14 historical days (filled) and the 26 operating days (hollow); (b, e) robust firm capacity versus the Wasserstein radius, star at the radius</w:t>
      </w:r>
      <w:r>
        <w:t xml:space="preserve"> </w:t>
      </w:r>
      <m:oMath>
        <m:sSub>
          <m:e>
            <m:r>
              <m:t>ε</m:t>
            </m:r>
          </m:e>
          <m:sub>
            <m:r>
              <m:t>N</m:t>
            </m:r>
          </m:sub>
        </m:sSub>
      </m:oMath>
      <w:r>
        <w:t xml:space="preserve"> </w:t>
      </w:r>
      <w:r>
        <w:t xml:space="preserve">(20); (c, f) predicted versus realised full-delivery probability for every commitment of the grid, sample average (hollow) and robust (filled).</w:t>
      </w:r>
    </w:p>
    <w:p>
      <w:pPr>
        <w:pStyle w:val="BodyText"/>
      </w:pPr>
      <w:r>
        <w:rPr>
          <w:bCs/>
          <w:b/>
        </w:rPr>
        <w:t xml:space="preserve">Robust capacity.</w:t>
      </w:r>
      <w:r>
        <w:t xml:space="preserve"> </w:t>
      </w:r>
      <w:r>
        <w:t xml:space="preserve">With</w:t>
      </w:r>
      <w:r>
        <w:t xml:space="preserve"> </w:t>
      </w:r>
      <m:oMath>
        <m:r>
          <m:t>ρ</m:t>
        </m:r>
      </m:oMath>
      <w:r>
        <w:t xml:space="preserve"> </w:t>
      </w:r>
      <w:r>
        <w:t xml:space="preserve">= 0.95 and</w:t>
      </w:r>
      <w:r>
        <w:t xml:space="preserve"> </w:t>
      </w:r>
      <m:oMath>
        <m:r>
          <m:t>N</m:t>
        </m:r>
      </m:oMath>
      <w:r>
        <w:t xml:space="preserve"> </w:t>
      </w:r>
      <w:r>
        <w:t xml:space="preserve">= 14, the sample-average capacity is the smallest historical capability rounded down to the grid (Table 5). The robust capacity (17) lowers it by the certified margin (19): because a 5 % share of the days may lose its whole margin, every 0.025 MW of radius costs 0.5 MW of commitment when all days lie above it (Fig. 11b, e). In S1 the radius (20) is 0.91 MW for IR-O*, 0.066 MW for JR-M and zero for JR-D, whose capability does not vary. For JR-M it lowers the commitment from 7.5 to 6.0 MW and corrects the over-confidence of the sample average: out of sample, 7.5 MW is delivered in full on 77 % of the days and 6.0 MW on all of them, and the worst-case probabilities within the ball, 0.74, 0.91 and 0.95 at 7.5, 7.0 and 6.5 MW, match the realised shares of 0.77, 0.92 and 0.96 (Fig. 11c). For IR-O* the radius even exceeds the actual distance between the historical and the operating capabilities (</w:t>
      </w:r>
      <m:oMath>
        <m:sSub>
          <m:e>
            <m:r>
              <m:t>W</m:t>
            </m:r>
          </m:e>
          <m:sub>
            <m:r>
              <m:t>1</m:t>
            </m:r>
          </m:sub>
        </m:sSub>
      </m:oMath>
      <w:r>
        <w:t xml:space="preserve"> </w:t>
      </w:r>
      <w:r>
        <w:t xml:space="preserve">= 0.81 MW), and no commitment of 1 MW or more is robust. For JR-D the robust capacity equals the sample-average 8.0 MW, its physical limit, which is delivered in full on 81 % of the operating days. The operating days are more loaded than the historical ones: during the first event the load without DR exceeds the baseline by 0.78 MW on average, against −0.16 MW on the historical days, and the five days on which JR-D misses 8 MW, each time in the second event, all have the load above the baseline in both events (by 0.9–1.9 MW in the first and 0.8–2.8 MW in the second). The cost-optimal commitment absorbs this systematic shift with the margin that it keeps below the capability limit (see Commitment below).</w:t>
      </w:r>
    </w:p>
    <w:p>
      <w:pPr>
        <w:pStyle w:val="BodyText"/>
      </w:pPr>
      <w:r>
        <w:t xml:space="preserve">In S2 the capability of JR-D varies slightly (one historical day at 7.75 MW, the others at 8.25 MW). The radius is 0.034 MW and the robust capacity of 7.0 MW is delivered in full on every operating day; at 8 MW the robust probability of full delivery, 0.79, matches the realised share of 0.81, where the sample average predicts 0.93 (Fig. 11f). The capability of JR-M is dispersed between 5.25 and 7.75 MW; its radius of 0.25 MW leaves no robust commitment of 1 MW or more, whereas the sample average commits 5.0 MW and delivers it in full on only 92 % of the days. The price of robustness thus scales with the dispersion of the capability: it is negligible for the concentrated capability of JR-D and prohibitive for the dispersed capability of JR-M, which is a second reason, besides the larger capability itself, why cross-event joint recovery can commit more.</w:t>
      </w:r>
    </w:p>
    <w:p>
      <w:pPr>
        <w:pStyle w:val="BodyText"/>
      </w:pPr>
      <w:r>
        <w:rPr>
          <w:bCs/>
          <w:b/>
        </w:rPr>
        <w:t xml:space="preserve">Commitment.</w:t>
      </w:r>
      <w:r>
        <w:t xml:space="preserve"> </w:t>
      </w:r>
      <w:r>
        <w:t xml:space="preserve">The commitment (21) minimises the back-tested cost below the robust capacity. It selects 7 MW for JR-D in both scenarios and 6 MW for JR-M in S1, which are delivered in full on all 26 operating days, with benefits of 44.8 (S1) and 43.1 k CNY/day (S2) for JR-D and 35.8 k CNY/day for JR-M (Table 5). For JR-D the cost minimum lies below the capability limit, because the payment is capped at 120 % of the commitment while the delay cost keeps growing with it; in S1 the certified margin at 7 MW is 0.063 MW, five times the margin at 8.0 MW. Independent recovery receives no robust commitment in either scenario, which is the right decision: at 1 MW it delivers in full on only 69–73 % of the operating days. Commitments derived from physical capability are not deliverable. The perfect-recourse model (22) commits the single-event capabilities of 8.18/7.98 MW in S1, which JR-D delivers in full on 85 % of the days; operated by independent recovery, as in conventional single-event practice, the share falls to 27 % (IR-O*) and 0 % (IR-P); supplementary Fig. S2 places all commitment methods in the plane of out-of-sample reliability and benefit.</w:t>
      </w:r>
    </w:p>
    <w:p>
      <w:pPr>
        <w:pStyle w:val="TableCaption"/>
      </w:pPr>
      <w:r>
        <w:rPr>
          <w:bCs/>
          <w:b/>
        </w:rPr>
        <w:t xml:space="preserve">Table 5.</w:t>
      </w:r>
      <w:r>
        <w:t xml:space="preserve"> </w:t>
      </w:r>
      <w:r>
        <w:t xml:space="preserve">Day-ahead commitment from the 14 historical days and its out-of-sample performance on the 26 operating days (</w:t>
      </w:r>
      <m:oMath>
        <m:r>
          <m:t>ρ</m:t>
        </m:r>
      </m:oMath>
      <w:r>
        <w:t xml:space="preserve"> </w:t>
      </w:r>
      <w:r>
        <w:t xml:space="preserve">= 0.95).</w:t>
      </w:r>
      <w:r>
        <w:t xml:space="preserve"> </w:t>
      </w:r>
      <m:oMath>
        <m:r>
          <m:t>ε</m:t>
        </m:r>
      </m:oMath>
      <w:r>
        <w:t xml:space="preserve">: radius (MW);</w:t>
      </w:r>
      <w:r>
        <w:t xml:space="preserve"> </w:t>
      </w:r>
      <m:oMath>
        <m:r>
          <m:t>Φ</m:t>
        </m:r>
      </m:oMath>
      <w:r>
        <w:t xml:space="preserve">: certified reliability margin (19) at the commitment (MW).</w:t>
      </w:r>
    </w:p>
    <w:tbl>
      <w:tblPr>
        <w:tblStyle w:val="Table"/>
        <w:tblW w:type="pct" w:w="5000"/>
        <w:jc w:val="start"/>
        <w:tblBorders>
          <w:top w:val="single" w:sz="8" w:space="0" w:color="000000"/>
          <w:bottom w:val="single" w:sz="8" w:space="0" w:color="000000"/>
        </w:tblBorders>
        <w:tblLayout w:type="fixed"/>
        <w:tblLook w:firstRow="1" w:lastRow="0" w:firstColumn="0" w:lastColumn="0" w:noHBand="0" w:noVBand="0" w:val="0020"/>
      </w:tblPr>
      <w:tblGrid>
        <w:gridCol w:w="941"/>
        <w:gridCol w:w="1790"/>
        <w:gridCol w:w="1274"/>
        <w:gridCol w:w="1304"/>
        <w:gridCol w:w="1092"/>
        <w:gridCol w:w="698"/>
        <w:gridCol w:w="910"/>
        <w:gridCol w:w="1061"/>
      </w:tblGrid>
      <w:tr>
        <w:trPr>
          <w:tblHeader w:val="true"/>
        </w:trPr>
        <w:tc>
          <w:tcPr>
            <w:tcW w:w="941" w:type="dxa"/>
            <w:tcBorders>
              <w:bottom w:val="single" w:sz="4" w:space="0" w:color="000000"/>
            </w:tcBorders>
          </w:tcPr>
          <w:p>
            <w:pPr>
              <w:pStyle w:val="TableText"/>
              <w:jc w:val="left"/>
            </w:pPr>
            <w:r>
              <w:t xml:space="preserve">Scenario</w:t>
            </w:r>
          </w:p>
        </w:tc>
        <w:tc>
          <w:tcPr>
            <w:tcW w:w="1790" w:type="dxa"/>
            <w:tcBorders>
              <w:bottom w:val="single" w:sz="4" w:space="0" w:color="000000"/>
            </w:tcBorders>
          </w:tcPr>
          <w:p>
            <w:pPr>
              <w:pStyle w:val="TableText"/>
              <w:jc w:val="left"/>
            </w:pPr>
            <w:r>
              <w:t xml:space="preserve">Commitment method</w:t>
            </w:r>
          </w:p>
        </w:tc>
        <w:tc>
          <w:tcPr>
            <w:tcW w:w="1274" w:type="dxa"/>
            <w:tcBorders>
              <w:bottom w:val="single" w:sz="4" w:space="0" w:color="000000"/>
            </w:tcBorders>
          </w:tcPr>
          <w:p>
            <w:pPr>
              <w:pStyle w:val="TableText"/>
              <w:jc w:val="left"/>
            </w:pPr>
            <w:r>
              <w:t xml:space="preserve">Operated by</w:t>
            </w:r>
          </w:p>
        </w:tc>
        <w:tc>
          <w:tcPr>
            <w:tcW w:w="1304" w:type="dxa"/>
            <w:tcBorders>
              <w:bottom w:val="single" w:sz="4" w:space="0" w:color="000000"/>
            </w:tcBorders>
          </w:tcPr>
          <w:p>
            <w:pPr>
              <w:pStyle w:val="TableText"/>
              <w:jc w:val="left"/>
            </w:pPr>
            <w:r>
              <w:t xml:space="preserve">Commitment (MW)</w:t>
            </w:r>
          </w:p>
        </w:tc>
        <w:tc>
          <w:tcPr>
            <w:tcW w:w="1092" w:type="dxa"/>
            <w:tcBorders>
              <w:bottom w:val="single" w:sz="4" w:space="0" w:color="000000"/>
            </w:tcBorders>
          </w:tcPr>
          <w:p>
            <w:pPr>
              <w:pStyle w:val="TableText"/>
              <w:jc w:val="left"/>
            </w:pPr>
            <m:oMath>
              <m:r>
                <m:t>ε</m:t>
              </m:r>
            </m:oMath>
          </w:p>
        </w:tc>
        <w:tc>
          <w:tcPr>
            <w:tcW w:w="698" w:type="dxa"/>
            <w:tcBorders>
              <w:bottom w:val="single" w:sz="4" w:space="0" w:color="000000"/>
            </w:tcBorders>
          </w:tcPr>
          <w:p>
            <w:pPr>
              <w:pStyle w:val="TableText"/>
              <w:jc w:val="left"/>
            </w:pPr>
            <m:oMath>
              <m:r>
                <m:t>Φ</m:t>
              </m:r>
            </m:oMath>
          </w:p>
        </w:tc>
        <w:tc>
          <w:tcPr>
            <w:tcW w:w="910" w:type="dxa"/>
            <w:tcBorders>
              <w:bottom w:val="single" w:sz="4" w:space="0" w:color="000000"/>
            </w:tcBorders>
          </w:tcPr>
          <w:p>
            <w:pPr>
              <w:pStyle w:val="TableText"/>
              <w:jc w:val="left"/>
            </w:pPr>
            <w:r>
              <w:t xml:space="preserve">Days with full delivery (%)</w:t>
            </w:r>
          </w:p>
        </w:tc>
        <w:tc>
          <w:tcPr>
            <w:tcW w:w="1061" w:type="dxa"/>
            <w:tcBorders>
              <w:bottom w:val="single" w:sz="4" w:space="0" w:color="000000"/>
            </w:tcBorders>
          </w:tcPr>
          <w:p>
            <w:pPr>
              <w:pStyle w:val="TableText"/>
              <w:jc w:val="left"/>
            </w:pPr>
            <w:r>
              <w:t xml:space="preserve">Benefit vs no DR (k CNY/day)</w:t>
            </w:r>
          </w:p>
        </w:tc>
      </w:tr>
      <w:tr>
        <w:tc>
          <w:tcPr>
            <w:tcW w:w="941" w:type="dxa"/>
          </w:tcPr>
          <w:p>
            <w:pPr>
              <w:pStyle w:val="TableText"/>
              <w:jc w:val="left"/>
            </w:pPr>
            <w:r>
              <w:t xml:space="preserve">S1</w:t>
            </w:r>
          </w:p>
        </w:tc>
        <w:tc>
          <w:tcPr>
            <w:tcW w:w="1790" w:type="dxa"/>
          </w:tcPr>
          <w:p>
            <w:pPr>
              <w:pStyle w:val="TableText"/>
              <w:jc w:val="left"/>
            </w:pPr>
            <w:r>
              <w:t xml:space="preserve">Perfect-recourse MILP (22)</w:t>
            </w:r>
          </w:p>
        </w:tc>
        <w:tc>
          <w:tcPr>
            <w:tcW w:w="1274" w:type="dxa"/>
          </w:tcPr>
          <w:p>
            <w:pPr>
              <w:pStyle w:val="TableText"/>
              <w:jc w:val="left"/>
            </w:pPr>
            <w:r>
              <w:t xml:space="preserve">JR-D</w:t>
            </w:r>
          </w:p>
        </w:tc>
        <w:tc>
          <w:tcPr>
            <w:tcW w:w="1304" w:type="dxa"/>
          </w:tcPr>
          <w:p>
            <w:pPr>
              <w:pStyle w:val="TableText"/>
              <w:jc w:val="left"/>
            </w:pPr>
            <w:r>
              <w:t xml:space="preserve">8.18 / 7.98</w:t>
            </w:r>
          </w:p>
        </w:tc>
        <w:tc>
          <w:tcPr>
            <w:tcW w:w="1092" w:type="dxa"/>
          </w:tcPr>
          <w:p>
            <w:pPr>
              <w:pStyle w:val="TableText"/>
              <w:jc w:val="left"/>
            </w:pPr>
            <w:r>
              <w:t xml:space="preserve">–</w:t>
            </w:r>
          </w:p>
        </w:tc>
        <w:tc>
          <w:tcPr>
            <w:tcW w:w="698" w:type="dxa"/>
          </w:tcPr>
          <w:p>
            <w:pPr>
              <w:pStyle w:val="TableText"/>
              <w:jc w:val="left"/>
            </w:pPr>
            <w:r>
              <w:t xml:space="preserve">–</w:t>
            </w:r>
          </w:p>
        </w:tc>
        <w:tc>
          <w:tcPr>
            <w:tcW w:w="910" w:type="dxa"/>
          </w:tcPr>
          <w:p>
            <w:pPr>
              <w:pStyle w:val="TableText"/>
              <w:jc w:val="left"/>
            </w:pPr>
            <w:r>
              <w:t xml:space="preserve">85</w:t>
            </w:r>
          </w:p>
        </w:tc>
        <w:tc>
          <w:tcPr>
            <w:tcW w:w="1061" w:type="dxa"/>
          </w:tcPr>
          <w:p>
            <w:pPr>
              <w:pStyle w:val="TableText"/>
              <w:jc w:val="left"/>
            </w:pPr>
            <w:r>
              <w:t xml:space="preserve">44.7</w:t>
            </w:r>
          </w:p>
        </w:tc>
      </w:tr>
      <w:tr>
        <w:tc>
          <w:tcPr>
            <w:tcW w:w="941" w:type="dxa"/>
          </w:tcPr>
          <w:p>
            <w:pPr>
              <w:pStyle w:val="TableText"/>
            </w:pPr>
          </w:p>
        </w:tc>
        <w:tc>
          <w:tcPr>
            <w:tcW w:w="1790" w:type="dxa"/>
          </w:tcPr>
          <w:p>
            <w:pPr>
              <w:pStyle w:val="TableText"/>
              <w:jc w:val="left"/>
            </w:pPr>
            <w:r>
              <w:t xml:space="preserve">Single-event capability</w:t>
            </w:r>
          </w:p>
        </w:tc>
        <w:tc>
          <w:tcPr>
            <w:tcW w:w="1274" w:type="dxa"/>
          </w:tcPr>
          <w:p>
            <w:pPr>
              <w:pStyle w:val="TableText"/>
              <w:jc w:val="left"/>
            </w:pPr>
            <w:r>
              <w:t xml:space="preserve">IR-O* / IR-P</w:t>
            </w:r>
          </w:p>
        </w:tc>
        <w:tc>
          <w:tcPr>
            <w:tcW w:w="1304" w:type="dxa"/>
          </w:tcPr>
          <w:p>
            <w:pPr>
              <w:pStyle w:val="TableText"/>
              <w:jc w:val="left"/>
            </w:pPr>
            <w:r>
              <w:t xml:space="preserve">8.18 / 7.98</w:t>
            </w:r>
          </w:p>
        </w:tc>
        <w:tc>
          <w:tcPr>
            <w:tcW w:w="1092" w:type="dxa"/>
          </w:tcPr>
          <w:p>
            <w:pPr>
              <w:pStyle w:val="TableText"/>
              <w:jc w:val="left"/>
            </w:pPr>
            <w:r>
              <w:t xml:space="preserve">–</w:t>
            </w:r>
          </w:p>
        </w:tc>
        <w:tc>
          <w:tcPr>
            <w:tcW w:w="698" w:type="dxa"/>
          </w:tcPr>
          <w:p>
            <w:pPr>
              <w:pStyle w:val="TableText"/>
              <w:jc w:val="left"/>
            </w:pPr>
            <w:r>
              <w:t xml:space="preserve">–</w:t>
            </w:r>
          </w:p>
        </w:tc>
        <w:tc>
          <w:tcPr>
            <w:tcW w:w="910" w:type="dxa"/>
          </w:tcPr>
          <w:p>
            <w:pPr>
              <w:pStyle w:val="TableText"/>
              <w:jc w:val="left"/>
            </w:pPr>
            <w:r>
              <w:t xml:space="preserve">27 / 0</w:t>
            </w:r>
          </w:p>
        </w:tc>
        <w:tc>
          <w:tcPr>
            <w:tcW w:w="1061" w:type="dxa"/>
          </w:tcPr>
          <w:p>
            <w:pPr>
              <w:pStyle w:val="TableText"/>
              <w:jc w:val="left"/>
            </w:pPr>
            <w:r>
              <w:t xml:space="preserve">37.2 / 1.8</w:t>
            </w:r>
          </w:p>
        </w:tc>
      </w:tr>
      <w:tr>
        <w:tc>
          <w:tcPr>
            <w:tcW w:w="941" w:type="dxa"/>
          </w:tcPr>
          <w:p>
            <w:pPr>
              <w:pStyle w:val="TableText"/>
            </w:pPr>
          </w:p>
        </w:tc>
        <w:tc>
          <w:tcPr>
            <w:tcW w:w="1790" w:type="dxa"/>
          </w:tcPr>
          <w:p>
            <w:pPr>
              <w:pStyle w:val="TableText"/>
              <w:jc w:val="left"/>
            </w:pPr>
            <w:r>
              <w:t xml:space="preserve">Sample average</w:t>
            </w:r>
          </w:p>
        </w:tc>
        <w:tc>
          <w:tcPr>
            <w:tcW w:w="1274" w:type="dxa"/>
          </w:tcPr>
          <w:p>
            <w:pPr>
              <w:pStyle w:val="TableText"/>
              <w:jc w:val="left"/>
            </w:pPr>
            <w:r>
              <w:t xml:space="preserve">IR-O*, IR-P</w:t>
            </w:r>
          </w:p>
        </w:tc>
        <w:tc>
          <w:tcPr>
            <w:tcW w:w="1304" w:type="dxa"/>
          </w:tcPr>
          <w:p>
            <w:pPr>
              <w:pStyle w:val="TableText"/>
              <w:jc w:val="left"/>
            </w:pPr>
            <w:r>
              <w:t xml:space="preserve">none ≥ 1</w:t>
            </w:r>
          </w:p>
        </w:tc>
        <w:tc>
          <w:tcPr>
            <w:tcW w:w="1092" w:type="dxa"/>
          </w:tcPr>
          <w:p>
            <w:pPr>
              <w:pStyle w:val="TableText"/>
              <w:jc w:val="left"/>
            </w:pPr>
            <w:r>
              <w:t xml:space="preserve">0</w:t>
            </w:r>
          </w:p>
        </w:tc>
        <w:tc>
          <w:tcPr>
            <w:tcW w:w="698" w:type="dxa"/>
          </w:tcPr>
          <w:p>
            <w:pPr>
              <w:pStyle w:val="TableText"/>
              <w:jc w:val="left"/>
            </w:pPr>
            <w:r>
              <w:t xml:space="preserve">–</w:t>
            </w:r>
          </w:p>
        </w:tc>
        <w:tc>
          <w:tcPr>
            <w:tcW w:w="910" w:type="dxa"/>
          </w:tcPr>
          <w:p>
            <w:pPr>
              <w:pStyle w:val="TableText"/>
              <w:jc w:val="left"/>
            </w:pPr>
            <w:r>
              <w:t xml:space="preserve">–</w:t>
            </w:r>
          </w:p>
        </w:tc>
        <w:tc>
          <w:tcPr>
            <w:tcW w:w="1061" w:type="dxa"/>
          </w:tcPr>
          <w:p>
            <w:pPr>
              <w:pStyle w:val="TableText"/>
              <w:jc w:val="left"/>
            </w:pPr>
            <w:r>
              <w:t xml:space="preserve">–</w:t>
            </w:r>
          </w:p>
        </w:tc>
      </w:tr>
      <w:tr>
        <w:tc>
          <w:tcPr>
            <w:tcW w:w="941" w:type="dxa"/>
          </w:tcPr>
          <w:p>
            <w:pPr>
              <w:pStyle w:val="TableText"/>
            </w:pPr>
          </w:p>
        </w:tc>
        <w:tc>
          <w:tcPr>
            <w:tcW w:w="1790" w:type="dxa"/>
          </w:tcPr>
          <w:p>
            <w:pPr>
              <w:pStyle w:val="TableText"/>
            </w:pPr>
          </w:p>
        </w:tc>
        <w:tc>
          <w:tcPr>
            <w:tcW w:w="1274" w:type="dxa"/>
          </w:tcPr>
          <w:p>
            <w:pPr>
              <w:pStyle w:val="TableText"/>
              <w:jc w:val="left"/>
            </w:pPr>
            <w:r>
              <w:t xml:space="preserve">JR-M</w:t>
            </w:r>
          </w:p>
        </w:tc>
        <w:tc>
          <w:tcPr>
            <w:tcW w:w="1304" w:type="dxa"/>
          </w:tcPr>
          <w:p>
            <w:pPr>
              <w:pStyle w:val="TableText"/>
              <w:jc w:val="left"/>
            </w:pPr>
            <w:r>
              <w:t xml:space="preserve">7.5</w:t>
            </w:r>
          </w:p>
        </w:tc>
        <w:tc>
          <w:tcPr>
            <w:tcW w:w="1092" w:type="dxa"/>
          </w:tcPr>
          <w:p>
            <w:pPr>
              <w:pStyle w:val="TableText"/>
              <w:jc w:val="left"/>
            </w:pPr>
            <w:r>
              <w:t xml:space="preserve">0</w:t>
            </w:r>
          </w:p>
        </w:tc>
        <w:tc>
          <w:tcPr>
            <w:tcW w:w="698" w:type="dxa"/>
          </w:tcPr>
          <w:p>
            <w:pPr>
              <w:pStyle w:val="TableText"/>
              <w:jc w:val="left"/>
            </w:pPr>
            <w:r>
              <w:t xml:space="preserve">0.013</w:t>
            </w:r>
          </w:p>
        </w:tc>
        <w:tc>
          <w:tcPr>
            <w:tcW w:w="910" w:type="dxa"/>
          </w:tcPr>
          <w:p>
            <w:pPr>
              <w:pStyle w:val="TableText"/>
              <w:jc w:val="left"/>
            </w:pPr>
            <w:r>
              <w:t xml:space="preserve">77</w:t>
            </w:r>
          </w:p>
        </w:tc>
        <w:tc>
          <w:tcPr>
            <w:tcW w:w="1061" w:type="dxa"/>
          </w:tcPr>
          <w:p>
            <w:pPr>
              <w:pStyle w:val="TableText"/>
              <w:jc w:val="left"/>
            </w:pPr>
            <w:r>
              <w:t xml:space="preserve">36.9</w:t>
            </w:r>
          </w:p>
        </w:tc>
      </w:tr>
      <w:tr>
        <w:tc>
          <w:tcPr>
            <w:tcW w:w="941" w:type="dxa"/>
          </w:tcPr>
          <w:p>
            <w:pPr>
              <w:pStyle w:val="TableText"/>
            </w:pPr>
          </w:p>
        </w:tc>
        <w:tc>
          <w:tcPr>
            <w:tcW w:w="1790" w:type="dxa"/>
          </w:tcPr>
          <w:p>
            <w:pPr>
              <w:pStyle w:val="TableText"/>
            </w:pPr>
          </w:p>
        </w:tc>
        <w:tc>
          <w:tcPr>
            <w:tcW w:w="1274" w:type="dxa"/>
          </w:tcPr>
          <w:p>
            <w:pPr>
              <w:pStyle w:val="TableText"/>
              <w:jc w:val="left"/>
            </w:pPr>
            <w:r>
              <w:t xml:space="preserve">JR-D</w:t>
            </w:r>
          </w:p>
        </w:tc>
        <w:tc>
          <w:tcPr>
            <w:tcW w:w="1304" w:type="dxa"/>
          </w:tcPr>
          <w:p>
            <w:pPr>
              <w:pStyle w:val="TableText"/>
              <w:jc w:val="left"/>
            </w:pPr>
            <w:r>
              <w:t xml:space="preserve">8.0</w:t>
            </w:r>
          </w:p>
        </w:tc>
        <w:tc>
          <w:tcPr>
            <w:tcW w:w="1092" w:type="dxa"/>
          </w:tcPr>
          <w:p>
            <w:pPr>
              <w:pStyle w:val="TableText"/>
              <w:jc w:val="left"/>
            </w:pPr>
            <w:r>
              <w:t xml:space="preserve">0</w:t>
            </w:r>
          </w:p>
        </w:tc>
        <w:tc>
          <w:tcPr>
            <w:tcW w:w="698" w:type="dxa"/>
          </w:tcPr>
          <w:p>
            <w:pPr>
              <w:pStyle w:val="TableText"/>
              <w:jc w:val="left"/>
            </w:pPr>
            <w:r>
              <w:t xml:space="preserve">0.013</w:t>
            </w:r>
          </w:p>
        </w:tc>
        <w:tc>
          <w:tcPr>
            <w:tcW w:w="910" w:type="dxa"/>
          </w:tcPr>
          <w:p>
            <w:pPr>
              <w:pStyle w:val="TableText"/>
              <w:jc w:val="left"/>
            </w:pPr>
            <w:r>
              <w:t xml:space="preserve">81</w:t>
            </w:r>
          </w:p>
        </w:tc>
        <w:tc>
          <w:tcPr>
            <w:tcW w:w="1061" w:type="dxa"/>
          </w:tcPr>
          <w:p>
            <w:pPr>
              <w:pStyle w:val="TableText"/>
              <w:jc w:val="left"/>
            </w:pPr>
            <w:r>
              <w:t xml:space="preserve">44.6</w:t>
            </w:r>
          </w:p>
        </w:tc>
      </w:tr>
      <w:tr>
        <w:tc>
          <w:tcPr>
            <w:tcW w:w="941" w:type="dxa"/>
          </w:tcPr>
          <w:p>
            <w:pPr>
              <w:pStyle w:val="TableText"/>
            </w:pPr>
          </w:p>
        </w:tc>
        <w:tc>
          <w:tcPr>
            <w:tcW w:w="1790" w:type="dxa"/>
          </w:tcPr>
          <w:p>
            <w:pPr>
              <w:pStyle w:val="TableText"/>
              <w:jc w:val="left"/>
            </w:pPr>
            <w:r>
              <w:t xml:space="preserve">Robust (17)</w:t>
            </w:r>
          </w:p>
        </w:tc>
        <w:tc>
          <w:tcPr>
            <w:tcW w:w="1274" w:type="dxa"/>
          </w:tcPr>
          <w:p>
            <w:pPr>
              <w:pStyle w:val="TableText"/>
              <w:jc w:val="left"/>
            </w:pPr>
            <w:r>
              <w:t xml:space="preserve">IR-O*, IR-P</w:t>
            </w:r>
          </w:p>
        </w:tc>
        <w:tc>
          <w:tcPr>
            <w:tcW w:w="1304" w:type="dxa"/>
          </w:tcPr>
          <w:p>
            <w:pPr>
              <w:pStyle w:val="TableText"/>
              <w:jc w:val="left"/>
            </w:pPr>
            <w:r>
              <w:t xml:space="preserve">none ≥ 1</w:t>
            </w:r>
          </w:p>
        </w:tc>
        <w:tc>
          <w:tcPr>
            <w:tcW w:w="1092" w:type="dxa"/>
          </w:tcPr>
          <w:p>
            <w:pPr>
              <w:pStyle w:val="TableText"/>
              <w:jc w:val="left"/>
            </w:pPr>
            <w:r>
              <w:t xml:space="preserve">0.91 / 0.90</w:t>
            </w:r>
          </w:p>
        </w:tc>
        <w:tc>
          <w:tcPr>
            <w:tcW w:w="698" w:type="dxa"/>
          </w:tcPr>
          <w:p>
            <w:pPr>
              <w:pStyle w:val="TableText"/>
              <w:jc w:val="left"/>
            </w:pPr>
            <w:r>
              <w:t xml:space="preserve">–</w:t>
            </w:r>
          </w:p>
        </w:tc>
        <w:tc>
          <w:tcPr>
            <w:tcW w:w="910" w:type="dxa"/>
          </w:tcPr>
          <w:p>
            <w:pPr>
              <w:pStyle w:val="TableText"/>
              <w:jc w:val="left"/>
            </w:pPr>
            <w:r>
              <w:t xml:space="preserve">–</w:t>
            </w:r>
          </w:p>
        </w:tc>
        <w:tc>
          <w:tcPr>
            <w:tcW w:w="1061" w:type="dxa"/>
          </w:tcPr>
          <w:p>
            <w:pPr>
              <w:pStyle w:val="TableText"/>
              <w:jc w:val="left"/>
            </w:pPr>
            <w:r>
              <w:t xml:space="preserve">–</w:t>
            </w:r>
          </w:p>
        </w:tc>
      </w:tr>
      <w:tr>
        <w:tc>
          <w:tcPr>
            <w:tcW w:w="941" w:type="dxa"/>
          </w:tcPr>
          <w:p>
            <w:pPr>
              <w:pStyle w:val="TableText"/>
            </w:pPr>
          </w:p>
        </w:tc>
        <w:tc>
          <w:tcPr>
            <w:tcW w:w="1790" w:type="dxa"/>
          </w:tcPr>
          <w:p>
            <w:pPr>
              <w:pStyle w:val="TableText"/>
            </w:pPr>
          </w:p>
        </w:tc>
        <w:tc>
          <w:tcPr>
            <w:tcW w:w="1274" w:type="dxa"/>
          </w:tcPr>
          <w:p>
            <w:pPr>
              <w:pStyle w:val="TableText"/>
              <w:jc w:val="left"/>
            </w:pPr>
            <w:r>
              <w:t xml:space="preserve">JR-M</w:t>
            </w:r>
          </w:p>
        </w:tc>
        <w:tc>
          <w:tcPr>
            <w:tcW w:w="1304" w:type="dxa"/>
          </w:tcPr>
          <w:p>
            <w:pPr>
              <w:pStyle w:val="TableText"/>
              <w:jc w:val="left"/>
            </w:pPr>
            <w:r>
              <w:t xml:space="preserve">6.0</w:t>
            </w:r>
          </w:p>
        </w:tc>
        <w:tc>
          <w:tcPr>
            <w:tcW w:w="1092" w:type="dxa"/>
          </w:tcPr>
          <w:p>
            <w:pPr>
              <w:pStyle w:val="TableText"/>
              <w:jc w:val="left"/>
            </w:pPr>
            <w:r>
              <w:t xml:space="preserve">0.066</w:t>
            </w:r>
          </w:p>
        </w:tc>
        <w:tc>
          <w:tcPr>
            <w:tcW w:w="698" w:type="dxa"/>
          </w:tcPr>
          <w:p>
            <w:pPr>
              <w:pStyle w:val="TableText"/>
              <w:jc w:val="left"/>
            </w:pPr>
            <w:r>
              <w:t xml:space="preserve">0.088</w:t>
            </w:r>
          </w:p>
        </w:tc>
        <w:tc>
          <w:tcPr>
            <w:tcW w:w="910" w:type="dxa"/>
          </w:tcPr>
          <w:p>
            <w:pPr>
              <w:pStyle w:val="TableText"/>
              <w:jc w:val="left"/>
            </w:pPr>
            <w:r>
              <w:t xml:space="preserve">100</w:t>
            </w:r>
          </w:p>
        </w:tc>
        <w:tc>
          <w:tcPr>
            <w:tcW w:w="1061" w:type="dxa"/>
          </w:tcPr>
          <w:p>
            <w:pPr>
              <w:pStyle w:val="TableText"/>
              <w:jc w:val="left"/>
            </w:pPr>
            <w:r>
              <w:t xml:space="preserve">35.8</w:t>
            </w:r>
          </w:p>
        </w:tc>
      </w:tr>
      <w:tr>
        <w:tc>
          <w:tcPr>
            <w:tcW w:w="941" w:type="dxa"/>
          </w:tcPr>
          <w:p>
            <w:pPr>
              <w:pStyle w:val="TableText"/>
            </w:pPr>
          </w:p>
        </w:tc>
        <w:tc>
          <w:tcPr>
            <w:tcW w:w="1790" w:type="dxa"/>
          </w:tcPr>
          <w:p>
            <w:pPr>
              <w:pStyle w:val="TableText"/>
            </w:pPr>
          </w:p>
        </w:tc>
        <w:tc>
          <w:tcPr>
            <w:tcW w:w="1274" w:type="dxa"/>
          </w:tcPr>
          <w:p>
            <w:pPr>
              <w:pStyle w:val="TableText"/>
              <w:jc w:val="left"/>
            </w:pPr>
            <w:r>
              <w:t xml:space="preserve">JR-D</w:t>
            </w:r>
          </w:p>
        </w:tc>
        <w:tc>
          <w:tcPr>
            <w:tcW w:w="1304" w:type="dxa"/>
          </w:tcPr>
          <w:p>
            <w:pPr>
              <w:pStyle w:val="TableText"/>
              <w:jc w:val="left"/>
            </w:pPr>
            <w:r>
              <w:t xml:space="preserve">8.0</w:t>
            </w:r>
          </w:p>
        </w:tc>
        <w:tc>
          <w:tcPr>
            <w:tcW w:w="1092" w:type="dxa"/>
          </w:tcPr>
          <w:p>
            <w:pPr>
              <w:pStyle w:val="TableText"/>
              <w:jc w:val="left"/>
            </w:pPr>
            <w:r>
              <w:t xml:space="preserve">0</w:t>
            </w:r>
          </w:p>
        </w:tc>
        <w:tc>
          <w:tcPr>
            <w:tcW w:w="698" w:type="dxa"/>
          </w:tcPr>
          <w:p>
            <w:pPr>
              <w:pStyle w:val="TableText"/>
              <w:jc w:val="left"/>
            </w:pPr>
            <w:r>
              <w:t xml:space="preserve">0.013</w:t>
            </w:r>
          </w:p>
        </w:tc>
        <w:tc>
          <w:tcPr>
            <w:tcW w:w="910" w:type="dxa"/>
          </w:tcPr>
          <w:p>
            <w:pPr>
              <w:pStyle w:val="TableText"/>
              <w:jc w:val="left"/>
            </w:pPr>
            <w:r>
              <w:t xml:space="preserve">81</w:t>
            </w:r>
          </w:p>
        </w:tc>
        <w:tc>
          <w:tcPr>
            <w:tcW w:w="1061" w:type="dxa"/>
          </w:tcPr>
          <w:p>
            <w:pPr>
              <w:pStyle w:val="TableText"/>
              <w:jc w:val="left"/>
            </w:pPr>
            <w:r>
              <w:t xml:space="preserve">44.6</w:t>
            </w:r>
          </w:p>
        </w:tc>
      </w:tr>
      <w:tr>
        <w:tc>
          <w:tcPr>
            <w:tcW w:w="941" w:type="dxa"/>
          </w:tcPr>
          <w:p>
            <w:pPr>
              <w:pStyle w:val="TableText"/>
            </w:pPr>
          </w:p>
        </w:tc>
        <w:tc>
          <w:tcPr>
            <w:tcW w:w="1790" w:type="dxa"/>
          </w:tcPr>
          <w:p>
            <w:pPr>
              <w:pStyle w:val="TableText"/>
              <w:jc w:val="left"/>
            </w:pPr>
            <w:r>
              <w:t xml:space="preserve">Cost-optimal (21)</w:t>
            </w:r>
          </w:p>
        </w:tc>
        <w:tc>
          <w:tcPr>
            <w:tcW w:w="1274" w:type="dxa"/>
          </w:tcPr>
          <w:p>
            <w:pPr>
              <w:pStyle w:val="TableText"/>
              <w:jc w:val="left"/>
            </w:pPr>
            <w:r>
              <w:t xml:space="preserve">JR-M</w:t>
            </w:r>
          </w:p>
        </w:tc>
        <w:tc>
          <w:tcPr>
            <w:tcW w:w="1304" w:type="dxa"/>
          </w:tcPr>
          <w:p>
            <w:pPr>
              <w:pStyle w:val="TableText"/>
              <w:jc w:val="left"/>
            </w:pPr>
            <w:r>
              <w:t xml:space="preserve">6.0</w:t>
            </w:r>
          </w:p>
        </w:tc>
        <w:tc>
          <w:tcPr>
            <w:tcW w:w="1092" w:type="dxa"/>
          </w:tcPr>
          <w:p>
            <w:pPr>
              <w:pStyle w:val="TableText"/>
              <w:jc w:val="left"/>
            </w:pPr>
            <w:r>
              <w:t xml:space="preserve">0.066</w:t>
            </w:r>
          </w:p>
        </w:tc>
        <w:tc>
          <w:tcPr>
            <w:tcW w:w="698" w:type="dxa"/>
          </w:tcPr>
          <w:p>
            <w:pPr>
              <w:pStyle w:val="TableText"/>
              <w:jc w:val="left"/>
            </w:pPr>
            <w:r>
              <w:t xml:space="preserve">0.088</w:t>
            </w:r>
          </w:p>
        </w:tc>
        <w:tc>
          <w:tcPr>
            <w:tcW w:w="910" w:type="dxa"/>
          </w:tcPr>
          <w:p>
            <w:pPr>
              <w:pStyle w:val="TableText"/>
              <w:jc w:val="left"/>
            </w:pPr>
            <w:r>
              <w:t xml:space="preserve">100</w:t>
            </w:r>
          </w:p>
        </w:tc>
        <w:tc>
          <w:tcPr>
            <w:tcW w:w="1061" w:type="dxa"/>
          </w:tcPr>
          <w:p>
            <w:pPr>
              <w:pStyle w:val="TableText"/>
              <w:jc w:val="left"/>
            </w:pPr>
            <w:r>
              <w:t xml:space="preserve">35.8</w:t>
            </w:r>
          </w:p>
        </w:tc>
      </w:tr>
      <w:tr>
        <w:tc>
          <w:tcPr>
            <w:tcW w:w="941" w:type="dxa"/>
          </w:tcPr>
          <w:p>
            <w:pPr>
              <w:pStyle w:val="TableText"/>
            </w:pPr>
          </w:p>
        </w:tc>
        <w:tc>
          <w:tcPr>
            <w:tcW w:w="1790" w:type="dxa"/>
          </w:tcPr>
          <w:p>
            <w:pPr>
              <w:pStyle w:val="TableText"/>
            </w:pPr>
          </w:p>
        </w:tc>
        <w:tc>
          <w:tcPr>
            <w:tcW w:w="1274" w:type="dxa"/>
          </w:tcPr>
          <w:p>
            <w:pPr>
              <w:pStyle w:val="TableText"/>
              <w:jc w:val="left"/>
            </w:pPr>
            <w:r>
              <w:rPr>
                <w:bCs/>
                <w:b/>
              </w:rPr>
              <w:t xml:space="preserve">JR-D</w:t>
            </w:r>
          </w:p>
        </w:tc>
        <w:tc>
          <w:tcPr>
            <w:tcW w:w="1304" w:type="dxa"/>
          </w:tcPr>
          <w:p>
            <w:pPr>
              <w:pStyle w:val="TableText"/>
              <w:jc w:val="left"/>
            </w:pPr>
            <w:r>
              <w:rPr>
                <w:bCs/>
                <w:b/>
              </w:rPr>
              <w:t xml:space="preserve">7.0</w:t>
            </w:r>
          </w:p>
        </w:tc>
        <w:tc>
          <w:tcPr>
            <w:tcW w:w="1092" w:type="dxa"/>
          </w:tcPr>
          <w:p>
            <w:pPr>
              <w:pStyle w:val="TableText"/>
              <w:jc w:val="left"/>
            </w:pPr>
            <w:r>
              <w:rPr>
                <w:bCs/>
                <w:b/>
              </w:rPr>
              <w:t xml:space="preserve">0</w:t>
            </w:r>
          </w:p>
        </w:tc>
        <w:tc>
          <w:tcPr>
            <w:tcW w:w="698" w:type="dxa"/>
          </w:tcPr>
          <w:p>
            <w:pPr>
              <w:pStyle w:val="TableText"/>
              <w:jc w:val="left"/>
            </w:pPr>
            <w:r>
              <w:rPr>
                <w:bCs/>
                <w:b/>
              </w:rPr>
              <w:t xml:space="preserve">0.063</w:t>
            </w:r>
          </w:p>
        </w:tc>
        <w:tc>
          <w:tcPr>
            <w:tcW w:w="910" w:type="dxa"/>
          </w:tcPr>
          <w:p>
            <w:pPr>
              <w:pStyle w:val="TableText"/>
              <w:jc w:val="left"/>
            </w:pPr>
            <w:r>
              <w:rPr>
                <w:bCs/>
                <w:b/>
              </w:rPr>
              <w:t xml:space="preserve">100</w:t>
            </w:r>
          </w:p>
        </w:tc>
        <w:tc>
          <w:tcPr>
            <w:tcW w:w="1061" w:type="dxa"/>
          </w:tcPr>
          <w:p>
            <w:pPr>
              <w:pStyle w:val="TableText"/>
              <w:jc w:val="left"/>
            </w:pPr>
            <w:r>
              <w:rPr>
                <w:bCs/>
                <w:b/>
              </w:rPr>
              <w:t xml:space="preserve">44.8</w:t>
            </w:r>
          </w:p>
        </w:tc>
      </w:tr>
      <w:tr>
        <w:tc>
          <w:tcPr>
            <w:tcW w:w="941" w:type="dxa"/>
          </w:tcPr>
          <w:p>
            <w:pPr>
              <w:pStyle w:val="TableText"/>
              <w:jc w:val="left"/>
            </w:pPr>
            <w:r>
              <w:t xml:space="preserve">S2</w:t>
            </w:r>
          </w:p>
        </w:tc>
        <w:tc>
          <w:tcPr>
            <w:tcW w:w="1790" w:type="dxa"/>
          </w:tcPr>
          <w:p>
            <w:pPr>
              <w:pStyle w:val="TableText"/>
              <w:jc w:val="left"/>
            </w:pPr>
            <w:r>
              <w:t xml:space="preserve">Sample average</w:t>
            </w:r>
          </w:p>
        </w:tc>
        <w:tc>
          <w:tcPr>
            <w:tcW w:w="1274" w:type="dxa"/>
          </w:tcPr>
          <w:p>
            <w:pPr>
              <w:pStyle w:val="TableText"/>
              <w:jc w:val="left"/>
            </w:pPr>
            <w:r>
              <w:t xml:space="preserve">IR-O*, IR-P</w:t>
            </w:r>
          </w:p>
        </w:tc>
        <w:tc>
          <w:tcPr>
            <w:tcW w:w="1304" w:type="dxa"/>
          </w:tcPr>
          <w:p>
            <w:pPr>
              <w:pStyle w:val="TableText"/>
              <w:jc w:val="left"/>
            </w:pPr>
            <w:r>
              <w:t xml:space="preserve">none ≥ 1</w:t>
            </w:r>
          </w:p>
        </w:tc>
        <w:tc>
          <w:tcPr>
            <w:tcW w:w="1092" w:type="dxa"/>
          </w:tcPr>
          <w:p>
            <w:pPr>
              <w:pStyle w:val="TableText"/>
              <w:jc w:val="left"/>
            </w:pPr>
            <w:r>
              <w:t xml:space="preserve">0</w:t>
            </w:r>
          </w:p>
        </w:tc>
        <w:tc>
          <w:tcPr>
            <w:tcW w:w="698" w:type="dxa"/>
          </w:tcPr>
          <w:p>
            <w:pPr>
              <w:pStyle w:val="TableText"/>
              <w:jc w:val="left"/>
            </w:pPr>
            <w:r>
              <w:t xml:space="preserve">–</w:t>
            </w:r>
          </w:p>
        </w:tc>
        <w:tc>
          <w:tcPr>
            <w:tcW w:w="910" w:type="dxa"/>
          </w:tcPr>
          <w:p>
            <w:pPr>
              <w:pStyle w:val="TableText"/>
              <w:jc w:val="left"/>
            </w:pPr>
            <w:r>
              <w:t xml:space="preserve">–</w:t>
            </w:r>
          </w:p>
        </w:tc>
        <w:tc>
          <w:tcPr>
            <w:tcW w:w="1061" w:type="dxa"/>
          </w:tcPr>
          <w:p>
            <w:pPr>
              <w:pStyle w:val="TableText"/>
              <w:jc w:val="left"/>
            </w:pPr>
            <w:r>
              <w:t xml:space="preserve">–</w:t>
            </w:r>
          </w:p>
        </w:tc>
      </w:tr>
      <w:tr>
        <w:tc>
          <w:tcPr>
            <w:tcW w:w="941" w:type="dxa"/>
          </w:tcPr>
          <w:p>
            <w:pPr>
              <w:pStyle w:val="TableText"/>
            </w:pPr>
          </w:p>
        </w:tc>
        <w:tc>
          <w:tcPr>
            <w:tcW w:w="1790" w:type="dxa"/>
          </w:tcPr>
          <w:p>
            <w:pPr>
              <w:pStyle w:val="TableText"/>
            </w:pPr>
          </w:p>
        </w:tc>
        <w:tc>
          <w:tcPr>
            <w:tcW w:w="1274" w:type="dxa"/>
          </w:tcPr>
          <w:p>
            <w:pPr>
              <w:pStyle w:val="TableText"/>
              <w:jc w:val="left"/>
            </w:pPr>
            <w:r>
              <w:t xml:space="preserve">JR-M</w:t>
            </w:r>
          </w:p>
        </w:tc>
        <w:tc>
          <w:tcPr>
            <w:tcW w:w="1304" w:type="dxa"/>
          </w:tcPr>
          <w:p>
            <w:pPr>
              <w:pStyle w:val="TableText"/>
              <w:jc w:val="left"/>
            </w:pPr>
            <w:r>
              <w:t xml:space="preserve">5.0</w:t>
            </w:r>
          </w:p>
        </w:tc>
        <w:tc>
          <w:tcPr>
            <w:tcW w:w="1092" w:type="dxa"/>
          </w:tcPr>
          <w:p>
            <w:pPr>
              <w:pStyle w:val="TableText"/>
              <w:jc w:val="left"/>
            </w:pPr>
            <w:r>
              <w:t xml:space="preserve">0</w:t>
            </w:r>
          </w:p>
        </w:tc>
        <w:tc>
          <w:tcPr>
            <w:tcW w:w="698" w:type="dxa"/>
          </w:tcPr>
          <w:p>
            <w:pPr>
              <w:pStyle w:val="TableText"/>
              <w:jc w:val="left"/>
            </w:pPr>
            <w:r>
              <w:t xml:space="preserve">0.013</w:t>
            </w:r>
          </w:p>
        </w:tc>
        <w:tc>
          <w:tcPr>
            <w:tcW w:w="910" w:type="dxa"/>
          </w:tcPr>
          <w:p>
            <w:pPr>
              <w:pStyle w:val="TableText"/>
              <w:jc w:val="left"/>
            </w:pPr>
            <w:r>
              <w:t xml:space="preserve">92</w:t>
            </w:r>
          </w:p>
        </w:tc>
        <w:tc>
          <w:tcPr>
            <w:tcW w:w="1061" w:type="dxa"/>
          </w:tcPr>
          <w:p>
            <w:pPr>
              <w:pStyle w:val="TableText"/>
              <w:jc w:val="left"/>
            </w:pPr>
            <w:r>
              <w:t xml:space="preserve">29.3</w:t>
            </w:r>
          </w:p>
        </w:tc>
      </w:tr>
      <w:tr>
        <w:tc>
          <w:tcPr>
            <w:tcW w:w="941" w:type="dxa"/>
          </w:tcPr>
          <w:p>
            <w:pPr>
              <w:pStyle w:val="TableText"/>
            </w:pPr>
          </w:p>
        </w:tc>
        <w:tc>
          <w:tcPr>
            <w:tcW w:w="1790" w:type="dxa"/>
          </w:tcPr>
          <w:p>
            <w:pPr>
              <w:pStyle w:val="TableText"/>
            </w:pPr>
          </w:p>
        </w:tc>
        <w:tc>
          <w:tcPr>
            <w:tcW w:w="1274" w:type="dxa"/>
          </w:tcPr>
          <w:p>
            <w:pPr>
              <w:pStyle w:val="TableText"/>
              <w:jc w:val="left"/>
            </w:pPr>
            <w:r>
              <w:t xml:space="preserve">JR-D</w:t>
            </w:r>
          </w:p>
        </w:tc>
        <w:tc>
          <w:tcPr>
            <w:tcW w:w="1304" w:type="dxa"/>
          </w:tcPr>
          <w:p>
            <w:pPr>
              <w:pStyle w:val="TableText"/>
              <w:jc w:val="left"/>
            </w:pPr>
            <w:r>
              <w:t xml:space="preserve">7.5</w:t>
            </w:r>
          </w:p>
        </w:tc>
        <w:tc>
          <w:tcPr>
            <w:tcW w:w="1092" w:type="dxa"/>
          </w:tcPr>
          <w:p>
            <w:pPr>
              <w:pStyle w:val="TableText"/>
              <w:jc w:val="left"/>
            </w:pPr>
            <w:r>
              <w:t xml:space="preserve">0</w:t>
            </w:r>
          </w:p>
        </w:tc>
        <w:tc>
          <w:tcPr>
            <w:tcW w:w="698" w:type="dxa"/>
          </w:tcPr>
          <w:p>
            <w:pPr>
              <w:pStyle w:val="TableText"/>
              <w:jc w:val="left"/>
            </w:pPr>
            <w:r>
              <w:t xml:space="preserve">0.013</w:t>
            </w:r>
          </w:p>
        </w:tc>
        <w:tc>
          <w:tcPr>
            <w:tcW w:w="910" w:type="dxa"/>
          </w:tcPr>
          <w:p>
            <w:pPr>
              <w:pStyle w:val="TableText"/>
              <w:jc w:val="left"/>
            </w:pPr>
            <w:r>
              <w:t xml:space="preserve">100</w:t>
            </w:r>
          </w:p>
        </w:tc>
        <w:tc>
          <w:tcPr>
            <w:tcW w:w="1061" w:type="dxa"/>
          </w:tcPr>
          <w:p>
            <w:pPr>
              <w:pStyle w:val="TableText"/>
              <w:jc w:val="left"/>
            </w:pPr>
            <w:r>
              <w:t xml:space="preserve">43.1</w:t>
            </w:r>
          </w:p>
        </w:tc>
      </w:tr>
      <w:tr>
        <w:tc>
          <w:tcPr>
            <w:tcW w:w="941" w:type="dxa"/>
          </w:tcPr>
          <w:p>
            <w:pPr>
              <w:pStyle w:val="TableText"/>
            </w:pPr>
          </w:p>
        </w:tc>
        <w:tc>
          <w:tcPr>
            <w:tcW w:w="1790" w:type="dxa"/>
          </w:tcPr>
          <w:p>
            <w:pPr>
              <w:pStyle w:val="TableText"/>
              <w:jc w:val="left"/>
            </w:pPr>
            <w:r>
              <w:t xml:space="preserve">Robust (17)</w:t>
            </w:r>
          </w:p>
        </w:tc>
        <w:tc>
          <w:tcPr>
            <w:tcW w:w="1274" w:type="dxa"/>
          </w:tcPr>
          <w:p>
            <w:pPr>
              <w:pStyle w:val="TableText"/>
              <w:jc w:val="left"/>
            </w:pPr>
            <w:r>
              <w:t xml:space="preserve">IR-O*, IR-P</w:t>
            </w:r>
          </w:p>
        </w:tc>
        <w:tc>
          <w:tcPr>
            <w:tcW w:w="1304" w:type="dxa"/>
          </w:tcPr>
          <w:p>
            <w:pPr>
              <w:pStyle w:val="TableText"/>
              <w:jc w:val="left"/>
            </w:pPr>
            <w:r>
              <w:t xml:space="preserve">none ≥ 1</w:t>
            </w:r>
          </w:p>
        </w:tc>
        <w:tc>
          <w:tcPr>
            <w:tcW w:w="1092" w:type="dxa"/>
          </w:tcPr>
          <w:p>
            <w:pPr>
              <w:pStyle w:val="TableText"/>
              <w:jc w:val="left"/>
            </w:pPr>
            <w:r>
              <w:t xml:space="preserve">0.73 / 0.83</w:t>
            </w:r>
          </w:p>
        </w:tc>
        <w:tc>
          <w:tcPr>
            <w:tcW w:w="698" w:type="dxa"/>
          </w:tcPr>
          <w:p>
            <w:pPr>
              <w:pStyle w:val="TableText"/>
              <w:jc w:val="left"/>
            </w:pPr>
            <w:r>
              <w:t xml:space="preserve">–</w:t>
            </w:r>
          </w:p>
        </w:tc>
        <w:tc>
          <w:tcPr>
            <w:tcW w:w="910" w:type="dxa"/>
          </w:tcPr>
          <w:p>
            <w:pPr>
              <w:pStyle w:val="TableText"/>
              <w:jc w:val="left"/>
            </w:pPr>
            <w:r>
              <w:t xml:space="preserve">–</w:t>
            </w:r>
          </w:p>
        </w:tc>
        <w:tc>
          <w:tcPr>
            <w:tcW w:w="1061" w:type="dxa"/>
          </w:tcPr>
          <w:p>
            <w:pPr>
              <w:pStyle w:val="TableText"/>
              <w:jc w:val="left"/>
            </w:pPr>
            <w:r>
              <w:t xml:space="preserve">–</w:t>
            </w:r>
          </w:p>
        </w:tc>
      </w:tr>
      <w:tr>
        <w:tc>
          <w:tcPr>
            <w:tcW w:w="941" w:type="dxa"/>
          </w:tcPr>
          <w:p>
            <w:pPr>
              <w:pStyle w:val="TableText"/>
            </w:pPr>
          </w:p>
        </w:tc>
        <w:tc>
          <w:tcPr>
            <w:tcW w:w="1790" w:type="dxa"/>
          </w:tcPr>
          <w:p>
            <w:pPr>
              <w:pStyle w:val="TableText"/>
            </w:pPr>
          </w:p>
        </w:tc>
        <w:tc>
          <w:tcPr>
            <w:tcW w:w="1274" w:type="dxa"/>
          </w:tcPr>
          <w:p>
            <w:pPr>
              <w:pStyle w:val="TableText"/>
              <w:jc w:val="left"/>
            </w:pPr>
            <w:r>
              <w:t xml:space="preserve">JR-M</w:t>
            </w:r>
          </w:p>
        </w:tc>
        <w:tc>
          <w:tcPr>
            <w:tcW w:w="1304" w:type="dxa"/>
          </w:tcPr>
          <w:p>
            <w:pPr>
              <w:pStyle w:val="TableText"/>
              <w:jc w:val="left"/>
            </w:pPr>
            <w:r>
              <w:t xml:space="preserve">none ≥ 1</w:t>
            </w:r>
          </w:p>
        </w:tc>
        <w:tc>
          <w:tcPr>
            <w:tcW w:w="1092" w:type="dxa"/>
          </w:tcPr>
          <w:p>
            <w:pPr>
              <w:pStyle w:val="TableText"/>
              <w:jc w:val="left"/>
            </w:pPr>
            <w:r>
              <w:t xml:space="preserve">0.25</w:t>
            </w:r>
          </w:p>
        </w:tc>
        <w:tc>
          <w:tcPr>
            <w:tcW w:w="698" w:type="dxa"/>
          </w:tcPr>
          <w:p>
            <w:pPr>
              <w:pStyle w:val="TableText"/>
              <w:jc w:val="left"/>
            </w:pPr>
            <w:r>
              <w:t xml:space="preserve">–</w:t>
            </w:r>
          </w:p>
        </w:tc>
        <w:tc>
          <w:tcPr>
            <w:tcW w:w="910" w:type="dxa"/>
          </w:tcPr>
          <w:p>
            <w:pPr>
              <w:pStyle w:val="TableText"/>
              <w:jc w:val="left"/>
            </w:pPr>
            <w:r>
              <w:t xml:space="preserve">–</w:t>
            </w:r>
          </w:p>
        </w:tc>
        <w:tc>
          <w:tcPr>
            <w:tcW w:w="1061" w:type="dxa"/>
          </w:tcPr>
          <w:p>
            <w:pPr>
              <w:pStyle w:val="TableText"/>
              <w:jc w:val="left"/>
            </w:pPr>
            <w:r>
              <w:t xml:space="preserve">–</w:t>
            </w:r>
          </w:p>
        </w:tc>
      </w:tr>
      <w:tr>
        <w:tc>
          <w:tcPr>
            <w:tcW w:w="941" w:type="dxa"/>
          </w:tcPr>
          <w:p>
            <w:pPr>
              <w:pStyle w:val="TableText"/>
            </w:pPr>
          </w:p>
        </w:tc>
        <w:tc>
          <w:tcPr>
            <w:tcW w:w="1790" w:type="dxa"/>
          </w:tcPr>
          <w:p>
            <w:pPr>
              <w:pStyle w:val="TableText"/>
            </w:pPr>
          </w:p>
        </w:tc>
        <w:tc>
          <w:tcPr>
            <w:tcW w:w="1274" w:type="dxa"/>
          </w:tcPr>
          <w:p>
            <w:pPr>
              <w:pStyle w:val="TableText"/>
              <w:jc w:val="left"/>
            </w:pPr>
            <w:r>
              <w:t xml:space="preserve">JR-D</w:t>
            </w:r>
          </w:p>
        </w:tc>
        <w:tc>
          <w:tcPr>
            <w:tcW w:w="1304" w:type="dxa"/>
          </w:tcPr>
          <w:p>
            <w:pPr>
              <w:pStyle w:val="TableText"/>
              <w:jc w:val="left"/>
            </w:pPr>
            <w:r>
              <w:t xml:space="preserve">7.0</w:t>
            </w:r>
          </w:p>
        </w:tc>
        <w:tc>
          <w:tcPr>
            <w:tcW w:w="1092" w:type="dxa"/>
          </w:tcPr>
          <w:p>
            <w:pPr>
              <w:pStyle w:val="TableText"/>
              <w:jc w:val="left"/>
            </w:pPr>
            <w:r>
              <w:t xml:space="preserve">0.034</w:t>
            </w:r>
          </w:p>
        </w:tc>
        <w:tc>
          <w:tcPr>
            <w:tcW w:w="698" w:type="dxa"/>
          </w:tcPr>
          <w:p>
            <w:pPr>
              <w:pStyle w:val="TableText"/>
              <w:jc w:val="left"/>
            </w:pPr>
            <w:r>
              <w:t xml:space="preserve">0.038</w:t>
            </w:r>
          </w:p>
        </w:tc>
        <w:tc>
          <w:tcPr>
            <w:tcW w:w="910" w:type="dxa"/>
          </w:tcPr>
          <w:p>
            <w:pPr>
              <w:pStyle w:val="TableText"/>
              <w:jc w:val="left"/>
            </w:pPr>
            <w:r>
              <w:t xml:space="preserve">100</w:t>
            </w:r>
          </w:p>
        </w:tc>
        <w:tc>
          <w:tcPr>
            <w:tcW w:w="1061" w:type="dxa"/>
          </w:tcPr>
          <w:p>
            <w:pPr>
              <w:pStyle w:val="TableText"/>
              <w:jc w:val="left"/>
            </w:pPr>
            <w:r>
              <w:t xml:space="preserve">43.1</w:t>
            </w:r>
          </w:p>
        </w:tc>
      </w:tr>
      <w:tr>
        <w:tc>
          <w:tcPr>
            <w:tcW w:w="941" w:type="dxa"/>
          </w:tcPr>
          <w:p>
            <w:pPr>
              <w:pStyle w:val="TableText"/>
            </w:pPr>
          </w:p>
        </w:tc>
        <w:tc>
          <w:tcPr>
            <w:tcW w:w="1790" w:type="dxa"/>
          </w:tcPr>
          <w:p>
            <w:pPr>
              <w:pStyle w:val="TableText"/>
              <w:jc w:val="left"/>
            </w:pPr>
            <w:r>
              <w:t xml:space="preserve">Cost-optimal (21)</w:t>
            </w:r>
          </w:p>
        </w:tc>
        <w:tc>
          <w:tcPr>
            <w:tcW w:w="1274" w:type="dxa"/>
          </w:tcPr>
          <w:p>
            <w:pPr>
              <w:pStyle w:val="TableText"/>
              <w:jc w:val="left"/>
            </w:pPr>
            <w:r>
              <w:rPr>
                <w:bCs/>
                <w:b/>
              </w:rPr>
              <w:t xml:space="preserve">JR-D</w:t>
            </w:r>
          </w:p>
        </w:tc>
        <w:tc>
          <w:tcPr>
            <w:tcW w:w="1304" w:type="dxa"/>
          </w:tcPr>
          <w:p>
            <w:pPr>
              <w:pStyle w:val="TableText"/>
              <w:jc w:val="left"/>
            </w:pPr>
            <w:r>
              <w:rPr>
                <w:bCs/>
                <w:b/>
              </w:rPr>
              <w:t xml:space="preserve">7.0</w:t>
            </w:r>
          </w:p>
        </w:tc>
        <w:tc>
          <w:tcPr>
            <w:tcW w:w="1092" w:type="dxa"/>
          </w:tcPr>
          <w:p>
            <w:pPr>
              <w:pStyle w:val="TableText"/>
              <w:jc w:val="left"/>
            </w:pPr>
            <w:r>
              <w:rPr>
                <w:bCs/>
                <w:b/>
              </w:rPr>
              <w:t xml:space="preserve">0.034</w:t>
            </w:r>
          </w:p>
        </w:tc>
        <w:tc>
          <w:tcPr>
            <w:tcW w:w="698" w:type="dxa"/>
          </w:tcPr>
          <w:p>
            <w:pPr>
              <w:pStyle w:val="TableText"/>
              <w:jc w:val="left"/>
            </w:pPr>
            <w:r>
              <w:rPr>
                <w:bCs/>
                <w:b/>
              </w:rPr>
              <w:t xml:space="preserve">0.038</w:t>
            </w:r>
          </w:p>
        </w:tc>
        <w:tc>
          <w:tcPr>
            <w:tcW w:w="910" w:type="dxa"/>
          </w:tcPr>
          <w:p>
            <w:pPr>
              <w:pStyle w:val="TableText"/>
              <w:jc w:val="left"/>
            </w:pPr>
            <w:r>
              <w:rPr>
                <w:bCs/>
                <w:b/>
              </w:rPr>
              <w:t xml:space="preserve">100</w:t>
            </w:r>
          </w:p>
        </w:tc>
        <w:tc>
          <w:tcPr>
            <w:tcW w:w="1061" w:type="dxa"/>
          </w:tcPr>
          <w:p>
            <w:pPr>
              <w:pStyle w:val="TableText"/>
              <w:jc w:val="left"/>
            </w:pPr>
            <w:r>
              <w:rPr>
                <w:bCs/>
                <w:b/>
              </w:rPr>
              <w:t xml:space="preserve">43.1</w:t>
            </w:r>
          </w:p>
        </w:tc>
      </w:tr>
    </w:tbl>
    <w:bookmarkEnd w:id="83"/>
    <w:bookmarkStart w:id="87" w:name="role-of-the-integrated-energy-system"/>
    <w:p>
      <w:pPr>
        <w:pStyle w:val="Heading2"/>
      </w:pPr>
      <w:r>
        <w:t xml:space="preserve">5.7 Role of the integrated energy system</w:t>
      </w:r>
    </w:p>
    <w:p>
      <w:pPr>
        <w:pStyle w:val="FirstParagraph"/>
      </w:pPr>
      <w:r>
        <w:t xml:space="preserve">The integrated energy system provides the recovery channel. In the two recovery windows of the typical day, the 30-min interval and the two hours after the second event, the no-DR import lies on average 4.8 and 5.3 MW below the connection limit (Fig. 12b). The gas engine, which runs at full output from 14:00 to 22:00 with and without DR, accounts for 3.0 MW of this channel, the absorption chiller, which moves part of the cooling load off the electric chillers, for 0.5 MW, and the cold storage for 0.2 MW; the BESS adds 1.2 MW by shaving the evening peak in normal operation, but under DR it serves the events instead. A grid-only AIDC with the same connection would have almost no channel left (on average −0.3 and +0.4 MW in the two windows). Of the energy that recovery draws through the channel, the gas engine and the absorption chiller provide 85 % (Fig. 5). The cold storage is pre-charged before the events, covers part of the cooling load during both events and is recharged at night, so its own debt never enters the channel.</w:t>
      </w:r>
    </w:p>
    <w:p>
      <w:pPr>
        <w:pStyle w:val="Figure"/>
      </w:pPr>
      <w:r>
        <w:drawing>
          <wp:inline>
            <wp:extent cx="5723999" cy="2181425"/>
            <wp:effectExtent b="0" l="0" r="0" t="0"/>
            <wp:docPr descr="" title="" id="85" name="Picture"/>
            <a:graphic>
              <a:graphicData uri="http://schemas.openxmlformats.org/drawingml/2006/picture">
                <pic:pic>
                  <pic:nvPicPr>
                    <pic:cNvPr descr="/home/user/datacenter/paper/figures/Fig12_ies_contribution.png" id="86" name="Picture"/>
                    <pic:cNvPicPr>
                      <a:picLocks noChangeArrowheads="1" noChangeAspect="1"/>
                    </pic:cNvPicPr>
                  </pic:nvPicPr>
                  <pic:blipFill>
                    <a:blip r:embed="rId84"/>
                    <a:stretch>
                      <a:fillRect/>
                    </a:stretch>
                  </pic:blipFill>
                  <pic:spPr bwMode="auto">
                    <a:xfrm>
                      <a:off x="0" y="0"/>
                      <a:ext cx="5723999" cy="2181425"/>
                    </a:xfrm>
                    <a:prstGeom prst="rect">
                      <a:avLst/>
                    </a:prstGeom>
                    <a:noFill/>
                    <a:ln w="9525">
                      <a:noFill/>
                      <a:headEnd/>
                      <a:tailEnd/>
                    </a:ln>
                  </pic:spPr>
                </pic:pic>
              </a:graphicData>
            </a:graphic>
          </wp:inline>
        </w:drawing>
      </w:r>
    </w:p>
    <w:p>
      <w:pPr>
        <w:pStyle w:val="FigureCaption"/>
      </w:pPr>
      <w:r>
        <w:rPr>
          <w:bCs/>
          <w:b/>
        </w:rPr>
        <w:t xml:space="preserve">Fig. 12.</w:t>
      </w:r>
      <w:r>
        <w:t xml:space="preserve"> </w:t>
      </w:r>
      <w:r>
        <w:t xml:space="preserve">Role of the integrated energy system (S2, connection limit of the base case): (a) firm capacity of JR-D without the gas engine, the absorption chiller, the cold storage or all three, and for the resource ablation; (b) composition of the evening recovery channel</w:t>
      </w:r>
      <w:r>
        <w:t xml:space="preserve"> </w:t>
      </w:r>
      <m:oMath>
        <m:sSup>
          <m:e>
            <m:r>
              <m:t>P</m:t>
            </m:r>
          </m:e>
          <m:sup>
            <m:r>
              <m:t>c</m:t>
            </m:r>
            <m:r>
              <m:t>a</m:t>
            </m:r>
            <m:r>
              <m:t>p</m:t>
            </m:r>
          </m:sup>
        </m:sSup>
        <m:r>
          <m:rPr>
            <m:sty m:val="p"/>
          </m:rPr>
          <m:t>−</m:t>
        </m:r>
        <m:sSubSup>
          <m:e>
            <m:r>
              <m:t>P</m:t>
            </m:r>
          </m:e>
          <m:sub>
            <m:r>
              <m:t>n</m:t>
            </m:r>
            <m:r>
              <m:t>o</m:t>
            </m:r>
            <m:r>
              <m:t>D</m:t>
            </m:r>
            <m:r>
              <m:t>R</m:t>
            </m:r>
          </m:sub>
          <m:sup>
            <m:r>
              <m:t>g</m:t>
            </m:r>
            <m:r>
              <m:t>r</m:t>
            </m:r>
            <m:r>
              <m:t>i</m:t>
            </m:r>
            <m:r>
              <m:t>d</m:t>
            </m:r>
          </m:sup>
        </m:sSubSup>
      </m:oMath>
      <w:r>
        <w:t xml:space="preserve"> </w:t>
      </w:r>
      <w:r>
        <w:t xml:space="preserve">on the typical day.</w:t>
      </w:r>
    </w:p>
    <w:p>
      <w:pPr>
        <w:pStyle w:val="BodyText"/>
      </w:pPr>
      <w:r>
        <w:t xml:space="preserve">Fig. 12a quantifies these roles as firm capacities of JR-D in S2 with the connection limit of the base case. Without the gas engine, and therefore without heat for the absorption chiller, the evening baseline rises by 3.5 MW. This would allow a deeper reduction, but the channel narrows by the same amount and binds first: the firm capacity falls from 7.75 to 5.75 MW. Without the cold storage it falls to 7.50 MW. Without the absorption chiller alone it rises slightly, to 8.00 MW, because the 0.5 MW higher baseline allows a deeper reduction while the channel remains wide enough. Without all three devices the firm capacity is 4.75 MW, 3.0 MW below the full system and as much as cross-event foresight adds at this interval. The resource ablation shows that computing flexibility and storage are complements rather than substitutes. With the BESS alone (no computing flexibility, no cold storage), no commitment of 1 MW or more is firm; with computing flexibility alone the firm capacity is 3.00 MW; with both, still without the cold storage, it is 7.50 MW, nearly twice what the two resources achieve separately (less than 4 MW together). Joint recovery is what turns the two resources into firm capacity: the battery covers the events while the deferred work waits, and the deferred work frees the channel to recharge the battery.</w:t>
      </w:r>
    </w:p>
    <w:bookmarkEnd w:id="87"/>
    <w:bookmarkStart w:id="94" w:name="service-quality-economics-and-robustness"/>
    <w:p>
      <w:pPr>
        <w:pStyle w:val="Heading2"/>
      </w:pPr>
      <w:r>
        <w:t xml:space="preserve">5.8 Service quality, economics and robustness</w:t>
      </w:r>
    </w:p>
    <w:p>
      <w:pPr>
        <w:pStyle w:val="FirstParagraph"/>
      </w:pPr>
      <w:r>
        <w:rPr>
          <w:bCs/>
          <w:b/>
        </w:rPr>
        <w:t xml:space="preserve">Service quality.</w:t>
      </w:r>
      <w:r>
        <w:t xml:space="preserve"> </w:t>
      </w:r>
      <w:r>
        <w:t xml:space="preserve">No strategy leaves work overdue: the deadline constraints (3) and earliest-deadline-first execution keep every deferred task within its lag bound on all days and at all commitments. What DR costs the computing users is the extra completion time of the deferred work (Fig. 13). At every commitment JR-D defers work for less time than the other controllers that deliver: at 7 MW the mean extra completion time is 0.68 h in S1 and 0.90 h in S2, against 0.85 h and 1.12 h for IR-O* and 1.35 h and 1.26 h for JR-M, and JR-D uses 36 % and 46 % of the SLA slack against 60–75 % for IR-O* and 60–64 % for JR-M. JR-D defers the long-deadline class, which has slack to spare, whereas IR-O* catches up its own share at once and JR-M over-delivers the first event and must defer more in the second. IR-P defers least (0.52 h in S1) because it delivers least. The firm operating points of JR-D therefore form the capacity–service front in both scenarios: a larger firm commitment does not come at the expense of the computing users.</w:t>
      </w:r>
    </w:p>
    <w:p>
      <w:pPr>
        <w:pStyle w:val="Figure"/>
      </w:pPr>
      <w:r>
        <w:drawing>
          <wp:inline>
            <wp:extent cx="5669999" cy="4340903"/>
            <wp:effectExtent b="0" l="0" r="0" t="0"/>
            <wp:docPr descr="" title="" id="89" name="Picture"/>
            <a:graphic>
              <a:graphicData uri="http://schemas.openxmlformats.org/drawingml/2006/picture">
                <pic:pic>
                  <pic:nvPicPr>
                    <pic:cNvPr descr="/home/user/datacenter/paper/figures/Fig13_capacity_service_pareto.png" id="90" name="Picture"/>
                    <pic:cNvPicPr>
                      <a:picLocks noChangeArrowheads="1" noChangeAspect="1"/>
                    </pic:cNvPicPr>
                  </pic:nvPicPr>
                  <pic:blipFill>
                    <a:blip r:embed="rId88"/>
                    <a:stretch>
                      <a:fillRect/>
                    </a:stretch>
                  </pic:blipFill>
                  <pic:spPr bwMode="auto">
                    <a:xfrm>
                      <a:off x="0" y="0"/>
                      <a:ext cx="5669999" cy="4340903"/>
                    </a:xfrm>
                    <a:prstGeom prst="rect">
                      <a:avLst/>
                    </a:prstGeom>
                    <a:noFill/>
                    <a:ln w="9525">
                      <a:noFill/>
                      <a:headEnd/>
                      <a:tailEnd/>
                    </a:ln>
                  </pic:spPr>
                </pic:pic>
              </a:graphicData>
            </a:graphic>
          </wp:inline>
        </w:drawing>
      </w:r>
    </w:p>
    <w:p>
      <w:pPr>
        <w:pStyle w:val="FigureCaption"/>
      </w:pPr>
      <w:r>
        <w:rPr>
          <w:bCs/>
          <w:b/>
        </w:rPr>
        <w:t xml:space="preserve">Fig. 13.</w:t>
      </w:r>
      <w:r>
        <w:t xml:space="preserve"> </w:t>
      </w:r>
      <w:r>
        <w:t xml:space="preserve">Capacity–service trade-off in S1 (a, b) and S2 (c, d): uniform commitment versus the mean extra completion time of deferred work (a, c) and the SLA slack used (b, d); filled markers: firm operating points (full delivery on ≥ 95 % of the days); dashed: front of the firm points.</w:t>
      </w:r>
    </w:p>
    <w:p>
      <w:pPr>
        <w:pStyle w:val="BodyText"/>
      </w:pPr>
      <w:r>
        <w:rPr>
          <w:bCs/>
          <w:b/>
        </w:rPr>
        <w:t xml:space="preserve">Economics.</w:t>
      </w:r>
      <w:r>
        <w:t xml:space="preserve"> </w:t>
      </w:r>
      <w:r>
        <w:t xml:space="preserve">Fig. 14 compares the daily costs at 7 MW, a commitment that all strategies can attempt and the cost-optimal commitment of JR-D (Section 5.6). JR-D yields the largest benefit relative to no DR participation, 44.8 k CNY/day in S1 and 43.1 k CNY/day in S2. Its DR revenue of 48.3 k CNY reaches 96 % of the payment cap of the two events and is offset mainly by the delay cost of the deferred work (4.4–6.4 k CNY/day); the electricity and gas costs fall slightly because consumption is shifted out of the evening peak. IR-O* gains 40.3 and 38.5 k CNY/day with a higher delay cost (5.9–7.6 k CNY/day). JR-M gains 37.3 k CNY/day in S1 but only 19.1 k CNY/day in S2: there the second event finds the AIDC with 4.1×10³ GPU·h of backlog and 3.4 MWh of stored energy (JR-D: 2.2×10³ GPU·h and 6.0 MWh), so its revenue drops to 32.2 k CNY and a shortfall assessment of 4.7 k CNY is levied. IR-P gains 17.8 and 29.8 k CNY/day. On a paired basis JR-D is cheaper than every benchmark on all 26 days in both scenarios; its mean advantage is 4.5 k CNY/day over IR-O* (95 % CI 2.5–7.6) and 7.6 k CNY/day over JR-M (6.4–8.8) in S1, and 4.6 k CNY/day (2.7–7.4) and 24.1 k CNY/day (19.6–28.5) in S2. The worst-event delivery ratio (Fig. 14c) shows why: the delivery of JR-D is concentrated just above full delivery, whereas the benchmarks spread down to the validity threshold and below it.</w:t>
      </w:r>
    </w:p>
    <w:p>
      <w:pPr>
        <w:pStyle w:val="Figure"/>
      </w:pPr>
      <w:r>
        <w:drawing>
          <wp:inline>
            <wp:extent cx="5723999" cy="4705601"/>
            <wp:effectExtent b="0" l="0" r="0" t="0"/>
            <wp:docPr descr="" title="" id="92" name="Picture"/>
            <a:graphic>
              <a:graphicData uri="http://schemas.openxmlformats.org/drawingml/2006/picture">
                <pic:pic>
                  <pic:nvPicPr>
                    <pic:cNvPr descr="/home/user/datacenter/paper/figures/Fig14_economics.png" id="93" name="Picture"/>
                    <pic:cNvPicPr>
                      <a:picLocks noChangeArrowheads="1" noChangeAspect="1"/>
                    </pic:cNvPicPr>
                  </pic:nvPicPr>
                  <pic:blipFill>
                    <a:blip r:embed="rId91"/>
                    <a:stretch>
                      <a:fillRect/>
                    </a:stretch>
                  </pic:blipFill>
                  <pic:spPr bwMode="auto">
                    <a:xfrm>
                      <a:off x="0" y="0"/>
                      <a:ext cx="5723999" cy="4705601"/>
                    </a:xfrm>
                    <a:prstGeom prst="rect">
                      <a:avLst/>
                    </a:prstGeom>
                    <a:noFill/>
                    <a:ln w="9525">
                      <a:noFill/>
                      <a:headEnd/>
                      <a:tailEnd/>
                    </a:ln>
                  </pic:spPr>
                </pic:pic>
              </a:graphicData>
            </a:graphic>
          </wp:inline>
        </w:drawing>
      </w:r>
    </w:p>
    <w:p>
      <w:pPr>
        <w:pStyle w:val="FigureCaption"/>
      </w:pPr>
      <w:r>
        <w:rPr>
          <w:bCs/>
          <w:b/>
        </w:rPr>
        <w:t xml:space="preserve">Fig. 14.</w:t>
      </w:r>
      <w:r>
        <w:t xml:space="preserve"> </w:t>
      </w:r>
      <w:r>
        <w:t xml:space="preserve">Economics at a fixed commitment of 7 MW: (a) daily cost components relative to no DR, labelled with the share of days with full delivery; (b) paired daily cost differences between JR-D and each benchmark over the 26 operating days; (c) distribution of the worst-event delivery ratio in S2.</w:t>
      </w:r>
    </w:p>
    <w:p>
      <w:pPr>
        <w:pStyle w:val="BodyText"/>
      </w:pPr>
      <w:r>
        <w:rPr>
          <w:bCs/>
          <w:b/>
        </w:rPr>
        <w:t xml:space="preserve">Robustness.</w:t>
      </w:r>
      <w:r>
        <w:t xml:space="preserve"> </w:t>
      </w:r>
      <w:r>
        <w:t xml:space="preserve">Three checks confirm that the ranking does not depend on the design of the benchmarks or on idealised computing. (i)</w:t>
      </w:r>
      <w:r>
        <w:t xml:space="preserve"> </w:t>
      </w:r>
      <w:r>
        <w:rPr>
          <w:iCs/>
          <w:i/>
        </w:rPr>
        <w:t xml:space="preserve">Static split in hindsight.</w:t>
      </w:r>
      <w:r>
        <w:t xml:space="preserve"> </w:t>
      </w:r>
      <w:r>
        <w:t xml:space="preserve">Choosing, for every operating day, the best static split after the fact bounds every independent recovery with a static split from above. At 1 MW this bound delivers in full on 69 % (S1) and 73 % (S2) of the days, exactly as the split tuned day-ahead: on the other days no split covers the baseline deviation, because independent recovery prepares the storage only for its share of a small commitment. The bound rises with the commitment (92 % and 88 % at 5 MW) and covers all days at 7 MW, but the successful split differs from day to day and cannot be chosen in advance; the split tuned day-ahead delivers in full on 85 % and 81 % of the days. Even with hindsight, independent recovery is therefore not firm at any commitment in the sense of (14), which requires full delivery at every smaller commitment as well. (ii)</w:t>
      </w:r>
      <w:r>
        <w:t xml:space="preserve"> </w:t>
      </w:r>
      <w:r>
        <w:rPr>
          <w:iCs/>
          <w:i/>
        </w:rPr>
        <w:t xml:space="preserve">Pause/resume overhead.</w:t>
      </w:r>
      <w:r>
        <w:t xml:space="preserve"> </w:t>
      </w:r>
      <w:r>
        <w:t xml:space="preserve">If every deferred GPU·h requires 2 % or 5 % of additional work when it is resumed, an effect the controllers see only through the measured backlog, the firm capacity of JR-D in S2 is 7.75 and 7.50 MW (7.75 MW without overhead), that of JR-M 4.75 MW in both cases, and IR-O* stays below 1 MW: the foresight gain of 2.75–3.0 MW is unchanged. (iii)</w:t>
      </w:r>
      <w:r>
        <w:t xml:space="preserve"> </w:t>
      </w:r>
      <w:r>
        <w:rPr>
          <w:iCs/>
          <w:i/>
        </w:rPr>
        <w:t xml:space="preserve">Event-call uncertainty.</w:t>
      </w:r>
      <w:r>
        <w:t xml:space="preserve"> </w:t>
      </w:r>
      <w:r>
        <w:t xml:space="preserve">When the third event of S3 is called only with probability 0.6 and confirmed 1 h ahead (S4-U, 6 MW per event, called on 15 of the 26 days), JR-D and its scenario-based variant JR-S deliver every called event in full on all days, at a daily cost within 0.9 k CNY of the perfect-information oracle (supplementary Fig. S3). JR-S saves only 0.3 k CNY/day over JR-D, so the deterministic controller with feedback suffices. IR-O*, JR-M and IR-P deliver in full on 81 %, 69 % and 27 % of the days and cost 10.8–21.5 k CNY/day more.</w:t>
      </w:r>
    </w:p>
    <w:p>
      <w:pPr>
        <w:pStyle w:val="BodyText"/>
      </w:pPr>
      <w:r>
        <w:rPr>
          <w:bCs/>
          <w:b/>
        </w:rPr>
        <w:t xml:space="preserve">Post-event rebound.</w:t>
      </w:r>
      <w:r>
        <w:t xml:space="preserve"> </w:t>
      </w:r>
      <w:r>
        <w:t xml:space="preserve">Recovery draws power above the baseline after the events. Under the Jiangsu rules alone, the peak rebound after the events of the DR day is 6.4–6.6 MW for every strategy (S1, 6 MW per event). A rebound assessment lets the grid operator trade it off (supplementary Fig. S4): at 3 CNY/kW per event, JR-D cuts the peak rebound to 0.17 MW and still delivers both events in full, by holding deferred work longer (delay cost +17.9 k CNY) and over-delivering less (DR revenue −4.4 k CNY), whereas IR-O* keeps a rebound of 6.4 MW while its fulfilment falls to 91 %. Joint recovery thus also gives the grid a controllable recovery profile, at a price that the assessment can set.</w:t>
      </w:r>
    </w:p>
    <w:bookmarkEnd w:id="94"/>
    <w:bookmarkEnd w:id="95"/>
    <w:bookmarkStart w:id="96" w:name="conclusions"/>
    <w:p>
      <w:pPr>
        <w:pStyle w:val="Heading1"/>
      </w:pPr>
      <w:r>
        <w:t xml:space="preserve">6. Conclusions</w:t>
      </w:r>
    </w:p>
    <w:p>
      <w:pPr>
        <w:pStyle w:val="FirstParagraph"/>
      </w:pPr>
      <w:r>
        <w:t xml:space="preserve">AI data centers are increasingly called upon for consecutive DR events, and the capacity that they can firmly commit is decided during recovery. This paper developed a recovery-aware coordinated scheduling framework for consecutive DR of an AI data-center integrated energy system, which comprises a cross-event heterogeneous recovery model, the firm consecutive DR capacity with its distributionally robust commitment and an intraday cross-event joint recovery MPC, and tested it on a 16 000-GPU data center under the Jiangsu rules with 26 operating days built from public computing traces. Through case studies and multidimensional sensitivity analyses, the main conclusions are summarised as follows.</w:t>
      </w:r>
    </w:p>
    <w:p>
      <w:pPr>
        <w:numPr>
          <w:ilvl w:val="0"/>
          <w:numId w:val="1004"/>
        </w:numPr>
      </w:pPr>
      <w:r>
        <w:t xml:space="preserve">Deliverability is decided during recovery. Computing backlog and storage deficit compete for one recovery channel. Joint recovery carries the long-deadline backlog across the next event and spends the channel on recharging: with a 30-min interval it devotes 57 % of the recovery energy to storage instead of 32 % under independent recovery, and it delivers both 7 MW events in full where independent and event-by-event recovery fall short.</w:t>
      </w:r>
    </w:p>
    <w:p>
      <w:pPr>
        <w:numPr>
          <w:ilvl w:val="0"/>
          <w:numId w:val="1004"/>
        </w:numPr>
      </w:pPr>
      <w:r>
        <w:t xml:space="preserve">Firm capacity requires joint recovery. Cross-event joint recovery firmly delivers 7.5 MW in the two-event scenarios, 94 % of the physical capability of the second event, and 6.5 MW with a third, rapid event. Independent recovery, with a day-ahead tuned split or with price coordination, is not firm at any commitment down to 1 MW, because baseline deviations of up to 3.3 MW fall on storage that serves a fixed share of the reduction.</w:t>
      </w:r>
    </w:p>
    <w:p>
      <w:pPr>
        <w:numPr>
          <w:ilvl w:val="0"/>
          <w:numId w:val="1004"/>
        </w:numPr>
      </w:pPr>
      <w:r>
        <w:t xml:space="preserve">Foresight pays off at short intervals, and coordination pays off at every interval. Cross-event foresight adds 4.0 MW at a 15-min, 3.0 MW at a 30-min and 1.0 MW at a 1-h interval (2.0 MW with three events) and vanishes at 2–3 h, as Proposition 2 predicts; joint recovery with foresight keeps its firm capacity at 7.5–8.0 MW at every interval. Coordinating computing and storage in one controller adds at least 2.5–6.75 MW at every interval, because independent recovery is not firm at any of them.</w:t>
      </w:r>
    </w:p>
    <w:p>
      <w:pPr>
        <w:numPr>
          <w:ilvl w:val="0"/>
          <w:numId w:val="1004"/>
        </w:numPr>
      </w:pPr>
      <w:r>
        <w:t xml:space="preserve">Joint recovery substitutes hardware. With cross-event foresight, 2.7 MWh of battery firmly deliver what event-by-event joint recovery needs 12 MWh for, a saving of 9.3 MWh or about 5.6 million CNY. Neither a larger battery nor 4.4 MW more connection lets event-by-event recovery reach the firm capacity of cross-event recovery: it empties the battery in the first event, and at short intervals the recharge rate, not the connection, limits how much can be restored. No battery size makes independent recovery firm, and batteries beyond 12 MWh erode the baseline and lower the firm capacity.</w:t>
      </w:r>
    </w:p>
    <w:p>
      <w:pPr>
        <w:numPr>
          <w:ilvl w:val="0"/>
          <w:numId w:val="1004"/>
        </w:numPr>
      </w:pPr>
      <w:r>
        <w:t xml:space="preserve">The commitment must reflect what the controller delivers. A closed-loop back-test on 14 historical days refuses to commit independent recovery, which fails at 1 MW on 2–4 of them, and its Wasserstein-robust version corrects over-confident sample-average commitments (event-by-event recovery in S1: 7.5 → 6.0 MW, full delivery out of sample 77 → 100 %). Robustness is cheap for the concentrated capability of cross-event joint recovery and expensive for dispersed ones. The cost-optimal commitment of cross-event joint recovery, 7 MW, is delivered on every operating day, whereas a perfect-recourse two-stage model commits the single-event capabilities (8.18/7.98 MW), which are delivered in full on only 85 % of the days. The margin that the cost-optimal commitment keeps below the capability limit also absorbs a systematic shift of the operating conditions.</w:t>
      </w:r>
    </w:p>
    <w:p>
      <w:pPr>
        <w:numPr>
          <w:ilvl w:val="0"/>
          <w:numId w:val="1004"/>
        </w:numPr>
      </w:pPr>
      <w:r>
        <w:t xml:space="preserve">The integrated energy system provides the recovery channel. The gas engine and the absorption chiller supply 85 % of the energy drawn through the recovery channel; without the gas engine the firm capacity falls by 2.0 MW and without all IES devices by 3.0 MW, as much as cross-event foresight adds. Computing flexibility and storage are complements: 3.0 MW and below 1 MW alone, 7.5 MW together.</w:t>
      </w:r>
    </w:p>
    <w:p>
      <w:pPr>
        <w:pStyle w:val="FirstParagraph"/>
      </w:pPr>
      <w:r>
        <w:t xml:space="preserve">For DR practice, these results support sizing consecutive-event contracts of AI data centers by the firm capacity of the controller that operates them rather than by physical capability, and they allow grid operators to accept larger firm commitments from data centers that coordinate computing and storage recovery across events. Future work will extend the framework to geographically distributed data centers that shift work between sites, to the thermal inertia of the server halls as a further recovery resource, and to the co-planning of batteries, connection capacity and DR contracts over the life of the data center.</w:t>
      </w:r>
    </w:p>
    <w:bookmarkEnd w:id="96"/>
    <w:bookmarkStart w:id="97" w:name="credit-authorship-contribution-statement"/>
    <w:p>
      <w:pPr>
        <w:pStyle w:val="Heading1"/>
      </w:pPr>
      <w:r>
        <w:t xml:space="preserve">CRediT authorship contribution statement</w:t>
      </w:r>
    </w:p>
    <w:p>
      <w:pPr>
        <w:pStyle w:val="FirstParagraph"/>
      </w:pPr>
      <w:r>
        <w:rPr>
          <w:rStyle w:val="Placeholder"/>
        </w:rPr>
        <w:t xml:space="preserve">Contribution of each author in the CRediT roles, e.g. Conceptualization, Methodology, Software, Formal analysis, Writing – original draft, Writing – review &amp; editing, Supervision, Funding acquisition.</w:t>
      </w:r>
    </w:p>
    <w:bookmarkEnd w:id="97"/>
    <w:bookmarkStart w:id="98" w:name="declaration-of-competing-interest"/>
    <w:p>
      <w:pPr>
        <w:pStyle w:val="Heading1"/>
      </w:pPr>
      <w:r>
        <w:t xml:space="preserve">Declaration of competing interest</w:t>
      </w:r>
    </w:p>
    <w:p>
      <w:pPr>
        <w:pStyle w:val="FirstParagraph"/>
      </w:pPr>
      <w:r>
        <w:rPr>
          <w:rStyle w:val="Placeholder"/>
        </w:rPr>
        <w:t xml:space="preserve">Competing interests of the authors. If there are none, Elsevier’s standard wording is:</w:t>
      </w:r>
      <w:r>
        <w:rPr>
          <w:rStyle w:val="Placeholder"/>
        </w:rPr>
        <w:t xml:space="preserve"> </w:t>
      </w:r>
      <w:r>
        <w:rPr>
          <w:rStyle w:val="Placeholder"/>
        </w:rPr>
        <w:t xml:space="preserve">“</w:t>
      </w:r>
      <w:r>
        <w:rPr>
          <w:rStyle w:val="Placeholder"/>
        </w:rPr>
        <w:t xml:space="preserve">The authors declare that they have no known competing financial interests or personal relationships that could have appeared to influence the work reported in this paper.</w:t>
      </w:r>
      <w:r>
        <w:rPr>
          <w:rStyle w:val="Placeholder"/>
        </w:rPr>
        <w:t xml:space="preserve">”</w:t>
      </w:r>
    </w:p>
    <w:bookmarkEnd w:id="98"/>
    <w:bookmarkStart w:id="99" w:name="X071796dd6bc546c91e96cca1cf5ff96599de61f"/>
    <w:p>
      <w:pPr>
        <w:pStyle w:val="Heading1"/>
      </w:pPr>
      <w:r>
        <w:t xml:space="preserve">Declaration of generative AI and AI-assisted technologies in the writing process</w:t>
      </w:r>
    </w:p>
    <w:p>
      <w:pPr>
        <w:pStyle w:val="FirstParagraph"/>
      </w:pPr>
      <w:r>
        <w:rPr>
          <w:rStyle w:val="Placeholder"/>
        </w:rPr>
        <w:t xml:space="preserve">Required by Elsevier when generative AI was used in preparing the manuscript, e.g. </w:t>
      </w:r>
      <w:r>
        <w:rPr>
          <w:rStyle w:val="Placeholder"/>
        </w:rPr>
        <w:t xml:space="preserve">“</w:t>
      </w:r>
      <w:r>
        <w:rPr>
          <w:rStyle w:val="Placeholder"/>
        </w:rPr>
        <w:t xml:space="preserve">During the preparation of this work the author(s) used</w:t>
      </w:r>
      <w:r>
        <w:rPr>
          <w:rStyle w:val="Placeholder"/>
        </w:rPr>
        <w:t xml:space="preserve"> </w:t>
      </w:r>
      <w:r>
        <w:rPr>
          <w:rStyle w:val="Placeholder"/>
          <w:iCs/>
          <w:i/>
        </w:rPr>
        <w:t xml:space="preserve">name of tool or service</w:t>
      </w:r>
      <w:r>
        <w:rPr>
          <w:rStyle w:val="Placeholder"/>
        </w:rPr>
        <w:t xml:space="preserve"> </w:t>
      </w:r>
      <w:r>
        <w:rPr>
          <w:rStyle w:val="Placeholder"/>
        </w:rPr>
        <w:t xml:space="preserve">in order to</w:t>
      </w:r>
      <w:r>
        <w:rPr>
          <w:rStyle w:val="Placeholder"/>
        </w:rPr>
        <w:t xml:space="preserve"> </w:t>
      </w:r>
      <w:r>
        <w:rPr>
          <w:rStyle w:val="Placeholder"/>
          <w:iCs/>
          <w:i/>
        </w:rPr>
        <w:t xml:space="preserve">reason</w:t>
      </w:r>
      <w:r>
        <w:rPr>
          <w:rStyle w:val="Placeholder"/>
        </w:rPr>
        <w:t xml:space="preserve">. After using this tool or service, the author(s) reviewed and edited the content as needed and take(s) full responsibility for the content of the published article.</w:t>
      </w:r>
      <w:r>
        <w:rPr>
          <w:rStyle w:val="Placeholder"/>
        </w:rPr>
        <w:t xml:space="preserve">”</w:t>
      </w:r>
    </w:p>
    <w:bookmarkEnd w:id="99"/>
    <w:bookmarkStart w:id="100" w:name="acknowledgements"/>
    <w:p>
      <w:pPr>
        <w:pStyle w:val="Heading1"/>
      </w:pPr>
      <w:r>
        <w:t xml:space="preserve">Acknowledgements</w:t>
      </w:r>
    </w:p>
    <w:p>
      <w:pPr>
        <w:pStyle w:val="FirstParagraph"/>
      </w:pPr>
      <w:r>
        <w:rPr>
          <w:rStyle w:val="Placeholder"/>
        </w:rPr>
        <w:t xml:space="preserve">Funding sources with grant numbers.</w:t>
      </w:r>
    </w:p>
    <w:bookmarkEnd w:id="100"/>
    <w:bookmarkStart w:id="101" w:name="data-availability"/>
    <w:p>
      <w:pPr>
        <w:pStyle w:val="Heading1"/>
      </w:pPr>
      <w:r>
        <w:t xml:space="preserve">Data availability</w:t>
      </w:r>
    </w:p>
    <w:p>
      <w:pPr>
        <w:pStyle w:val="FirstParagraph"/>
      </w:pPr>
      <w:r>
        <w:rPr>
          <w:rStyle w:val="Placeholder"/>
        </w:rPr>
        <w:t xml:space="preserve">Where the code and data can be obtained, e.g. a public repository, or</w:t>
      </w:r>
      <w:r>
        <w:rPr>
          <w:rStyle w:val="Placeholder"/>
        </w:rPr>
        <w:t xml:space="preserve"> </w:t>
      </w:r>
      <w:r>
        <w:rPr>
          <w:rStyle w:val="Placeholder"/>
        </w:rPr>
        <w:t xml:space="preserve">“</w:t>
      </w:r>
      <w:r>
        <w:rPr>
          <w:rStyle w:val="Placeholder"/>
        </w:rPr>
        <w:t xml:space="preserve">Data will be made available on request.</w:t>
      </w:r>
      <w:r>
        <w:rPr>
          <w:rStyle w:val="Placeholder"/>
        </w:rPr>
        <w:t xml:space="preserve">”</w:t>
      </w:r>
    </w:p>
    <w:bookmarkEnd w:id="101"/>
    <w:bookmarkStart w:id="102" w:name="X7a93262262cf2153410ed77390956f6788b11c2"/>
    <w:p>
      <w:pPr>
        <w:pStyle w:val="Heading1"/>
      </w:pPr>
      <w:r>
        <w:t xml:space="preserve">Appendix A. Case-study parameters and data</w:t>
      </w:r>
    </w:p>
    <w:p>
      <w:pPr>
        <w:pStyle w:val="TableCaption"/>
      </w:pPr>
      <w:r>
        <w:rPr>
          <w:bCs/>
          <w:b/>
        </w:rPr>
        <w:t xml:space="preserve">Table A1.</w:t>
      </w:r>
      <w:r>
        <w:t xml:space="preserve"> </w:t>
      </w:r>
      <w:r>
        <w:t xml:space="preserve">Parameters of the case study ([S] taken from a cited source, [D] derived from public data, [A] modelling assumption).</w:t>
      </w:r>
    </w:p>
    <w:tbl>
      <w:tblPr>
        <w:tblStyle w:val="Table"/>
        <w:tblW w:type="pct" w:w="5000"/>
        <w:jc w:val="start"/>
        <w:tblBorders>
          <w:top w:val="single" w:sz="8" w:space="0" w:color="000000"/>
          <w:bottom w:val="single" w:sz="8" w:space="0" w:color="000000"/>
        </w:tblBorders>
        <w:tblLayout w:type="fixed"/>
        <w:tblLook w:firstRow="1" w:lastRow="0" w:firstColumn="0" w:lastColumn="0" w:noHBand="0" w:noVBand="0" w:val="0020"/>
      </w:tblPr>
      <w:tblGrid>
        <w:gridCol w:w="1239"/>
        <w:gridCol w:w="2056"/>
        <w:gridCol w:w="4203"/>
        <w:gridCol w:w="1572"/>
      </w:tblGrid>
      <w:tr>
        <w:trPr>
          <w:tblHeader w:val="true"/>
        </w:trPr>
        <w:tc>
          <w:tcPr>
            <w:tcW w:w="1239" w:type="dxa"/>
            <w:tcBorders>
              <w:bottom w:val="single" w:sz="4" w:space="0" w:color="000000"/>
            </w:tcBorders>
          </w:tcPr>
          <w:p>
            <w:pPr>
              <w:pStyle w:val="TableText"/>
              <w:jc w:val="left"/>
            </w:pPr>
            <w:r>
              <w:t xml:space="preserve">Subsystem</w:t>
            </w:r>
          </w:p>
        </w:tc>
        <w:tc>
          <w:tcPr>
            <w:tcW w:w="2056" w:type="dxa"/>
            <w:tcBorders>
              <w:bottom w:val="single" w:sz="4" w:space="0" w:color="000000"/>
            </w:tcBorders>
          </w:tcPr>
          <w:p>
            <w:pPr>
              <w:pStyle w:val="TableText"/>
              <w:jc w:val="left"/>
            </w:pPr>
            <w:r>
              <w:t xml:space="preserve">Parameter</w:t>
            </w:r>
          </w:p>
        </w:tc>
        <w:tc>
          <w:tcPr>
            <w:tcW w:w="4203" w:type="dxa"/>
            <w:tcBorders>
              <w:bottom w:val="single" w:sz="4" w:space="0" w:color="000000"/>
            </w:tcBorders>
          </w:tcPr>
          <w:p>
            <w:pPr>
              <w:pStyle w:val="TableText"/>
              <w:jc w:val="left"/>
            </w:pPr>
            <w:r>
              <w:t xml:space="preserve">Value</w:t>
            </w:r>
          </w:p>
        </w:tc>
        <w:tc>
          <w:tcPr>
            <w:tcW w:w="1572" w:type="dxa"/>
            <w:tcBorders>
              <w:bottom w:val="single" w:sz="4" w:space="0" w:color="000000"/>
            </w:tcBorders>
          </w:tcPr>
          <w:p>
            <w:pPr>
              <w:pStyle w:val="TableText"/>
              <w:jc w:val="left"/>
            </w:pPr>
            <w:r>
              <w:t xml:space="preserve">Source</w:t>
            </w:r>
          </w:p>
        </w:tc>
      </w:tr>
      <w:tr>
        <w:tc>
          <w:tcPr>
            <w:tcW w:w="1239" w:type="dxa"/>
          </w:tcPr>
          <w:p>
            <w:pPr>
              <w:pStyle w:val="TableText"/>
              <w:jc w:val="left"/>
            </w:pPr>
            <w:r>
              <w:t xml:space="preserve">Computing</w:t>
            </w:r>
          </w:p>
        </w:tc>
        <w:tc>
          <w:tcPr>
            <w:tcW w:w="2056" w:type="dxa"/>
          </w:tcPr>
          <w:p>
            <w:pPr>
              <w:pStyle w:val="TableText"/>
              <w:jc w:val="left"/>
            </w:pPr>
            <w:r>
              <w:t xml:space="preserve">GPUs; node peak power</w:t>
            </w:r>
          </w:p>
        </w:tc>
        <w:tc>
          <w:tcPr>
            <w:tcW w:w="4203" w:type="dxa"/>
          </w:tcPr>
          <w:p>
            <w:pPr>
              <w:pStyle w:val="TableText"/>
              <w:jc w:val="left"/>
            </w:pPr>
            <w:r>
              <w:t xml:space="preserve">16 000 H100-class GPUs in 2 000 eight-GPU nodes; 8.4 kW per node</w:t>
            </w:r>
          </w:p>
        </w:tc>
        <w:tc>
          <w:tcPr>
            <w:tcW w:w="1572" w:type="dxa"/>
          </w:tcPr>
          <w:p>
            <w:pPr>
              <w:pStyle w:val="TableText"/>
              <w:jc w:val="left"/>
            </w:pPr>
            <w:r>
              <w:t xml:space="preserve">[33] [S]</w:t>
            </w:r>
          </w:p>
        </w:tc>
      </w:tr>
      <w:tr>
        <w:tc>
          <w:tcPr>
            <w:tcW w:w="1239" w:type="dxa"/>
          </w:tcPr>
          <w:p>
            <w:pPr>
              <w:pStyle w:val="TableText"/>
            </w:pPr>
          </w:p>
        </w:tc>
        <w:tc>
          <w:tcPr>
            <w:tcW w:w="2056" w:type="dxa"/>
          </w:tcPr>
          <w:p>
            <w:pPr>
              <w:pStyle w:val="TableText"/>
              <w:jc w:val="left"/>
            </w:pPr>
            <w:r>
              <w:t xml:space="preserve">Idle and dynamic power per GPU</w:t>
            </w:r>
            <w:r>
              <w:t xml:space="preserve"> </w:t>
            </w:r>
            <m:oMath>
              <m:sSup>
                <m:e>
                  <m:r>
                    <m:t>p</m:t>
                  </m:r>
                </m:e>
                <m:sup>
                  <m:r>
                    <m:t>i</m:t>
                  </m:r>
                  <m:r>
                    <m:t>d</m:t>
                  </m:r>
                  <m:r>
                    <m:t>l</m:t>
                  </m:r>
                  <m:r>
                    <m:t>e</m:t>
                  </m:r>
                </m:sup>
              </m:sSup>
            </m:oMath>
            <w:r>
              <w:t xml:space="preserve">,</w:t>
            </w:r>
            <w:r>
              <w:t xml:space="preserve"> </w:t>
            </w:r>
            <m:oMath>
              <m:sSup>
                <m:e>
                  <m:r>
                    <m:t>p</m:t>
                  </m:r>
                </m:e>
                <m:sup>
                  <m:r>
                    <m:t>d</m:t>
                  </m:r>
                  <m:r>
                    <m:t>y</m:t>
                  </m:r>
                  <m:r>
                    <m:t>n</m:t>
                  </m:r>
                </m:sup>
              </m:sSup>
            </m:oMath>
          </w:p>
        </w:tc>
        <w:tc>
          <w:tcPr>
            <w:tcW w:w="4203" w:type="dxa"/>
          </w:tcPr>
          <w:p>
            <w:pPr>
              <w:pStyle w:val="TableText"/>
              <w:jc w:val="left"/>
            </w:pPr>
            <w:r>
              <w:t xml:space="preserve">0.26 kW (25 % of peak) and 0.79 kW</w:t>
            </w:r>
          </w:p>
        </w:tc>
        <w:tc>
          <w:tcPr>
            <w:tcW w:w="1572" w:type="dxa"/>
          </w:tcPr>
          <w:p>
            <w:pPr>
              <w:pStyle w:val="TableText"/>
              <w:jc w:val="left"/>
            </w:pPr>
            <w:r>
              <w:t xml:space="preserve">[34] [A]</w:t>
            </w:r>
          </w:p>
        </w:tc>
      </w:tr>
      <w:tr>
        <w:tc>
          <w:tcPr>
            <w:tcW w:w="1239" w:type="dxa"/>
          </w:tcPr>
          <w:p>
            <w:pPr>
              <w:pStyle w:val="TableText"/>
            </w:pPr>
          </w:p>
        </w:tc>
        <w:tc>
          <w:tcPr>
            <w:tcW w:w="2056" w:type="dxa"/>
          </w:tcPr>
          <w:p>
            <w:pPr>
              <w:pStyle w:val="TableText"/>
              <w:jc w:val="left"/>
            </w:pPr>
            <w:r>
              <w:t xml:space="preserve">Other IT power</w:t>
            </w:r>
            <w:r>
              <w:t xml:space="preserve"> </w:t>
            </w:r>
            <m:oMath>
              <m:sSup>
                <m:e>
                  <m:r>
                    <m:t>P</m:t>
                  </m:r>
                </m:e>
                <m:sup>
                  <m:r>
                    <m:t>o</m:t>
                  </m:r>
                  <m:r>
                    <m:t>t</m:t>
                  </m:r>
                  <m:r>
                    <m:t>h</m:t>
                  </m:r>
                </m:sup>
              </m:sSup>
            </m:oMath>
            <w:r>
              <w:t xml:space="preserve">; schedulable fraction</w:t>
            </w:r>
            <w:r>
              <w:t xml:space="preserve"> </w:t>
            </w:r>
            <m:oMath>
              <m:sSup>
                <m:e>
                  <m:r>
                    <m:t>u</m:t>
                  </m:r>
                </m:e>
                <m:sup>
                  <m:r>
                    <m:t>m</m:t>
                  </m:r>
                  <m:r>
                    <m:t>a</m:t>
                  </m:r>
                  <m:r>
                    <m:t>x</m:t>
                  </m:r>
                </m:sup>
              </m:sSup>
            </m:oMath>
          </w:p>
        </w:tc>
        <w:tc>
          <w:tcPr>
            <w:tcW w:w="4203" w:type="dxa"/>
          </w:tcPr>
          <w:p>
            <w:pPr>
              <w:pStyle w:val="TableText"/>
              <w:jc w:val="left"/>
            </w:pPr>
            <w:r>
              <w:t xml:space="preserve">0.6 MW; 0.95</w:t>
            </w:r>
          </w:p>
        </w:tc>
        <w:tc>
          <w:tcPr>
            <w:tcW w:w="1572" w:type="dxa"/>
          </w:tcPr>
          <w:p>
            <w:pPr>
              <w:pStyle w:val="TableText"/>
              <w:jc w:val="left"/>
            </w:pPr>
            <w:r>
              <w:t xml:space="preserve">[A]</w:t>
            </w:r>
          </w:p>
        </w:tc>
      </w:tr>
      <w:tr>
        <w:tc>
          <w:tcPr>
            <w:tcW w:w="1239" w:type="dxa"/>
          </w:tcPr>
          <w:p>
            <w:pPr>
              <w:pStyle w:val="TableText"/>
            </w:pPr>
          </w:p>
        </w:tc>
        <w:tc>
          <w:tcPr>
            <w:tcW w:w="2056" w:type="dxa"/>
          </w:tcPr>
          <w:p>
            <w:pPr>
              <w:pStyle w:val="TableText"/>
              <w:jc w:val="left"/>
            </w:pPr>
            <w:r>
              <w:t xml:space="preserve">Inference dynamic-power factor</w:t>
            </w:r>
            <w:r>
              <w:t xml:space="preserve"> </w:t>
            </w:r>
            <m:oMath>
              <m:sSup>
                <m:e>
                  <m:r>
                    <m:t>κ</m:t>
                  </m:r>
                </m:e>
                <m:sup>
                  <m:r>
                    <m:t>i</m:t>
                  </m:r>
                  <m:r>
                    <m:t>n</m:t>
                  </m:r>
                  <m:r>
                    <m:t>f</m:t>
                  </m:r>
                </m:sup>
              </m:sSup>
            </m:oMath>
          </w:p>
        </w:tc>
        <w:tc>
          <w:tcPr>
            <w:tcW w:w="4203" w:type="dxa"/>
          </w:tcPr>
          <w:p>
            <w:pPr>
              <w:pStyle w:val="TableText"/>
              <w:jc w:val="left"/>
            </w:pPr>
            <w:r>
              <w:t xml:space="preserve">0.65</w:t>
            </w:r>
          </w:p>
        </w:tc>
        <w:tc>
          <w:tcPr>
            <w:tcW w:w="1572" w:type="dxa"/>
          </w:tcPr>
          <w:p>
            <w:pPr>
              <w:pStyle w:val="TableText"/>
              <w:jc w:val="left"/>
            </w:pPr>
            <w:r>
              <w:t xml:space="preserve">[35] [A]</w:t>
            </w:r>
          </w:p>
        </w:tc>
      </w:tr>
      <w:tr>
        <w:tc>
          <w:tcPr>
            <w:tcW w:w="1239" w:type="dxa"/>
          </w:tcPr>
          <w:p>
            <w:pPr>
              <w:pStyle w:val="TableText"/>
            </w:pPr>
          </w:p>
        </w:tc>
        <w:tc>
          <w:tcPr>
            <w:tcW w:w="2056" w:type="dxa"/>
          </w:tcPr>
          <w:p>
            <w:pPr>
              <w:pStyle w:val="TableText"/>
              <w:jc w:val="left"/>
            </w:pPr>
            <w:r>
              <w:t xml:space="preserve">Workload shares</w:t>
            </w:r>
          </w:p>
        </w:tc>
        <w:tc>
          <w:tcPr>
            <w:tcW w:w="4203" w:type="dxa"/>
          </w:tcPr>
          <w:p>
            <w:pPr>
              <w:pStyle w:val="TableText"/>
              <w:jc w:val="left"/>
            </w:pPr>
            <w:r>
              <w:t xml:space="preserve">25 % of GPUs busy with online inference; 40 % with training and batch work, 75 % of it deferrable; profile shapes from [30,31]</w:t>
            </w:r>
          </w:p>
        </w:tc>
        <w:tc>
          <w:tcPr>
            <w:tcW w:w="1572" w:type="dxa"/>
          </w:tcPr>
          <w:p>
            <w:pPr>
              <w:pStyle w:val="TableText"/>
              <w:jc w:val="left"/>
            </w:pPr>
            <w:r>
              <w:t xml:space="preserve">[A]</w:t>
            </w:r>
          </w:p>
        </w:tc>
      </w:tr>
      <w:tr>
        <w:tc>
          <w:tcPr>
            <w:tcW w:w="1239" w:type="dxa"/>
          </w:tcPr>
          <w:p>
            <w:pPr>
              <w:pStyle w:val="TableText"/>
            </w:pPr>
          </w:p>
        </w:tc>
        <w:tc>
          <w:tcPr>
            <w:tcW w:w="2056" w:type="dxa"/>
          </w:tcPr>
          <w:p>
            <w:pPr>
              <w:pStyle w:val="TableText"/>
              <w:jc w:val="left"/>
            </w:pPr>
            <w:r>
              <w:t xml:space="preserve">Deferrable classes; lag bounds</w:t>
            </w:r>
            <w:r>
              <w:t xml:space="preserve"> </w:t>
            </w:r>
            <m:oMath>
              <m:sSub>
                <m:e>
                  <m:r>
                    <m:t>L</m:t>
                  </m:r>
                </m:e>
                <m:sub>
                  <m:r>
                    <m:t>c</m:t>
                  </m:r>
                </m:sub>
              </m:sSub>
            </m:oMath>
          </w:p>
        </w:tc>
        <w:tc>
          <w:tcPr>
            <w:tcW w:w="4203" w:type="dxa"/>
          </w:tcPr>
          <w:p>
            <w:pPr>
              <w:pStyle w:val="TableText"/>
              <w:jc w:val="left"/>
            </w:pPr>
            <w:r>
              <w:t xml:space="preserve">C1/C2/C3 by PAI runtime ≤ 1 h, 1–12 h, &gt; 12 h; 0.5/1.5/3 h</w:t>
            </w:r>
          </w:p>
        </w:tc>
        <w:tc>
          <w:tcPr>
            <w:tcW w:w="1572" w:type="dxa"/>
          </w:tcPr>
          <w:p>
            <w:pPr>
              <w:pStyle w:val="TableText"/>
              <w:jc w:val="left"/>
            </w:pPr>
            <w:r>
              <w:t xml:space="preserve">[30] [D]; [4] [A]</w:t>
            </w:r>
          </w:p>
        </w:tc>
      </w:tr>
      <w:tr>
        <w:tc>
          <w:tcPr>
            <w:tcW w:w="1239" w:type="dxa"/>
          </w:tcPr>
          <w:p>
            <w:pPr>
              <w:pStyle w:val="TableText"/>
            </w:pPr>
          </w:p>
        </w:tc>
        <w:tc>
          <w:tcPr>
            <w:tcW w:w="2056" w:type="dxa"/>
          </w:tcPr>
          <w:p>
            <w:pPr>
              <w:pStyle w:val="TableText"/>
              <w:jc w:val="left"/>
            </w:pPr>
            <w:r>
              <w:t xml:space="preserve">Delay and lateness prices</w:t>
            </w:r>
            <w:r>
              <w:t xml:space="preserve"> </w:t>
            </w:r>
            <m:oMath>
              <m:sSup>
                <m:e>
                  <m:r>
                    <m:t>c</m:t>
                  </m:r>
                </m:e>
                <m:sup>
                  <m:r>
                    <m:t>j</m:t>
                  </m:r>
                  <m:r>
                    <m:t>c</m:t>
                  </m:r>
                  <m:r>
                    <m:t>t</m:t>
                  </m:r>
                </m:sup>
              </m:sSup>
            </m:oMath>
            <w:r>
              <w:t xml:space="preserve">,</w:t>
            </w:r>
            <w:r>
              <w:t xml:space="preserve"> </w:t>
            </w:r>
            <m:oMath>
              <m:sSup>
                <m:e>
                  <m:r>
                    <m:t>c</m:t>
                  </m:r>
                </m:e>
                <m:sup>
                  <m:r>
                    <m:t>l</m:t>
                  </m:r>
                  <m:r>
                    <m:t>a</m:t>
                  </m:r>
                  <m:r>
                    <m:t>t</m:t>
                  </m:r>
                  <m:r>
                    <m:t>e</m:t>
                  </m:r>
                </m:sup>
              </m:sSup>
            </m:oMath>
          </w:p>
        </w:tc>
        <w:tc>
          <w:tcPr>
            <w:tcW w:w="4203" w:type="dxa"/>
          </w:tcPr>
          <w:p>
            <w:pPr>
              <w:pStyle w:val="TableText"/>
              <w:jc w:val="left"/>
            </w:pPr>
            <w:r>
              <w:t xml:space="preserve">0.5 and 1000 CNY per GPU·h·h</w:t>
            </w:r>
          </w:p>
        </w:tc>
        <w:tc>
          <w:tcPr>
            <w:tcW w:w="1572" w:type="dxa"/>
          </w:tcPr>
          <w:p>
            <w:pPr>
              <w:pStyle w:val="TableText"/>
              <w:jc w:val="left"/>
            </w:pPr>
            <w:r>
              <w:t xml:space="preserve">[A]</w:t>
            </w:r>
          </w:p>
        </w:tc>
      </w:tr>
      <w:tr>
        <w:tc>
          <w:tcPr>
            <w:tcW w:w="1239" w:type="dxa"/>
          </w:tcPr>
          <w:p>
            <w:pPr>
              <w:pStyle w:val="TableText"/>
              <w:jc w:val="left"/>
            </w:pPr>
            <w:r>
              <w:t xml:space="preserve">Facility and cooling</w:t>
            </w:r>
          </w:p>
        </w:tc>
        <w:tc>
          <w:tcPr>
            <w:tcW w:w="2056" w:type="dxa"/>
          </w:tcPr>
          <w:p>
            <w:pPr>
              <w:pStyle w:val="TableText"/>
              <w:jc w:val="left"/>
            </w:pPr>
            <w:r>
              <w:t xml:space="preserve">Losses</w:t>
            </w:r>
            <w:r>
              <w:t xml:space="preserve"> </w:t>
            </w:r>
            <m:oMath>
              <m:r>
                <m:t>ζ</m:t>
              </m:r>
            </m:oMath>
            <w:r>
              <w:t xml:space="preserve">; auxiliary power</w:t>
            </w:r>
            <w:r>
              <w:t xml:space="preserve"> </w:t>
            </w:r>
            <m:oMath>
              <m:sSup>
                <m:e>
                  <m:r>
                    <m:t>P</m:t>
                  </m:r>
                </m:e>
                <m:sup>
                  <m:r>
                    <m:t>a</m:t>
                  </m:r>
                  <m:r>
                    <m:t>u</m:t>
                  </m:r>
                  <m:r>
                    <m:t>x</m:t>
                  </m:r>
                </m:sup>
              </m:sSup>
            </m:oMath>
          </w:p>
        </w:tc>
        <w:tc>
          <w:tcPr>
            <w:tcW w:w="4203" w:type="dxa"/>
          </w:tcPr>
          <w:p>
            <w:pPr>
              <w:pStyle w:val="TableText"/>
              <w:jc w:val="left"/>
            </w:pPr>
            <w:r>
              <w:t xml:space="preserve">5 % of the IT power (UPS, distribution, air handling); 0.3 MW</w:t>
            </w:r>
          </w:p>
        </w:tc>
        <w:tc>
          <w:tcPr>
            <w:tcW w:w="1572" w:type="dxa"/>
          </w:tcPr>
          <w:p>
            <w:pPr>
              <w:pStyle w:val="TableText"/>
              <w:jc w:val="left"/>
            </w:pPr>
            <w:r>
              <w:t xml:space="preserve">[A]</w:t>
            </w:r>
          </w:p>
        </w:tc>
      </w:tr>
      <w:tr>
        <w:tc>
          <w:tcPr>
            <w:tcW w:w="1239" w:type="dxa"/>
          </w:tcPr>
          <w:p>
            <w:pPr>
              <w:pStyle w:val="TableText"/>
            </w:pPr>
          </w:p>
        </w:tc>
        <w:tc>
          <w:tcPr>
            <w:tcW w:w="2056" w:type="dxa"/>
          </w:tcPr>
          <w:p>
            <w:pPr>
              <w:pStyle w:val="TableText"/>
              <w:jc w:val="left"/>
            </w:pPr>
            <w:r>
              <w:t xml:space="preserve">Heat per unit of IT power</w:t>
            </w:r>
            <w:r>
              <w:t xml:space="preserve"> </w:t>
            </w:r>
            <m:oMath>
              <m:r>
                <m:t>θ</m:t>
              </m:r>
            </m:oMath>
            <w:r>
              <w:t xml:space="preserve">; base cooling load</w:t>
            </w:r>
            <w:r>
              <w:t xml:space="preserve"> </w:t>
            </w:r>
            <m:oMath>
              <m:sSub>
                <m:e>
                  <m:r>
                    <m:t>Q</m:t>
                  </m:r>
                </m:e>
                <m:sub>
                  <m:r>
                    <m:t>0</m:t>
                  </m:r>
                </m:sub>
              </m:sSub>
            </m:oMath>
          </w:p>
        </w:tc>
        <w:tc>
          <w:tcPr>
            <w:tcW w:w="4203" w:type="dxa"/>
          </w:tcPr>
          <w:p>
            <w:pPr>
              <w:pStyle w:val="TableText"/>
              <w:jc w:val="left"/>
            </w:pPr>
            <w:r>
              <w:t xml:space="preserve">1.0; 0.3 MW</w:t>
            </w:r>
            <w:r>
              <w:rPr>
                <w:vertAlign w:val="subscript"/>
              </w:rPr>
              <w:t xml:space="preserve">th</w:t>
            </w:r>
          </w:p>
        </w:tc>
        <w:tc>
          <w:tcPr>
            <w:tcW w:w="1572" w:type="dxa"/>
          </w:tcPr>
          <w:p>
            <w:pPr>
              <w:pStyle w:val="TableText"/>
              <w:jc w:val="left"/>
            </w:pPr>
            <w:r>
              <w:t xml:space="preserve">[A]</w:t>
            </w:r>
          </w:p>
        </w:tc>
      </w:tr>
      <w:tr>
        <w:tc>
          <w:tcPr>
            <w:tcW w:w="1239" w:type="dxa"/>
          </w:tcPr>
          <w:p>
            <w:pPr>
              <w:pStyle w:val="TableText"/>
            </w:pPr>
          </w:p>
        </w:tc>
        <w:tc>
          <w:tcPr>
            <w:tcW w:w="2056" w:type="dxa"/>
          </w:tcPr>
          <w:p>
            <w:pPr>
              <w:pStyle w:val="TableText"/>
              <w:jc w:val="left"/>
            </w:pPr>
            <w:r>
              <w:t xml:space="preserve">Electric chillers</w:t>
            </w:r>
            <w:r>
              <w:t xml:space="preserve"> </w:t>
            </w:r>
            <m:oMath>
              <m:sSub>
                <m:e>
                  <m:r>
                    <m:rPr>
                      <m:sty m:val="p"/>
                    </m:rPr>
                    <m:t>C</m:t>
                  </m:r>
                  <m:r>
                    <m:rPr>
                      <m:sty m:val="p"/>
                    </m:rPr>
                    <m:t>O</m:t>
                  </m:r>
                  <m:r>
                    <m:rPr>
                      <m:sty m:val="p"/>
                    </m:rPr>
                    <m:t>P</m:t>
                  </m:r>
                </m:e>
                <m:sub>
                  <m:r>
                    <m:t>t</m:t>
                  </m:r>
                </m:sub>
              </m:sSub>
            </m:oMath>
            <w:r>
              <w:t xml:space="preserve">,</w:t>
            </w:r>
            <w:r>
              <w:t xml:space="preserve"> </w:t>
            </w:r>
            <m:oMath>
              <m:sSup>
                <m:e>
                  <m:acc>
                    <m:accPr>
                      <m:chr m:val="‾"/>
                    </m:accPr>
                    <m:e>
                      <m:r>
                        <m:t>Q</m:t>
                      </m:r>
                    </m:e>
                  </m:acc>
                </m:e>
                <m:sup>
                  <m:r>
                    <m:t>E</m:t>
                  </m:r>
                  <m:r>
                    <m:t>C</m:t>
                  </m:r>
                </m:sup>
              </m:sSup>
            </m:oMath>
          </w:p>
        </w:tc>
        <w:tc>
          <w:tcPr>
            <w:tcW w:w="4203" w:type="dxa"/>
          </w:tcPr>
          <w:p>
            <w:pPr>
              <w:pStyle w:val="TableText"/>
              <w:jc w:val="left"/>
            </w:pPr>
            <w:r>
              <w:t xml:space="preserve">6.0 at 25 °C, −0.12 per °C (bounds 3–7); 30 MW</w:t>
            </w:r>
            <w:r>
              <w:rPr>
                <w:vertAlign w:val="subscript"/>
              </w:rPr>
              <w:t xml:space="preserve">th</w:t>
            </w:r>
          </w:p>
        </w:tc>
        <w:tc>
          <w:tcPr>
            <w:tcW w:w="1572" w:type="dxa"/>
          </w:tcPr>
          <w:p>
            <w:pPr>
              <w:pStyle w:val="TableText"/>
              <w:jc w:val="left"/>
            </w:pPr>
            <w:r>
              <w:t xml:space="preserve">[A]</w:t>
            </w:r>
          </w:p>
        </w:tc>
      </w:tr>
      <w:tr>
        <w:tc>
          <w:tcPr>
            <w:tcW w:w="1239" w:type="dxa"/>
          </w:tcPr>
          <w:p>
            <w:pPr>
              <w:pStyle w:val="TableText"/>
              <w:jc w:val="left"/>
            </w:pPr>
            <w:r>
              <w:t xml:space="preserve">CCHP</w:t>
            </w:r>
          </w:p>
        </w:tc>
        <w:tc>
          <w:tcPr>
            <w:tcW w:w="2056" w:type="dxa"/>
          </w:tcPr>
          <w:p>
            <w:pPr>
              <w:pStyle w:val="TableText"/>
              <w:jc w:val="left"/>
            </w:pPr>
            <w:r>
              <w:t xml:space="preserve">Gas engine</w:t>
            </w:r>
            <w:r>
              <w:t xml:space="preserve"> </w:t>
            </w:r>
            <m:oMath>
              <m:sSup>
                <m:e>
                  <m:acc>
                    <m:accPr>
                      <m:chr m:val="‾"/>
                    </m:accPr>
                    <m:e>
                      <m:r>
                        <m:t>P</m:t>
                      </m:r>
                    </m:e>
                  </m:acc>
                </m:e>
                <m:sup>
                  <m:r>
                    <m:t>G</m:t>
                  </m:r>
                  <m:r>
                    <m:t>T</m:t>
                  </m:r>
                </m:sup>
              </m:sSup>
            </m:oMath>
            <w:r>
              <w:t xml:space="preserve">,</w:t>
            </w:r>
            <w:r>
              <w:t xml:space="preserve"> </w:t>
            </w:r>
            <m:oMath>
              <m:sSup>
                <m:e>
                  <m:r>
                    <m:t>η</m:t>
                  </m:r>
                </m:e>
                <m:sup>
                  <m:r>
                    <m:t>G</m:t>
                  </m:r>
                  <m:r>
                    <m:t>T</m:t>
                  </m:r>
                </m:sup>
              </m:sSup>
            </m:oMath>
            <w:r>
              <w:t xml:space="preserve">, heat efficiency,</w:t>
            </w:r>
            <w:r>
              <w:t xml:space="preserve"> </w:t>
            </w:r>
            <m:oMath>
              <m:sSup>
                <m:e>
                  <m:r>
                    <m:t>R</m:t>
                  </m:r>
                </m:e>
                <m:sup>
                  <m:r>
                    <m:t>G</m:t>
                  </m:r>
                  <m:r>
                    <m:t>T</m:t>
                  </m:r>
                </m:sup>
              </m:sSup>
            </m:oMath>
          </w:p>
        </w:tc>
        <w:tc>
          <w:tcPr>
            <w:tcW w:w="4203" w:type="dxa"/>
          </w:tcPr>
          <w:p>
            <w:pPr>
              <w:pStyle w:val="TableText"/>
              <w:jc w:val="left"/>
            </w:pPr>
            <w:r>
              <w:t xml:space="preserve">3 MW; 0.38; 0.45 (</w:t>
            </w:r>
            <m:oMath>
              <m:sSup>
                <m:e>
                  <m:r>
                    <m:t>k</m:t>
                  </m:r>
                </m:e>
                <m:sup>
                  <m:r>
                    <m:t>h</m:t>
                  </m:r>
                </m:sup>
              </m:sSup>
            </m:oMath>
            <w:r>
              <w:t xml:space="preserve"> </w:t>
            </w:r>
            <w:r>
              <w:t xml:space="preserve">= 1.18); 1.5 MW per 15 min</w:t>
            </w:r>
          </w:p>
        </w:tc>
        <w:tc>
          <w:tcPr>
            <w:tcW w:w="1572" w:type="dxa"/>
          </w:tcPr>
          <w:p>
            <w:pPr>
              <w:pStyle w:val="TableText"/>
              <w:jc w:val="left"/>
            </w:pPr>
            <w:r>
              <w:t xml:space="preserve">[A]</w:t>
            </w:r>
          </w:p>
        </w:tc>
      </w:tr>
      <w:tr>
        <w:tc>
          <w:tcPr>
            <w:tcW w:w="1239" w:type="dxa"/>
          </w:tcPr>
          <w:p>
            <w:pPr>
              <w:pStyle w:val="TableText"/>
            </w:pPr>
          </w:p>
        </w:tc>
        <w:tc>
          <w:tcPr>
            <w:tcW w:w="2056" w:type="dxa"/>
          </w:tcPr>
          <w:p>
            <w:pPr>
              <w:pStyle w:val="TableText"/>
              <w:jc w:val="left"/>
            </w:pPr>
            <w:r>
              <w:t xml:space="preserve">Absorption chiller</w:t>
            </w:r>
            <w:r>
              <w:t xml:space="preserve"> </w:t>
            </w:r>
            <m:oMath>
              <m:sSup>
                <m:e>
                  <m:r>
                    <m:rPr>
                      <m:sty m:val="p"/>
                    </m:rPr>
                    <m:t>C</m:t>
                  </m:r>
                  <m:r>
                    <m:rPr>
                      <m:sty m:val="p"/>
                    </m:rPr>
                    <m:t>O</m:t>
                  </m:r>
                  <m:r>
                    <m:rPr>
                      <m:sty m:val="p"/>
                    </m:rPr>
                    <m:t>P</m:t>
                  </m:r>
                </m:e>
                <m:sup>
                  <m:r>
                    <m:t>A</m:t>
                  </m:r>
                  <m:r>
                    <m:t>C</m:t>
                  </m:r>
                </m:sup>
              </m:sSup>
            </m:oMath>
            <w:r>
              <w:t xml:space="preserve">,</w:t>
            </w:r>
            <w:r>
              <w:t xml:space="preserve"> </w:t>
            </w:r>
            <m:oMath>
              <m:sSup>
                <m:e>
                  <m:acc>
                    <m:accPr>
                      <m:chr m:val="‾"/>
                    </m:accPr>
                    <m:e>
                      <m:r>
                        <m:t>Q</m:t>
                      </m:r>
                    </m:e>
                  </m:acc>
                </m:e>
                <m:sup>
                  <m:r>
                    <m:t>A</m:t>
                  </m:r>
                  <m:r>
                    <m:t>C</m:t>
                  </m:r>
                </m:sup>
              </m:sSup>
            </m:oMath>
          </w:p>
        </w:tc>
        <w:tc>
          <w:tcPr>
            <w:tcW w:w="4203" w:type="dxa"/>
          </w:tcPr>
          <w:p>
            <w:pPr>
              <w:pStyle w:val="TableText"/>
              <w:jc w:val="left"/>
            </w:pPr>
            <w:r>
              <w:t xml:space="preserve">0.75; 2.7 MW</w:t>
            </w:r>
            <w:r>
              <w:rPr>
                <w:vertAlign w:val="subscript"/>
              </w:rPr>
              <w:t xml:space="preserve">th</w:t>
            </w:r>
          </w:p>
        </w:tc>
        <w:tc>
          <w:tcPr>
            <w:tcW w:w="1572" w:type="dxa"/>
          </w:tcPr>
          <w:p>
            <w:pPr>
              <w:pStyle w:val="TableText"/>
              <w:jc w:val="left"/>
            </w:pPr>
            <w:r>
              <w:t xml:space="preserve">[A]</w:t>
            </w:r>
          </w:p>
        </w:tc>
      </w:tr>
      <w:tr>
        <w:tc>
          <w:tcPr>
            <w:tcW w:w="1239" w:type="dxa"/>
          </w:tcPr>
          <w:p>
            <w:pPr>
              <w:pStyle w:val="TableText"/>
            </w:pPr>
          </w:p>
        </w:tc>
        <w:tc>
          <w:tcPr>
            <w:tcW w:w="2056" w:type="dxa"/>
          </w:tcPr>
          <w:p>
            <w:pPr>
              <w:pStyle w:val="TableText"/>
              <w:jc w:val="left"/>
            </w:pPr>
            <w:r>
              <w:t xml:space="preserve">Gas price</w:t>
            </w:r>
            <w:r>
              <w:t xml:space="preserve"> </w:t>
            </w:r>
            <m:oMath>
              <m:sSup>
                <m:e>
                  <m:r>
                    <m:t>c</m:t>
                  </m:r>
                </m:e>
                <m:sup>
                  <m:r>
                    <m:t>g</m:t>
                  </m:r>
                  <m:r>
                    <m:t>a</m:t>
                  </m:r>
                  <m:r>
                    <m:t>s</m:t>
                  </m:r>
                </m:sup>
              </m:sSup>
            </m:oMath>
          </w:p>
        </w:tc>
        <w:tc>
          <w:tcPr>
            <w:tcW w:w="4203" w:type="dxa"/>
          </w:tcPr>
          <w:p>
            <w:pPr>
              <w:pStyle w:val="TableText"/>
              <w:jc w:val="left"/>
            </w:pPr>
            <w:r>
              <w:t xml:space="preserve">3.6 CNY/Nm³ at 9.89 kWh/Nm³, i.e. 364 CNY/MWh of fuel</w:t>
            </w:r>
          </w:p>
        </w:tc>
        <w:tc>
          <w:tcPr>
            <w:tcW w:w="1572" w:type="dxa"/>
          </w:tcPr>
          <w:p>
            <w:pPr>
              <w:pStyle w:val="TableText"/>
              <w:jc w:val="left"/>
            </w:pPr>
            <w:r>
              <w:t xml:space="preserve">[A]</w:t>
            </w:r>
          </w:p>
        </w:tc>
      </w:tr>
      <w:tr>
        <w:tc>
          <w:tcPr>
            <w:tcW w:w="1239" w:type="dxa"/>
          </w:tcPr>
          <w:p>
            <w:pPr>
              <w:pStyle w:val="TableText"/>
              <w:jc w:val="left"/>
            </w:pPr>
            <w:r>
              <w:t xml:space="preserve">Storage</w:t>
            </w:r>
          </w:p>
        </w:tc>
        <w:tc>
          <w:tcPr>
            <w:tcW w:w="2056" w:type="dxa"/>
          </w:tcPr>
          <w:p>
            <w:pPr>
              <w:pStyle w:val="TableText"/>
              <w:jc w:val="left"/>
            </w:pPr>
            <w:r>
              <w:t xml:space="preserve">BESS</w:t>
            </w:r>
            <w:r>
              <w:t xml:space="preserve"> </w:t>
            </w:r>
            <m:oMath>
              <m:sSup>
                <m:e>
                  <m:acc>
                    <m:accPr>
                      <m:chr m:val="‾"/>
                    </m:accPr>
                    <m:e>
                      <m:r>
                        <m:t>P</m:t>
                      </m:r>
                    </m:e>
                  </m:acc>
                </m:e>
                <m:sup>
                  <m:r>
                    <m:t>B</m:t>
                  </m:r>
                </m:sup>
              </m:sSup>
            </m:oMath>
            <w:r>
              <w:t xml:space="preserve">, capacity,</w:t>
            </w:r>
            <w:r>
              <w:t xml:space="preserve"> </w:t>
            </w:r>
            <m:oMath>
              <m:bar>
                <m:barPr>
                  <m:pos m:val="bot"/>
                </m:barPr>
                <m:e>
                  <m:r>
                    <m:t>E</m:t>
                  </m:r>
                </m:e>
              </m:bar>
            </m:oMath>
            <w:r>
              <w:t xml:space="preserve">–</w:t>
            </w:r>
            <m:oMath>
              <m:acc>
                <m:accPr>
                  <m:chr m:val="‾"/>
                </m:accPr>
                <m:e>
                  <m:r>
                    <m:t>E</m:t>
                  </m:r>
                </m:e>
              </m:acc>
            </m:oMath>
            <w:r>
              <w:t xml:space="preserve">,</w:t>
            </w:r>
            <w:r>
              <w:t xml:space="preserve"> </w:t>
            </w:r>
            <m:oMath>
              <m:sSub>
                <m:e>
                  <m:r>
                    <m:t>η</m:t>
                  </m:r>
                </m:e>
                <m:sub>
                  <m:r>
                    <m:t>c</m:t>
                  </m:r>
                </m:sub>
              </m:sSub>
            </m:oMath>
            <w:r>
              <w:t xml:space="preserve">/</w:t>
            </w:r>
            <m:oMath>
              <m:sSub>
                <m:e>
                  <m:r>
                    <m:t>η</m:t>
                  </m:r>
                </m:e>
                <m:sub>
                  <m:r>
                    <m:t>d</m:t>
                  </m:r>
                </m:sub>
              </m:sSub>
            </m:oMath>
            <w:r>
              <w:t xml:space="preserve">,</w:t>
            </w:r>
            <w:r>
              <w:t xml:space="preserve"> </w:t>
            </w:r>
            <m:oMath>
              <m:sSup>
                <m:e>
                  <m:r>
                    <m:t>c</m:t>
                  </m:r>
                </m:e>
                <m:sup>
                  <m:r>
                    <m:t>d</m:t>
                  </m:r>
                  <m:r>
                    <m:t>e</m:t>
                  </m:r>
                  <m:r>
                    <m:t>g</m:t>
                  </m:r>
                </m:sup>
              </m:sSup>
            </m:oMath>
          </w:p>
        </w:tc>
        <w:tc>
          <w:tcPr>
            <w:tcW w:w="4203" w:type="dxa"/>
          </w:tcPr>
          <w:p>
            <w:pPr>
              <w:pStyle w:val="TableText"/>
              <w:jc w:val="left"/>
            </w:pPr>
            <w:r>
              <w:t xml:space="preserve">6 MW; 12 MWh; SOC 10–95 % (initial 50 %); 0.95/0.95; 60 CNY/MWh</w:t>
            </w:r>
          </w:p>
        </w:tc>
        <w:tc>
          <w:tcPr>
            <w:tcW w:w="1572" w:type="dxa"/>
          </w:tcPr>
          <w:p>
            <w:pPr>
              <w:pStyle w:val="TableText"/>
              <w:jc w:val="left"/>
            </w:pPr>
            <w:r>
              <w:t xml:space="preserve">[36] [A]</w:t>
            </w:r>
          </w:p>
        </w:tc>
      </w:tr>
      <w:tr>
        <w:tc>
          <w:tcPr>
            <w:tcW w:w="1239" w:type="dxa"/>
          </w:tcPr>
          <w:p>
            <w:pPr>
              <w:pStyle w:val="TableText"/>
            </w:pPr>
          </w:p>
        </w:tc>
        <w:tc>
          <w:tcPr>
            <w:tcW w:w="2056" w:type="dxa"/>
          </w:tcPr>
          <w:p>
            <w:pPr>
              <w:pStyle w:val="TableText"/>
              <w:jc w:val="left"/>
            </w:pPr>
            <w:r>
              <w:t xml:space="preserve">TES</w:t>
            </w:r>
            <w:r>
              <w:t xml:space="preserve"> </w:t>
            </w:r>
            <m:oMath>
              <m:bar>
                <m:barPr>
                  <m:pos m:val="bot"/>
                </m:barPr>
                <m:e>
                  <m:r>
                    <m:t>S</m:t>
                  </m:r>
                </m:e>
              </m:bar>
            </m:oMath>
            <w:r>
              <w:t xml:space="preserve">–</w:t>
            </w:r>
            <m:oMath>
              <m:acc>
                <m:accPr>
                  <m:chr m:val="‾"/>
                </m:accPr>
                <m:e>
                  <m:r>
                    <m:t>S</m:t>
                  </m:r>
                </m:e>
              </m:acc>
            </m:oMath>
            <w:r>
              <w:t xml:space="preserve">,</w:t>
            </w:r>
            <w:r>
              <w:t xml:space="preserve"> </w:t>
            </w:r>
            <m:oMath>
              <m:sSup>
                <m:e>
                  <m:acc>
                    <m:accPr>
                      <m:chr m:val="‾"/>
                    </m:accPr>
                    <m:e>
                      <m:r>
                        <m:t>Q</m:t>
                      </m:r>
                    </m:e>
                  </m:acc>
                </m:e>
                <m:sup>
                  <m:r>
                    <m:t>T</m:t>
                  </m:r>
                </m:sup>
              </m:sSup>
            </m:oMath>
            <w:r>
              <w:t xml:space="preserve">,</w:t>
            </w:r>
            <w:r>
              <w:t xml:space="preserve"> </w:t>
            </w:r>
            <m:oMath>
              <m:sSubSup>
                <m:e>
                  <m:r>
                    <m:t>η</m:t>
                  </m:r>
                </m:e>
                <m:sub>
                  <m:r>
                    <m:t>c</m:t>
                  </m:r>
                </m:sub>
                <m:sup>
                  <m:r>
                    <m:t>T</m:t>
                  </m:r>
                </m:sup>
              </m:sSubSup>
            </m:oMath>
            <w:r>
              <w:t xml:space="preserve">/</w:t>
            </w:r>
            <m:oMath>
              <m:sSubSup>
                <m:e>
                  <m:r>
                    <m:t>η</m:t>
                  </m:r>
                </m:e>
                <m:sub>
                  <m:r>
                    <m:t>d</m:t>
                  </m:r>
                </m:sub>
                <m:sup>
                  <m:r>
                    <m:t>T</m:t>
                  </m:r>
                </m:sup>
              </m:sSubSup>
            </m:oMath>
            <w:r>
              <w:t xml:space="preserve">,</w:t>
            </w:r>
            <w:r>
              <w:t xml:space="preserve"> </w:t>
            </w:r>
            <m:oMath>
              <m:r>
                <m:t>σ</m:t>
              </m:r>
            </m:oMath>
          </w:p>
        </w:tc>
        <w:tc>
          <w:tcPr>
            <w:tcW w:w="4203" w:type="dxa"/>
          </w:tcPr>
          <w:p>
            <w:pPr>
              <w:pStyle w:val="TableText"/>
              <w:jc w:val="left"/>
            </w:pPr>
            <w:r>
              <w:t xml:space="preserve">1–10 MWh</w:t>
            </w:r>
            <w:r>
              <w:rPr>
                <w:vertAlign w:val="subscript"/>
              </w:rPr>
              <w:t xml:space="preserve">th</w:t>
            </w:r>
            <w:r>
              <w:t xml:space="preserve"> </w:t>
            </w:r>
            <w:r>
              <w:t xml:space="preserve">(initial 5); 4 MW</w:t>
            </w:r>
            <w:r>
              <w:rPr>
                <w:vertAlign w:val="subscript"/>
              </w:rPr>
              <w:t xml:space="preserve">th</w:t>
            </w:r>
            <w:r>
              <w:t xml:space="preserve">; 0.98/0.98; 0.5 %/h</w:t>
            </w:r>
          </w:p>
        </w:tc>
        <w:tc>
          <w:tcPr>
            <w:tcW w:w="1572" w:type="dxa"/>
          </w:tcPr>
          <w:p>
            <w:pPr>
              <w:pStyle w:val="TableText"/>
              <w:jc w:val="left"/>
            </w:pPr>
            <w:r>
              <w:t xml:space="preserve">[A]</w:t>
            </w:r>
          </w:p>
        </w:tc>
      </w:tr>
      <w:tr>
        <w:tc>
          <w:tcPr>
            <w:tcW w:w="1239" w:type="dxa"/>
          </w:tcPr>
          <w:p>
            <w:pPr>
              <w:pStyle w:val="TableText"/>
              <w:jc w:val="left"/>
            </w:pPr>
            <w:r>
              <w:t xml:space="preserve">Supply</w:t>
            </w:r>
          </w:p>
        </w:tc>
        <w:tc>
          <w:tcPr>
            <w:tcW w:w="2056" w:type="dxa"/>
          </w:tcPr>
          <w:p>
            <w:pPr>
              <w:pStyle w:val="TableText"/>
              <w:jc w:val="left"/>
            </w:pPr>
            <w:r>
              <w:t xml:space="preserve">PV</w:t>
            </w:r>
          </w:p>
        </w:tc>
        <w:tc>
          <w:tcPr>
            <w:tcW w:w="4203" w:type="dxa"/>
          </w:tcPr>
          <w:p>
            <w:pPr>
              <w:pStyle w:val="TableText"/>
              <w:jc w:val="left"/>
            </w:pPr>
            <w:r>
              <w:t xml:space="preserve">8 MWp; PVWatts losses 14 %; −0.37 %/°C; NOCT 45 °C</w:t>
            </w:r>
          </w:p>
        </w:tc>
        <w:tc>
          <w:tcPr>
            <w:tcW w:w="1572" w:type="dxa"/>
          </w:tcPr>
          <w:p>
            <w:pPr>
              <w:pStyle w:val="TableText"/>
              <w:jc w:val="left"/>
            </w:pPr>
            <w:r>
              <w:t xml:space="preserve">[37] [S]; [A]</w:t>
            </w:r>
          </w:p>
        </w:tc>
      </w:tr>
      <w:tr>
        <w:tc>
          <w:tcPr>
            <w:tcW w:w="1239" w:type="dxa"/>
          </w:tcPr>
          <w:p>
            <w:pPr>
              <w:pStyle w:val="TableText"/>
            </w:pPr>
          </w:p>
        </w:tc>
        <w:tc>
          <w:tcPr>
            <w:tcW w:w="2056" w:type="dxa"/>
          </w:tcPr>
          <w:p>
            <w:pPr>
              <w:pStyle w:val="TableText"/>
              <w:jc w:val="left"/>
            </w:pPr>
            <w:r>
              <w:t xml:space="preserve">Weather</w:t>
            </w:r>
          </w:p>
        </w:tc>
        <w:tc>
          <w:tcPr>
            <w:tcW w:w="4203" w:type="dxa"/>
          </w:tcPr>
          <w:p>
            <w:pPr>
              <w:pStyle w:val="TableText"/>
              <w:jc w:val="left"/>
            </w:pPr>
            <w:r>
              <w:t xml:space="preserve">ERA5 / Open-Meteo, Suzhou-Wujiang, summer 2024; DR day 5 August 2024 (38.3 °C)</w:t>
            </w:r>
          </w:p>
        </w:tc>
        <w:tc>
          <w:tcPr>
            <w:tcW w:w="1572" w:type="dxa"/>
          </w:tcPr>
          <w:p>
            <w:pPr>
              <w:pStyle w:val="TableText"/>
              <w:jc w:val="left"/>
            </w:pPr>
            <w:r>
              <w:t xml:space="preserve">[D]</w:t>
            </w:r>
          </w:p>
        </w:tc>
      </w:tr>
      <w:tr>
        <w:tc>
          <w:tcPr>
            <w:tcW w:w="1239" w:type="dxa"/>
          </w:tcPr>
          <w:p>
            <w:pPr>
              <w:pStyle w:val="TableText"/>
            </w:pPr>
          </w:p>
        </w:tc>
        <w:tc>
          <w:tcPr>
            <w:tcW w:w="2056" w:type="dxa"/>
          </w:tcPr>
          <w:p>
            <w:pPr>
              <w:pStyle w:val="TableText"/>
              <w:jc w:val="left"/>
            </w:pPr>
            <w:r>
              <w:t xml:space="preserve">Grid connection</w:t>
            </w:r>
            <w:r>
              <w:t xml:space="preserve"> </w:t>
            </w:r>
            <m:oMath>
              <m:sSup>
                <m:e>
                  <m:r>
                    <m:t>P</m:t>
                  </m:r>
                </m:e>
                <m:sup>
                  <m:r>
                    <m:t>c</m:t>
                  </m:r>
                  <m:r>
                    <m:t>a</m:t>
                  </m:r>
                  <m:r>
                    <m:t>p</m:t>
                  </m:r>
                </m:sup>
              </m:sSup>
            </m:oMath>
            <w:r>
              <w:t xml:space="preserve">; minimum import</w:t>
            </w:r>
            <w:r>
              <w:t xml:space="preserve"> </w:t>
            </w:r>
            <m:oMath>
              <m:sSup>
                <m:e>
                  <m:r>
                    <m:t>P</m:t>
                  </m:r>
                </m:e>
                <m:sup>
                  <m:r>
                    <m:t>m</m:t>
                  </m:r>
                  <m:r>
                    <m:t>i</m:t>
                  </m:r>
                  <m:r>
                    <m:t>n</m:t>
                  </m:r>
                </m:sup>
              </m:sSup>
            </m:oMath>
          </w:p>
        </w:tc>
        <w:tc>
          <w:tcPr>
            <w:tcW w:w="4203" w:type="dxa"/>
          </w:tcPr>
          <w:p>
            <w:pPr>
              <w:pStyle w:val="TableText"/>
              <w:jc w:val="left"/>
            </w:pPr>
            <w:r>
              <w:t xml:space="preserve">1.10 × typical-day peak (16.03 MW); 1.5 MW</w:t>
            </w:r>
          </w:p>
        </w:tc>
        <w:tc>
          <w:tcPr>
            <w:tcW w:w="1572" w:type="dxa"/>
          </w:tcPr>
          <w:p>
            <w:pPr>
              <w:pStyle w:val="TableText"/>
              <w:jc w:val="left"/>
            </w:pPr>
            <w:r>
              <w:t xml:space="preserve">[A]</w:t>
            </w:r>
          </w:p>
        </w:tc>
      </w:tr>
      <w:tr>
        <w:tc>
          <w:tcPr>
            <w:tcW w:w="1239" w:type="dxa"/>
          </w:tcPr>
          <w:p>
            <w:pPr>
              <w:pStyle w:val="TableText"/>
              <w:jc w:val="left"/>
            </w:pPr>
            <w:r>
              <w:t xml:space="preserve">Market</w:t>
            </w:r>
          </w:p>
        </w:tc>
        <w:tc>
          <w:tcPr>
            <w:tcW w:w="2056" w:type="dxa"/>
          </w:tcPr>
          <w:p>
            <w:pPr>
              <w:pStyle w:val="TableText"/>
              <w:jc w:val="left"/>
            </w:pPr>
            <w:r>
              <w:t xml:space="preserve">Tariff</w:t>
            </w:r>
          </w:p>
        </w:tc>
        <w:tc>
          <w:tcPr>
            <w:tcW w:w="4203" w:type="dxa"/>
          </w:tcPr>
          <w:p>
            <w:pPr>
              <w:pStyle w:val="TableText"/>
              <w:jc w:val="left"/>
            </w:pPr>
            <w:r>
              <w:t xml:space="preserve">Jiangsu two-part TOU: peak 14–22 h ×1.8 and valley ×0.35 on the purchase price</w:t>
            </w:r>
          </w:p>
        </w:tc>
        <w:tc>
          <w:tcPr>
            <w:tcW w:w="1572" w:type="dxa"/>
          </w:tcPr>
          <w:p>
            <w:pPr>
              <w:pStyle w:val="TableText"/>
              <w:jc w:val="left"/>
            </w:pPr>
            <w:r>
              <w:t xml:space="preserve">[38] [S]</w:t>
            </w:r>
          </w:p>
        </w:tc>
      </w:tr>
      <w:tr>
        <w:tc>
          <w:tcPr>
            <w:tcW w:w="1239" w:type="dxa"/>
          </w:tcPr>
          <w:p>
            <w:pPr>
              <w:pStyle w:val="TableText"/>
            </w:pPr>
          </w:p>
        </w:tc>
        <w:tc>
          <w:tcPr>
            <w:tcW w:w="2056" w:type="dxa"/>
          </w:tcPr>
          <w:p>
            <w:pPr>
              <w:pStyle w:val="TableText"/>
              <w:jc w:val="left"/>
            </w:pPr>
            <w:r>
              <w:t xml:space="preserve">DR settlement</w:t>
            </w:r>
          </w:p>
        </w:tc>
        <w:tc>
          <w:tcPr>
            <w:tcW w:w="4203" w:type="dxa"/>
          </w:tcPr>
          <w:p>
            <w:pPr>
              <w:pStyle w:val="TableText"/>
              <w:jc w:val="left"/>
            </w:pPr>
            <w:r>
              <w:t xml:space="preserve">3 CNY/kWh (agreed); ×1.4 (2–4 h notice), ×1.6 (0.5–2 h); valid ≥ 80 %, paid ≤ 120 %</w:t>
            </w:r>
          </w:p>
        </w:tc>
        <w:tc>
          <w:tcPr>
            <w:tcW w:w="1572" w:type="dxa"/>
          </w:tcPr>
          <w:p>
            <w:pPr>
              <w:pStyle w:val="TableText"/>
              <w:jc w:val="left"/>
            </w:pPr>
            <w:r>
              <w:t xml:space="preserve">[6] [S]</w:t>
            </w:r>
          </w:p>
        </w:tc>
      </w:tr>
      <w:tr>
        <w:tc>
          <w:tcPr>
            <w:tcW w:w="1239" w:type="dxa"/>
          </w:tcPr>
          <w:p>
            <w:pPr>
              <w:pStyle w:val="TableText"/>
            </w:pPr>
          </w:p>
        </w:tc>
        <w:tc>
          <w:tcPr>
            <w:tcW w:w="2056" w:type="dxa"/>
          </w:tcPr>
          <w:p>
            <w:pPr>
              <w:pStyle w:val="TableText"/>
              <w:jc w:val="left"/>
            </w:pPr>
            <w:r>
              <w:t xml:space="preserve">Shortfall coefficient</w:t>
            </w:r>
            <w:r>
              <w:t xml:space="preserve"> </w:t>
            </w:r>
            <m:oMath>
              <m:r>
                <m:t>κ</m:t>
              </m:r>
            </m:oMath>
            <w:r>
              <w:t xml:space="preserve">; planning margin</w:t>
            </w:r>
            <w:r>
              <w:t xml:space="preserve"> </w:t>
            </w:r>
            <m:oMath>
              <m:sSup>
                <m:e>
                  <m:r>
                    <m:t>δ</m:t>
                  </m:r>
                </m:e>
                <m:sup>
                  <m:r>
                    <m:t>v</m:t>
                  </m:r>
                  <m:r>
                    <m:t>a</m:t>
                  </m:r>
                  <m:r>
                    <m:t>l</m:t>
                  </m:r>
                </m:sup>
              </m:sSup>
            </m:oMath>
            <w:r>
              <w:t xml:space="preserve">; full delivery; reliability</w:t>
            </w:r>
            <w:r>
              <w:t xml:space="preserve"> </w:t>
            </w:r>
            <m:oMath>
              <m:r>
                <m:t>ρ</m:t>
              </m:r>
            </m:oMath>
          </w:p>
        </w:tc>
        <w:tc>
          <w:tcPr>
            <w:tcW w:w="4203" w:type="dxa"/>
          </w:tcPr>
          <w:p>
            <w:pPr>
              <w:pStyle w:val="TableText"/>
              <w:jc w:val="left"/>
            </w:pPr>
            <w:r>
              <w:t xml:space="preserve">1; 0.1 MW;</w:t>
            </w:r>
            <w:r>
              <w:t xml:space="preserve"> </w:t>
            </w:r>
            <m:oMath>
              <m:sSub>
                <m:e>
                  <m:acc>
                    <m:accPr>
                      <m:chr m:val="‾"/>
                    </m:accPr>
                    <m:e>
                      <m:r>
                        <m:t>r</m:t>
                      </m:r>
                    </m:e>
                  </m:acc>
                </m:e>
                <m:sub>
                  <m:r>
                    <m:t>k</m:t>
                  </m:r>
                </m:sub>
              </m:sSub>
              <m:r>
                <m:rPr>
                  <m:sty m:val="p"/>
                </m:rPr>
                <m:t>≥</m:t>
              </m:r>
              <m:r>
                <m:t>0.98</m:t>
              </m:r>
              <m:sSub>
                <m:e>
                  <m:r>
                    <m:t>C</m:t>
                  </m:r>
                </m:e>
                <m:sub>
                  <m:r>
                    <m:t>k</m:t>
                  </m:r>
                </m:sub>
              </m:sSub>
            </m:oMath>
            <w:r>
              <w:t xml:space="preserve"> </w:t>
            </w:r>
            <w:r>
              <w:t xml:space="preserve">(</w:t>
            </w:r>
            <m:oMath>
              <m:sSub>
                <m:e>
                  <m:r>
                    <m:t>ϵ</m:t>
                  </m:r>
                </m:e>
                <m:sub>
                  <m:r>
                    <m:t>f</m:t>
                  </m:r>
                </m:sub>
              </m:sSub>
            </m:oMath>
            <w:r>
              <w:t xml:space="preserve"> </w:t>
            </w:r>
            <w:r>
              <w:t xml:space="preserve">= 2 %); 0.95</w:t>
            </w:r>
          </w:p>
        </w:tc>
        <w:tc>
          <w:tcPr>
            <w:tcW w:w="1572" w:type="dxa"/>
          </w:tcPr>
          <w:p>
            <w:pPr>
              <w:pStyle w:val="TableText"/>
              <w:jc w:val="left"/>
            </w:pPr>
            <w:r>
              <w:t xml:space="preserve">[A]</w:t>
            </w:r>
          </w:p>
        </w:tc>
      </w:tr>
      <w:tr>
        <w:tc>
          <w:tcPr>
            <w:tcW w:w="1239" w:type="dxa"/>
          </w:tcPr>
          <w:p>
            <w:pPr>
              <w:pStyle w:val="TableText"/>
            </w:pPr>
          </w:p>
        </w:tc>
        <w:tc>
          <w:tcPr>
            <w:tcW w:w="2056" w:type="dxa"/>
          </w:tcPr>
          <w:p>
            <w:pPr>
              <w:pStyle w:val="TableText"/>
              <w:jc w:val="left"/>
            </w:pPr>
            <w:r>
              <w:t xml:space="preserve">Terminal values</w:t>
            </w:r>
            <w:r>
              <w:t xml:space="preserve"> </w:t>
            </w:r>
            <m:oMath>
              <m:sSup>
                <m:e>
                  <m:r>
                    <m:t>J</m:t>
                  </m:r>
                </m:e>
                <m:sup>
                  <m:r>
                    <m:t>t</m:t>
                  </m:r>
                  <m:r>
                    <m:t>e</m:t>
                  </m:r>
                  <m:r>
                    <m:t>r</m:t>
                  </m:r>
                  <m:r>
                    <m:t>m</m:t>
                  </m:r>
                </m:sup>
              </m:sSup>
            </m:oMath>
          </w:p>
        </w:tc>
        <w:tc>
          <w:tcPr>
            <w:tcW w:w="4203" w:type="dxa"/>
          </w:tcPr>
          <w:p>
            <w:pPr>
              <w:pStyle w:val="TableText"/>
              <w:jc w:val="left"/>
            </w:pPr>
            <w:r>
              <w:t xml:space="preserve">500 CNY/MWh of BESS and 100 CNY/MWh</w:t>
            </w:r>
            <w:r>
              <w:rPr>
                <w:vertAlign w:val="subscript"/>
              </w:rPr>
              <w:t xml:space="preserve">th</w:t>
            </w:r>
            <w:r>
              <w:t xml:space="preserve"> </w:t>
            </w:r>
            <w:r>
              <w:t xml:space="preserve">of TES deficit; backlog at its energy cost at the flat price</w:t>
            </w:r>
          </w:p>
        </w:tc>
        <w:tc>
          <w:tcPr>
            <w:tcW w:w="1572" w:type="dxa"/>
          </w:tcPr>
          <w:p>
            <w:pPr>
              <w:pStyle w:val="TableText"/>
              <w:jc w:val="left"/>
            </w:pPr>
            <w:r>
              <w:t xml:space="preserve">[A]</w:t>
            </w:r>
          </w:p>
        </w:tc>
      </w:tr>
      <w:tr>
        <w:tc>
          <w:tcPr>
            <w:tcW w:w="1239" w:type="dxa"/>
          </w:tcPr>
          <w:p>
            <w:pPr>
              <w:pStyle w:val="TableText"/>
              <w:jc w:val="left"/>
            </w:pPr>
            <w:r>
              <w:t xml:space="preserve">Method</w:t>
            </w:r>
          </w:p>
        </w:tc>
        <w:tc>
          <w:tcPr>
            <w:tcW w:w="2056" w:type="dxa"/>
          </w:tcPr>
          <w:p>
            <w:pPr>
              <w:pStyle w:val="TableText"/>
              <w:jc w:val="left"/>
            </w:pPr>
            <w:r>
              <w:t xml:space="preserve">MPC</w:t>
            </w:r>
          </w:p>
        </w:tc>
        <w:tc>
          <w:tcPr>
            <w:tcW w:w="4203" w:type="dxa"/>
          </w:tcPr>
          <w:p>
            <w:pPr>
              <w:pStyle w:val="TableText"/>
              <w:jc w:val="left"/>
            </w:pPr>
            <m:oMath>
              <m:r>
                <m:t>Δ</m:t>
              </m:r>
              <m:r>
                <m:t>t</m:t>
              </m:r>
            </m:oMath>
            <w:r>
              <w:t xml:space="preserve"> </w:t>
            </w:r>
            <w:r>
              <w:t xml:space="preserve">= 15 min,</w:t>
            </w:r>
            <w:r>
              <w:t xml:space="preserve"> </w:t>
            </w:r>
            <m:oMath>
              <m:sSub>
                <m:e>
                  <m:r>
                    <m:t>T</m:t>
                  </m:r>
                </m:e>
                <m:sub>
                  <m:r>
                    <m:t>H</m:t>
                  </m:r>
                </m:sub>
              </m:sSub>
            </m:oMath>
            <w:r>
              <w:t xml:space="preserve"> </w:t>
            </w:r>
            <w:r>
              <w:t xml:space="preserve">= 18 h; JR-S with 5 scenarios</w:t>
            </w:r>
          </w:p>
        </w:tc>
        <w:tc>
          <w:tcPr>
            <w:tcW w:w="1572" w:type="dxa"/>
          </w:tcPr>
          <w:p>
            <w:pPr>
              <w:pStyle w:val="TableText"/>
              <w:jc w:val="left"/>
            </w:pPr>
            <w:r>
              <w:t xml:space="preserve">[A]</w:t>
            </w:r>
          </w:p>
        </w:tc>
      </w:tr>
      <w:tr>
        <w:tc>
          <w:tcPr>
            <w:tcW w:w="1239" w:type="dxa"/>
          </w:tcPr>
          <w:p>
            <w:pPr>
              <w:pStyle w:val="TableText"/>
            </w:pPr>
          </w:p>
        </w:tc>
        <w:tc>
          <w:tcPr>
            <w:tcW w:w="2056" w:type="dxa"/>
          </w:tcPr>
          <w:p>
            <w:pPr>
              <w:pStyle w:val="TableText"/>
              <w:jc w:val="left"/>
            </w:pPr>
            <w:r>
              <w:t xml:space="preserve">Static split of IR-O*</w:t>
            </w:r>
          </w:p>
        </w:tc>
        <w:tc>
          <w:tcPr>
            <w:tcW w:w="4203" w:type="dxa"/>
          </w:tcPr>
          <w:p>
            <w:pPr>
              <w:pStyle w:val="TableText"/>
              <w:jc w:val="left"/>
            </w:pPr>
            <m:oMath>
              <m:r>
                <m:t>α</m:t>
              </m:r>
              <m:r>
                <m:rPr>
                  <m:sty m:val="p"/>
                </m:rPr>
                <m:t>∈</m:t>
              </m:r>
              <m:r>
                <m:rPr>
                  <m:sty m:val="p"/>
                </m:rPr>
                <m:t>{</m:t>
              </m:r>
              <m:r>
                <m:t>0.2</m:t>
              </m:r>
              <m:r>
                <m:rPr>
                  <m:sty m:val="p"/>
                </m:rPr>
                <m:t>,</m:t>
              </m:r>
              <m:r>
                <m:t>0.3</m:t>
              </m:r>
              <m:r>
                <m:rPr>
                  <m:sty m:val="p"/>
                </m:rPr>
                <m:t>,</m:t>
              </m:r>
              <m:r>
                <m:rPr>
                  <m:sty m:val="p"/>
                </m:rPr>
                <m:t>…</m:t>
              </m:r>
              <m:r>
                <m:rPr>
                  <m:sty m:val="p"/>
                </m:rPr>
                <m:t>,</m:t>
              </m:r>
              <m:r>
                <m:t>1.0</m:t>
              </m:r>
              <m:r>
                <m:rPr>
                  <m:sty m:val="p"/>
                </m:rPr>
                <m:t>}</m:t>
              </m:r>
            </m:oMath>
            <w:r>
              <w:t xml:space="preserve">, tuned day-ahead for every commitment</w:t>
            </w:r>
          </w:p>
        </w:tc>
        <w:tc>
          <w:tcPr>
            <w:tcW w:w="1572" w:type="dxa"/>
          </w:tcPr>
          <w:p>
            <w:pPr>
              <w:pStyle w:val="TableText"/>
              <w:jc w:val="left"/>
            </w:pPr>
            <w:r>
              <w:t xml:space="preserve">[A]</w:t>
            </w:r>
          </w:p>
        </w:tc>
      </w:tr>
      <w:tr>
        <w:tc>
          <w:tcPr>
            <w:tcW w:w="1239" w:type="dxa"/>
          </w:tcPr>
          <w:p>
            <w:pPr>
              <w:pStyle w:val="TableText"/>
            </w:pPr>
          </w:p>
        </w:tc>
        <w:tc>
          <w:tcPr>
            <w:tcW w:w="2056" w:type="dxa"/>
          </w:tcPr>
          <w:p>
            <w:pPr>
              <w:pStyle w:val="TableText"/>
              <w:jc w:val="left"/>
            </w:pPr>
            <w:r>
              <w:t xml:space="preserve">Two-stage model (22)</w:t>
            </w:r>
          </w:p>
        </w:tc>
        <w:tc>
          <w:tcPr>
            <w:tcW w:w="4203" w:type="dxa"/>
          </w:tcPr>
          <w:p>
            <w:pPr>
              <w:pStyle w:val="TableText"/>
              <w:jc w:val="left"/>
            </w:pPr>
            <m:oMath>
              <m:sSup>
                <m:e>
                  <m:r>
                    <m:t>ϵ</m:t>
                  </m:r>
                </m:e>
                <m:sup>
                  <m:r>
                    <m:t>C</m:t>
                  </m:r>
                </m:sup>
              </m:sSup>
            </m:oMath>
            <w:r>
              <w:t xml:space="preserve"> </w:t>
            </w:r>
            <w:r>
              <w:t xml:space="preserve">= 100 CNY/MW</w:t>
            </w:r>
          </w:p>
        </w:tc>
        <w:tc>
          <w:tcPr>
            <w:tcW w:w="1572" w:type="dxa"/>
          </w:tcPr>
          <w:p>
            <w:pPr>
              <w:pStyle w:val="TableText"/>
              <w:jc w:val="left"/>
            </w:pPr>
            <w:r>
              <w:t xml:space="preserve">[A]</w:t>
            </w:r>
          </w:p>
        </w:tc>
      </w:tr>
      <w:tr>
        <w:tc>
          <w:tcPr>
            <w:tcW w:w="1239" w:type="dxa"/>
          </w:tcPr>
          <w:p>
            <w:pPr>
              <w:pStyle w:val="TableText"/>
            </w:pPr>
          </w:p>
        </w:tc>
        <w:tc>
          <w:tcPr>
            <w:tcW w:w="2056" w:type="dxa"/>
          </w:tcPr>
          <w:p>
            <w:pPr>
              <w:pStyle w:val="TableText"/>
              <w:jc w:val="left"/>
            </w:pPr>
            <w:r>
              <w:t xml:space="preserve">Days</w:t>
            </w:r>
          </w:p>
        </w:tc>
        <w:tc>
          <w:tcPr>
            <w:tcW w:w="4203" w:type="dxa"/>
          </w:tcPr>
          <w:p>
            <w:pPr>
              <w:pStyle w:val="TableText"/>
              <w:jc w:val="left"/>
            </w:pPr>
            <w:r>
              <w:t xml:space="preserve">26 operating days: PAI weekdays after the DR day, each paired with a hot day and an Azure inference day; 14 historical days: the weekdays of the trace before the DR day (five of them, at the 10–90 % quantiles of the deferrable load, for forecasts and benchmark tuning)</w:t>
            </w:r>
          </w:p>
        </w:tc>
        <w:tc>
          <w:tcPr>
            <w:tcW w:w="1572" w:type="dxa"/>
          </w:tcPr>
          <w:p>
            <w:pPr>
              <w:pStyle w:val="TableText"/>
              <w:jc w:val="left"/>
            </w:pPr>
            <w:r>
              <w:t xml:space="preserve">[30,31] [D]</w:t>
            </w:r>
          </w:p>
        </w:tc>
      </w:tr>
    </w:tbl>
    <w:bookmarkEnd w:id="102"/>
    <w:bookmarkStart w:id="103" w:name="appendix-b.-proofs"/>
    <w:p>
      <w:pPr>
        <w:pStyle w:val="Heading1"/>
      </w:pPr>
      <w:r>
        <w:t xml:space="preserve">Appendix B. Proofs</w:t>
      </w:r>
    </w:p>
    <w:p>
      <w:pPr>
        <w:pStyle w:val="FirstParagraph"/>
      </w:pPr>
      <w:r>
        <w:rPr>
          <w:bCs/>
          <w:b/>
        </w:rPr>
        <w:t xml:space="preserve">Notation and assumptions.</w:t>
      </w:r>
      <w:r>
        <w:t xml:space="preserve"> </w:t>
      </w:r>
      <w:r>
        <w:t xml:space="preserve">Let</w:t>
      </w:r>
      <w:r>
        <w:t xml:space="preserve"> </w:t>
      </w:r>
      <m:oMath>
        <m:r>
          <m:rPr>
            <m:scr m:val="script"/>
            <m:sty m:val="p"/>
          </m:rPr>
          <m:t>I</m:t>
        </m:r>
        <m:r>
          <m:rPr>
            <m:sty m:val="p"/>
          </m:rPr>
          <m:t>=</m:t>
        </m:r>
        <m:d>
          <m:dPr>
            <m:begChr m:val="("/>
            <m:sepChr m:val=""/>
            <m:endChr m:val=")"/>
            <m:grow/>
          </m:dPr>
          <m:e>
            <m:sSub>
              <m:e>
                <m:r>
                  <m:t>e</m:t>
                </m:r>
              </m:e>
              <m:sub>
                <m:r>
                  <m:t>A</m:t>
                </m:r>
              </m:sub>
            </m:sSub>
            <m:r>
              <m:rPr>
                <m:sty m:val="p"/>
              </m:rPr>
              <m:t>,</m:t>
            </m:r>
            <m:sSub>
              <m:e>
                <m:r>
                  <m:t>s</m:t>
                </m:r>
              </m:e>
              <m:sub>
                <m:r>
                  <m:t>B</m:t>
                </m:r>
              </m:sub>
            </m:sSub>
          </m:e>
        </m:d>
      </m:oMath>
      <w:r>
        <w:t xml:space="preserve"> </w:t>
      </w:r>
      <w:r>
        <w:t xml:space="preserve">be the interval of length</w:t>
      </w:r>
      <w:r>
        <w:t xml:space="preserve"> </w:t>
      </w:r>
      <m:oMath>
        <m:r>
          <m:t>τ</m:t>
        </m:r>
      </m:oMath>
      <w:r>
        <w:t xml:space="preserve"> </w:t>
      </w:r>
      <w:r>
        <w:t xml:space="preserve">between events A and B, and</w:t>
      </w:r>
      <w:r>
        <w:t xml:space="preserve"> </w:t>
      </w:r>
      <m:oMath>
        <m:sSub>
          <m:e>
            <m:r>
              <m:rPr>
                <m:scr m:val="script"/>
                <m:sty m:val="p"/>
              </m:rPr>
              <m:t>T</m:t>
            </m:r>
          </m:e>
          <m:sub>
            <m:r>
              <m:t>B</m:t>
            </m:r>
          </m:sub>
        </m:sSub>
      </m:oMath>
      <w:r>
        <w:t xml:space="preserve"> </w:t>
      </w:r>
      <w:r>
        <w:t xml:space="preserve">the steps of event B with duration</w:t>
      </w:r>
      <w:r>
        <w:t xml:space="preserve"> </w:t>
      </w:r>
      <m:oMath>
        <m:sSub>
          <m:e>
            <m:r>
              <m:t>D</m:t>
            </m:r>
          </m:e>
          <m:sub>
            <m:r>
              <m:t>B</m:t>
            </m:r>
          </m:sub>
        </m:sSub>
      </m:oMath>
      <w:r>
        <w:t xml:space="preserve">. (H1) Without DR the grid import equals the baseline and the storage is idle in</w:t>
      </w:r>
      <w:r>
        <w:t xml:space="preserve"> </w:t>
      </w:r>
      <m:oMath>
        <m:r>
          <m:rPr>
            <m:scr m:val="script"/>
            <m:sty m:val="p"/>
          </m:rPr>
          <m:t>I</m:t>
        </m:r>
        <m:r>
          <m:rPr>
            <m:sty m:val="p"/>
          </m:rPr>
          <m:t>∪</m:t>
        </m:r>
        <m:sSub>
          <m:e>
            <m:r>
              <m:rPr>
                <m:scr m:val="script"/>
                <m:sty m:val="p"/>
              </m:rPr>
              <m:t>T</m:t>
            </m:r>
          </m:e>
          <m:sub>
            <m:r>
              <m:t>B</m:t>
            </m:r>
          </m:sub>
        </m:sSub>
      </m:oMath>
      <w:r>
        <w:t xml:space="preserve">. (H2)</w:t>
      </w:r>
      <w:r>
        <w:t xml:space="preserve"> </w:t>
      </w:r>
      <m:oMath>
        <m:sSub>
          <m:e>
            <m:r>
              <m:t>ψ</m:t>
            </m:r>
          </m:e>
          <m:sub>
            <m:r>
              <m:t>t</m:t>
            </m:r>
          </m:sub>
        </m:sSub>
      </m:oMath>
      <w:r>
        <w:t xml:space="preserve"> </w:t>
      </w:r>
      <w:r>
        <w:t xml:space="preserve">and</w:t>
      </w:r>
      <w:r>
        <w:t xml:space="preserve"> </w:t>
      </w:r>
      <m:oMath>
        <m:sSub>
          <m:e>
            <m:r>
              <m:rPr>
                <m:sty m:val="p"/>
              </m:rPr>
              <m:t>C</m:t>
            </m:r>
            <m:r>
              <m:rPr>
                <m:sty m:val="p"/>
              </m:rPr>
              <m:t>O</m:t>
            </m:r>
            <m:r>
              <m:rPr>
                <m:sty m:val="p"/>
              </m:rPr>
              <m:t>P</m:t>
            </m:r>
          </m:e>
          <m:sub>
            <m:r>
              <m:t>t</m:t>
            </m:r>
          </m:sub>
        </m:sSub>
      </m:oMath>
      <w:r>
        <w:t xml:space="preserve"> </w:t>
      </w:r>
      <w:r>
        <w:t xml:space="preserve">are constant in</w:t>
      </w:r>
      <w:r>
        <w:t xml:space="preserve"> </w:t>
      </w:r>
      <m:oMath>
        <m:r>
          <m:rPr>
            <m:scr m:val="script"/>
            <m:sty m:val="p"/>
          </m:rPr>
          <m:t>I</m:t>
        </m:r>
        <m:r>
          <m:rPr>
            <m:sty m:val="p"/>
          </m:rPr>
          <m:t>∪</m:t>
        </m:r>
        <m:sSub>
          <m:e>
            <m:r>
              <m:rPr>
                <m:scr m:val="script"/>
                <m:sty m:val="p"/>
              </m:rPr>
              <m:t>T</m:t>
            </m:r>
          </m:e>
          <m:sub>
            <m:r>
              <m:t>B</m:t>
            </m:r>
          </m:sub>
        </m:sSub>
      </m:oMath>
      <w:r>
        <w:t xml:space="preserve">; otherwise all bounds below hold with the largest</w:t>
      </w:r>
      <w:r>
        <w:t xml:space="preserve"> </w:t>
      </w:r>
      <m:oMath>
        <m:sSub>
          <m:e>
            <m:r>
              <m:t>ψ</m:t>
            </m:r>
          </m:e>
          <m:sub>
            <m:r>
              <m:t>t</m:t>
            </m:r>
          </m:sub>
        </m:sSub>
      </m:oMath>
      <w:r>
        <w:t xml:space="preserve"> </w:t>
      </w:r>
      <w:r>
        <w:t xml:space="preserve">of the interval. Under (H1) the deviation of any schedule from the baseline is</w:t>
      </w:r>
    </w:p>
    <w:p>
      <w:pPr>
        <w:pStyle w:val="Equation"/>
      </w:pPr>
      <w:r>
        <w:tab/>
      </w:r>
      <m:oMath>
        <m:sSubSup>
          <m:e>
            <m:r>
              <m:t>P</m:t>
            </m:r>
          </m:e>
          <m:sub>
            <m:r>
              <m:t>t</m:t>
            </m:r>
          </m:sub>
          <m:sup>
            <m:r>
              <m:t>g</m:t>
            </m:r>
            <m:r>
              <m:t>r</m:t>
            </m:r>
            <m:r>
              <m:t>i</m:t>
            </m:r>
            <m:r>
              <m:t>d</m:t>
            </m:r>
          </m:sup>
        </m:sSubSup>
        <m:r>
          <m:rPr>
            <m:sty m:val="p"/>
          </m:rPr>
          <m:t>−</m:t>
        </m:r>
        <m:sSubSup>
          <m:e>
            <m:r>
              <m:t>P</m:t>
            </m:r>
          </m:e>
          <m:sub>
            <m:r>
              <m:t>t</m:t>
            </m:r>
          </m:sub>
          <m:sup>
            <m:r>
              <m:t>b</m:t>
            </m:r>
            <m:r>
              <m:t>a</m:t>
            </m:r>
            <m:r>
              <m:t>s</m:t>
            </m:r>
            <m:r>
              <m:t>e</m:t>
            </m:r>
          </m:sup>
        </m:sSubSup>
        <m:r>
          <m:rPr>
            <m:sty m:val="p"/>
          </m:rPr>
          <m:t>=</m:t>
        </m:r>
        <m:r>
          <m:t>ψ</m:t>
        </m:r>
        <m:nary>
          <m:naryPr>
            <m:chr m:val="∑"/>
            <m:limLoc m:val="undOvr"/>
            <m:subHide m:val="off"/>
            <m:supHide m:val="on"/>
          </m:naryPr>
          <m:sub>
            <m:r>
              <m:t>c</m:t>
            </m:r>
          </m:sub>
          <m:sup>
            <m:r>
              <m:t>​</m:t>
            </m:r>
          </m:sup>
          <m:e>
            <m:d>
              <m:dPr>
                <m:begChr m:val="("/>
                <m:sepChr m:val=""/>
                <m:endChr m:val=")"/>
                <m:grow/>
              </m:dPr>
              <m:e>
                <m:sSub>
                  <m:e>
                    <m:r>
                      <m:t>y</m:t>
                    </m:r>
                  </m:e>
                  <m:sub>
                    <m:r>
                      <m:t>c</m:t>
                    </m:r>
                    <m:r>
                      <m:rPr>
                        <m:sty m:val="p"/>
                      </m:rPr>
                      <m:t>,</m:t>
                    </m:r>
                    <m:r>
                      <m:t>t</m:t>
                    </m:r>
                  </m:sub>
                </m:sSub>
                <m:r>
                  <m:rPr>
                    <m:sty m:val="p"/>
                  </m:rPr>
                  <m:t>−</m:t>
                </m:r>
                <m:sSub>
                  <m:e>
                    <m:r>
                      <m:t>a</m:t>
                    </m:r>
                  </m:e>
                  <m:sub>
                    <m:r>
                      <m:t>c</m:t>
                    </m:r>
                    <m:r>
                      <m:rPr>
                        <m:sty m:val="p"/>
                      </m:rPr>
                      <m:t>,</m:t>
                    </m:r>
                    <m:r>
                      <m:t>t</m:t>
                    </m:r>
                  </m:sub>
                </m:sSub>
              </m:e>
            </m:d>
          </m:e>
        </m:nary>
        <m:r>
          <m:rPr>
            <m:sty m:val="p"/>
          </m:rPr>
          <m:t>+</m:t>
        </m:r>
        <m:sSubSup>
          <m:e>
            <m:r>
              <m:t>P</m:t>
            </m:r>
          </m:e>
          <m:sub>
            <m:r>
              <m:t>t</m:t>
            </m:r>
          </m:sub>
          <m:sup>
            <m:r>
              <m:t>c</m:t>
            </m:r>
            <m:r>
              <m:t>h</m:t>
            </m:r>
          </m:sup>
        </m:sSubSup>
        <m:r>
          <m:rPr>
            <m:sty m:val="p"/>
          </m:rPr>
          <m:t>−</m:t>
        </m:r>
        <m:sSubSup>
          <m:e>
            <m:r>
              <m:t>P</m:t>
            </m:r>
          </m:e>
          <m:sub>
            <m:r>
              <m:t>t</m:t>
            </m:r>
          </m:sub>
          <m:sup>
            <m:r>
              <m:t>d</m:t>
            </m:r>
            <m:r>
              <m:t>i</m:t>
            </m:r>
            <m:r>
              <m:t>s</m:t>
            </m:r>
          </m:sup>
        </m:sSubSup>
        <m:r>
          <m:rPr>
            <m:sty m:val="p"/>
          </m:rPr>
          <m:t>+</m:t>
        </m:r>
        <m:f>
          <m:fPr>
            <m:type m:val="bar"/>
          </m:fPr>
          <m:num>
            <m:sSubSup>
              <m:e>
                <m:r>
                  <m:t>Q</m:t>
                </m:r>
              </m:e>
              <m:sub>
                <m:r>
                  <m:t>t</m:t>
                </m:r>
              </m:sub>
              <m:sup>
                <m:r>
                  <m:t>T</m:t>
                </m:r>
                <m:r>
                  <m:t>C</m:t>
                </m:r>
              </m:sup>
            </m:sSubSup>
            <m:r>
              <m:rPr>
                <m:sty m:val="p"/>
              </m:rPr>
              <m:t>−</m:t>
            </m:r>
            <m:sSubSup>
              <m:e>
                <m:r>
                  <m:t>Q</m:t>
                </m:r>
              </m:e>
              <m:sub>
                <m:r>
                  <m:t>t</m:t>
                </m:r>
              </m:sub>
              <m:sup>
                <m:r>
                  <m:t>T</m:t>
                </m:r>
                <m:r>
                  <m:t>D</m:t>
                </m:r>
              </m:sup>
            </m:sSubSup>
          </m:num>
          <m:den>
            <m:r>
              <m:rPr>
                <m:sty m:val="p"/>
              </m:rPr>
              <m:t>C</m:t>
            </m:r>
            <m:r>
              <m:rPr>
                <m:sty m:val="p"/>
              </m:rPr>
              <m:t>O</m:t>
            </m:r>
            <m:r>
              <m:rPr>
                <m:sty m:val="p"/>
              </m:rPr>
              <m:t>P</m:t>
            </m:r>
          </m:den>
        </m:f>
        <m:r>
          <m:rPr>
            <m:sty m:val="p"/>
          </m:rPr>
          <m:t>−</m:t>
        </m:r>
        <m:r>
          <m:t>Δ</m:t>
        </m:r>
        <m:sSub>
          <m:e>
            <m:r>
              <m:t>g</m:t>
            </m:r>
          </m:e>
          <m:sub>
            <m:r>
              <m:t>t</m:t>
            </m:r>
          </m:sub>
        </m:sSub>
        <m:r>
          <m:rPr>
            <m:sty m:val="p"/>
          </m:rPr>
          <m:t>,</m:t>
        </m:r>
      </m:oMath>
      <w:r>
        <w:tab/>
      </w:r>
      <w:r>
        <w:t xml:space="preserve">(B.1)</w:t>
      </w:r>
    </w:p>
    <w:p>
      <w:pPr>
        <w:pStyle w:val="BodyText"/>
      </w:pPr>
      <w:r>
        <w:t xml:space="preserve">where the first term is catch-up (positive) or deferral (negative) of computing work and</w:t>
      </w:r>
      <w:r>
        <w:t xml:space="preserve"> </w:t>
      </w:r>
      <m:oMath>
        <m:r>
          <m:t>0</m:t>
        </m:r>
        <m:r>
          <m:rPr>
            <m:sty m:val="p"/>
          </m:rPr>
          <m:t>≤</m:t>
        </m:r>
        <m:r>
          <m:t>Δ</m:t>
        </m:r>
        <m:sSub>
          <m:e>
            <m:r>
              <m:t>g</m:t>
            </m:r>
          </m:e>
          <m:sub>
            <m:r>
              <m:t>t</m:t>
            </m:r>
          </m:sub>
        </m:sSub>
        <m:r>
          <m:rPr>
            <m:sty m:val="p"/>
          </m:rPr>
          <m:t>≤</m:t>
        </m:r>
        <m:r>
          <m:t>g</m:t>
        </m:r>
      </m:oMath>
      <w:r>
        <w:t xml:space="preserve"> </w:t>
      </w:r>
      <w:r>
        <w:t xml:space="preserve">is the additional gas-engine output including its absorption-chiller equivalent.</w:t>
      </w:r>
    </w:p>
    <w:p>
      <w:pPr>
        <w:pStyle w:val="BodyText"/>
      </w:pPr>
      <w:r>
        <w:rPr>
          <w:bCs/>
          <w:b/>
        </w:rPr>
        <w:t xml:space="preserve">Quantities of Proposition 1.</w:t>
      </w:r>
      <w:r>
        <w:t xml:space="preserve"> </w:t>
      </w:r>
      <m:oMath>
        <m:sSub>
          <m:e>
            <m:r>
              <m:t>X</m:t>
            </m:r>
          </m:e>
          <m:sub>
            <m:r>
              <m:t>A</m:t>
            </m:r>
          </m:sub>
        </m:sSub>
        <m:r>
          <m:rPr>
            <m:sty m:val="p"/>
          </m:rPr>
          <m:t>=</m:t>
        </m:r>
        <m:r>
          <m:t>ψ</m:t>
        </m:r>
        <m:nary>
          <m:naryPr>
            <m:chr m:val="∑"/>
            <m:limLoc m:val="undOvr"/>
            <m:subHide m:val="off"/>
            <m:supHide m:val="on"/>
          </m:naryPr>
          <m:sub>
            <m:r>
              <m:t>c</m:t>
            </m:r>
          </m:sub>
          <m:sup>
            <m:r>
              <m:t>​</m:t>
            </m:r>
          </m:sup>
          <m:e>
            <m:sSub>
              <m:e>
                <m:r>
                  <m:t>B</m:t>
                </m:r>
              </m:e>
              <m:sub>
                <m:r>
                  <m:t>c</m:t>
                </m:r>
              </m:sub>
            </m:sSub>
          </m:e>
        </m:nary>
        <m:d>
          <m:dPr>
            <m:begChr m:val="("/>
            <m:sepChr m:val=""/>
            <m:endChr m:val=")"/>
            <m:grow/>
          </m:dPr>
          <m:e>
            <m:sSub>
              <m:e>
                <m:r>
                  <m:t>e</m:t>
                </m:r>
              </m:e>
              <m:sub>
                <m:r>
                  <m:t>A</m:t>
                </m:r>
              </m:sub>
            </m:sSub>
          </m:e>
        </m:d>
      </m:oMath>
      <w:r>
        <w:t xml:space="preserve"> </w:t>
      </w:r>
      <w:r>
        <w:t xml:space="preserve">is the computing debt left by A and</w:t>
      </w:r>
      <w:r>
        <w:t xml:space="preserve"> </w:t>
      </w:r>
      <m:oMath>
        <m:sSubSup>
          <m:e>
            <m:r>
              <m:t>X</m:t>
            </m:r>
          </m:e>
          <m:sub>
            <m:r>
              <m:t>A</m:t>
            </m:r>
          </m:sub>
          <m:sup>
            <m:r>
              <m:t>d</m:t>
            </m:r>
            <m:r>
              <m:t>u</m:t>
            </m:r>
            <m:r>
              <m:t>e</m:t>
            </m:r>
          </m:sup>
        </m:sSubSup>
      </m:oMath>
      <w:r>
        <w:t xml:space="preserve"> </w:t>
      </w:r>
      <w:r>
        <w:t xml:space="preserve">its part that falls due before</w:t>
      </w:r>
      <w:r>
        <w:t xml:space="preserve"> </w:t>
      </w:r>
      <m:oMath>
        <m:sSub>
          <m:e>
            <m:r>
              <m:t>e</m:t>
            </m:r>
          </m:e>
          <m:sub>
            <m:r>
              <m:t>B</m:t>
            </m:r>
          </m:sub>
        </m:sSub>
      </m:oMath>
      <w:r>
        <w:t xml:space="preserve">;</w:t>
      </w:r>
      <w:r>
        <w:t xml:space="preserve"> </w:t>
      </w:r>
      <m:oMath>
        <m:sSub>
          <m:e>
            <m:r>
              <m:t>E</m:t>
            </m:r>
          </m:e>
          <m:sub>
            <m:r>
              <m:t>s</m:t>
            </m:r>
          </m:sub>
        </m:sSub>
        <m:r>
          <m:rPr>
            <m:sty m:val="p"/>
          </m:rPr>
          <m:t>=</m:t>
        </m:r>
        <m:sSub>
          <m:e>
            <m:r>
              <m:t>η</m:t>
            </m:r>
          </m:e>
          <m:sub>
            <m:r>
              <m:t>d</m:t>
            </m:r>
          </m:sub>
        </m:sSub>
        <m:d>
          <m:dPr>
            <m:begChr m:val="("/>
            <m:sepChr m:val=""/>
            <m:endChr m:val=")"/>
            <m:grow/>
          </m:dPr>
          <m:e>
            <m:sSub>
              <m:e>
                <m:r>
                  <m:t>E</m:t>
                </m:r>
              </m:e>
              <m:sub>
                <m:r>
                  <m:t>A</m:t>
                </m:r>
              </m:sub>
            </m:sSub>
            <m:r>
              <m:rPr>
                <m:sty m:val="p"/>
              </m:rPr>
              <m:t>−</m:t>
            </m:r>
            <m:bar>
              <m:barPr>
                <m:pos m:val="bot"/>
              </m:barPr>
              <m:e>
                <m:r>
                  <m:t>E</m:t>
                </m:r>
              </m:e>
            </m:bar>
          </m:e>
        </m:d>
        <m:r>
          <m:rPr>
            <m:sty m:val="p"/>
          </m:rPr>
          <m:t>+</m:t>
        </m:r>
        <m:sSubSup>
          <m:e>
            <m:r>
              <m:t>η</m:t>
            </m:r>
          </m:e>
          <m:sub>
            <m:r>
              <m:t>d</m:t>
            </m:r>
          </m:sub>
          <m:sup>
            <m:r>
              <m:t>T</m:t>
            </m:r>
          </m:sup>
        </m:sSubSup>
        <m:d>
          <m:dPr>
            <m:begChr m:val="("/>
            <m:sepChr m:val=""/>
            <m:endChr m:val=")"/>
            <m:grow/>
          </m:dPr>
          <m:e>
            <m:sSub>
              <m:e>
                <m:r>
                  <m:t>S</m:t>
                </m:r>
              </m:e>
              <m:sub>
                <m:r>
                  <m:t>A</m:t>
                </m:r>
              </m:sub>
            </m:sSub>
            <m:r>
              <m:rPr>
                <m:sty m:val="p"/>
              </m:rPr>
              <m:t>−</m:t>
            </m:r>
            <m:bar>
              <m:barPr>
                <m:pos m:val="bot"/>
              </m:barPr>
              <m:e>
                <m:r>
                  <m:t>S</m:t>
                </m:r>
              </m:e>
            </m:bar>
          </m:e>
        </m:d>
        <m:r>
          <m:rPr>
            <m:sty m:val="p"/>
          </m:rPr>
          <m:t>/</m:t>
        </m:r>
        <m:r>
          <m:rPr>
            <m:sty m:val="p"/>
          </m:rPr>
          <m:t>C</m:t>
        </m:r>
        <m:r>
          <m:rPr>
            <m:sty m:val="p"/>
          </m:rPr>
          <m:t>O</m:t>
        </m:r>
        <m:r>
          <m:rPr>
            <m:sty m:val="p"/>
          </m:rPr>
          <m:t>P</m:t>
        </m:r>
      </m:oMath>
      <w:r>
        <w:t xml:space="preserve"> </w:t>
      </w:r>
      <w:r>
        <w:t xml:space="preserve">and</w:t>
      </w:r>
      <w:r>
        <w:t xml:space="preserve"> </w:t>
      </w:r>
      <m:oMath>
        <m:sSub>
          <m:e>
            <m:r>
              <m:t>P</m:t>
            </m:r>
          </m:e>
          <m:sub>
            <m:r>
              <m:t>s</m:t>
            </m:r>
          </m:sub>
        </m:sSub>
        <m:r>
          <m:rPr>
            <m:sty m:val="p"/>
          </m:rPr>
          <m:t>=</m:t>
        </m:r>
        <m:sSup>
          <m:e>
            <m:acc>
              <m:accPr>
                <m:chr m:val="‾"/>
              </m:accPr>
              <m:e>
                <m:r>
                  <m:t>P</m:t>
                </m:r>
              </m:e>
            </m:acc>
          </m:e>
          <m:sup>
            <m:r>
              <m:t>B</m:t>
            </m:r>
          </m:sup>
        </m:sSup>
        <m:r>
          <m:rPr>
            <m:sty m:val="p"/>
          </m:rPr>
          <m:t>+</m:t>
        </m:r>
        <m:sSup>
          <m:e>
            <m:acc>
              <m:accPr>
                <m:chr m:val="‾"/>
              </m:accPr>
              <m:e>
                <m:r>
                  <m:t>Q</m:t>
                </m:r>
              </m:e>
            </m:acc>
          </m:e>
          <m:sup>
            <m:r>
              <m:t>T</m:t>
            </m:r>
            <m:r>
              <m:t>D</m:t>
            </m:r>
          </m:sup>
        </m:sSup>
        <m:r>
          <m:rPr>
            <m:sty m:val="p"/>
          </m:rPr>
          <m:t>/</m:t>
        </m:r>
        <m:r>
          <m:rPr>
            <m:sty m:val="p"/>
          </m:rPr>
          <m:t>C</m:t>
        </m:r>
        <m:r>
          <m:rPr>
            <m:sty m:val="p"/>
          </m:rPr>
          <m:t>O</m:t>
        </m:r>
        <m:r>
          <m:rPr>
            <m:sty m:val="p"/>
          </m:rPr>
          <m:t>P</m:t>
        </m:r>
      </m:oMath>
      <w:r>
        <w:t xml:space="preserve"> </w:t>
      </w:r>
      <w:r>
        <w:t xml:space="preserve">are the dischargeable energy and power of the storage;</w:t>
      </w:r>
      <w:r>
        <w:t xml:space="preserve"> </w:t>
      </w:r>
      <m:oMath>
        <m:r>
          <m:t>H</m:t>
        </m:r>
        <m:r>
          <m:rPr>
            <m:sty m:val="p"/>
          </m:rPr>
          <m:t>=</m:t>
        </m:r>
        <m:nary>
          <m:naryPr>
            <m:chr m:val="∑"/>
            <m:limLoc m:val="undOvr"/>
            <m:subHide m:val="off"/>
            <m:supHide m:val="on"/>
          </m:naryPr>
          <m:sub>
            <m:r>
              <m:t>t</m:t>
            </m:r>
            <m:r>
              <m:rPr>
                <m:sty m:val="p"/>
              </m:rPr>
              <m:t>∈</m:t>
            </m:r>
            <m:r>
              <m:rPr>
                <m:scr m:val="script"/>
                <m:sty m:val="p"/>
              </m:rPr>
              <m:t>I</m:t>
            </m:r>
          </m:sub>
          <m:sup>
            <m:r>
              <m:t>​</m:t>
            </m:r>
          </m:sup>
          <m:e>
            <m:d>
              <m:dPr>
                <m:begChr m:val="["/>
                <m:sepChr m:val=""/>
                <m:endChr m:val="]"/>
                <m:grow/>
              </m:dPr>
              <m:e>
                <m:r>
                  <m:rPr>
                    <m:sty m:val="p"/>
                  </m:rPr>
                  <m:t>max</m:t>
                </m:r>
                <m:r>
                  <m:rPr>
                    <m:sty m:val="p"/>
                  </m:rPr>
                  <m:t>{</m:t>
                </m:r>
                <m:sSup>
                  <m:e>
                    <m:r>
                      <m:t>P</m:t>
                    </m:r>
                  </m:e>
                  <m:sup>
                    <m:r>
                      <m:t>c</m:t>
                    </m:r>
                    <m:r>
                      <m:t>a</m:t>
                    </m:r>
                    <m:r>
                      <m:t>p</m:t>
                    </m:r>
                  </m:sup>
                </m:sSup>
                <m:r>
                  <m:rPr>
                    <m:sty m:val="p"/>
                  </m:rPr>
                  <m:t>−</m:t>
                </m:r>
                <m:sSubSup>
                  <m:e>
                    <m:r>
                      <m:t>P</m:t>
                    </m:r>
                  </m:e>
                  <m:sub>
                    <m:r>
                      <m:t>t</m:t>
                    </m:r>
                  </m:sub>
                  <m:sup>
                    <m:r>
                      <m:t>b</m:t>
                    </m:r>
                    <m:r>
                      <m:t>a</m:t>
                    </m:r>
                    <m:r>
                      <m:t>s</m:t>
                    </m:r>
                    <m:r>
                      <m:t>e</m:t>
                    </m:r>
                  </m:sup>
                </m:sSubSup>
                <m:r>
                  <m:rPr>
                    <m:sty m:val="p"/>
                  </m:rPr>
                  <m:t>,</m:t>
                </m:r>
                <m:r>
                  <m:t>0</m:t>
                </m:r>
                <m:r>
                  <m:rPr>
                    <m:sty m:val="p"/>
                  </m:rPr>
                  <m:t>}</m:t>
                </m:r>
                <m:r>
                  <m:rPr>
                    <m:sty m:val="p"/>
                  </m:rPr>
                  <m:t>+</m:t>
                </m:r>
                <m:r>
                  <m:t>g</m:t>
                </m:r>
              </m:e>
            </m:d>
          </m:e>
        </m:nary>
        <m:r>
          <m:t>Δ</m:t>
        </m:r>
        <m:r>
          <m:t>t</m:t>
        </m:r>
      </m:oMath>
      <w:r>
        <w:t xml:space="preserve"> </w:t>
      </w:r>
      <w:r>
        <w:t xml:space="preserve">is the recovery channel;</w:t>
      </w:r>
      <w:r>
        <w:t xml:space="preserve"> </w:t>
      </w:r>
      <m:oMath>
        <m:sSub>
          <m:e>
            <m:acc>
              <m:accPr>
                <m:chr m:val="‾"/>
              </m:accPr>
              <m:e>
                <m:r>
                  <m:t>X</m:t>
                </m:r>
              </m:e>
            </m:acc>
          </m:e>
          <m:sub>
            <m:r>
              <m:t>B</m:t>
            </m:r>
          </m:sub>
        </m:sSub>
        <m:r>
          <m:rPr>
            <m:sty m:val="p"/>
          </m:rPr>
          <m:t>=</m:t>
        </m:r>
        <m:r>
          <m:t>ψ</m:t>
        </m:r>
        <m:nary>
          <m:naryPr>
            <m:chr m:val="∑"/>
            <m:limLoc m:val="undOvr"/>
            <m:subHide m:val="off"/>
            <m:supHide m:val="on"/>
          </m:naryPr>
          <m:sub>
            <m:r>
              <m:t>c</m:t>
            </m:r>
          </m:sub>
          <m:sup>
            <m:r>
              <m:t>​</m:t>
            </m:r>
          </m:sup>
          <m:e>
            <m:sSub>
              <m:e>
                <m:acc>
                  <m:accPr>
                    <m:chr m:val="‾"/>
                  </m:accPr>
                  <m:e>
                    <m:r>
                      <m:t>B</m:t>
                    </m:r>
                  </m:e>
                </m:acc>
              </m:e>
              <m:sub>
                <m:r>
                  <m:t>c</m:t>
                </m:r>
              </m:sub>
            </m:sSub>
          </m:e>
        </m:nary>
        <m:d>
          <m:dPr>
            <m:begChr m:val="("/>
            <m:sepChr m:val=""/>
            <m:endChr m:val=")"/>
            <m:grow/>
          </m:dPr>
          <m:e>
            <m:sSub>
              <m:e>
                <m:r>
                  <m:t>e</m:t>
                </m:r>
              </m:e>
              <m:sub>
                <m:r>
                  <m:t>B</m:t>
                </m:r>
              </m:sub>
            </m:sSub>
          </m:e>
        </m:d>
      </m:oMath>
      <w:r>
        <w:t xml:space="preserve"> </w:t>
      </w:r>
      <w:r>
        <w:t xml:space="preserve">is the deadline-limited virtual capacity at the end of B;</w:t>
      </w:r>
      <w:r>
        <w:t xml:space="preserve"> </w:t>
      </w:r>
      <m:oMath>
        <m:sSub>
          <m:e>
            <m:r>
              <m:t>p</m:t>
            </m:r>
          </m:e>
          <m:sub>
            <m:r>
              <m:t>f</m:t>
            </m:r>
          </m:sub>
        </m:sSub>
        <m:r>
          <m:rPr>
            <m:sty m:val="p"/>
          </m:rPr>
          <m:t>=</m:t>
        </m:r>
        <m:r>
          <m:t>ψ</m:t>
        </m:r>
        <m:nary>
          <m:naryPr>
            <m:chr m:val="∑"/>
            <m:limLoc m:val="undOvr"/>
            <m:subHide m:val="off"/>
            <m:supHide m:val="on"/>
          </m:naryPr>
          <m:sub>
            <m:r>
              <m:t>c</m:t>
            </m:r>
          </m:sub>
          <m:sup>
            <m:r>
              <m:t>​</m:t>
            </m:r>
          </m:sup>
          <m:e>
            <m:sSub>
              <m:e>
                <m:acc>
                  <m:accPr>
                    <m:chr m:val="‾"/>
                  </m:accPr>
                  <m:e>
                    <m:r>
                      <m:t>a</m:t>
                    </m:r>
                  </m:e>
                </m:acc>
              </m:e>
              <m:sub>
                <m:r>
                  <m:t>c</m:t>
                </m:r>
                <m:r>
                  <m:rPr>
                    <m:sty m:val="p"/>
                  </m:rPr>
                  <m:t>,</m:t>
                </m:r>
                <m:r>
                  <m:t>B</m:t>
                </m:r>
              </m:sub>
            </m:sSub>
          </m:e>
        </m:nary>
        <m:r>
          <m:rPr>
            <m:sty m:val="p"/>
          </m:rPr>
          <m:t>min</m:t>
        </m:r>
        <m:d>
          <m:dPr>
            <m:begChr m:val="("/>
            <m:sepChr m:val=""/>
            <m:endChr m:val=")"/>
            <m:grow/>
          </m:dPr>
          <m:e>
            <m:sSub>
              <m:e>
                <m:r>
                  <m:t>L</m:t>
                </m:r>
              </m:e>
              <m:sub>
                <m:r>
                  <m:t>c</m:t>
                </m:r>
              </m:sub>
            </m:sSub>
            <m:r>
              <m:rPr>
                <m:sty m:val="p"/>
              </m:rPr>
              <m:t>,</m:t>
            </m:r>
            <m:sSub>
              <m:e>
                <m:r>
                  <m:t>D</m:t>
                </m:r>
              </m:e>
              <m:sub>
                <m:r>
                  <m:t>B</m:t>
                </m:r>
              </m:sub>
            </m:sSub>
          </m:e>
        </m:d>
        <m:r>
          <m:rPr>
            <m:sty m:val="p"/>
          </m:rPr>
          <m:t>/</m:t>
        </m:r>
        <m:sSub>
          <m:e>
            <m:r>
              <m:t>D</m:t>
            </m:r>
          </m:e>
          <m:sub>
            <m:r>
              <m:t>B</m:t>
            </m:r>
          </m:sub>
        </m:sSub>
      </m:oMath>
      <w:r>
        <w:t xml:space="preserve"> </w:t>
      </w:r>
      <w:r>
        <w:t xml:space="preserve">is the deferrable power that can still be paused in B;</w:t>
      </w:r>
      <w:r>
        <w:t xml:space="preserve"> </w:t>
      </w:r>
      <m:oMath>
        <m:sSup>
          <m:e>
            <m:r>
              <m:t>G</m:t>
            </m:r>
          </m:e>
          <m:sup>
            <m:r>
              <m:t>f</m:t>
            </m:r>
            <m:r>
              <m:t>r</m:t>
            </m:r>
            <m:r>
              <m:t>e</m:t>
            </m:r>
            <m:r>
              <m:t>e</m:t>
            </m:r>
          </m:sup>
        </m:sSup>
      </m:oMath>
      <w:r>
        <w:t xml:space="preserve"> </w:t>
      </w:r>
      <w:r>
        <w:t xml:space="preserve">is the number of GPUs free for catch-up in the interval;</w:t>
      </w:r>
      <w:r>
        <w:t xml:space="preserve"> </w:t>
      </w:r>
      <m:oMath>
        <m:sSup>
          <m:e>
            <m:r>
              <m:t>W</m:t>
            </m:r>
          </m:e>
          <m:sup>
            <m:r>
              <m:t>s</m:t>
            </m:r>
            <m:r>
              <m:t>w</m:t>
            </m:r>
          </m:sup>
        </m:sSup>
      </m:oMath>
      <w:r>
        <w:t xml:space="preserve"> </w:t>
      </w:r>
      <w:r>
        <w:t xml:space="preserve">is the work arriving in</w:t>
      </w:r>
      <w:r>
        <w:t xml:space="preserve"> </w:t>
      </w:r>
      <m:oMath>
        <m:r>
          <m:rPr>
            <m:scr m:val="script"/>
            <m:sty m:val="p"/>
          </m:rPr>
          <m:t>I</m:t>
        </m:r>
      </m:oMath>
      <w:r>
        <w:t xml:space="preserve"> </w:t>
      </w:r>
      <w:r>
        <w:t xml:space="preserve">with a deadline after</w:t>
      </w:r>
      <w:r>
        <w:t xml:space="preserve"> </w:t>
      </w:r>
      <m:oMath>
        <m:sSub>
          <m:e>
            <m:r>
              <m:t>e</m:t>
            </m:r>
          </m:e>
          <m:sub>
            <m:r>
              <m:t>B</m:t>
            </m:r>
          </m:sub>
        </m:sSub>
      </m:oMath>
      <w:r>
        <w:t xml:space="preserve">, which earliest-deadline-first execution can swap with due backlog;</w:t>
      </w:r>
      <w:r>
        <w:t xml:space="preserve"> </w:t>
      </w:r>
      <m:oMath>
        <m:sSubSup>
          <m:e>
            <m:r>
              <m:t>Γ</m:t>
            </m:r>
          </m:e>
          <m:sub>
            <m:r>
              <m:t>B</m:t>
            </m:r>
          </m:sub>
          <m:sup>
            <m:r>
              <m:t>0</m:t>
            </m:r>
          </m:sup>
        </m:sSubSup>
      </m:oMath>
      <w:r>
        <w:t xml:space="preserve"> </w:t>
      </w:r>
      <w:r>
        <w:t xml:space="preserve">is the single-event capability. The power bound of Proposition 1 is</w:t>
      </w:r>
    </w:p>
    <w:p>
      <w:pPr>
        <w:pStyle w:val="Equation"/>
      </w:pPr>
      <w:r>
        <w:tab/>
      </w:r>
      <m:oMath>
        <m:sSup>
          <m:e>
            <m:r>
              <m:t>Γ</m:t>
            </m:r>
          </m:e>
          <m:sup>
            <m:r>
              <m:t>P</m:t>
            </m:r>
          </m:sup>
        </m:sSup>
        <m:r>
          <m:rPr>
            <m:sty m:val="p"/>
          </m:rPr>
          <m:t>=</m:t>
        </m:r>
        <m:sSub>
          <m:e>
            <m:r>
              <m:rPr>
                <m:sty m:val="p"/>
              </m:rPr>
              <m:t>max</m:t>
            </m:r>
          </m:e>
          <m:sub>
            <m:m>
              <m:mPr>
                <m:baseJc m:val="center"/>
                <m:plcHide m:val="on"/>
                <m:mcs>
                  <m:mc>
                    <m:mcPr>
                      <m:count m:val="1"/>
                      <m:mcJc m:val="center"/>
                    </m:mcPr>
                  </m:mc>
                </m:mcs>
              </m:mPr>
              <m:mr>
                <m:e>
                  <m:sSub>
                    <m:e>
                      <m:r>
                        <m:t>H</m:t>
                      </m:r>
                    </m:e>
                    <m:sub>
                      <m:r>
                        <m:t>c</m:t>
                      </m:r>
                    </m:sub>
                  </m:sSub>
                  <m:r>
                    <m:rPr>
                      <m:sty m:val="p"/>
                    </m:rPr>
                    <m:t>+</m:t>
                  </m:r>
                  <m:sSub>
                    <m:e>
                      <m:r>
                        <m:t>H</m:t>
                      </m:r>
                    </m:e>
                    <m:sub>
                      <m:r>
                        <m:t>s</m:t>
                      </m:r>
                    </m:sub>
                  </m:sSub>
                  <m:r>
                    <m:rPr>
                      <m:sty m:val="p"/>
                    </m:rPr>
                    <m:t>≤</m:t>
                  </m:r>
                  <m:r>
                    <m:t>H</m:t>
                  </m:r>
                </m:e>
              </m:mr>
              <m:mr>
                <m:e>
                  <m:sSub>
                    <m:e>
                      <m:r>
                        <m:t>H</m:t>
                      </m:r>
                    </m:e>
                    <m:sub>
                      <m:r>
                        <m:t>c</m:t>
                      </m:r>
                    </m:sub>
                  </m:sSub>
                  <m:r>
                    <m:rPr>
                      <m:sty m:val="p"/>
                    </m:rPr>
                    <m:t>≤</m:t>
                  </m:r>
                  <m:r>
                    <m:t>ψ</m:t>
                  </m:r>
                  <m:sSup>
                    <m:e>
                      <m:r>
                        <m:t>G</m:t>
                      </m:r>
                    </m:e>
                    <m:sup>
                      <m:r>
                        <m:t>f</m:t>
                      </m:r>
                      <m:r>
                        <m:t>r</m:t>
                      </m:r>
                      <m:r>
                        <m:t>e</m:t>
                      </m:r>
                      <m:r>
                        <m:t>e</m:t>
                      </m:r>
                    </m:sup>
                  </m:sSup>
                  <m:r>
                    <m:t>τ</m:t>
                  </m:r>
                  <m:r>
                    <m:rPr>
                      <m:sty m:val="p"/>
                    </m:rPr>
                    <m:t>,</m:t>
                  </m:r>
                  <m:r>
                    <m:t> </m:t>
                  </m:r>
                  <m:sSub>
                    <m:e>
                      <m:r>
                        <m:t>H</m:t>
                      </m:r>
                    </m:e>
                    <m:sub>
                      <m:r>
                        <m:t>s</m:t>
                      </m:r>
                    </m:sub>
                  </m:sSub>
                  <m:r>
                    <m:rPr>
                      <m:sty m:val="p"/>
                    </m:rPr>
                    <m:t>≤</m:t>
                  </m:r>
                  <m:sSup>
                    <m:e>
                      <m:acc>
                        <m:accPr>
                          <m:chr m:val="‾"/>
                        </m:accPr>
                        <m:e>
                          <m:r>
                            <m:t>P</m:t>
                          </m:r>
                        </m:e>
                      </m:acc>
                    </m:e>
                    <m:sup>
                      <m:r>
                        <m:t>B</m:t>
                      </m:r>
                    </m:sup>
                  </m:sSup>
                  <m:r>
                    <m:t>τ</m:t>
                  </m:r>
                </m:e>
              </m:mr>
            </m:m>
          </m:sub>
        </m:sSub>
        <m:d>
          <m:dPr>
            <m:begChr m:val="{"/>
            <m:sepChr m:val=""/>
            <m:endChr m:val="}"/>
            <m:grow/>
          </m:dPr>
          <m:e>
            <m:sSub>
              <m:e>
                <m:r>
                  <m:t>p</m:t>
                </m:r>
              </m:e>
              <m:sub>
                <m:r>
                  <m:t>f</m:t>
                </m:r>
              </m:sub>
            </m:sSub>
            <m:r>
              <m:rPr>
                <m:sty m:val="p"/>
              </m:rPr>
              <m:t>−</m:t>
            </m:r>
            <m:f>
              <m:fPr>
                <m:type m:val="bar"/>
              </m:fPr>
              <m:num>
                <m:sSup>
                  <m:e>
                    <m:d>
                      <m:dPr>
                        <m:begChr m:val="("/>
                        <m:sepChr m:val=""/>
                        <m:endChr m:val=")"/>
                        <m:grow/>
                      </m:dPr>
                      <m:e>
                        <m:sSubSup>
                          <m:e>
                            <m:r>
                              <m:t>X</m:t>
                            </m:r>
                          </m:e>
                          <m:sub>
                            <m:r>
                              <m:t>A</m:t>
                            </m:r>
                          </m:sub>
                          <m:sup>
                            <m:r>
                              <m:t>d</m:t>
                            </m:r>
                            <m:r>
                              <m:t>u</m:t>
                            </m:r>
                            <m:r>
                              <m:t>e</m:t>
                            </m:r>
                          </m:sup>
                        </m:sSubSup>
                        <m:r>
                          <m:rPr>
                            <m:sty m:val="p"/>
                          </m:rPr>
                          <m:t>−</m:t>
                        </m:r>
                        <m:sSub>
                          <m:e>
                            <m:r>
                              <m:t>H</m:t>
                            </m:r>
                          </m:e>
                          <m:sub>
                            <m:r>
                              <m:t>c</m:t>
                            </m:r>
                          </m:sub>
                        </m:sSub>
                        <m:r>
                          <m:rPr>
                            <m:sty m:val="p"/>
                          </m:rPr>
                          <m:t>−</m:t>
                        </m:r>
                        <m:sSup>
                          <m:e>
                            <m:r>
                              <m:t>W</m:t>
                            </m:r>
                          </m:e>
                          <m:sup>
                            <m:r>
                              <m:t>s</m:t>
                            </m:r>
                            <m:r>
                              <m:t>w</m:t>
                            </m:r>
                          </m:sup>
                        </m:sSup>
                      </m:e>
                    </m:d>
                  </m:e>
                  <m:sup>
                    <m:r>
                      <m:rPr>
                        <m:lit/>
                        <m:sty m:val="p"/>
                      </m:rPr>
                      <m:t>+</m:t>
                    </m:r>
                  </m:sup>
                </m:sSup>
              </m:num>
              <m:den>
                <m:sSub>
                  <m:e>
                    <m:r>
                      <m:t>D</m:t>
                    </m:r>
                  </m:e>
                  <m:sub>
                    <m:r>
                      <m:t>B</m:t>
                    </m:r>
                  </m:sub>
                </m:sSub>
              </m:den>
            </m:f>
            <m:r>
              <m:rPr>
                <m:sty m:val="p"/>
              </m:rPr>
              <m:t>+</m:t>
            </m:r>
            <m:r>
              <m:rPr>
                <m:sty m:val="p"/>
              </m:rPr>
              <m:t>min</m:t>
            </m:r>
            <m:d>
              <m:dPr>
                <m:begChr m:val="("/>
                <m:sepChr m:val=""/>
                <m:endChr m:val=")"/>
                <m:grow/>
              </m:dPr>
              <m:e>
                <m:sSub>
                  <m:e>
                    <m:r>
                      <m:t>P</m:t>
                    </m:r>
                  </m:e>
                  <m:sub>
                    <m:r>
                      <m:t>s</m:t>
                    </m:r>
                  </m:sub>
                </m:sSub>
                <m:r>
                  <m:rPr>
                    <m:sty m:val="p"/>
                  </m:rPr>
                  <m:t>,</m:t>
                </m:r>
                <m:f>
                  <m:fPr>
                    <m:type m:val="bar"/>
                  </m:fPr>
                  <m:num>
                    <m:sSub>
                      <m:e>
                        <m:r>
                          <m:t>E</m:t>
                        </m:r>
                      </m:e>
                      <m:sub>
                        <m:r>
                          <m:t>s</m:t>
                        </m:r>
                      </m:sub>
                    </m:sSub>
                    <m:r>
                      <m:rPr>
                        <m:sty m:val="p"/>
                      </m:rPr>
                      <m:t>+</m:t>
                    </m:r>
                    <m:r>
                      <m:t>η</m:t>
                    </m:r>
                    <m:sSub>
                      <m:e>
                        <m:r>
                          <m:t>H</m:t>
                        </m:r>
                      </m:e>
                      <m:sub>
                        <m:r>
                          <m:t>s</m:t>
                        </m:r>
                      </m:sub>
                    </m:sSub>
                  </m:num>
                  <m:den>
                    <m:sSub>
                      <m:e>
                        <m:r>
                          <m:t>D</m:t>
                        </m:r>
                      </m:e>
                      <m:sub>
                        <m:r>
                          <m:t>B</m:t>
                        </m:r>
                      </m:sub>
                    </m:sSub>
                  </m:den>
                </m:f>
              </m:e>
            </m:d>
          </m:e>
        </m:d>
        <m:r>
          <m:rPr>
            <m:sty m:val="p"/>
          </m:rPr>
          <m:t>+</m:t>
        </m:r>
        <m:r>
          <m:t>g</m:t>
        </m:r>
        <m:r>
          <m:rPr>
            <m:sty m:val="p"/>
          </m:rPr>
          <m:t>.</m:t>
        </m:r>
      </m:oMath>
      <w:r>
        <w:tab/>
      </w:r>
      <w:r>
        <w:t xml:space="preserve">(B.2)</w:t>
      </w:r>
    </w:p>
    <w:p>
      <w:pPr>
        <w:pStyle w:val="BodyText"/>
      </w:pPr>
      <w:r>
        <w:rPr>
          <w:bCs/>
          <w:b/>
        </w:rPr>
        <w:t xml:space="preserve">Proof of Proposition 1.</w:t>
      </w:r>
      <w:r>
        <w:t xml:space="preserve"> </w:t>
      </w:r>
      <w:r>
        <w:t xml:space="preserve">(i) Restricting a feasible schedule of the two-event problem to event B gives a feasible schedule of the single-event problem with the same initial state, so</w:t>
      </w:r>
      <w:r>
        <w:t xml:space="preserve"> </w:t>
      </w:r>
      <m:oMath>
        <m:sSub>
          <m:e>
            <m:r>
              <m:t>Γ</m:t>
            </m:r>
          </m:e>
          <m:sub>
            <m:r>
              <m:t>B</m:t>
            </m:r>
          </m:sub>
        </m:sSub>
        <m:r>
          <m:rPr>
            <m:sty m:val="p"/>
          </m:rPr>
          <m:t>≤</m:t>
        </m:r>
        <m:sSubSup>
          <m:e>
            <m:r>
              <m:t>Γ</m:t>
            </m:r>
          </m:e>
          <m:sub>
            <m:r>
              <m:t>B</m:t>
            </m:r>
          </m:sub>
          <m:sup>
            <m:r>
              <m:t>0</m:t>
            </m:r>
          </m:sup>
        </m:sSubSup>
      </m:oMath>
      <w:r>
        <w:t xml:space="preserve">.</w:t>
      </w:r>
    </w:p>
    <w:p>
      <w:pPr>
        <w:pStyle w:val="BodyText"/>
      </w:pPr>
      <w:r>
        <w:t xml:space="preserve">(ii) Summing (B.1) over</w:t>
      </w:r>
      <w:r>
        <w:t xml:space="preserve"> </w:t>
      </w:r>
      <m:oMath>
        <m:sSub>
          <m:e>
            <m:r>
              <m:rPr>
                <m:scr m:val="script"/>
                <m:sty m:val="p"/>
              </m:rPr>
              <m:t>T</m:t>
            </m:r>
          </m:e>
          <m:sub>
            <m:r>
              <m:t>B</m:t>
            </m:r>
          </m:sub>
        </m:sSub>
      </m:oMath>
      <w:r>
        <w:t xml:space="preserve">,</w:t>
      </w:r>
    </w:p>
    <w:p>
      <w:pPr>
        <w:pStyle w:val="BodyText"/>
      </w:pPr>
      <m:oMathPara>
        <m:oMathParaPr>
          <m:jc m:val="center"/>
        </m:oMathParaPr>
        <m:oMath>
          <m:sSub>
            <m:e>
              <m:r>
                <m:t>Γ</m:t>
              </m:r>
            </m:e>
            <m:sub>
              <m:r>
                <m:t>B</m:t>
              </m:r>
            </m:sub>
          </m:sSub>
          <m:sSub>
            <m:e>
              <m:r>
                <m:t>D</m:t>
              </m:r>
            </m:e>
            <m:sub>
              <m:r>
                <m:t>B</m:t>
              </m:r>
            </m:sub>
          </m:sSub>
          <m:r>
            <m:rPr>
              <m:sty m:val="p"/>
            </m:rPr>
            <m:t>=</m:t>
          </m:r>
          <m:r>
            <m:t>ψ</m:t>
          </m:r>
          <m:nary>
            <m:naryPr>
              <m:chr m:val="∑"/>
              <m:limLoc m:val="undOvr"/>
              <m:subHide m:val="off"/>
              <m:supHide m:val="on"/>
            </m:naryPr>
            <m:sub>
              <m:r>
                <m:t>c</m:t>
              </m:r>
            </m:sub>
            <m:sup>
              <m:r>
                <m:t>​</m:t>
              </m:r>
            </m:sup>
            <m:e>
              <m:d>
                <m:dPr>
                  <m:begChr m:val="["/>
                  <m:sepChr m:val=""/>
                  <m:endChr m:val="]"/>
                  <m:grow/>
                </m:dPr>
                <m:e>
                  <m:sSub>
                    <m:e>
                      <m:r>
                        <m:t>B</m:t>
                      </m:r>
                    </m:e>
                    <m:sub>
                      <m:r>
                        <m:t>c</m:t>
                      </m:r>
                    </m:sub>
                  </m:sSub>
                  <m:d>
                    <m:dPr>
                      <m:begChr m:val="("/>
                      <m:sepChr m:val=""/>
                      <m:endChr m:val=")"/>
                      <m:grow/>
                    </m:dPr>
                    <m:e>
                      <m:sSub>
                        <m:e>
                          <m:r>
                            <m:t>e</m:t>
                          </m:r>
                        </m:e>
                        <m:sub>
                          <m:r>
                            <m:t>B</m:t>
                          </m:r>
                        </m:sub>
                      </m:sSub>
                    </m:e>
                  </m:d>
                  <m:r>
                    <m:rPr>
                      <m:sty m:val="p"/>
                    </m:rPr>
                    <m:t>−</m:t>
                  </m:r>
                  <m:sSub>
                    <m:e>
                      <m:r>
                        <m:t>B</m:t>
                      </m:r>
                    </m:e>
                    <m:sub>
                      <m:r>
                        <m:t>c</m:t>
                      </m:r>
                    </m:sub>
                  </m:sSub>
                  <m:d>
                    <m:dPr>
                      <m:begChr m:val="("/>
                      <m:sepChr m:val=""/>
                      <m:endChr m:val=")"/>
                      <m:grow/>
                    </m:dPr>
                    <m:e>
                      <m:sSubSup>
                        <m:e>
                          <m:r>
                            <m:t>s</m:t>
                          </m:r>
                        </m:e>
                        <m:sub>
                          <m:r>
                            <m:t>B</m:t>
                          </m:r>
                        </m:sub>
                        <m:sup>
                          <m:r>
                            <m:rPr>
                              <m:lit/>
                              <m:sty m:val="p"/>
                            </m:rPr>
                            <m:t>−</m:t>
                          </m:r>
                        </m:sup>
                      </m:sSubSup>
                    </m:e>
                  </m:d>
                </m:e>
              </m:d>
            </m:e>
          </m:nary>
          <m:r>
            <m:rPr>
              <m:sty m:val="p"/>
            </m:rPr>
            <m:t>+</m:t>
          </m:r>
          <m:nary>
            <m:naryPr>
              <m:chr m:val="∑"/>
              <m:limLoc m:val="undOvr"/>
              <m:subHide m:val="off"/>
              <m:supHide m:val="on"/>
            </m:naryPr>
            <m:sub>
              <m:r>
                <m:t>t</m:t>
              </m:r>
              <m:r>
                <m:rPr>
                  <m:sty m:val="p"/>
                </m:rPr>
                <m:t>∈</m:t>
              </m:r>
              <m:sSub>
                <m:e>
                  <m:r>
                    <m:rPr>
                      <m:scr m:val="script"/>
                      <m:sty m:val="p"/>
                    </m:rPr>
                    <m:t>T</m:t>
                  </m:r>
                </m:e>
                <m:sub>
                  <m:r>
                    <m:t>B</m:t>
                  </m:r>
                </m:sub>
              </m:sSub>
            </m:sub>
            <m:sup>
              <m:r>
                <m:t>​</m:t>
              </m:r>
            </m:sup>
            <m:e>
              <m:d>
                <m:dPr>
                  <m:begChr m:val="("/>
                  <m:sepChr m:val=""/>
                  <m:endChr m:val=")"/>
                  <m:grow/>
                </m:dPr>
                <m:e>
                  <m:sSubSup>
                    <m:e>
                      <m:r>
                        <m:t>P</m:t>
                      </m:r>
                    </m:e>
                    <m:sub>
                      <m:r>
                        <m:t>t</m:t>
                      </m:r>
                    </m:sub>
                    <m:sup>
                      <m:r>
                        <m:t>d</m:t>
                      </m:r>
                      <m:r>
                        <m:t>i</m:t>
                      </m:r>
                      <m:r>
                        <m:t>s</m:t>
                      </m:r>
                    </m:sup>
                  </m:sSubSup>
                  <m:r>
                    <m:rPr>
                      <m:sty m:val="p"/>
                    </m:rPr>
                    <m:t>−</m:t>
                  </m:r>
                  <m:sSubSup>
                    <m:e>
                      <m:r>
                        <m:t>P</m:t>
                      </m:r>
                    </m:e>
                    <m:sub>
                      <m:r>
                        <m:t>t</m:t>
                      </m:r>
                    </m:sub>
                    <m:sup>
                      <m:r>
                        <m:t>c</m:t>
                      </m:r>
                      <m:r>
                        <m:t>h</m:t>
                      </m:r>
                    </m:sup>
                  </m:sSubSup>
                  <m:r>
                    <m:rPr>
                      <m:sty m:val="p"/>
                    </m:rPr>
                    <m:t>+</m:t>
                  </m:r>
                  <m:f>
                    <m:fPr>
                      <m:type m:val="bar"/>
                    </m:fPr>
                    <m:num>
                      <m:sSubSup>
                        <m:e>
                          <m:r>
                            <m:t>Q</m:t>
                          </m:r>
                        </m:e>
                        <m:sub>
                          <m:r>
                            <m:t>t</m:t>
                          </m:r>
                        </m:sub>
                        <m:sup>
                          <m:r>
                            <m:t>T</m:t>
                          </m:r>
                          <m:r>
                            <m:t>D</m:t>
                          </m:r>
                        </m:sup>
                      </m:sSubSup>
                      <m:r>
                        <m:rPr>
                          <m:sty m:val="p"/>
                        </m:rPr>
                        <m:t>−</m:t>
                      </m:r>
                      <m:sSubSup>
                        <m:e>
                          <m:r>
                            <m:t>Q</m:t>
                          </m:r>
                        </m:e>
                        <m:sub>
                          <m:r>
                            <m:t>t</m:t>
                          </m:r>
                        </m:sub>
                        <m:sup>
                          <m:r>
                            <m:t>T</m:t>
                          </m:r>
                          <m:r>
                            <m:t>C</m:t>
                          </m:r>
                        </m:sup>
                      </m:sSubSup>
                    </m:num>
                    <m:den>
                      <m:r>
                        <m:rPr>
                          <m:sty m:val="p"/>
                        </m:rPr>
                        <m:t>C</m:t>
                      </m:r>
                      <m:r>
                        <m:rPr>
                          <m:sty m:val="p"/>
                        </m:rPr>
                        <m:t>O</m:t>
                      </m:r>
                      <m:r>
                        <m:rPr>
                          <m:sty m:val="p"/>
                        </m:rPr>
                        <m:t>P</m:t>
                      </m:r>
                    </m:den>
                  </m:f>
                </m:e>
              </m:d>
            </m:e>
          </m:nary>
          <m:r>
            <m:t>Δ</m:t>
          </m:r>
          <m:r>
            <m:t>t</m:t>
          </m:r>
          <m:r>
            <m:rPr>
              <m:sty m:val="p"/>
            </m:rPr>
            <m:t>+</m:t>
          </m:r>
          <m:nary>
            <m:naryPr>
              <m:chr m:val="∑"/>
              <m:limLoc m:val="undOvr"/>
              <m:subHide m:val="off"/>
              <m:supHide m:val="on"/>
            </m:naryPr>
            <m:sub>
              <m:r>
                <m:t>t</m:t>
              </m:r>
              <m:r>
                <m:rPr>
                  <m:sty m:val="p"/>
                </m:rPr>
                <m:t>∈</m:t>
              </m:r>
              <m:sSub>
                <m:e>
                  <m:r>
                    <m:rPr>
                      <m:scr m:val="script"/>
                      <m:sty m:val="p"/>
                    </m:rPr>
                    <m:t>T</m:t>
                  </m:r>
                </m:e>
                <m:sub>
                  <m:r>
                    <m:t>B</m:t>
                  </m:r>
                </m:sub>
              </m:sSub>
            </m:sub>
            <m:sup>
              <m:r>
                <m:t>​</m:t>
              </m:r>
            </m:sup>
            <m:e>
              <m:r>
                <m:t>Δ</m:t>
              </m:r>
            </m:e>
          </m:nary>
          <m:sSub>
            <m:e>
              <m:r>
                <m:t>g</m:t>
              </m:r>
            </m:e>
            <m:sub>
              <m:r>
                <m:t>t</m:t>
              </m:r>
            </m:sub>
          </m:sSub>
          <m:r>
            <m:t>Δ</m:t>
          </m:r>
          <m:r>
            <m:t>t</m:t>
          </m:r>
          <m:r>
            <m:rPr>
              <m:sty m:val="p"/>
            </m:rPr>
            <m:t>.</m:t>
          </m:r>
        </m:oMath>
      </m:oMathPara>
    </w:p>
    <w:p>
      <w:pPr>
        <w:pStyle w:val="FirstParagraph"/>
      </w:pPr>
      <w:r>
        <w:t xml:space="preserve">By the deadline constraint (3) the first term is at most</w:t>
      </w:r>
      <w:r>
        <w:t xml:space="preserve"> </w:t>
      </w:r>
      <m:oMath>
        <m:sSub>
          <m:e>
            <m:acc>
              <m:accPr>
                <m:chr m:val="‾"/>
              </m:accPr>
              <m:e>
                <m:r>
                  <m:t>X</m:t>
                </m:r>
              </m:e>
            </m:acc>
          </m:e>
          <m:sub>
            <m:r>
              <m:t>B</m:t>
            </m:r>
          </m:sub>
        </m:sSub>
        <m:r>
          <m:rPr>
            <m:sty m:val="p"/>
          </m:rPr>
          <m:t>−</m:t>
        </m:r>
        <m:r>
          <m:t>X</m:t>
        </m:r>
        <m:d>
          <m:dPr>
            <m:begChr m:val="("/>
            <m:sepChr m:val=""/>
            <m:endChr m:val=")"/>
            <m:grow/>
          </m:dPr>
          <m:e>
            <m:sSubSup>
              <m:e>
                <m:r>
                  <m:t>s</m:t>
                </m:r>
              </m:e>
              <m:sub>
                <m:r>
                  <m:t>B</m:t>
                </m:r>
              </m:sub>
              <m:sup>
                <m:r>
                  <m:rPr>
                    <m:lit/>
                    <m:sty m:val="p"/>
                  </m:rPr>
                  <m:t>−</m:t>
                </m:r>
              </m:sup>
            </m:sSubSup>
          </m:e>
        </m:d>
      </m:oMath>
      <w:r>
        <w:t xml:space="preserve">, the second is at most the dischargeable energy</w:t>
      </w:r>
      <w:r>
        <w:t xml:space="preserve"> </w:t>
      </w:r>
      <m:oMath>
        <m:sSub>
          <m:e>
            <m:r>
              <m:t>E</m:t>
            </m:r>
          </m:e>
          <m:sub>
            <m:r>
              <m:t>s</m:t>
            </m:r>
          </m:sub>
        </m:sSub>
        <m:d>
          <m:dPr>
            <m:begChr m:val="("/>
            <m:sepChr m:val=""/>
            <m:endChr m:val=")"/>
            <m:grow/>
          </m:dPr>
          <m:e>
            <m:sSubSup>
              <m:e>
                <m:r>
                  <m:t>s</m:t>
                </m:r>
              </m:e>
              <m:sub>
                <m:r>
                  <m:t>B</m:t>
                </m:r>
              </m:sub>
              <m:sup>
                <m:r>
                  <m:rPr>
                    <m:lit/>
                    <m:sty m:val="p"/>
                  </m:rPr>
                  <m:t>−</m:t>
                </m:r>
              </m:sup>
            </m:sSubSup>
          </m:e>
        </m:d>
      </m:oMath>
      <w:r>
        <w:t xml:space="preserve"> </w:t>
      </w:r>
      <w:r>
        <w:t xml:space="preserve">at the start of B, and the third is at most</w:t>
      </w:r>
      <w:r>
        <w:t xml:space="preserve"> </w:t>
      </w:r>
      <m:oMath>
        <m:r>
          <m:t>g</m:t>
        </m:r>
        <m:sSub>
          <m:e>
            <m:r>
              <m:t>D</m:t>
            </m:r>
          </m:e>
          <m:sub>
            <m:r>
              <m:t>B</m:t>
            </m:r>
          </m:sub>
        </m:sSub>
      </m:oMath>
      <w:r>
        <w:t xml:space="preserve">. In the interval, let</w:t>
      </w:r>
      <w:r>
        <w:t xml:space="preserve"> </w:t>
      </w:r>
      <m:oMath>
        <m:sSub>
          <m:e>
            <m:r>
              <m:t>c</m:t>
            </m:r>
          </m:e>
          <m:sub>
            <m:r>
              <m:rPr>
                <m:scr m:val="script"/>
                <m:sty m:val="p"/>
              </m:rPr>
              <m:t>I</m:t>
            </m:r>
          </m:sub>
        </m:sSub>
      </m:oMath>
      <w:r>
        <w:t xml:space="preserve"> </w:t>
      </w:r>
      <w:r>
        <w:t xml:space="preserve">be the net catch-up energy and</w:t>
      </w:r>
      <w:r>
        <w:t xml:space="preserve"> </w:t>
      </w:r>
      <m:oMath>
        <m:sSub>
          <m:e>
            <m:r>
              <m:t>s</m:t>
            </m:r>
          </m:e>
          <m:sub>
            <m:r>
              <m:rPr>
                <m:scr m:val="script"/>
                <m:sty m:val="p"/>
              </m:rPr>
              <m:t>I</m:t>
            </m:r>
          </m:sub>
        </m:sSub>
      </m:oMath>
      <w:r>
        <w:t xml:space="preserve"> </w:t>
      </w:r>
      <w:r>
        <w:t xml:space="preserve">the net energy drawn by the storage. Summing (B.1) over</w:t>
      </w:r>
      <w:r>
        <w:t xml:space="preserve"> </w:t>
      </w:r>
      <m:oMath>
        <m:r>
          <m:rPr>
            <m:scr m:val="script"/>
            <m:sty m:val="p"/>
          </m:rPr>
          <m:t>I</m:t>
        </m:r>
      </m:oMath>
      <w:r>
        <w:t xml:space="preserve"> </w:t>
      </w:r>
      <w:r>
        <w:t xml:space="preserve">with</w:t>
      </w:r>
      <w:r>
        <w:t xml:space="preserve"> </w:t>
      </w:r>
      <m:oMath>
        <m:sSubSup>
          <m:e>
            <m:r>
              <m:t>P</m:t>
            </m:r>
          </m:e>
          <m:sub>
            <m:r>
              <m:t>t</m:t>
            </m:r>
          </m:sub>
          <m:sup>
            <m:r>
              <m:t>g</m:t>
            </m:r>
            <m:r>
              <m:t>r</m:t>
            </m:r>
            <m:r>
              <m:t>i</m:t>
            </m:r>
            <m:r>
              <m:t>d</m:t>
            </m:r>
          </m:sup>
        </m:sSubSup>
        <m:r>
          <m:rPr>
            <m:sty m:val="p"/>
          </m:rPr>
          <m:t>≤</m:t>
        </m:r>
        <m:sSup>
          <m:e>
            <m:r>
              <m:t>P</m:t>
            </m:r>
          </m:e>
          <m:sup>
            <m:r>
              <m:t>c</m:t>
            </m:r>
            <m:r>
              <m:t>a</m:t>
            </m:r>
            <m:r>
              <m:t>p</m:t>
            </m:r>
          </m:sup>
        </m:sSup>
      </m:oMath>
      <w:r>
        <w:t xml:space="preserve"> </w:t>
      </w:r>
      <w:r>
        <w:t xml:space="preserve">gives the channel constraint</w:t>
      </w:r>
      <w:r>
        <w:t xml:space="preserve"> </w:t>
      </w:r>
      <m:oMath>
        <m:sSub>
          <m:e>
            <m:r>
              <m:t>c</m:t>
            </m:r>
          </m:e>
          <m:sub>
            <m:r>
              <m:rPr>
                <m:scr m:val="script"/>
                <m:sty m:val="p"/>
              </m:rPr>
              <m:t>I</m:t>
            </m:r>
          </m:sub>
        </m:sSub>
        <m:r>
          <m:rPr>
            <m:sty m:val="p"/>
          </m:rPr>
          <m:t>+</m:t>
        </m:r>
        <m:sSub>
          <m:e>
            <m:r>
              <m:t>s</m:t>
            </m:r>
          </m:e>
          <m:sub>
            <m:r>
              <m:rPr>
                <m:scr m:val="script"/>
                <m:sty m:val="p"/>
              </m:rPr>
              <m:t>I</m:t>
            </m:r>
          </m:sub>
        </m:sSub>
        <m:r>
          <m:rPr>
            <m:sty m:val="p"/>
          </m:rPr>
          <m:t>≤</m:t>
        </m:r>
        <m:r>
          <m:t>H</m:t>
        </m:r>
      </m:oMath>
      <w:r>
        <w:t xml:space="preserve">. The states evolve as</w:t>
      </w:r>
      <w:r>
        <w:t xml:space="preserve"> </w:t>
      </w:r>
      <m:oMath>
        <m:r>
          <m:t>X</m:t>
        </m:r>
        <m:d>
          <m:dPr>
            <m:begChr m:val="("/>
            <m:sepChr m:val=""/>
            <m:endChr m:val=")"/>
            <m:grow/>
          </m:dPr>
          <m:e>
            <m:sSubSup>
              <m:e>
                <m:r>
                  <m:t>s</m:t>
                </m:r>
              </m:e>
              <m:sub>
                <m:r>
                  <m:t>B</m:t>
                </m:r>
              </m:sub>
              <m:sup>
                <m:r>
                  <m:rPr>
                    <m:lit/>
                    <m:sty m:val="p"/>
                  </m:rPr>
                  <m:t>−</m:t>
                </m:r>
              </m:sup>
            </m:sSubSup>
          </m:e>
        </m:d>
        <m:r>
          <m:rPr>
            <m:sty m:val="p"/>
          </m:rPr>
          <m:t>=</m:t>
        </m:r>
        <m:sSub>
          <m:e>
            <m:r>
              <m:t>X</m:t>
            </m:r>
          </m:e>
          <m:sub>
            <m:r>
              <m:t>A</m:t>
            </m:r>
          </m:sub>
        </m:sSub>
        <m:r>
          <m:rPr>
            <m:sty m:val="p"/>
          </m:rPr>
          <m:t>−</m:t>
        </m:r>
        <m:sSub>
          <m:e>
            <m:r>
              <m:t>c</m:t>
            </m:r>
          </m:e>
          <m:sub>
            <m:r>
              <m:rPr>
                <m:scr m:val="script"/>
                <m:sty m:val="p"/>
              </m:rPr>
              <m:t>I</m:t>
            </m:r>
          </m:sub>
        </m:sSub>
        <m:r>
          <m:rPr>
            <m:sty m:val="p"/>
          </m:rPr>
          <m:t>≥</m:t>
        </m:r>
        <m:r>
          <m:t>0</m:t>
        </m:r>
      </m:oMath>
      <w:r>
        <w:t xml:space="preserve"> </w:t>
      </w:r>
      <w:r>
        <w:t xml:space="preserve">and</w:t>
      </w:r>
      <w:r>
        <w:t xml:space="preserve"> </w:t>
      </w:r>
      <m:oMath>
        <m:sSub>
          <m:e>
            <m:r>
              <m:t>E</m:t>
            </m:r>
          </m:e>
          <m:sub>
            <m:r>
              <m:t>s</m:t>
            </m:r>
          </m:sub>
        </m:sSub>
        <m:d>
          <m:dPr>
            <m:begChr m:val="("/>
            <m:sepChr m:val=""/>
            <m:endChr m:val=")"/>
            <m:grow/>
          </m:dPr>
          <m:e>
            <m:sSubSup>
              <m:e>
                <m:r>
                  <m:t>s</m:t>
                </m:r>
              </m:e>
              <m:sub>
                <m:r>
                  <m:t>B</m:t>
                </m:r>
              </m:sub>
              <m:sup>
                <m:r>
                  <m:rPr>
                    <m:lit/>
                    <m:sty m:val="p"/>
                  </m:rPr>
                  <m:t>−</m:t>
                </m:r>
              </m:sup>
            </m:sSubSup>
          </m:e>
        </m:d>
        <m:r>
          <m:rPr>
            <m:sty m:val="p"/>
          </m:rPr>
          <m:t>≤</m:t>
        </m:r>
        <m:sSub>
          <m:e>
            <m:r>
              <m:t>E</m:t>
            </m:r>
          </m:e>
          <m:sub>
            <m:r>
              <m:t>s</m:t>
            </m:r>
          </m:sub>
        </m:sSub>
        <m:r>
          <m:rPr>
            <m:sty m:val="p"/>
          </m:rPr>
          <m:t>+</m:t>
        </m:r>
        <m:r>
          <m:t>ϕ</m:t>
        </m:r>
        <m:d>
          <m:dPr>
            <m:begChr m:val="("/>
            <m:sepChr m:val=""/>
            <m:endChr m:val=")"/>
            <m:grow/>
          </m:dPr>
          <m:e>
            <m:sSub>
              <m:e>
                <m:r>
                  <m:t>s</m:t>
                </m:r>
              </m:e>
              <m:sub>
                <m:r>
                  <m:rPr>
                    <m:scr m:val="script"/>
                    <m:sty m:val="p"/>
                  </m:rPr>
                  <m:t>I</m:t>
                </m:r>
              </m:sub>
            </m:sSub>
          </m:e>
        </m:d>
      </m:oMath>
      <w:r>
        <w:t xml:space="preserve"> </w:t>
      </w:r>
      <w:r>
        <w:t xml:space="preserve">with</w:t>
      </w:r>
      <w:r>
        <w:t xml:space="preserve"> </w:t>
      </w:r>
      <m:oMath>
        <m:r>
          <m:t>ϕ</m:t>
        </m:r>
        <m:d>
          <m:dPr>
            <m:begChr m:val="("/>
            <m:sepChr m:val=""/>
            <m:endChr m:val=")"/>
            <m:grow/>
          </m:dPr>
          <m:e>
            <m:r>
              <m:t>x</m:t>
            </m:r>
          </m:e>
        </m:d>
        <m:r>
          <m:rPr>
            <m:sty m:val="p"/>
          </m:rPr>
          <m:t>=</m:t>
        </m:r>
        <m:r>
          <m:t>η</m:t>
        </m:r>
        <m:r>
          <m:t>x</m:t>
        </m:r>
      </m:oMath>
      <w:r>
        <w:t xml:space="preserve"> </w:t>
      </w:r>
      <w:r>
        <w:t xml:space="preserve">for</w:t>
      </w:r>
      <w:r>
        <w:t xml:space="preserve"> </w:t>
      </w:r>
      <m:oMath>
        <m:r>
          <m:t>x</m:t>
        </m:r>
        <m:r>
          <m:rPr>
            <m:sty m:val="p"/>
          </m:rPr>
          <m:t>≥</m:t>
        </m:r>
        <m:r>
          <m:t>0</m:t>
        </m:r>
      </m:oMath>
      <w:r>
        <w:t xml:space="preserve"> </w:t>
      </w:r>
      <w:r>
        <w:t xml:space="preserve">and</w:t>
      </w:r>
      <w:r>
        <w:t xml:space="preserve"> </w:t>
      </w:r>
      <m:oMath>
        <m:r>
          <m:t>ϕ</m:t>
        </m:r>
        <m:d>
          <m:dPr>
            <m:begChr m:val="("/>
            <m:sepChr m:val=""/>
            <m:endChr m:val=")"/>
            <m:grow/>
          </m:dPr>
          <m:e>
            <m:r>
              <m:t>x</m:t>
            </m:r>
          </m:e>
        </m:d>
        <m:r>
          <m:rPr>
            <m:sty m:val="p"/>
          </m:rPr>
          <m:t>=</m:t>
        </m:r>
        <m:r>
          <m:t>x</m:t>
        </m:r>
      </m:oMath>
      <w:r>
        <w:t xml:space="preserve"> </w:t>
      </w:r>
      <w:r>
        <w:t xml:space="preserve">for</w:t>
      </w:r>
      <w:r>
        <w:t xml:space="preserve"> </w:t>
      </w:r>
      <m:oMath>
        <m:r>
          <m:t>x</m:t>
        </m:r>
        <m:r>
          <m:rPr>
            <m:sty m:val="p"/>
          </m:rPr>
          <m:t>&lt;</m:t>
        </m:r>
        <m:r>
          <m:t>0</m:t>
        </m:r>
      </m:oMath>
      <w:r>
        <w:t xml:space="preserve">, because every MWh drawn for recharging returns only</w:t>
      </w:r>
      <w:r>
        <w:t xml:space="preserve"> </w:t>
      </w:r>
      <m:oMath>
        <m:r>
          <m:t>η</m:t>
        </m:r>
      </m:oMath>
      <w:r>
        <w:t xml:space="preserve"> </w:t>
      </w:r>
      <w:r>
        <w:t xml:space="preserve">MWh in B. Hence</w:t>
      </w:r>
    </w:p>
    <w:p>
      <w:pPr>
        <w:pStyle w:val="BodyText"/>
      </w:pPr>
      <m:oMathPara>
        <m:oMathParaPr>
          <m:jc m:val="center"/>
        </m:oMathParaPr>
        <m:oMath>
          <m:sSub>
            <m:e>
              <m:r>
                <m:t>Γ</m:t>
              </m:r>
            </m:e>
            <m:sub>
              <m:r>
                <m:t>B</m:t>
              </m:r>
            </m:sub>
          </m:sSub>
          <m:sSub>
            <m:e>
              <m:r>
                <m:t>D</m:t>
              </m:r>
            </m:e>
            <m:sub>
              <m:r>
                <m:t>B</m:t>
              </m:r>
            </m:sub>
          </m:sSub>
          <m:r>
            <m:rPr>
              <m:sty m:val="p"/>
            </m:rPr>
            <m:t>−</m:t>
          </m:r>
          <m:r>
            <m:t>g</m:t>
          </m:r>
          <m:sSub>
            <m:e>
              <m:r>
                <m:t>D</m:t>
              </m:r>
            </m:e>
            <m:sub>
              <m:r>
                <m:t>B</m:t>
              </m:r>
            </m:sub>
          </m:sSub>
          <m:r>
            <m:rPr>
              <m:sty m:val="p"/>
            </m:rPr>
            <m:t>≤</m:t>
          </m:r>
          <m:sSub>
            <m:e>
              <m:acc>
                <m:accPr>
                  <m:chr m:val="‾"/>
                </m:accPr>
                <m:e>
                  <m:r>
                    <m:t>X</m:t>
                  </m:r>
                </m:e>
              </m:acc>
            </m:e>
            <m:sub>
              <m:r>
                <m:t>B</m:t>
              </m:r>
            </m:sub>
          </m:sSub>
          <m:r>
            <m:rPr>
              <m:sty m:val="p"/>
            </m:rPr>
            <m:t>−</m:t>
          </m:r>
          <m:sSub>
            <m:e>
              <m:r>
                <m:t>X</m:t>
              </m:r>
            </m:e>
            <m:sub>
              <m:r>
                <m:t>A</m:t>
              </m:r>
            </m:sub>
          </m:sSub>
          <m:r>
            <m:rPr>
              <m:sty m:val="p"/>
            </m:rPr>
            <m:t>+</m:t>
          </m:r>
          <m:sSub>
            <m:e>
              <m:r>
                <m:t>E</m:t>
              </m:r>
            </m:e>
            <m:sub>
              <m:r>
                <m:t>s</m:t>
              </m:r>
            </m:sub>
          </m:sSub>
          <m:r>
            <m:rPr>
              <m:sty m:val="p"/>
            </m:rPr>
            <m:t>+</m:t>
          </m:r>
          <m:limLow>
            <m:e>
              <m:r>
                <m:rPr>
                  <m:sty m:val="p"/>
                </m:rPr>
                <m:t>max</m:t>
              </m:r>
            </m:e>
            <m:lim>
              <m:r>
                <m:t>c</m:t>
              </m:r>
              <m:r>
                <m:rPr>
                  <m:sty m:val="p"/>
                </m:rPr>
                <m:t>+</m:t>
              </m:r>
              <m:r>
                <m:t>s</m:t>
              </m:r>
              <m:r>
                <m:rPr>
                  <m:sty m:val="p"/>
                </m:rPr>
                <m:t>≤</m:t>
              </m:r>
              <m:r>
                <m:t>H</m:t>
              </m:r>
              <m:r>
                <m:rPr>
                  <m:sty m:val="p"/>
                </m:rPr>
                <m:t>,</m:t>
              </m:r>
              <m:r>
                <m:t> </m:t>
              </m:r>
              <m:r>
                <m:t>c</m:t>
              </m:r>
              <m:r>
                <m:rPr>
                  <m:sty m:val="p"/>
                </m:rPr>
                <m:t>≤</m:t>
              </m:r>
              <m:sSub>
                <m:e>
                  <m:r>
                    <m:t>X</m:t>
                  </m:r>
                </m:e>
                <m:sub>
                  <m:r>
                    <m:t>A</m:t>
                  </m:r>
                </m:sub>
              </m:sSub>
            </m:lim>
          </m:limLow>
          <m:r>
            <m:rPr>
              <m:sty m:val="p"/>
            </m:rPr>
            <m:t>{</m:t>
          </m:r>
          <m:r>
            <m:t>c</m:t>
          </m:r>
          <m:r>
            <m:rPr>
              <m:sty m:val="p"/>
            </m:rPr>
            <m:t>+</m:t>
          </m:r>
          <m:r>
            <m:t>ϕ</m:t>
          </m:r>
          <m:d>
            <m:dPr>
              <m:begChr m:val="("/>
              <m:sepChr m:val=""/>
              <m:endChr m:val=")"/>
              <m:grow/>
            </m:dPr>
            <m:e>
              <m:r>
                <m:t>s</m:t>
              </m:r>
            </m:e>
          </m:d>
          <m:r>
            <m:rPr>
              <m:sty m:val="p"/>
            </m:rPr>
            <m:t>}</m:t>
          </m:r>
          <m:r>
            <m:rPr>
              <m:sty m:val="p"/>
            </m:rPr>
            <m:t>.</m:t>
          </m:r>
        </m:oMath>
      </m:oMathPara>
    </w:p>
    <w:p>
      <w:pPr>
        <w:pStyle w:val="FirstParagraph"/>
      </w:pPr>
      <w:r>
        <w:t xml:space="preserve">Catch-up has the marginal value 1 and recharge the marginal value</w:t>
      </w:r>
      <w:r>
        <w:t xml:space="preserve"> </w:t>
      </w:r>
      <m:oMath>
        <m:r>
          <m:t>η</m:t>
        </m:r>
        <m:r>
          <m:rPr>
            <m:sty m:val="p"/>
          </m:rPr>
          <m:t>&lt;</m:t>
        </m:r>
        <m:r>
          <m:t>1</m:t>
        </m:r>
      </m:oMath>
      <w:r>
        <w:t xml:space="preserve">, so the maximum is attained by</w:t>
      </w:r>
      <w:r>
        <w:t xml:space="preserve"> </w:t>
      </w:r>
      <m:oMath>
        <m:acc>
          <m:accPr>
            <m:chr m:val="̂"/>
          </m:accPr>
          <m:e>
            <m:r>
              <m:t>c</m:t>
            </m:r>
          </m:e>
        </m:acc>
        <m:r>
          <m:rPr>
            <m:sty m:val="p"/>
          </m:rPr>
          <m:t>=</m:t>
        </m:r>
        <m:r>
          <m:rPr>
            <m:sty m:val="p"/>
          </m:rPr>
          <m:t>min</m:t>
        </m:r>
        <m:d>
          <m:dPr>
            <m:begChr m:val="("/>
            <m:sepChr m:val=""/>
            <m:endChr m:val=")"/>
            <m:grow/>
          </m:dPr>
          <m:e>
            <m:r>
              <m:t>H</m:t>
            </m:r>
            <m:r>
              <m:rPr>
                <m:sty m:val="p"/>
              </m:rPr>
              <m:t>,</m:t>
            </m:r>
            <m:sSub>
              <m:e>
                <m:r>
                  <m:t>X</m:t>
                </m:r>
              </m:e>
              <m:sub>
                <m:r>
                  <m:t>A</m:t>
                </m:r>
              </m:sub>
            </m:sSub>
          </m:e>
        </m:d>
      </m:oMath>
      <w:r>
        <w:t xml:space="preserve"> </w:t>
      </w:r>
      <w:r>
        <w:t xml:space="preserve">and</w:t>
      </w:r>
      <w:r>
        <w:t xml:space="preserve"> </w:t>
      </w:r>
      <m:oMath>
        <m:acc>
          <m:accPr>
            <m:chr m:val="̂"/>
          </m:accPr>
          <m:e>
            <m:r>
              <m:t>s</m:t>
            </m:r>
          </m:e>
        </m:acc>
        <m:r>
          <m:rPr>
            <m:sty m:val="p"/>
          </m:rPr>
          <m:t>=</m:t>
        </m:r>
        <m:sSup>
          <m:e>
            <m:d>
              <m:dPr>
                <m:begChr m:val="("/>
                <m:sepChr m:val=""/>
                <m:endChr m:val=")"/>
                <m:grow/>
              </m:dPr>
              <m:e>
                <m:r>
                  <m:t>H</m:t>
                </m:r>
                <m:r>
                  <m:rPr>
                    <m:sty m:val="p"/>
                  </m:rPr>
                  <m:t>−</m:t>
                </m:r>
                <m:sSub>
                  <m:e>
                    <m:r>
                      <m:t>X</m:t>
                    </m:r>
                  </m:e>
                  <m:sub>
                    <m:r>
                      <m:t>A</m:t>
                    </m:r>
                  </m:sub>
                </m:sSub>
              </m:e>
            </m:d>
          </m:e>
          <m:sup>
            <m:r>
              <m:rPr>
                <m:lit/>
                <m:sty m:val="p"/>
              </m:rPr>
              <m:t>+</m:t>
            </m:r>
          </m:sup>
        </m:sSup>
      </m:oMath>
      <w:r>
        <w:t xml:space="preserve">, whose value is</w:t>
      </w:r>
      <w:r>
        <w:t xml:space="preserve"> </w:t>
      </w:r>
      <m:oMath>
        <m:sSup>
          <m:e>
            <m:r>
              <m:t>H</m:t>
            </m:r>
          </m:e>
          <m:sup>
            <m:r>
              <m:t>e</m:t>
            </m:r>
            <m:r>
              <m:t>f</m:t>
            </m:r>
            <m:r>
              <m:t>f</m:t>
            </m:r>
          </m:sup>
        </m:sSup>
      </m:oMath>
      <w:r>
        <w:t xml:space="preserve">. Dividing by</w:t>
      </w:r>
      <w:r>
        <w:t xml:space="preserve"> </w:t>
      </w:r>
      <m:oMath>
        <m:sSub>
          <m:e>
            <m:r>
              <m:t>D</m:t>
            </m:r>
          </m:e>
          <m:sub>
            <m:r>
              <m:t>B</m:t>
            </m:r>
          </m:sub>
        </m:sSub>
      </m:oMath>
      <w:r>
        <w:t xml:space="preserve"> </w:t>
      </w:r>
      <w:r>
        <w:t xml:space="preserve">gives</w:t>
      </w:r>
      <w:r>
        <w:t xml:space="preserve"> </w:t>
      </w:r>
      <m:oMath>
        <m:sSup>
          <m:e>
            <m:r>
              <m:t>Γ</m:t>
            </m:r>
          </m:e>
          <m:sup>
            <m:r>
              <m:t>E</m:t>
            </m:r>
          </m:sup>
        </m:sSup>
      </m:oMath>
      <w:r>
        <w:t xml:space="preserve">.</w:t>
      </w:r>
    </w:p>
    <w:p>
      <w:pPr>
        <w:pStyle w:val="BodyText"/>
      </w:pPr>
      <w:r>
        <w:t xml:space="preserve">(iii) The computing reduction in B equals the backlog increase in B. Work arriving in B can be deferred by at most</w:t>
      </w:r>
      <w:r>
        <w:t xml:space="preserve"> </w:t>
      </w:r>
      <m:oMath>
        <m:r>
          <m:rPr>
            <m:sty m:val="p"/>
          </m:rPr>
          <m:t>min</m:t>
        </m:r>
        <m:d>
          <m:dPr>
            <m:begChr m:val="("/>
            <m:sepChr m:val=""/>
            <m:endChr m:val=")"/>
            <m:grow/>
          </m:dPr>
          <m:e>
            <m:sSub>
              <m:e>
                <m:r>
                  <m:t>L</m:t>
                </m:r>
              </m:e>
              <m:sub>
                <m:r>
                  <m:t>c</m:t>
                </m:r>
              </m:sub>
            </m:sSub>
            <m:r>
              <m:rPr>
                <m:sty m:val="p"/>
              </m:rPr>
              <m:t>,</m:t>
            </m:r>
            <m:sSub>
              <m:e>
                <m:r>
                  <m:t>D</m:t>
                </m:r>
              </m:e>
              <m:sub>
                <m:r>
                  <m:t>B</m:t>
                </m:r>
              </m:sub>
            </m:sSub>
          </m:e>
        </m:d>
      </m:oMath>
      <w:r>
        <w:t xml:space="preserve">, which contributes at most</w:t>
      </w:r>
      <w:r>
        <w:t xml:space="preserve"> </w:t>
      </w:r>
      <m:oMath>
        <m:sSub>
          <m:e>
            <m:r>
              <m:t>p</m:t>
            </m:r>
          </m:e>
          <m:sub>
            <m:r>
              <m:t>f</m:t>
            </m:r>
          </m:sub>
        </m:sSub>
        <m:sSub>
          <m:e>
            <m:r>
              <m:t>D</m:t>
            </m:r>
          </m:e>
          <m:sub>
            <m:r>
              <m:t>B</m:t>
            </m:r>
          </m:sub>
        </m:sSub>
      </m:oMath>
      <w:r>
        <w:t xml:space="preserve">. The debt</w:t>
      </w:r>
      <w:r>
        <w:t xml:space="preserve"> </w:t>
      </w:r>
      <m:oMath>
        <m:sSubSup>
          <m:e>
            <m:r>
              <m:t>X</m:t>
            </m:r>
          </m:e>
          <m:sub>
            <m:r>
              <m:t>A</m:t>
            </m:r>
          </m:sub>
          <m:sup>
            <m:r>
              <m:t>d</m:t>
            </m:r>
            <m:r>
              <m:t>u</m:t>
            </m:r>
            <m:r>
              <m:t>e</m:t>
            </m:r>
          </m:sup>
        </m:sSubSup>
      </m:oMath>
      <w:r>
        <w:t xml:space="preserve"> </w:t>
      </w:r>
      <w:r>
        <w:t xml:space="preserve">is either caught up in the interval (</w:t>
      </w:r>
      <m:oMath>
        <m:sSub>
          <m:e>
            <m:r>
              <m:t>H</m:t>
            </m:r>
          </m:e>
          <m:sub>
            <m:r>
              <m:t>c</m:t>
            </m:r>
          </m:sub>
        </m:sSub>
      </m:oMath>
      <w:r>
        <w:t xml:space="preserve">), swapped with later-deadline work (at most</w:t>
      </w:r>
      <w:r>
        <w:t xml:space="preserve"> </w:t>
      </w:r>
      <m:oMath>
        <m:sSup>
          <m:e>
            <m:r>
              <m:t>W</m:t>
            </m:r>
          </m:e>
          <m:sup>
            <m:r>
              <m:t>s</m:t>
            </m:r>
            <m:r>
              <m:t>w</m:t>
            </m:r>
          </m:sup>
        </m:sSup>
      </m:oMath>
      <w:r>
        <w:t xml:space="preserve">), or executed in B, where it offsets the reduction one to one. The storage contribution is limited by</w:t>
      </w:r>
      <w:r>
        <w:t xml:space="preserve"> </w:t>
      </w:r>
      <m:oMath>
        <m:sSub>
          <m:e>
            <m:r>
              <m:t>P</m:t>
            </m:r>
          </m:e>
          <m:sub>
            <m:r>
              <m:t>s</m:t>
            </m:r>
          </m:sub>
        </m:sSub>
        <m:sSub>
          <m:e>
            <m:r>
              <m:t>D</m:t>
            </m:r>
          </m:e>
          <m:sub>
            <m:r>
              <m:t>B</m:t>
            </m:r>
          </m:sub>
        </m:sSub>
      </m:oMath>
      <w:r>
        <w:t xml:space="preserve"> </w:t>
      </w:r>
      <w:r>
        <w:t xml:space="preserve">and by</w:t>
      </w:r>
      <w:r>
        <w:t xml:space="preserve"> </w:t>
      </w:r>
      <m:oMath>
        <m:sSub>
          <m:e>
            <m:r>
              <m:t>E</m:t>
            </m:r>
          </m:e>
          <m:sub>
            <m:r>
              <m:t>s</m:t>
            </m:r>
          </m:sub>
        </m:sSub>
        <m:r>
          <m:rPr>
            <m:sty m:val="p"/>
          </m:rPr>
          <m:t>+</m:t>
        </m:r>
        <m:r>
          <m:t>η</m:t>
        </m:r>
        <m:sSub>
          <m:e>
            <m:r>
              <m:t>H</m:t>
            </m:r>
          </m:e>
          <m:sub>
            <m:r>
              <m:t>s</m:t>
            </m:r>
          </m:sub>
        </m:sSub>
      </m:oMath>
      <w:r>
        <w:t xml:space="preserve">. Maximising over the allocation</w:t>
      </w:r>
      <w:r>
        <w:t xml:space="preserve"> </w:t>
      </w:r>
      <m:oMath>
        <m:sSub>
          <m:e>
            <m:r>
              <m:t>H</m:t>
            </m:r>
          </m:e>
          <m:sub>
            <m:r>
              <m:t>c</m:t>
            </m:r>
          </m:sub>
        </m:sSub>
        <m:r>
          <m:rPr>
            <m:sty m:val="p"/>
          </m:rPr>
          <m:t>+</m:t>
        </m:r>
        <m:sSub>
          <m:e>
            <m:r>
              <m:t>H</m:t>
            </m:r>
          </m:e>
          <m:sub>
            <m:r>
              <m:t>s</m:t>
            </m:r>
          </m:sub>
        </m:sSub>
        <m:r>
          <m:rPr>
            <m:sty m:val="p"/>
          </m:rPr>
          <m:t>≤</m:t>
        </m:r>
        <m:r>
          <m:t>H</m:t>
        </m:r>
      </m:oMath>
      <w:r>
        <w:t xml:space="preserve">, subject to the free GPU and charging-power limits, gives (B.2). ∎</w:t>
      </w:r>
    </w:p>
    <w:p>
      <w:pPr>
        <w:pStyle w:val="BodyText"/>
      </w:pPr>
      <w:r>
        <w:t xml:space="preserve">The bound is tight when the backlogs reach their deadline limits at the end of B, the storage is empty at the end of B and the channel is fully used in the order catch-up, then recharge. In the mechanism experiment (supplementary Fig. S5) the bound is within 0.05 MW of the optimal deliverable reduction in most cases; it is looser only for intervals below 0.5 h, where the per-step channel width and the charging power cannot be shifted in time as the aggregate</w:t>
      </w:r>
      <w:r>
        <w:t xml:space="preserve"> </w:t>
      </w:r>
      <m:oMath>
        <m:r>
          <m:t>H</m:t>
        </m:r>
      </m:oMath>
      <w:r>
        <w:t xml:space="preserve"> </w:t>
      </w:r>
      <w:r>
        <w:t xml:space="preserve">assumes.</w:t>
      </w:r>
    </w:p>
    <w:p>
      <w:pPr>
        <w:pStyle w:val="BodyText"/>
      </w:pPr>
      <w:r>
        <w:rPr>
          <w:bCs/>
          <w:b/>
        </w:rPr>
        <w:t xml:space="preserve">Proof of Proposition 2.</w:t>
      </w:r>
      <w:r>
        <w:t xml:space="preserve"> </w:t>
      </w:r>
      <w:r>
        <w:t xml:space="preserve">Assume one deferrable class with constant arrival power</w:t>
      </w:r>
      <w:r>
        <w:t xml:space="preserve"> </w:t>
      </w:r>
      <m:oMath>
        <m:sSub>
          <m:e>
            <m:r>
              <m:t>p</m:t>
            </m:r>
          </m:e>
          <m:sub>
            <m:r>
              <m:t>f</m:t>
            </m:r>
          </m:sub>
        </m:sSub>
      </m:oMath>
      <w:r>
        <w:t xml:space="preserve"> </w:t>
      </w:r>
      <w:r>
        <w:t xml:space="preserve">and lag bound</w:t>
      </w:r>
      <w:r>
        <w:t xml:space="preserve"> </w:t>
      </w:r>
      <m:oMath>
        <m:r>
          <m:t>L</m:t>
        </m:r>
        <m:r>
          <m:rPr>
            <m:sty m:val="p"/>
          </m:rPr>
          <m:t>≥</m:t>
        </m:r>
        <m:sSub>
          <m:e>
            <m:r>
              <m:t>D</m:t>
            </m:r>
          </m:e>
          <m:sub>
            <m:r>
              <m:t>B</m:t>
            </m:r>
          </m:sub>
        </m:sSub>
      </m:oMath>
      <w:r>
        <w:t xml:space="preserve">, a debt</w:t>
      </w:r>
      <w:r>
        <w:t xml:space="preserve"> </w:t>
      </w:r>
      <m:oMath>
        <m:r>
          <m:t>X</m:t>
        </m:r>
        <m:r>
          <m:rPr>
            <m:sty m:val="p"/>
          </m:rPr>
          <m:t>≤</m:t>
        </m:r>
        <m:sSub>
          <m:e>
            <m:r>
              <m:t>p</m:t>
            </m:r>
          </m:e>
          <m:sub>
            <m:r>
              <m:t>f</m:t>
            </m:r>
          </m:sub>
        </m:sSub>
        <m:r>
          <m:t>L</m:t>
        </m:r>
      </m:oMath>
      <w:r>
        <w:t xml:space="preserve"> </w:t>
      </w:r>
      <w:r>
        <w:t xml:space="preserve">at the start of the interval, dischargeable energy</w:t>
      </w:r>
      <w:r>
        <w:t xml:space="preserve"> </w:t>
      </w:r>
      <m:oMath>
        <m:sSub>
          <m:e>
            <m:r>
              <m:t>η</m:t>
            </m:r>
          </m:e>
          <m:sub>
            <m:r>
              <m:t>d</m:t>
            </m:r>
          </m:sub>
        </m:sSub>
        <m:sSub>
          <m:e>
            <m:r>
              <m:t>E</m:t>
            </m:r>
          </m:e>
          <m:sub>
            <m:r>
              <m:t>A</m:t>
            </m:r>
          </m:sub>
        </m:sSub>
      </m:oMath>
      <w:r>
        <w:t xml:space="preserve">, a constant channel width</w:t>
      </w:r>
      <w:r>
        <w:t xml:space="preserve"> </w:t>
      </w:r>
      <m:oMath>
        <m:r>
          <m:t>h</m:t>
        </m:r>
        <m:r>
          <m:rPr>
            <m:sty m:val="p"/>
          </m:rPr>
          <m:t>≤</m:t>
        </m:r>
        <m:sSup>
          <m:e>
            <m:acc>
              <m:accPr>
                <m:chr m:val="‾"/>
              </m:accPr>
              <m:e>
                <m:r>
                  <m:t>P</m:t>
                </m:r>
              </m:e>
            </m:acc>
          </m:e>
          <m:sup>
            <m:r>
              <m:t>B</m:t>
            </m:r>
          </m:sup>
        </m:sSup>
      </m:oMath>
      <w:r>
        <w:t xml:space="preserve"> </w:t>
      </w:r>
      <w:r>
        <w:t xml:space="preserve">(</w:t>
      </w:r>
      <m:oMath>
        <m:r>
          <m:t>H</m:t>
        </m:r>
        <m:r>
          <m:rPr>
            <m:sty m:val="p"/>
          </m:rPr>
          <m:t>=</m:t>
        </m:r>
        <m:r>
          <m:t>h</m:t>
        </m:r>
        <m:r>
          <m:t>τ</m:t>
        </m:r>
      </m:oMath>
      <w:r>
        <w:t xml:space="preserve">), full pausing of deferrable work in B and no gas engine. With catch-up</w:t>
      </w:r>
      <w:r>
        <w:t xml:space="preserve"> </w:t>
      </w:r>
      <m:oMath>
        <m:r>
          <m:t>c</m:t>
        </m:r>
        <m:r>
          <m:rPr>
            <m:sty m:val="p"/>
          </m:rPr>
          <m:t>∈</m:t>
        </m:r>
        <m:d>
          <m:dPr>
            <m:begChr m:val="["/>
            <m:sepChr m:val=""/>
            <m:endChr m:val="]"/>
            <m:grow/>
          </m:dPr>
          <m:e>
            <m:r>
              <m:t>0</m:t>
            </m:r>
            <m:r>
              <m:rPr>
                <m:sty m:val="p"/>
              </m:rPr>
              <m:t>,</m:t>
            </m:r>
            <m:r>
              <m:t>X</m:t>
            </m:r>
          </m:e>
        </m:d>
      </m:oMath>
      <w:r>
        <w:t xml:space="preserve"> </w:t>
      </w:r>
      <w:r>
        <w:t xml:space="preserve">and recharge</w:t>
      </w:r>
      <w:r>
        <w:t xml:space="preserve"> </w:t>
      </w:r>
      <m:oMath>
        <m:r>
          <m:t>s</m:t>
        </m:r>
        <m:r>
          <m:rPr>
            <m:sty m:val="p"/>
          </m:rPr>
          <m:t>≥</m:t>
        </m:r>
        <m:r>
          <m:t>0</m:t>
        </m:r>
      </m:oMath>
      <w:r>
        <w:t xml:space="preserve"> </w:t>
      </w:r>
      <w:r>
        <w:t xml:space="preserve">in the interval,</w:t>
      </w:r>
      <w:r>
        <w:t xml:space="preserve"> </w:t>
      </w:r>
      <m:oMath>
        <m:r>
          <m:t>c</m:t>
        </m:r>
        <m:r>
          <m:rPr>
            <m:sty m:val="p"/>
          </m:rPr>
          <m:t>+</m:t>
        </m:r>
        <m:r>
          <m:t>s</m:t>
        </m:r>
        <m:r>
          <m:rPr>
            <m:sty m:val="p"/>
          </m:rPr>
          <m:t>≤</m:t>
        </m:r>
        <m:r>
          <m:t>H</m:t>
        </m:r>
      </m:oMath>
      <w:r>
        <w:t xml:space="preserve">, the deliverable reduction energy of B is</w:t>
      </w:r>
    </w:p>
    <w:p>
      <w:pPr>
        <w:pStyle w:val="BodyText"/>
      </w:pPr>
      <m:oMathPara>
        <m:oMathParaPr>
          <m:jc m:val="center"/>
        </m:oMathParaPr>
        <m:oMath>
          <m:r>
            <m:t>G</m:t>
          </m:r>
          <m:d>
            <m:dPr>
              <m:begChr m:val="("/>
              <m:sepChr m:val=""/>
              <m:endChr m:val=")"/>
              <m:grow/>
            </m:dPr>
            <m:e>
              <m:r>
                <m:t>c</m:t>
              </m:r>
              <m:r>
                <m:rPr>
                  <m:sty m:val="p"/>
                </m:rPr>
                <m:t>,</m:t>
              </m:r>
              <m:r>
                <m:t>s</m:t>
              </m:r>
            </m:e>
          </m:d>
          <m:r>
            <m:rPr>
              <m:sty m:val="p"/>
            </m:rPr>
            <m:t>=</m:t>
          </m:r>
          <m:r>
            <m:rPr>
              <m:sty m:val="p"/>
            </m:rPr>
            <m:t>min</m:t>
          </m:r>
          <m:d>
            <m:dPr>
              <m:begChr m:val="("/>
              <m:sepChr m:val=""/>
              <m:endChr m:val=")"/>
              <m:grow/>
            </m:dPr>
            <m:e>
              <m:sSub>
                <m:e>
                  <m:r>
                    <m:t>p</m:t>
                  </m:r>
                </m:e>
                <m:sub>
                  <m:r>
                    <m:t>f</m:t>
                  </m:r>
                </m:sub>
              </m:sSub>
              <m:sSub>
                <m:e>
                  <m:r>
                    <m:t>D</m:t>
                  </m:r>
                </m:e>
                <m:sub>
                  <m:r>
                    <m:t>B</m:t>
                  </m:r>
                </m:sub>
              </m:sSub>
              <m:r>
                <m:rPr>
                  <m:sty m:val="p"/>
                </m:rPr>
                <m:t>,</m:t>
              </m:r>
              <m:r>
                <m:t> </m:t>
              </m:r>
              <m:sSub>
                <m:e>
                  <m:r>
                    <m:t>p</m:t>
                  </m:r>
                </m:e>
                <m:sub>
                  <m:r>
                    <m:t>f</m:t>
                  </m:r>
                </m:sub>
              </m:sSub>
              <m:r>
                <m:t>L</m:t>
              </m:r>
              <m:r>
                <m:rPr>
                  <m:sty m:val="p"/>
                </m:rPr>
                <m:t>−</m:t>
              </m:r>
              <m:d>
                <m:dPr>
                  <m:begChr m:val="("/>
                  <m:sepChr m:val=""/>
                  <m:endChr m:val=")"/>
                  <m:grow/>
                </m:dPr>
                <m:e>
                  <m:r>
                    <m:t>X</m:t>
                  </m:r>
                  <m:r>
                    <m:rPr>
                      <m:sty m:val="p"/>
                    </m:rPr>
                    <m:t>−</m:t>
                  </m:r>
                  <m:r>
                    <m:t>c</m:t>
                  </m:r>
                </m:e>
              </m:d>
            </m:e>
          </m:d>
          <m:r>
            <m:rPr>
              <m:sty m:val="p"/>
            </m:rPr>
            <m:t>+</m:t>
          </m:r>
          <m:r>
            <m:rPr>
              <m:sty m:val="p"/>
            </m:rPr>
            <m:t>min</m:t>
          </m:r>
          <m:d>
            <m:dPr>
              <m:begChr m:val="("/>
              <m:sepChr m:val=""/>
              <m:endChr m:val=")"/>
              <m:grow/>
            </m:dPr>
            <m:e>
              <m:sSub>
                <m:e>
                  <m:r>
                    <m:t>P</m:t>
                  </m:r>
                </m:e>
                <m:sub>
                  <m:r>
                    <m:t>s</m:t>
                  </m:r>
                </m:sub>
              </m:sSub>
              <m:sSub>
                <m:e>
                  <m:r>
                    <m:t>D</m:t>
                  </m:r>
                </m:e>
                <m:sub>
                  <m:r>
                    <m:t>B</m:t>
                  </m:r>
                </m:sub>
              </m:sSub>
              <m:r>
                <m:rPr>
                  <m:sty m:val="p"/>
                </m:rPr>
                <m:t>,</m:t>
              </m:r>
              <m:r>
                <m:t> </m:t>
              </m:r>
              <m:sSub>
                <m:e>
                  <m:r>
                    <m:t>η</m:t>
                  </m:r>
                </m:e>
                <m:sub>
                  <m:r>
                    <m:t>d</m:t>
                  </m:r>
                </m:sub>
              </m:sSub>
              <m:sSub>
                <m:e>
                  <m:r>
                    <m:t>E</m:t>
                  </m:r>
                </m:e>
                <m:sub>
                  <m:r>
                    <m:t>A</m:t>
                  </m:r>
                </m:sub>
              </m:sSub>
              <m:r>
                <m:rPr>
                  <m:sty m:val="p"/>
                </m:rPr>
                <m:t>+</m:t>
              </m:r>
              <m:r>
                <m:t>η</m:t>
              </m:r>
              <m:r>
                <m:t>s</m:t>
              </m:r>
            </m:e>
          </m:d>
          <m:r>
            <m:rPr>
              <m:sty m:val="p"/>
            </m:rPr>
            <m:t>.</m:t>
          </m:r>
        </m:oMath>
      </m:oMathPara>
    </w:p>
    <w:p>
      <w:pPr>
        <w:pStyle w:val="FirstParagraph"/>
      </w:pPr>
      <w:r>
        <w:t xml:space="preserve">Let</w:t>
      </w:r>
      <w:r>
        <w:t xml:space="preserve"> </w:t>
      </w:r>
      <m:oMath>
        <m:sSup>
          <m:e>
            <m:r>
              <m:t>c</m:t>
            </m:r>
          </m:e>
          <m:sup>
            <m:r>
              <m:rPr>
                <m:lit/>
                <m:sty m:val="p"/>
              </m:rPr>
              <m:t>*</m:t>
            </m:r>
          </m:sup>
        </m:sSup>
        <m:r>
          <m:rPr>
            <m:sty m:val="p"/>
          </m:rPr>
          <m:t>=</m:t>
        </m:r>
        <m:sSup>
          <m:e>
            <m:d>
              <m:dPr>
                <m:begChr m:val="["/>
                <m:sepChr m:val=""/>
                <m:endChr m:val="]"/>
                <m:grow/>
              </m:dPr>
              <m:e>
                <m:r>
                  <m:t>X</m:t>
                </m:r>
                <m:r>
                  <m:rPr>
                    <m:sty m:val="p"/>
                  </m:rPr>
                  <m:t>−</m:t>
                </m:r>
                <m:sSub>
                  <m:e>
                    <m:r>
                      <m:t>p</m:t>
                    </m:r>
                  </m:e>
                  <m:sub>
                    <m:r>
                      <m:t>f</m:t>
                    </m:r>
                  </m:sub>
                </m:sSub>
                <m:d>
                  <m:dPr>
                    <m:begChr m:val="("/>
                    <m:sepChr m:val=""/>
                    <m:endChr m:val=")"/>
                    <m:grow/>
                  </m:dPr>
                  <m:e>
                    <m:r>
                      <m:t>L</m:t>
                    </m:r>
                    <m:r>
                      <m:rPr>
                        <m:sty m:val="p"/>
                      </m:rPr>
                      <m:t>−</m:t>
                    </m:r>
                    <m:sSub>
                      <m:e>
                        <m:r>
                          <m:t>D</m:t>
                        </m:r>
                      </m:e>
                      <m:sub>
                        <m:r>
                          <m:t>B</m:t>
                        </m:r>
                      </m:sub>
                    </m:sSub>
                  </m:e>
                </m:d>
              </m:e>
            </m:d>
          </m:e>
          <m:sup>
            <m:r>
              <m:rPr>
                <m:lit/>
                <m:sty m:val="p"/>
              </m:rPr>
              <m:t>+</m:t>
            </m:r>
          </m:sup>
        </m:sSup>
      </m:oMath>
      <w:r>
        <w:t xml:space="preserve"> </w:t>
      </w:r>
      <w:r>
        <w:t xml:space="preserve">be the necessary catch-up and</w:t>
      </w:r>
      <w:r>
        <w:t xml:space="preserve"> </w:t>
      </w:r>
      <m:oMath>
        <m:sSup>
          <m:e>
            <m:r>
              <m:t>s</m:t>
            </m:r>
          </m:e>
          <m:sup>
            <m:r>
              <m:t>r</m:t>
            </m:r>
            <m:r>
              <m:t>e</m:t>
            </m:r>
            <m:r>
              <m:t>q</m:t>
            </m:r>
          </m:sup>
        </m:sSup>
        <m:r>
          <m:rPr>
            <m:sty m:val="p"/>
          </m:rPr>
          <m:t>=</m:t>
        </m:r>
        <m:sSup>
          <m:e>
            <m:d>
              <m:dPr>
                <m:begChr m:val="["/>
                <m:sepChr m:val=""/>
                <m:endChr m:val="]"/>
                <m:grow/>
              </m:dPr>
              <m:e>
                <m:sSub>
                  <m:e>
                    <m:r>
                      <m:t>P</m:t>
                    </m:r>
                  </m:e>
                  <m:sub>
                    <m:r>
                      <m:t>s</m:t>
                    </m:r>
                  </m:sub>
                </m:sSub>
                <m:sSub>
                  <m:e>
                    <m:r>
                      <m:t>D</m:t>
                    </m:r>
                  </m:e>
                  <m:sub>
                    <m:r>
                      <m:t>B</m:t>
                    </m:r>
                  </m:sub>
                </m:sSub>
                <m:r>
                  <m:rPr>
                    <m:sty m:val="p"/>
                  </m:rPr>
                  <m:t>−</m:t>
                </m:r>
                <m:sSub>
                  <m:e>
                    <m:r>
                      <m:t>η</m:t>
                    </m:r>
                  </m:e>
                  <m:sub>
                    <m:r>
                      <m:t>d</m:t>
                    </m:r>
                  </m:sub>
                </m:sSub>
                <m:sSub>
                  <m:e>
                    <m:r>
                      <m:t>E</m:t>
                    </m:r>
                  </m:e>
                  <m:sub>
                    <m:r>
                      <m:t>A</m:t>
                    </m:r>
                  </m:sub>
                </m:sSub>
              </m:e>
            </m:d>
          </m:e>
          <m:sup>
            <m:r>
              <m:rPr>
                <m:lit/>
                <m:sty m:val="p"/>
              </m:rPr>
              <m:t>+</m:t>
            </m:r>
          </m:sup>
        </m:sSup>
        <m:r>
          <m:rPr>
            <m:sty m:val="p"/>
          </m:rPr>
          <m:t>/</m:t>
        </m:r>
        <m:r>
          <m:t>η</m:t>
        </m:r>
      </m:oMath>
      <w:r>
        <w:t xml:space="preserve"> </w:t>
      </w:r>
      <w:r>
        <w:t xml:space="preserve">the necessary recharge. The first term of</w:t>
      </w:r>
      <w:r>
        <w:t xml:space="preserve"> </w:t>
      </w:r>
      <m:oMath>
        <m:r>
          <m:t>G</m:t>
        </m:r>
      </m:oMath>
      <w:r>
        <w:t xml:space="preserve"> </w:t>
      </w:r>
      <w:r>
        <w:t xml:space="preserve">is concave with slope 1 for</w:t>
      </w:r>
      <w:r>
        <w:t xml:space="preserve"> </w:t>
      </w:r>
      <m:oMath>
        <m:r>
          <m:t>c</m:t>
        </m:r>
        <m:r>
          <m:rPr>
            <m:sty m:val="p"/>
          </m:rPr>
          <m:t>&lt;</m:t>
        </m:r>
        <m:sSup>
          <m:e>
            <m:r>
              <m:t>c</m:t>
            </m:r>
          </m:e>
          <m:sup>
            <m:r>
              <m:rPr>
                <m:lit/>
                <m:sty m:val="p"/>
              </m:rPr>
              <m:t>*</m:t>
            </m:r>
          </m:sup>
        </m:sSup>
      </m:oMath>
      <w:r>
        <w:t xml:space="preserve"> </w:t>
      </w:r>
      <w:r>
        <w:t xml:space="preserve">and slope 0 afterwards; the second is concave with slope</w:t>
      </w:r>
      <w:r>
        <w:t xml:space="preserve"> </w:t>
      </w:r>
      <m:oMath>
        <m:r>
          <m:t>η</m:t>
        </m:r>
      </m:oMath>
      <w:r>
        <w:t xml:space="preserve"> </w:t>
      </w:r>
      <w:r>
        <w:t xml:space="preserve">for</w:t>
      </w:r>
      <w:r>
        <w:t xml:space="preserve"> </w:t>
      </w:r>
      <m:oMath>
        <m:r>
          <m:t>s</m:t>
        </m:r>
        <m:r>
          <m:rPr>
            <m:sty m:val="p"/>
          </m:rPr>
          <m:t>&lt;</m:t>
        </m:r>
        <m:sSup>
          <m:e>
            <m:r>
              <m:t>s</m:t>
            </m:r>
          </m:e>
          <m:sup>
            <m:r>
              <m:t>r</m:t>
            </m:r>
            <m:r>
              <m:t>e</m:t>
            </m:r>
            <m:r>
              <m:t>q</m:t>
            </m:r>
          </m:sup>
        </m:sSup>
      </m:oMath>
      <w:r>
        <w:t xml:space="preserve"> </w:t>
      </w:r>
      <w:r>
        <w:t xml:space="preserve">and 0 afterwards. Maximising the sum of two separable concave functions under</w:t>
      </w:r>
      <w:r>
        <w:t xml:space="preserve"> </w:t>
      </w:r>
      <m:oMath>
        <m:r>
          <m:t>c</m:t>
        </m:r>
        <m:r>
          <m:rPr>
            <m:sty m:val="p"/>
          </m:rPr>
          <m:t>+</m:t>
        </m:r>
        <m:r>
          <m:t>s</m:t>
        </m:r>
        <m:r>
          <m:rPr>
            <m:sty m:val="p"/>
          </m:rPr>
          <m:t>≤</m:t>
        </m:r>
        <m:r>
          <m:t>H</m:t>
        </m:r>
      </m:oMath>
      <w:r>
        <w:t xml:space="preserve"> </w:t>
      </w:r>
      <w:r>
        <w:t xml:space="preserve">allocates the channel greedily by marginal value: catch-up up to</w:t>
      </w:r>
      <w:r>
        <w:t xml:space="preserve"> </w:t>
      </w:r>
      <m:oMath>
        <m:sSup>
          <m:e>
            <m:r>
              <m:t>c</m:t>
            </m:r>
          </m:e>
          <m:sup>
            <m:r>
              <m:rPr>
                <m:lit/>
                <m:sty m:val="p"/>
              </m:rPr>
              <m:t>*</m:t>
            </m:r>
          </m:sup>
        </m:sSup>
      </m:oMath>
      <w:r>
        <w:t xml:space="preserve">, then recharge up to</w:t>
      </w:r>
      <w:r>
        <w:t xml:space="preserve"> </w:t>
      </w:r>
      <m:oMath>
        <m:sSup>
          <m:e>
            <m:r>
              <m:t>s</m:t>
            </m:r>
          </m:e>
          <m:sup>
            <m:r>
              <m:t>r</m:t>
            </m:r>
            <m:r>
              <m:t>e</m:t>
            </m:r>
            <m:r>
              <m:t>q</m:t>
            </m:r>
          </m:sup>
        </m:sSup>
      </m:oMath>
      <w:r>
        <w:t xml:space="preserve">. This is the joint recovery</w:t>
      </w:r>
      <w:r>
        <w:t xml:space="preserve"> </w:t>
      </w:r>
      <m:oMath>
        <m:sSub>
          <m:e>
            <m:r>
              <m:t>c</m:t>
            </m:r>
          </m:e>
          <m:sub>
            <m:r>
              <m:t>J</m:t>
            </m:r>
            <m:r>
              <m:t>R</m:t>
            </m:r>
          </m:sub>
        </m:sSub>
        <m:r>
          <m:rPr>
            <m:sty m:val="p"/>
          </m:rPr>
          <m:t>=</m:t>
        </m:r>
        <m:r>
          <m:rPr>
            <m:sty m:val="p"/>
          </m:rPr>
          <m:t>min</m:t>
        </m:r>
        <m:d>
          <m:dPr>
            <m:begChr m:val="("/>
            <m:sepChr m:val=""/>
            <m:endChr m:val=")"/>
            <m:grow/>
          </m:dPr>
          <m:e>
            <m:r>
              <m:t>H</m:t>
            </m:r>
            <m:r>
              <m:rPr>
                <m:sty m:val="p"/>
              </m:rPr>
              <m:t>,</m:t>
            </m:r>
            <m:sSup>
              <m:e>
                <m:r>
                  <m:t>c</m:t>
                </m:r>
              </m:e>
              <m:sup>
                <m:r>
                  <m:rPr>
                    <m:lit/>
                    <m:sty m:val="p"/>
                  </m:rPr>
                  <m:t>*</m:t>
                </m:r>
              </m:sup>
            </m:sSup>
          </m:e>
        </m:d>
      </m:oMath>
      <w:r>
        <w:t xml:space="preserve">,</w:t>
      </w:r>
      <w:r>
        <w:t xml:space="preserve"> </w:t>
      </w:r>
      <m:oMath>
        <m:sSub>
          <m:e>
            <m:r>
              <m:t>s</m:t>
            </m:r>
          </m:e>
          <m:sub>
            <m:r>
              <m:t>J</m:t>
            </m:r>
            <m:r>
              <m:t>R</m:t>
            </m:r>
          </m:sub>
        </m:sSub>
        <m:r>
          <m:rPr>
            <m:sty m:val="p"/>
          </m:rPr>
          <m:t>=</m:t>
        </m:r>
        <m:sSup>
          <m:e>
            <m:d>
              <m:dPr>
                <m:begChr m:val="("/>
                <m:sepChr m:val=""/>
                <m:endChr m:val=")"/>
                <m:grow/>
              </m:dPr>
              <m:e>
                <m:r>
                  <m:t>H</m:t>
                </m:r>
                <m:r>
                  <m:rPr>
                    <m:sty m:val="p"/>
                  </m:rPr>
                  <m:t>−</m:t>
                </m:r>
                <m:sSup>
                  <m:e>
                    <m:r>
                      <m:t>c</m:t>
                    </m:r>
                  </m:e>
                  <m:sup>
                    <m:r>
                      <m:rPr>
                        <m:lit/>
                        <m:sty m:val="p"/>
                      </m:rPr>
                      <m:t>*</m:t>
                    </m:r>
                  </m:sup>
                </m:sSup>
              </m:e>
            </m:d>
          </m:e>
          <m:sup>
            <m:r>
              <m:rPr>
                <m:lit/>
                <m:sty m:val="p"/>
              </m:rPr>
              <m:t>+</m:t>
            </m:r>
          </m:sup>
        </m:sSup>
      </m:oMath>
      <w:r>
        <w:t xml:space="preserve">. Independent recovery repays the whole debt first,</w:t>
      </w:r>
      <w:r>
        <w:t xml:space="preserve"> </w:t>
      </w:r>
      <m:oMath>
        <m:sSub>
          <m:e>
            <m:r>
              <m:t>c</m:t>
            </m:r>
          </m:e>
          <m:sub>
            <m:r>
              <m:t>I</m:t>
            </m:r>
            <m:r>
              <m:t>R</m:t>
            </m:r>
          </m:sub>
        </m:sSub>
        <m:r>
          <m:rPr>
            <m:sty m:val="p"/>
          </m:rPr>
          <m:t>=</m:t>
        </m:r>
        <m:r>
          <m:rPr>
            <m:sty m:val="p"/>
          </m:rPr>
          <m:t>min</m:t>
        </m:r>
        <m:d>
          <m:dPr>
            <m:begChr m:val="("/>
            <m:sepChr m:val=""/>
            <m:endChr m:val=")"/>
            <m:grow/>
          </m:dPr>
          <m:e>
            <m:r>
              <m:t>H</m:t>
            </m:r>
            <m:r>
              <m:rPr>
                <m:sty m:val="p"/>
              </m:rPr>
              <m:t>,</m:t>
            </m:r>
            <m:r>
              <m:t>X</m:t>
            </m:r>
          </m:e>
        </m:d>
      </m:oMath>
      <w:r>
        <w:t xml:space="preserve">,</w:t>
      </w:r>
      <w:r>
        <w:t xml:space="preserve"> </w:t>
      </w:r>
      <m:oMath>
        <m:sSub>
          <m:e>
            <m:r>
              <m:t>s</m:t>
            </m:r>
          </m:e>
          <m:sub>
            <m:r>
              <m:t>I</m:t>
            </m:r>
            <m:r>
              <m:t>R</m:t>
            </m:r>
          </m:sub>
        </m:sSub>
        <m:r>
          <m:rPr>
            <m:sty m:val="p"/>
          </m:rPr>
          <m:t>=</m:t>
        </m:r>
        <m:sSup>
          <m:e>
            <m:d>
              <m:dPr>
                <m:begChr m:val="("/>
                <m:sepChr m:val=""/>
                <m:endChr m:val=")"/>
                <m:grow/>
              </m:dPr>
              <m:e>
                <m:r>
                  <m:t>H</m:t>
                </m:r>
                <m:r>
                  <m:rPr>
                    <m:sty m:val="p"/>
                  </m:rPr>
                  <m:t>−</m:t>
                </m:r>
                <m:r>
                  <m:t>X</m:t>
                </m:r>
              </m:e>
            </m:d>
          </m:e>
          <m:sup>
            <m:r>
              <m:rPr>
                <m:lit/>
                <m:sty m:val="p"/>
              </m:rPr>
              <m:t>+</m:t>
            </m:r>
          </m:sup>
        </m:sSup>
      </m:oMath>
      <w:r>
        <w:t xml:space="preserve">, and spends</w:t>
      </w:r>
      <w:r>
        <w:t xml:space="preserve"> </w:t>
      </w:r>
      <m:oMath>
        <m:r>
          <m:t>X</m:t>
        </m:r>
        <m:r>
          <m:rPr>
            <m:sty m:val="p"/>
          </m:rPr>
          <m:t>−</m:t>
        </m:r>
        <m:sSup>
          <m:e>
            <m:r>
              <m:t>c</m:t>
            </m:r>
          </m:e>
          <m:sup>
            <m:r>
              <m:rPr>
                <m:lit/>
                <m:sty m:val="p"/>
              </m:rPr>
              <m:t>*</m:t>
            </m:r>
          </m:sup>
        </m:sSup>
      </m:oMath>
      <w:r>
        <w:t xml:space="preserve"> </w:t>
      </w:r>
      <w:r>
        <w:t xml:space="preserve">of the channel on catch-up of zero marginal value. Substituting both allocations,</w:t>
      </w:r>
    </w:p>
    <w:p>
      <w:pPr>
        <w:pStyle w:val="Equation"/>
      </w:pPr>
      <w:r>
        <w:tab/>
      </w:r>
      <m:oMath>
        <m:sSub>
          <m:e>
            <m:r>
              <m:t>G</m:t>
            </m:r>
          </m:e>
          <m:sub>
            <m:r>
              <m:t>J</m:t>
            </m:r>
            <m:r>
              <m:t>R</m:t>
            </m:r>
          </m:sub>
        </m:sSub>
        <m:r>
          <m:rPr>
            <m:sty m:val="p"/>
          </m:rPr>
          <m:t>−</m:t>
        </m:r>
        <m:sSub>
          <m:e>
            <m:r>
              <m:t>G</m:t>
            </m:r>
          </m:e>
          <m:sub>
            <m:r>
              <m:t>I</m:t>
            </m:r>
            <m:r>
              <m:t>R</m:t>
            </m:r>
          </m:sub>
        </m:sSub>
        <m:r>
          <m:rPr>
            <m:sty m:val="p"/>
          </m:rPr>
          <m:t>=</m:t>
        </m:r>
        <m:r>
          <m:t>η</m:t>
        </m:r>
        <m:d>
          <m:dPr>
            <m:begChr m:val="["/>
            <m:sepChr m:val=""/>
            <m:endChr m:val="]"/>
            <m:grow/>
          </m:dPr>
          <m:e>
            <m:r>
              <m:rPr>
                <m:sty m:val="p"/>
              </m:rPr>
              <m:t>min</m:t>
            </m:r>
            <m:d>
              <m:dPr>
                <m:begChr m:val="("/>
                <m:sepChr m:val=""/>
                <m:endChr m:val=")"/>
                <m:grow/>
              </m:dPr>
              <m:e>
                <m:sSup>
                  <m:e>
                    <m:r>
                      <m:t>s</m:t>
                    </m:r>
                  </m:e>
                  <m:sup>
                    <m:r>
                      <m:t>r</m:t>
                    </m:r>
                    <m:r>
                      <m:t>e</m:t>
                    </m:r>
                    <m:r>
                      <m:t>q</m:t>
                    </m:r>
                  </m:sup>
                </m:sSup>
                <m:r>
                  <m:rPr>
                    <m:sty m:val="p"/>
                  </m:rPr>
                  <m:t>,</m:t>
                </m:r>
                <m:sSup>
                  <m:e>
                    <m:d>
                      <m:dPr>
                        <m:begChr m:val="("/>
                        <m:sepChr m:val=""/>
                        <m:endChr m:val=")"/>
                        <m:grow/>
                      </m:dPr>
                      <m:e>
                        <m:r>
                          <m:t>H</m:t>
                        </m:r>
                        <m:r>
                          <m:rPr>
                            <m:sty m:val="p"/>
                          </m:rPr>
                          <m:t>−</m:t>
                        </m:r>
                        <m:sSup>
                          <m:e>
                            <m:r>
                              <m:t>c</m:t>
                            </m:r>
                          </m:e>
                          <m:sup>
                            <m:r>
                              <m:rPr>
                                <m:lit/>
                                <m:sty m:val="p"/>
                              </m:rPr>
                              <m:t>*</m:t>
                            </m:r>
                          </m:sup>
                        </m:sSup>
                      </m:e>
                    </m:d>
                  </m:e>
                  <m:sup>
                    <m:r>
                      <m:rPr>
                        <m:lit/>
                        <m:sty m:val="p"/>
                      </m:rPr>
                      <m:t>+</m:t>
                    </m:r>
                  </m:sup>
                </m:sSup>
              </m:e>
            </m:d>
            <m:r>
              <m:rPr>
                <m:sty m:val="p"/>
              </m:rPr>
              <m:t>−</m:t>
            </m:r>
            <m:r>
              <m:rPr>
                <m:sty m:val="p"/>
              </m:rPr>
              <m:t>min</m:t>
            </m:r>
            <m:d>
              <m:dPr>
                <m:begChr m:val="("/>
                <m:sepChr m:val=""/>
                <m:endChr m:val=")"/>
                <m:grow/>
              </m:dPr>
              <m:e>
                <m:sSup>
                  <m:e>
                    <m:r>
                      <m:t>s</m:t>
                    </m:r>
                  </m:e>
                  <m:sup>
                    <m:r>
                      <m:t>r</m:t>
                    </m:r>
                    <m:r>
                      <m:t>e</m:t>
                    </m:r>
                    <m:r>
                      <m:t>q</m:t>
                    </m:r>
                  </m:sup>
                </m:sSup>
                <m:r>
                  <m:rPr>
                    <m:sty m:val="p"/>
                  </m:rPr>
                  <m:t>,</m:t>
                </m:r>
                <m:sSup>
                  <m:e>
                    <m:d>
                      <m:dPr>
                        <m:begChr m:val="("/>
                        <m:sepChr m:val=""/>
                        <m:endChr m:val=")"/>
                        <m:grow/>
                      </m:dPr>
                      <m:e>
                        <m:r>
                          <m:t>H</m:t>
                        </m:r>
                        <m:r>
                          <m:rPr>
                            <m:sty m:val="p"/>
                          </m:rPr>
                          <m:t>−</m:t>
                        </m:r>
                        <m:r>
                          <m:t>X</m:t>
                        </m:r>
                      </m:e>
                    </m:d>
                  </m:e>
                  <m:sup>
                    <m:r>
                      <m:rPr>
                        <m:lit/>
                        <m:sty m:val="p"/>
                      </m:rPr>
                      <m:t>+</m:t>
                    </m:r>
                  </m:sup>
                </m:sSup>
              </m:e>
            </m:d>
          </m:e>
        </m:d>
        <m:r>
          <m:rPr>
            <m:sty m:val="p"/>
          </m:rPr>
          <m:t>≥</m:t>
        </m:r>
        <m:r>
          <m:t>0</m:t>
        </m:r>
        <m:r>
          <m:rPr>
            <m:sty m:val="p"/>
          </m:rPr>
          <m:t>,</m:t>
        </m:r>
      </m:oMath>
      <w:r>
        <w:tab/>
      </w:r>
      <w:r>
        <w:t xml:space="preserve">(B.3)</w:t>
      </w:r>
    </w:p>
    <w:p>
      <w:pPr>
        <w:pStyle w:val="BodyText"/>
      </w:pPr>
      <w:r>
        <w:t xml:space="preserve">with the maximum</w:t>
      </w:r>
      <w:r>
        <w:t xml:space="preserve"> </w:t>
      </w:r>
      <m:oMath>
        <m:r>
          <m:t>η</m:t>
        </m:r>
        <m:r>
          <m:rPr>
            <m:sty m:val="p"/>
          </m:rPr>
          <m:t>min</m:t>
        </m:r>
        <m:r>
          <m:rPr>
            <m:sty m:val="p"/>
          </m:rPr>
          <m:t>{</m:t>
        </m:r>
        <m:r>
          <m:t>X</m:t>
        </m:r>
        <m:r>
          <m:rPr>
            <m:sty m:val="p"/>
          </m:rPr>
          <m:t>,</m:t>
        </m:r>
        <m:r>
          <m:t> </m:t>
        </m:r>
        <m:sSub>
          <m:e>
            <m:r>
              <m:t>p</m:t>
            </m:r>
          </m:e>
          <m:sub>
            <m:r>
              <m:t>f</m:t>
            </m:r>
          </m:sub>
        </m:sSub>
        <m:d>
          <m:dPr>
            <m:begChr m:val="("/>
            <m:sepChr m:val=""/>
            <m:endChr m:val=")"/>
            <m:grow/>
          </m:dPr>
          <m:e>
            <m:r>
              <m:t>L</m:t>
            </m:r>
            <m:r>
              <m:rPr>
                <m:sty m:val="p"/>
              </m:rPr>
              <m:t>−</m:t>
            </m:r>
            <m:sSub>
              <m:e>
                <m:r>
                  <m:t>D</m:t>
                </m:r>
              </m:e>
              <m:sub>
                <m:r>
                  <m:t>B</m:t>
                </m:r>
              </m:sub>
            </m:sSub>
          </m:e>
        </m:d>
        <m:r>
          <m:rPr>
            <m:sty m:val="p"/>
          </m:rPr>
          <m:t>,</m:t>
        </m:r>
        <m:r>
          <m:t> </m:t>
        </m:r>
        <m:sSup>
          <m:e>
            <m:r>
              <m:t>s</m:t>
            </m:r>
          </m:e>
          <m:sup>
            <m:r>
              <m:t>r</m:t>
            </m:r>
            <m:r>
              <m:t>e</m:t>
            </m:r>
            <m:r>
              <m:t>q</m:t>
            </m:r>
          </m:sup>
        </m:sSup>
        <m:r>
          <m:rPr>
            <m:sty m:val="p"/>
          </m:rPr>
          <m:t>}</m:t>
        </m:r>
      </m:oMath>
      <w:r>
        <w:t xml:space="preserve">. The single-event capability</w:t>
      </w:r>
      <w:r>
        <w:t xml:space="preserve"> </w:t>
      </w:r>
      <m:oMath>
        <m:sSub>
          <m:e>
            <m:r>
              <m:t>p</m:t>
            </m:r>
          </m:e>
          <m:sub>
            <m:r>
              <m:t>f</m:t>
            </m:r>
          </m:sub>
        </m:sSub>
        <m:sSub>
          <m:e>
            <m:r>
              <m:t>D</m:t>
            </m:r>
          </m:e>
          <m:sub>
            <m:r>
              <m:t>B</m:t>
            </m:r>
          </m:sub>
        </m:sSub>
        <m:r>
          <m:rPr>
            <m:sty m:val="p"/>
          </m:rPr>
          <m:t>+</m:t>
        </m:r>
        <m:sSub>
          <m:e>
            <m:r>
              <m:t>P</m:t>
            </m:r>
          </m:e>
          <m:sub>
            <m:r>
              <m:t>s</m:t>
            </m:r>
          </m:sub>
        </m:sSub>
        <m:sSub>
          <m:e>
            <m:r>
              <m:t>D</m:t>
            </m:r>
          </m:e>
          <m:sub>
            <m:r>
              <m:t>B</m:t>
            </m:r>
          </m:sub>
        </m:sSub>
      </m:oMath>
      <w:r>
        <w:t xml:space="preserve"> </w:t>
      </w:r>
      <w:r>
        <w:t xml:space="preserve">is restored if and only if</w:t>
      </w:r>
      <w:r>
        <w:t xml:space="preserve"> </w:t>
      </w:r>
      <m:oMath>
        <m:r>
          <m:t>c</m:t>
        </m:r>
        <m:r>
          <m:rPr>
            <m:sty m:val="p"/>
          </m:rPr>
          <m:t>≥</m:t>
        </m:r>
        <m:sSup>
          <m:e>
            <m:r>
              <m:t>c</m:t>
            </m:r>
          </m:e>
          <m:sup>
            <m:r>
              <m:rPr>
                <m:lit/>
                <m:sty m:val="p"/>
              </m:rPr>
              <m:t>*</m:t>
            </m:r>
          </m:sup>
        </m:sSup>
      </m:oMath>
      <w:r>
        <w:t xml:space="preserve"> </w:t>
      </w:r>
      <w:r>
        <w:t xml:space="preserve">and</w:t>
      </w:r>
      <w:r>
        <w:t xml:space="preserve"> </w:t>
      </w:r>
      <m:oMath>
        <m:r>
          <m:t>s</m:t>
        </m:r>
        <m:r>
          <m:rPr>
            <m:sty m:val="p"/>
          </m:rPr>
          <m:t>≥</m:t>
        </m:r>
        <m:sSup>
          <m:e>
            <m:r>
              <m:t>s</m:t>
            </m:r>
          </m:e>
          <m:sup>
            <m:r>
              <m:t>r</m:t>
            </m:r>
            <m:r>
              <m:t>e</m:t>
            </m:r>
            <m:r>
              <m:t>q</m:t>
            </m:r>
          </m:sup>
        </m:sSup>
      </m:oMath>
      <w:r>
        <w:t xml:space="preserve">, which requires the channel energy</w:t>
      </w:r>
      <w:r>
        <w:t xml:space="preserve"> </w:t>
      </w:r>
      <m:oMath>
        <m:sSup>
          <m:e>
            <m:r>
              <m:t>c</m:t>
            </m:r>
          </m:e>
          <m:sup>
            <m:r>
              <m:rPr>
                <m:lit/>
                <m:sty m:val="p"/>
              </m:rPr>
              <m:t>*</m:t>
            </m:r>
          </m:sup>
        </m:sSup>
        <m:r>
          <m:rPr>
            <m:sty m:val="p"/>
          </m:rPr>
          <m:t>+</m:t>
        </m:r>
        <m:sSup>
          <m:e>
            <m:r>
              <m:t>s</m:t>
            </m:r>
          </m:e>
          <m:sup>
            <m:r>
              <m:t>r</m:t>
            </m:r>
            <m:r>
              <m:t>e</m:t>
            </m:r>
            <m:r>
              <m:t>q</m:t>
            </m:r>
          </m:sup>
        </m:sSup>
      </m:oMath>
      <w:r>
        <w:t xml:space="preserve"> </w:t>
      </w:r>
      <w:r>
        <w:t xml:space="preserve">under joint and</w:t>
      </w:r>
      <w:r>
        <w:t xml:space="preserve"> </w:t>
      </w:r>
      <m:oMath>
        <m:r>
          <m:t>X</m:t>
        </m:r>
        <m:r>
          <m:rPr>
            <m:sty m:val="p"/>
          </m:rPr>
          <m:t>+</m:t>
        </m:r>
        <m:sSup>
          <m:e>
            <m:r>
              <m:t>s</m:t>
            </m:r>
          </m:e>
          <m:sup>
            <m:r>
              <m:t>r</m:t>
            </m:r>
            <m:r>
              <m:t>e</m:t>
            </m:r>
            <m:r>
              <m:t>q</m:t>
            </m:r>
          </m:sup>
        </m:sSup>
      </m:oMath>
      <w:r>
        <w:t xml:space="preserve"> </w:t>
      </w:r>
      <w:r>
        <w:t xml:space="preserve">under independent recovery. Dividing by</w:t>
      </w:r>
      <w:r>
        <w:t xml:space="preserve"> </w:t>
      </w:r>
      <m:oMath>
        <m:r>
          <m:t>h</m:t>
        </m:r>
      </m:oMath>
      <w:r>
        <w:t xml:space="preserve"> </w:t>
      </w:r>
      <w:r>
        <w:t xml:space="preserve">and using</w:t>
      </w:r>
      <w:r>
        <w:t xml:space="preserve"> </w:t>
      </w:r>
      <m:oMath>
        <m:r>
          <m:t>X</m:t>
        </m:r>
        <m:r>
          <m:rPr>
            <m:sty m:val="p"/>
          </m:rPr>
          <m:t>−</m:t>
        </m:r>
        <m:sSup>
          <m:e>
            <m:r>
              <m:t>c</m:t>
            </m:r>
          </m:e>
          <m:sup>
            <m:r>
              <m:rPr>
                <m:lit/>
                <m:sty m:val="p"/>
              </m:rPr>
              <m:t>*</m:t>
            </m:r>
          </m:sup>
        </m:sSup>
        <m:r>
          <m:rPr>
            <m:sty m:val="p"/>
          </m:rPr>
          <m:t>=</m:t>
        </m:r>
        <m:r>
          <m:rPr>
            <m:sty m:val="p"/>
          </m:rPr>
          <m:t>min</m:t>
        </m:r>
        <m:r>
          <m:rPr>
            <m:sty m:val="p"/>
          </m:rPr>
          <m:t>{</m:t>
        </m:r>
        <m:r>
          <m:t>X</m:t>
        </m:r>
        <m:r>
          <m:rPr>
            <m:sty m:val="p"/>
          </m:rPr>
          <m:t>,</m:t>
        </m:r>
        <m:sSub>
          <m:e>
            <m:r>
              <m:t>p</m:t>
            </m:r>
          </m:e>
          <m:sub>
            <m:r>
              <m:t>f</m:t>
            </m:r>
          </m:sub>
        </m:sSub>
        <m:d>
          <m:dPr>
            <m:begChr m:val="("/>
            <m:sepChr m:val=""/>
            <m:endChr m:val=")"/>
            <m:grow/>
          </m:dPr>
          <m:e>
            <m:r>
              <m:t>L</m:t>
            </m:r>
            <m:r>
              <m:rPr>
                <m:sty m:val="p"/>
              </m:rPr>
              <m:t>−</m:t>
            </m:r>
            <m:sSub>
              <m:e>
                <m:r>
                  <m:t>D</m:t>
                </m:r>
              </m:e>
              <m:sub>
                <m:r>
                  <m:t>B</m:t>
                </m:r>
              </m:sub>
            </m:sSub>
          </m:e>
        </m:d>
        <m:r>
          <m:rPr>
            <m:sty m:val="p"/>
          </m:rPr>
          <m:t>}</m:t>
        </m:r>
      </m:oMath>
      <w:r>
        <w:t xml:space="preserve"> </w:t>
      </w:r>
      <w:r>
        <w:t xml:space="preserve">gives (15). The difference (B.3) vanishes if and only if</w:t>
      </w:r>
      <w:r>
        <w:t xml:space="preserve"> </w:t>
      </w:r>
      <m:oMath>
        <m:r>
          <m:t>L</m:t>
        </m:r>
        <m:r>
          <m:rPr>
            <m:sty m:val="p"/>
          </m:rPr>
          <m:t>≤</m:t>
        </m:r>
        <m:sSub>
          <m:e>
            <m:r>
              <m:t>D</m:t>
            </m:r>
          </m:e>
          <m:sub>
            <m:r>
              <m:t>B</m:t>
            </m:r>
          </m:sub>
        </m:sSub>
      </m:oMath>
      <w:r>
        <w:t xml:space="preserve"> </w:t>
      </w:r>
      <w:r>
        <w:t xml:space="preserve">or</w:t>
      </w:r>
      <w:r>
        <w:t xml:space="preserve"> </w:t>
      </w:r>
      <m:oMath>
        <m:r>
          <m:t>X</m:t>
        </m:r>
        <m:r>
          <m:rPr>
            <m:sty m:val="p"/>
          </m:rPr>
          <m:t>=</m:t>
        </m:r>
        <m:r>
          <m:t>0</m:t>
        </m:r>
      </m:oMath>
      <w:r>
        <w:t xml:space="preserve"> </w:t>
      </w:r>
      <w:r>
        <w:t xml:space="preserve">(no debt can be carried),</w:t>
      </w:r>
      <w:r>
        <w:t xml:space="preserve"> </w:t>
      </w:r>
      <m:oMath>
        <m:sSup>
          <m:e>
            <m:r>
              <m:t>s</m:t>
            </m:r>
          </m:e>
          <m:sup>
            <m:r>
              <m:t>r</m:t>
            </m:r>
            <m:r>
              <m:t>e</m:t>
            </m:r>
            <m:r>
              <m:t>q</m:t>
            </m:r>
          </m:sup>
        </m:sSup>
        <m:r>
          <m:rPr>
            <m:sty m:val="p"/>
          </m:rPr>
          <m:t>=</m:t>
        </m:r>
        <m:r>
          <m:t>0</m:t>
        </m:r>
      </m:oMath>
      <w:r>
        <w:t xml:space="preserve"> </w:t>
      </w:r>
      <w:r>
        <w:t xml:space="preserve">(B needs no storage),</w:t>
      </w:r>
      <w:r>
        <w:t xml:space="preserve"> </w:t>
      </w:r>
      <m:oMath>
        <m:r>
          <m:t>H</m:t>
        </m:r>
        <m:r>
          <m:rPr>
            <m:sty m:val="p"/>
          </m:rPr>
          <m:t>≤</m:t>
        </m:r>
        <m:sSup>
          <m:e>
            <m:r>
              <m:t>c</m:t>
            </m:r>
          </m:e>
          <m:sup>
            <m:r>
              <m:rPr>
                <m:lit/>
                <m:sty m:val="p"/>
              </m:rPr>
              <m:t>*</m:t>
            </m:r>
          </m:sup>
        </m:sSup>
      </m:oMath>
      <w:r>
        <w:t xml:space="preserve"> </w:t>
      </w:r>
      <w:r>
        <w:t xml:space="preserve">(the channel only suffices for necessary catch-up) or</w:t>
      </w:r>
      <w:r>
        <w:t xml:space="preserve"> </w:t>
      </w:r>
      <m:oMath>
        <m:r>
          <m:t>H</m:t>
        </m:r>
        <m:r>
          <m:rPr>
            <m:sty m:val="p"/>
          </m:rPr>
          <m:t>≥</m:t>
        </m:r>
        <m:r>
          <m:t>X</m:t>
        </m:r>
        <m:r>
          <m:rPr>
            <m:sty m:val="p"/>
          </m:rPr>
          <m:t>+</m:t>
        </m:r>
        <m:sSup>
          <m:e>
            <m:r>
              <m:t>s</m:t>
            </m:r>
          </m:e>
          <m:sup>
            <m:r>
              <m:t>r</m:t>
            </m:r>
            <m:r>
              <m:t>e</m:t>
            </m:r>
            <m:r>
              <m:t>q</m:t>
            </m:r>
          </m:sup>
        </m:sSup>
      </m:oMath>
      <w:r>
        <w:t xml:space="preserve"> </w:t>
      </w:r>
      <w:r>
        <w:t xml:space="preserve">(the channel repays both debts). ∎</w:t>
      </w:r>
    </w:p>
    <w:p>
      <w:pPr>
        <w:pStyle w:val="BodyText"/>
      </w:pPr>
      <w:r>
        <w:t xml:space="preserve">Two consequences are used in Section 5. First, the minimum recovery energy</w:t>
      </w:r>
      <w:r>
        <w:t xml:space="preserve"> </w:t>
      </w:r>
      <m:oMath>
        <m:sSup>
          <m:e>
            <m:r>
              <m:t>τ</m:t>
            </m:r>
          </m:e>
          <m:sup>
            <m:r>
              <m:rPr>
                <m:lit/>
                <m:sty m:val="p"/>
              </m:rPr>
              <m:t>*</m:t>
            </m:r>
          </m:sup>
        </m:sSup>
        <m:r>
          <m:t>h</m:t>
        </m:r>
      </m:oMath>
      <w:r>
        <w:t xml:space="preserve"> </w:t>
      </w:r>
      <w:r>
        <w:t xml:space="preserve">is fixed, so iso-capability curves are hyperbolas in the plane of the interval and the channel width: a longer interval and a larger connection margin substitute for each other, and joint recovery shifts the curve by the carried debt</w:t>
      </w:r>
      <w:r>
        <w:t xml:space="preserve"> </w:t>
      </w:r>
      <m:oMath>
        <m:r>
          <m:rPr>
            <m:sty m:val="p"/>
          </m:rPr>
          <m:t>min</m:t>
        </m:r>
        <m:r>
          <m:rPr>
            <m:sty m:val="p"/>
          </m:rPr>
          <m:t>{</m:t>
        </m:r>
        <m:r>
          <m:t>X</m:t>
        </m:r>
        <m:r>
          <m:rPr>
            <m:sty m:val="p"/>
          </m:rPr>
          <m:t>,</m:t>
        </m:r>
        <m:sSub>
          <m:e>
            <m:r>
              <m:t>p</m:t>
            </m:r>
          </m:e>
          <m:sub>
            <m:r>
              <m:t>f</m:t>
            </m:r>
          </m:sub>
        </m:sSub>
        <m:d>
          <m:dPr>
            <m:begChr m:val="("/>
            <m:sepChr m:val=""/>
            <m:endChr m:val=")"/>
            <m:grow/>
          </m:dPr>
          <m:e>
            <m:r>
              <m:t>L</m:t>
            </m:r>
            <m:r>
              <m:rPr>
                <m:sty m:val="p"/>
              </m:rPr>
              <m:t>−</m:t>
            </m:r>
            <m:sSub>
              <m:e>
                <m:r>
                  <m:t>D</m:t>
                </m:r>
              </m:e>
              <m:sub>
                <m:r>
                  <m:t>B</m:t>
                </m:r>
              </m:sub>
            </m:sSub>
          </m:e>
        </m:d>
        <m:r>
          <m:rPr>
            <m:sty m:val="p"/>
          </m:rPr>
          <m:t>}</m:t>
        </m:r>
      </m:oMath>
      <w:r>
        <w:t xml:space="preserve">. Second, with several classes the necessary catch-up is</w:t>
      </w:r>
      <w:r>
        <w:t xml:space="preserve"> </w:t>
      </w:r>
      <m:oMath>
        <m:nary>
          <m:naryPr>
            <m:chr m:val="∑"/>
            <m:limLoc m:val="undOvr"/>
            <m:subHide m:val="off"/>
            <m:supHide m:val="on"/>
          </m:naryPr>
          <m:sub>
            <m:r>
              <m:t>c</m:t>
            </m:r>
          </m:sub>
          <m:sup>
            <m:r>
              <m:t>​</m:t>
            </m:r>
          </m:sup>
          <m:e>
            <m:sSup>
              <m:e>
                <m:d>
                  <m:dPr>
                    <m:begChr m:val="["/>
                    <m:sepChr m:val=""/>
                    <m:endChr m:val="]"/>
                    <m:grow/>
                  </m:dPr>
                  <m:e>
                    <m:sSub>
                      <m:e>
                        <m:r>
                          <m:t>X</m:t>
                        </m:r>
                      </m:e>
                      <m:sub>
                        <m:r>
                          <m:t>c</m:t>
                        </m:r>
                      </m:sub>
                    </m:sSub>
                    <m:r>
                      <m:rPr>
                        <m:sty m:val="p"/>
                      </m:rPr>
                      <m:t>−</m:t>
                    </m:r>
                    <m:sSub>
                      <m:e>
                        <m:r>
                          <m:t>p</m:t>
                        </m:r>
                      </m:e>
                      <m:sub>
                        <m:r>
                          <m:t>f</m:t>
                        </m:r>
                        <m:r>
                          <m:rPr>
                            <m:sty m:val="p"/>
                          </m:rPr>
                          <m:t>,</m:t>
                        </m:r>
                        <m:r>
                          <m:t>c</m:t>
                        </m:r>
                      </m:sub>
                    </m:sSub>
                    <m:d>
                      <m:dPr>
                        <m:begChr m:val="("/>
                        <m:sepChr m:val=""/>
                        <m:endChr m:val=")"/>
                        <m:grow/>
                      </m:dPr>
                      <m:e>
                        <m:sSub>
                          <m:e>
                            <m:r>
                              <m:t>L</m:t>
                            </m:r>
                          </m:e>
                          <m:sub>
                            <m:r>
                              <m:t>c</m:t>
                            </m:r>
                          </m:sub>
                        </m:sSub>
                        <m:r>
                          <m:rPr>
                            <m:sty m:val="p"/>
                          </m:rPr>
                          <m:t>−</m:t>
                        </m:r>
                        <m:sSub>
                          <m:e>
                            <m:r>
                              <m:t>D</m:t>
                            </m:r>
                          </m:e>
                          <m:sub>
                            <m:r>
                              <m:t>B</m:t>
                            </m:r>
                          </m:sub>
                        </m:sSub>
                      </m:e>
                    </m:d>
                  </m:e>
                </m:d>
              </m:e>
              <m:sup>
                <m:r>
                  <m:rPr>
                    <m:lit/>
                    <m:sty m:val="p"/>
                  </m:rPr>
                  <m:t>+</m:t>
                </m:r>
              </m:sup>
            </m:sSup>
          </m:e>
        </m:nary>
      </m:oMath>
      <w:r>
        <w:t xml:space="preserve">, so the long-deadline class C3 is carried across events first. The closed form is verified against a discrete-time LP on 68 cases (</w:t>
      </w:r>
      <m:oMath>
        <m:sSub>
          <m:e>
            <m:r>
              <m:t>p</m:t>
            </m:r>
          </m:e>
          <m:sub>
            <m:r>
              <m:t>f</m:t>
            </m:r>
          </m:sub>
        </m:sSub>
      </m:oMath>
      <w:r>
        <w:t xml:space="preserve"> </w:t>
      </w:r>
      <w:r>
        <w:t xml:space="preserve">= 5 MW,</w:t>
      </w:r>
      <w:r>
        <w:t xml:space="preserve"> </w:t>
      </w:r>
      <m:oMath>
        <m:sSub>
          <m:e>
            <m:r>
              <m:t>D</m:t>
            </m:r>
          </m:e>
          <m:sub>
            <m:r>
              <m:t>B</m:t>
            </m:r>
          </m:sub>
        </m:sSub>
      </m:oMath>
      <w:r>
        <w:t xml:space="preserve"> </w:t>
      </w:r>
      <w:r>
        <w:t xml:space="preserve">= 1 h,</w:t>
      </w:r>
      <w:r>
        <w:t xml:space="preserve"> </w:t>
      </w:r>
      <m:oMath>
        <m:r>
          <m:t>X</m:t>
        </m:r>
      </m:oMath>
      <w:r>
        <w:t xml:space="preserve"> </w:t>
      </w:r>
      <w:r>
        <w:t xml:space="preserve">= 5 MWh,</w:t>
      </w:r>
      <w:r>
        <w:t xml:space="preserve"> </w:t>
      </w:r>
      <m:oMath>
        <m:r>
          <m:t>h</m:t>
        </m:r>
      </m:oMath>
      <w:r>
        <w:t xml:space="preserve"> </w:t>
      </w:r>
      <w:r>
        <w:t xml:space="preserve">= 3 MW,</w:t>
      </w:r>
      <w:r>
        <w:t xml:space="preserve"> </w:t>
      </w:r>
      <m:oMath>
        <m:r>
          <m:t>L</m:t>
        </m:r>
        <m:r>
          <m:rPr>
            <m:sty m:val="p"/>
          </m:rPr>
          <m:t>∈</m:t>
        </m:r>
        <m:r>
          <m:rPr>
            <m:sty m:val="p"/>
          </m:rPr>
          <m:t>{</m:t>
        </m:r>
        <m:r>
          <m:t>1</m:t>
        </m:r>
        <m:r>
          <m:rPr>
            <m:sty m:val="p"/>
          </m:rPr>
          <m:t>,</m:t>
        </m:r>
        <m:r>
          <m:t>1.5</m:t>
        </m:r>
        <m:r>
          <m:rPr>
            <m:sty m:val="p"/>
          </m:rPr>
          <m:t>,</m:t>
        </m:r>
        <m:r>
          <m:t>2</m:t>
        </m:r>
        <m:r>
          <m:rPr>
            <m:sty m:val="p"/>
          </m:rPr>
          <m:t>,</m:t>
        </m:r>
        <m:r>
          <m:t>3</m:t>
        </m:r>
        <m:r>
          <m:rPr>
            <m:sty m:val="p"/>
          </m:rPr>
          <m:t>}</m:t>
        </m:r>
      </m:oMath>
      <w:r>
        <w:t xml:space="preserve"> </w:t>
      </w:r>
      <w:r>
        <w:t xml:space="preserve">h,</w:t>
      </w:r>
      <w:r>
        <w:t xml:space="preserve"> </w:t>
      </w:r>
      <m:oMath>
        <m:r>
          <m:t>τ</m:t>
        </m:r>
        <m:r>
          <m:rPr>
            <m:sty m:val="p"/>
          </m:rPr>
          <m:t>∈</m:t>
        </m:r>
        <m:d>
          <m:dPr>
            <m:begChr m:val="["/>
            <m:sepChr m:val=""/>
            <m:endChr m:val="]"/>
            <m:grow/>
          </m:dPr>
          <m:e>
            <m:r>
              <m:t>0</m:t>
            </m:r>
            <m:r>
              <m:rPr>
                <m:sty m:val="p"/>
              </m:rPr>
              <m:t>,</m:t>
            </m:r>
            <m:r>
              <m:t>4</m:t>
            </m:r>
          </m:e>
        </m:d>
      </m:oMath>
      <w:r>
        <w:t xml:space="preserve"> </w:t>
      </w:r>
      <w:r>
        <w:t xml:space="preserve">h); the two agree to within</w:t>
      </w:r>
      <w:r>
        <w:t xml:space="preserve"> </w:t>
      </w:r>
      <m:oMath>
        <m:sSup>
          <m:e>
            <m:r>
              <m:t>10</m:t>
            </m:r>
          </m:e>
          <m:sup>
            <m:r>
              <m:rPr>
                <m:sty m:val="p"/>
              </m:rPr>
              <m:t>−</m:t>
            </m:r>
            <m:r>
              <m:t>5</m:t>
            </m:r>
          </m:sup>
        </m:sSup>
      </m:oMath>
      <w:r>
        <w:t xml:space="preserve"> </w:t>
      </w:r>
      <w:r>
        <w:t xml:space="preserve">MW, the rounding of the stored results; the interval reductions are 0, 0.83, 1.67 and 1.67 h, as given by (15) (supplementary Fig. S6).</w:t>
      </w:r>
    </w:p>
    <w:p>
      <w:pPr>
        <w:pStyle w:val="BodyText"/>
      </w:pPr>
      <w:r>
        <w:rPr>
          <w:bCs/>
          <w:b/>
        </w:rPr>
        <w:t xml:space="preserve">Proof of Proposition 3.</w:t>
      </w:r>
      <w:r>
        <w:t xml:space="preserve"> </w:t>
      </w:r>
      <w:r>
        <w:t xml:space="preserve">Write the empirical distribution as</w:t>
      </w:r>
      <w:r>
        <w:t xml:space="preserve"> </w:t>
      </w:r>
      <m:oMath>
        <m:r>
          <m:t>N</m:t>
        </m:r>
      </m:oMath>
      <w:r>
        <w:t xml:space="preserve"> </w:t>
      </w:r>
      <w:r>
        <w:t xml:space="preserve">atoms of mass</w:t>
      </w:r>
      <w:r>
        <w:t xml:space="preserve"> </w:t>
      </w:r>
      <m:oMath>
        <m:r>
          <m:t>1</m:t>
        </m:r>
        <m:r>
          <m:rPr>
            <m:sty m:val="p"/>
          </m:rPr>
          <m:t>/</m:t>
        </m:r>
        <m:r>
          <m:t>N</m:t>
        </m:r>
      </m:oMath>
      <w:r>
        <w:t xml:space="preserve"> </w:t>
      </w:r>
      <w:r>
        <w:t xml:space="preserve">at</w:t>
      </w:r>
      <w:r>
        <w:t xml:space="preserve"> </w:t>
      </w:r>
      <m:oMath>
        <m:sSub>
          <m:e>
            <m:r>
              <m:t>ξ</m:t>
            </m:r>
          </m:e>
          <m:sub>
            <m:r>
              <m:t>d</m:t>
            </m:r>
          </m:sub>
        </m:sSub>
      </m:oMath>
      <w:r>
        <w:t xml:space="preserve">. Any</w:t>
      </w:r>
      <w:r>
        <w:t xml:space="preserve"> </w:t>
      </w:r>
      <m:oMath>
        <m:r>
          <m:t>Q</m:t>
        </m:r>
        <m:r>
          <m:rPr>
            <m:sty m:val="p"/>
          </m:rPr>
          <m:t>∈</m:t>
        </m:r>
        <m:sSub>
          <m:e>
            <m:r>
              <m:rPr>
                <m:scr m:val="script"/>
                <m:sty m:val="p"/>
              </m:rPr>
              <m:t>B</m:t>
            </m:r>
          </m:e>
          <m:sub>
            <m:r>
              <m:t>ε</m:t>
            </m:r>
          </m:sub>
        </m:sSub>
        <m:d>
          <m:dPr>
            <m:begChr m:val="("/>
            <m:sepChr m:val=""/>
            <m:endChr m:val=")"/>
            <m:grow/>
          </m:dPr>
          <m:e>
            <m:sSub>
              <m:e>
                <m:acc>
                  <m:accPr>
                    <m:chr m:val="̂"/>
                  </m:accPr>
                  <m:e>
                    <m:r>
                      <m:t>P</m:t>
                    </m:r>
                  </m:e>
                </m:acc>
              </m:e>
              <m:sub>
                <m:r>
                  <m:t>N</m:t>
                </m:r>
              </m:sub>
            </m:sSub>
          </m:e>
        </m:d>
      </m:oMath>
      <w:r>
        <w:t xml:space="preserve"> </w:t>
      </w:r>
      <w:r>
        <w:t xml:space="preserve">is the image of a transport plan with average displacement at most</w:t>
      </w:r>
      <w:r>
        <w:t xml:space="preserve"> </w:t>
      </w:r>
      <m:oMath>
        <m:r>
          <m:t>ε</m:t>
        </m:r>
      </m:oMath>
      <w:r>
        <w:t xml:space="preserve">. Moving mass between points on the same side of</w:t>
      </w:r>
      <w:r>
        <w:t xml:space="preserve"> </w:t>
      </w:r>
      <m:oMath>
        <m:r>
          <m:t>C</m:t>
        </m:r>
      </m:oMath>
      <w:r>
        <w:t xml:space="preserve">, or upwards, does not reduce</w:t>
      </w:r>
      <w:r>
        <w:t xml:space="preserve"> </w:t>
      </w:r>
      <m:oMath>
        <m:r>
          <m:t>Q</m:t>
        </m:r>
        <m:d>
          <m:dPr>
            <m:begChr m:val="("/>
            <m:sepChr m:val=""/>
            <m:endChr m:val=")"/>
            <m:grow/>
          </m:dPr>
          <m:e>
            <m:r>
              <m:t>ξ</m:t>
            </m:r>
            <m:r>
              <m:rPr>
                <m:sty m:val="p"/>
              </m:rPr>
              <m:t>≥</m:t>
            </m:r>
            <m:r>
              <m:t>C</m:t>
            </m:r>
          </m:e>
        </m:d>
      </m:oMath>
      <w:r>
        <w:t xml:space="preserve">, so a least favourable plan only moves mass</w:t>
      </w:r>
      <w:r>
        <w:t xml:space="preserve"> </w:t>
      </w:r>
      <m:oMath>
        <m:sSub>
          <m:e>
            <m:r>
              <m:t>w</m:t>
            </m:r>
          </m:e>
          <m:sub>
            <m:r>
              <m:t>d</m:t>
            </m:r>
          </m:sub>
        </m:sSub>
        <m:r>
          <m:rPr>
            <m:sty m:val="p"/>
          </m:rPr>
          <m:t>∈</m:t>
        </m:r>
        <m:d>
          <m:dPr>
            <m:begChr m:val="["/>
            <m:sepChr m:val=""/>
            <m:endChr m:val="]"/>
            <m:grow/>
          </m:dPr>
          <m:e>
            <m:r>
              <m:t>0</m:t>
            </m:r>
            <m:r>
              <m:rPr>
                <m:sty m:val="p"/>
              </m:rPr>
              <m:t>,</m:t>
            </m:r>
            <m:r>
              <m:t>1</m:t>
            </m:r>
            <m:r>
              <m:rPr>
                <m:sty m:val="p"/>
              </m:rPr>
              <m:t>/</m:t>
            </m:r>
            <m:r>
              <m:t>N</m:t>
            </m:r>
          </m:e>
        </m:d>
      </m:oMath>
      <w:r>
        <w:t xml:space="preserve"> </w:t>
      </w:r>
      <w:r>
        <w:t xml:space="preserve">from the atoms of</w:t>
      </w:r>
      <w:r>
        <w:t xml:space="preserve"> </w:t>
      </w:r>
      <m:oMath>
        <m:sSub>
          <m:e>
            <m:r>
              <m:rPr>
                <m:scr m:val="script"/>
                <m:sty m:val="p"/>
              </m:rPr>
              <m:t>D</m:t>
            </m:r>
          </m:e>
          <m:sub>
            <m:r>
              <m:t>C</m:t>
            </m:r>
          </m:sub>
        </m:sSub>
      </m:oMath>
      <w:r>
        <w:t xml:space="preserve"> </w:t>
      </w:r>
      <w:r>
        <w:t xml:space="preserve">to points arbitrarily close below</w:t>
      </w:r>
      <w:r>
        <w:t xml:space="preserve"> </w:t>
      </w:r>
      <m:oMath>
        <m:r>
          <m:t>C</m:t>
        </m:r>
      </m:oMath>
      <w:r>
        <w:t xml:space="preserve">, at the cost</w:t>
      </w:r>
      <w:r>
        <w:t xml:space="preserve"> </w:t>
      </w:r>
      <m:oMath>
        <m:sSub>
          <m:e>
            <m:r>
              <m:t>w</m:t>
            </m:r>
          </m:e>
          <m:sub>
            <m:r>
              <m:t>d</m:t>
            </m:r>
          </m:sub>
        </m:sSub>
        <m:r>
          <m:t> </m:t>
        </m:r>
        <m:sSub>
          <m:e>
            <m:r>
              <m:t>δ</m:t>
            </m:r>
          </m:e>
          <m:sub>
            <m:r>
              <m:t>d</m:t>
            </m:r>
          </m:sub>
        </m:sSub>
        <m:d>
          <m:dPr>
            <m:begChr m:val="("/>
            <m:sepChr m:val=""/>
            <m:endChr m:val=")"/>
            <m:grow/>
          </m:dPr>
          <m:e>
            <m:r>
              <m:t>C</m:t>
            </m:r>
          </m:e>
        </m:d>
      </m:oMath>
      <w:r>
        <w:t xml:space="preserve">. The worst case is therefore the fractional knapsack</w:t>
      </w:r>
    </w:p>
    <w:p>
      <w:pPr>
        <w:pStyle w:val="Equation"/>
      </w:pPr>
      <w:r>
        <w:tab/>
      </w:r>
      <m:oMath>
        <m:sSub>
          <m:e>
            <m:r>
              <m:rPr>
                <m:lit/>
                <m:sty m:val="p"/>
              </m:rPr>
              <m:t>sup</m:t>
            </m:r>
          </m:e>
          <m:sub>
            <m:r>
              <m:t>Q</m:t>
            </m:r>
            <m:r>
              <m:rPr>
                <m:sty m:val="p"/>
              </m:rPr>
              <m:t>∈</m:t>
            </m:r>
            <m:sSub>
              <m:e>
                <m:r>
                  <m:rPr>
                    <m:scr m:val="script"/>
                    <m:sty m:val="p"/>
                  </m:rPr>
                  <m:t>B</m:t>
                </m:r>
              </m:e>
              <m:sub>
                <m:r>
                  <m:t>ε</m:t>
                </m:r>
              </m:sub>
            </m:sSub>
            <m:d>
              <m:dPr>
                <m:begChr m:val="("/>
                <m:sepChr m:val=""/>
                <m:endChr m:val=")"/>
                <m:grow/>
              </m:dPr>
              <m:e>
                <m:sSub>
                  <m:e>
                    <m:acc>
                      <m:accPr>
                        <m:chr m:val="̂"/>
                      </m:accPr>
                      <m:e>
                        <m:r>
                          <m:t>P</m:t>
                        </m:r>
                      </m:e>
                    </m:acc>
                  </m:e>
                  <m:sub>
                    <m:r>
                      <m:t>N</m:t>
                    </m:r>
                  </m:sub>
                </m:sSub>
              </m:e>
            </m:d>
          </m:sub>
        </m:sSub>
        <m:r>
          <m:t>Q</m:t>
        </m:r>
        <m:d>
          <m:dPr>
            <m:begChr m:val="("/>
            <m:sepChr m:val=""/>
            <m:endChr m:val=")"/>
            <m:grow/>
          </m:dPr>
          <m:e>
            <m:r>
              <m:t>ξ</m:t>
            </m:r>
            <m:r>
              <m:rPr>
                <m:sty m:val="p"/>
              </m:rPr>
              <m:t>&lt;</m:t>
            </m:r>
            <m:r>
              <m:t>C</m:t>
            </m:r>
          </m:e>
        </m:d>
        <m:r>
          <m:rPr>
            <m:sty m:val="p"/>
          </m:rPr>
          <m:t>=</m:t>
        </m:r>
        <m:f>
          <m:fPr>
            <m:type m:val="bar"/>
          </m:fPr>
          <m:num>
            <m:r>
              <m:t>N</m:t>
            </m:r>
            <m:r>
              <m:rPr>
                <m:sty m:val="p"/>
              </m:rPr>
              <m:t>−</m:t>
            </m:r>
            <m:r>
              <m:t>n</m:t>
            </m:r>
            <m:d>
              <m:dPr>
                <m:begChr m:val="("/>
                <m:sepChr m:val=""/>
                <m:endChr m:val=")"/>
                <m:grow/>
              </m:dPr>
              <m:e>
                <m:r>
                  <m:t>C</m:t>
                </m:r>
              </m:e>
            </m:d>
          </m:num>
          <m:den>
            <m:r>
              <m:t>N</m:t>
            </m:r>
          </m:den>
        </m:f>
        <m:r>
          <m:rPr>
            <m:sty m:val="p"/>
          </m:rPr>
          <m:t>+</m:t>
        </m:r>
        <m:sSub>
          <m:e>
            <m:r>
              <m:rPr>
                <m:sty m:val="p"/>
              </m:rPr>
              <m:t>max</m:t>
            </m:r>
          </m:e>
          <m:sub>
            <m:r>
              <m:t>w</m:t>
            </m:r>
          </m:sub>
        </m:sSub>
        <m:d>
          <m:dPr>
            <m:begChr m:val="{"/>
            <m:sepChr m:val=""/>
            <m:endChr m:val="}"/>
            <m:grow/>
          </m:dPr>
          <m:e>
            <m:nary>
              <m:naryPr>
                <m:chr m:val="∑"/>
                <m:limLoc m:val="undOvr"/>
                <m:subHide m:val="off"/>
                <m:supHide m:val="on"/>
              </m:naryPr>
              <m:sub>
                <m:r>
                  <m:t>d</m:t>
                </m:r>
                <m:r>
                  <m:rPr>
                    <m:sty m:val="p"/>
                  </m:rPr>
                  <m:t>∈</m:t>
                </m:r>
                <m:sSub>
                  <m:e>
                    <m:r>
                      <m:rPr>
                        <m:scr m:val="script"/>
                        <m:sty m:val="p"/>
                      </m:rPr>
                      <m:t>D</m:t>
                    </m:r>
                  </m:e>
                  <m:sub>
                    <m:r>
                      <m:t>C</m:t>
                    </m:r>
                  </m:sub>
                </m:sSub>
              </m:sub>
              <m:sup>
                <m:r>
                  <m:t>​</m:t>
                </m:r>
              </m:sup>
              <m:e>
                <m:sSub>
                  <m:e>
                    <m:r>
                      <m:t>w</m:t>
                    </m:r>
                  </m:e>
                  <m:sub>
                    <m:r>
                      <m:t>d</m:t>
                    </m:r>
                  </m:sub>
                </m:sSub>
              </m:e>
            </m:nary>
            <m:r>
              <m:rPr>
                <m:sty m:val="p"/>
              </m:rPr>
              <m:t>:</m:t>
            </m:r>
            <m:r>
              <m:t> </m:t>
            </m:r>
            <m:nary>
              <m:naryPr>
                <m:chr m:val="∑"/>
                <m:limLoc m:val="undOvr"/>
                <m:subHide m:val="off"/>
                <m:supHide m:val="on"/>
              </m:naryPr>
              <m:sub>
                <m:r>
                  <m:t>d</m:t>
                </m:r>
                <m:r>
                  <m:rPr>
                    <m:sty m:val="p"/>
                  </m:rPr>
                  <m:t>∈</m:t>
                </m:r>
                <m:sSub>
                  <m:e>
                    <m:r>
                      <m:rPr>
                        <m:scr m:val="script"/>
                        <m:sty m:val="p"/>
                      </m:rPr>
                      <m:t>D</m:t>
                    </m:r>
                  </m:e>
                  <m:sub>
                    <m:r>
                      <m:t>C</m:t>
                    </m:r>
                  </m:sub>
                </m:sSub>
              </m:sub>
              <m:sup>
                <m:r>
                  <m:t>​</m:t>
                </m:r>
              </m:sup>
              <m:e>
                <m:sSub>
                  <m:e>
                    <m:r>
                      <m:t>w</m:t>
                    </m:r>
                  </m:e>
                  <m:sub>
                    <m:r>
                      <m:t>d</m:t>
                    </m:r>
                  </m:sub>
                </m:sSub>
              </m:e>
            </m:nary>
            <m:r>
              <m:t> </m:t>
            </m:r>
            <m:sSub>
              <m:e>
                <m:r>
                  <m:t>δ</m:t>
                </m:r>
              </m:e>
              <m:sub>
                <m:r>
                  <m:t>d</m:t>
                </m:r>
              </m:sub>
            </m:sSub>
            <m:d>
              <m:dPr>
                <m:begChr m:val="("/>
                <m:sepChr m:val=""/>
                <m:endChr m:val=")"/>
                <m:grow/>
              </m:dPr>
              <m:e>
                <m:r>
                  <m:t>C</m:t>
                </m:r>
              </m:e>
            </m:d>
            <m:r>
              <m:rPr>
                <m:sty m:val="p"/>
              </m:rPr>
              <m:t>≤</m:t>
            </m:r>
            <m:r>
              <m:t>ε</m:t>
            </m:r>
            <m:r>
              <m:rPr>
                <m:sty m:val="p"/>
              </m:rPr>
              <m:t>,</m:t>
            </m:r>
            <m:r>
              <m:t> </m:t>
            </m:r>
            <m:r>
              <m:t>0</m:t>
            </m:r>
            <m:r>
              <m:rPr>
                <m:sty m:val="p"/>
              </m:rPr>
              <m:t>≤</m:t>
            </m:r>
            <m:sSub>
              <m:e>
                <m:r>
                  <m:t>w</m:t>
                </m:r>
              </m:e>
              <m:sub>
                <m:r>
                  <m:t>d</m:t>
                </m:r>
              </m:sub>
            </m:sSub>
            <m:r>
              <m:rPr>
                <m:sty m:val="p"/>
              </m:rPr>
              <m:t>≤</m:t>
            </m:r>
            <m:f>
              <m:fPr>
                <m:type m:val="bar"/>
              </m:fPr>
              <m:num>
                <m:r>
                  <m:t>1</m:t>
                </m:r>
              </m:num>
              <m:den>
                <m:r>
                  <m:t>N</m:t>
                </m:r>
              </m:den>
            </m:f>
          </m:e>
        </m:d>
        <m:r>
          <m:rPr>
            <m:sty m:val="p"/>
          </m:rPr>
          <m:t>.</m:t>
        </m:r>
      </m:oMath>
      <w:r>
        <w:tab/>
      </w:r>
      <w:r>
        <w:t xml:space="preserve">(B.4)</w:t>
      </w:r>
    </w:p>
    <w:p>
      <w:pPr>
        <w:pStyle w:val="BodyText"/>
      </w:pPr>
      <w:r>
        <w:t xml:space="preserve">With the multiplier</w:t>
      </w:r>
      <w:r>
        <w:t xml:space="preserve"> </w:t>
      </w:r>
      <m:oMath>
        <m:r>
          <m:t>λ</m:t>
        </m:r>
        <m:r>
          <m:rPr>
            <m:sty m:val="p"/>
          </m:rPr>
          <m:t>≥</m:t>
        </m:r>
        <m:r>
          <m:t>0</m:t>
        </m:r>
      </m:oMath>
      <w:r>
        <w:t xml:space="preserve"> </w:t>
      </w:r>
      <w:r>
        <w:t xml:space="preserve">of the budget constraint and</w:t>
      </w:r>
      <w:r>
        <w:t xml:space="preserve"> </w:t>
      </w:r>
      <m:oMath>
        <m:sSub>
          <m:e>
            <m:r>
              <m:t>υ</m:t>
            </m:r>
          </m:e>
          <m:sub>
            <m:r>
              <m:t>d</m:t>
            </m:r>
          </m:sub>
        </m:sSub>
        <m:r>
          <m:rPr>
            <m:sty m:val="p"/>
          </m:rPr>
          <m:t>≥</m:t>
        </m:r>
        <m:r>
          <m:t>0</m:t>
        </m:r>
      </m:oMath>
      <w:r>
        <w:t xml:space="preserve"> </w:t>
      </w:r>
      <w:r>
        <w:t xml:space="preserve">of the upper bounds, the LP dual of (B.4) is</w:t>
      </w:r>
      <w:r>
        <w:t xml:space="preserve"> </w:t>
      </w:r>
      <m:oMath>
        <m:r>
          <m:rPr>
            <m:sty m:val="p"/>
          </m:rPr>
          <m:t>min</m:t>
        </m:r>
        <m:r>
          <m:rPr>
            <m:sty m:val="p"/>
          </m:rPr>
          <m:t>{</m:t>
        </m:r>
        <m:r>
          <m:t>λ</m:t>
        </m:r>
        <m:r>
          <m:t>ε</m:t>
        </m:r>
        <m:r>
          <m:rPr>
            <m:sty m:val="p"/>
          </m:rPr>
          <m:t>+</m:t>
        </m:r>
        <m:f>
          <m:fPr>
            <m:type m:val="bar"/>
          </m:fPr>
          <m:num>
            <m:r>
              <m:t>1</m:t>
            </m:r>
          </m:num>
          <m:den>
            <m:r>
              <m:t>N</m:t>
            </m:r>
          </m:den>
        </m:f>
        <m:nary>
          <m:naryPr>
            <m:chr m:val="∑"/>
            <m:limLoc m:val="undOvr"/>
            <m:subHide m:val="off"/>
            <m:supHide m:val="on"/>
          </m:naryPr>
          <m:sub>
            <m:r>
              <m:t>d</m:t>
            </m:r>
          </m:sub>
          <m:sup>
            <m:r>
              <m:t>​</m:t>
            </m:r>
          </m:sup>
          <m:e>
            <m:sSub>
              <m:e>
                <m:r>
                  <m:t>υ</m:t>
                </m:r>
              </m:e>
              <m:sub>
                <m:r>
                  <m:t>d</m:t>
                </m:r>
              </m:sub>
            </m:sSub>
          </m:e>
        </m:nary>
        <m:r>
          <m:rPr>
            <m:sty m:val="p"/>
          </m:rPr>
          <m:t>:</m:t>
        </m:r>
        <m:r>
          <m:t> </m:t>
        </m:r>
        <m:sSub>
          <m:e>
            <m:r>
              <m:t>υ</m:t>
            </m:r>
          </m:e>
          <m:sub>
            <m:r>
              <m:t>d</m:t>
            </m:r>
          </m:sub>
        </m:sSub>
        <m:r>
          <m:rPr>
            <m:sty m:val="p"/>
          </m:rPr>
          <m:t>≥</m:t>
        </m:r>
        <m:r>
          <m:t>1</m:t>
        </m:r>
        <m:r>
          <m:rPr>
            <m:sty m:val="p"/>
          </m:rPr>
          <m:t>−</m:t>
        </m:r>
        <m:r>
          <m:t>λ</m:t>
        </m:r>
        <m:sSub>
          <m:e>
            <m:r>
              <m:t>δ</m:t>
            </m:r>
          </m:e>
          <m:sub>
            <m:r>
              <m:t>d</m:t>
            </m:r>
          </m:sub>
        </m:sSub>
        <m:d>
          <m:dPr>
            <m:begChr m:val="("/>
            <m:sepChr m:val=""/>
            <m:endChr m:val=")"/>
            <m:grow/>
          </m:dPr>
          <m:e>
            <m:r>
              <m:t>C</m:t>
            </m:r>
          </m:e>
        </m:d>
        <m:r>
          <m:rPr>
            <m:sty m:val="p"/>
          </m:rPr>
          <m:t>,</m:t>
        </m:r>
        <m:r>
          <m:t> </m:t>
        </m:r>
        <m:sSub>
          <m:e>
            <m:r>
              <m:t>υ</m:t>
            </m:r>
          </m:e>
          <m:sub>
            <m:r>
              <m:t>d</m:t>
            </m:r>
          </m:sub>
        </m:sSub>
        <m:r>
          <m:rPr>
            <m:sty m:val="p"/>
          </m:rPr>
          <m:t>≥</m:t>
        </m:r>
        <m:r>
          <m:t>0</m:t>
        </m:r>
        <m:r>
          <m:rPr>
            <m:sty m:val="p"/>
          </m:rPr>
          <m:t>}</m:t>
        </m:r>
      </m:oMath>
      <w:r>
        <w:t xml:space="preserve">. Eliminating</w:t>
      </w:r>
      <w:r>
        <w:t xml:space="preserve"> </w:t>
      </w:r>
      <m:oMath>
        <m:sSub>
          <m:e>
            <m:r>
              <m:t>υ</m:t>
            </m:r>
          </m:e>
          <m:sub>
            <m:r>
              <m:t>d</m:t>
            </m:r>
          </m:sub>
        </m:sSub>
        <m:r>
          <m:rPr>
            <m:sty m:val="p"/>
          </m:rPr>
          <m:t>=</m:t>
        </m:r>
        <m:r>
          <m:rPr>
            <m:sty m:val="p"/>
          </m:rPr>
          <m:t>max</m:t>
        </m:r>
        <m:r>
          <m:rPr>
            <m:sty m:val="p"/>
          </m:rPr>
          <m:t>{</m:t>
        </m:r>
        <m:r>
          <m:t>1</m:t>
        </m:r>
        <m:r>
          <m:rPr>
            <m:sty m:val="p"/>
          </m:rPr>
          <m:t>−</m:t>
        </m:r>
        <m:r>
          <m:t>λ</m:t>
        </m:r>
        <m:sSub>
          <m:e>
            <m:r>
              <m:t>δ</m:t>
            </m:r>
          </m:e>
          <m:sub>
            <m:r>
              <m:t>d</m:t>
            </m:r>
          </m:sub>
        </m:sSub>
        <m:d>
          <m:dPr>
            <m:begChr m:val="("/>
            <m:sepChr m:val=""/>
            <m:endChr m:val=")"/>
            <m:grow/>
          </m:dPr>
          <m:e>
            <m:r>
              <m:t>C</m:t>
            </m:r>
          </m:e>
        </m:d>
        <m:r>
          <m:rPr>
            <m:sty m:val="p"/>
          </m:rPr>
          <m:t>,</m:t>
        </m:r>
        <m:r>
          <m:t>0</m:t>
        </m:r>
        <m:r>
          <m:rPr>
            <m:sty m:val="p"/>
          </m:rPr>
          <m:t>}</m:t>
        </m:r>
      </m:oMath>
      <w:r>
        <w:t xml:space="preserve"> </w:t>
      </w:r>
      <w:r>
        <w:t xml:space="preserve">gives (18); strong duality holds because (B.4) is a feasible and bounded LP. The optimum of (B.4) removes the atoms with the smallest margins first. The worst-case probability</w:t>
      </w:r>
      <w:r>
        <w:t xml:space="preserve"> </w:t>
      </w:r>
      <m:oMath>
        <m:sSub>
          <m:e>
            <m:r>
              <m:rPr>
                <m:lit/>
                <m:sty m:val="p"/>
              </m:rPr>
              <m:t>inf</m:t>
            </m:r>
          </m:e>
          <m:sub>
            <m:r>
              <m:t>Q</m:t>
            </m:r>
          </m:sub>
        </m:sSub>
        <m:r>
          <m:t>Q</m:t>
        </m:r>
        <m:d>
          <m:dPr>
            <m:begChr m:val="("/>
            <m:sepChr m:val=""/>
            <m:endChr m:val=")"/>
            <m:grow/>
          </m:dPr>
          <m:e>
            <m:r>
              <m:t>ξ</m:t>
            </m:r>
            <m:r>
              <m:rPr>
                <m:sty m:val="p"/>
              </m:rPr>
              <m:t>≥</m:t>
            </m:r>
            <m:r>
              <m:t>C</m:t>
            </m:r>
          </m:e>
        </m:d>
      </m:oMath>
      <w:r>
        <w:t xml:space="preserve"> </w:t>
      </w:r>
      <w:r>
        <w:t xml:space="preserve">therefore stays at least</w:t>
      </w:r>
      <w:r>
        <w:t xml:space="preserve"> </w:t>
      </w:r>
      <m:oMath>
        <m:r>
          <m:t>ρ</m:t>
        </m:r>
      </m:oMath>
      <w:r>
        <w:t xml:space="preserve"> </w:t>
      </w:r>
      <w:r>
        <w:t xml:space="preserve">if and only if removing the mass</w:t>
      </w:r>
      <w:r>
        <w:t xml:space="preserve"> </w:t>
      </w:r>
      <m:oMath>
        <m:r>
          <m:t>q</m:t>
        </m:r>
        <m:d>
          <m:dPr>
            <m:begChr m:val="("/>
            <m:sepChr m:val=""/>
            <m:endChr m:val=")"/>
            <m:grow/>
          </m:dPr>
          <m:e>
            <m:r>
              <m:t>C</m:t>
            </m:r>
          </m:e>
        </m:d>
        <m:r>
          <m:rPr>
            <m:sty m:val="p"/>
          </m:rPr>
          <m:t>/</m:t>
        </m:r>
        <m:r>
          <m:t>N</m:t>
        </m:r>
      </m:oMath>
      <w:r>
        <w:t xml:space="preserve">, i.e. the</w:t>
      </w:r>
      <w:r>
        <w:t xml:space="preserve"> </w:t>
      </w:r>
      <m:oMath>
        <m:r>
          <m:rPr>
            <m:sty m:val="p"/>
          </m:rPr>
          <m:t>⌊</m:t>
        </m:r>
        <m:r>
          <m:t>q</m:t>
        </m:r>
        <m:r>
          <m:rPr>
            <m:sty m:val="p"/>
          </m:rPr>
          <m:t>⌋</m:t>
        </m:r>
      </m:oMath>
      <w:r>
        <w:t xml:space="preserve"> </w:t>
      </w:r>
      <w:r>
        <w:t xml:space="preserve">atoms with the smallest margins and the fraction</w:t>
      </w:r>
      <w:r>
        <w:t xml:space="preserve"> </w:t>
      </w:r>
      <m:oMath>
        <m:r>
          <m:t>q</m:t>
        </m:r>
        <m:r>
          <m:rPr>
            <m:sty m:val="p"/>
          </m:rPr>
          <m:t>−</m:t>
        </m:r>
        <m:r>
          <m:rPr>
            <m:sty m:val="p"/>
          </m:rPr>
          <m:t>⌊</m:t>
        </m:r>
        <m:r>
          <m:t>q</m:t>
        </m:r>
        <m:r>
          <m:rPr>
            <m:sty m:val="p"/>
          </m:rPr>
          <m:t>⌋</m:t>
        </m:r>
      </m:oMath>
      <w:r>
        <w:t xml:space="preserve"> </w:t>
      </w:r>
      <w:r>
        <w:t xml:space="preserve">of the next one, costs at least</w:t>
      </w:r>
      <w:r>
        <w:t xml:space="preserve"> </w:t>
      </w:r>
      <m:oMath>
        <m:r>
          <m:t>ε</m:t>
        </m:r>
      </m:oMath>
      <w:r>
        <w:t xml:space="preserve">, which is (19). For</w:t>
      </w:r>
      <w:r>
        <w:t xml:space="preserve"> </w:t>
      </w:r>
      <m:oMath>
        <m:r>
          <m:t>ε</m:t>
        </m:r>
        <m:r>
          <m:rPr>
            <m:sty m:val="p"/>
          </m:rPr>
          <m:t>=</m:t>
        </m:r>
        <m:r>
          <m:t>0</m:t>
        </m:r>
      </m:oMath>
      <w:r>
        <w:t xml:space="preserve"> </w:t>
      </w:r>
      <w:r>
        <w:t xml:space="preserve">the condition reduces to</w:t>
      </w:r>
      <w:r>
        <w:t xml:space="preserve"> </w:t>
      </w:r>
      <m:oMath>
        <m:r>
          <m:t>n</m:t>
        </m:r>
        <m:d>
          <m:dPr>
            <m:begChr m:val="("/>
            <m:sepChr m:val=""/>
            <m:endChr m:val=")"/>
            <m:grow/>
          </m:dPr>
          <m:e>
            <m:r>
              <m:t>C</m:t>
            </m:r>
          </m:e>
        </m:d>
        <m:r>
          <m:rPr>
            <m:sty m:val="p"/>
          </m:rPr>
          <m:t>≥</m:t>
        </m:r>
        <m:r>
          <m:t>ρ</m:t>
        </m:r>
        <m:r>
          <m:t>N</m:t>
        </m:r>
      </m:oMath>
      <w:r>
        <w:t xml:space="preserve">, the sample-average constraint.</w:t>
      </w:r>
      <w:r>
        <w:t xml:space="preserve"> </w:t>
      </w:r>
      <m:oMath>
        <m:sSub>
          <m:e>
            <m:r>
              <m:t>Φ</m:t>
            </m:r>
          </m:e>
          <m:sub>
            <m:r>
              <m:t>ρ</m:t>
            </m:r>
          </m:sub>
        </m:sSub>
        <m:d>
          <m:dPr>
            <m:begChr m:val="("/>
            <m:sepChr m:val=""/>
            <m:endChr m:val=")"/>
            <m:grow/>
          </m:dPr>
          <m:e>
            <m:r>
              <m:t>C</m:t>
            </m:r>
          </m:e>
        </m:d>
      </m:oMath>
      <w:r>
        <w:t xml:space="preserve"> </w:t>
      </w:r>
      <w:r>
        <w:t xml:space="preserve">is non-increasing in</w:t>
      </w:r>
      <w:r>
        <w:t xml:space="preserve"> </w:t>
      </w:r>
      <m:oMath>
        <m:r>
          <m:t>C</m:t>
        </m:r>
      </m:oMath>
      <w:r>
        <w:t xml:space="preserve">, because</w:t>
      </w:r>
      <w:r>
        <w:t xml:space="preserve"> </w:t>
      </w:r>
      <m:oMath>
        <m:r>
          <m:t>n</m:t>
        </m:r>
        <m:d>
          <m:dPr>
            <m:begChr m:val="("/>
            <m:sepChr m:val=""/>
            <m:endChr m:val=")"/>
            <m:grow/>
          </m:dPr>
          <m:e>
            <m:r>
              <m:t>C</m:t>
            </m:r>
          </m:e>
        </m:d>
      </m:oMath>
      <w:r>
        <w:t xml:space="preserve"> </w:t>
      </w:r>
      <w:r>
        <w:t xml:space="preserve">and all margins decrease with</w:t>
      </w:r>
      <w:r>
        <w:t xml:space="preserve"> </w:t>
      </w:r>
      <m:oMath>
        <m:r>
          <m:t>C</m:t>
        </m:r>
      </m:oMath>
      <w:r>
        <w:t xml:space="preserve">, so the feasible commitments form a lower set and</w:t>
      </w:r>
      <w:r>
        <w:t xml:space="preserve"> </w:t>
      </w:r>
      <m:oMath>
        <m:sSubSup>
          <m:e>
            <m:r>
              <m:t>C</m:t>
            </m:r>
          </m:e>
          <m:sub>
            <m:r>
              <m:t>ρ</m:t>
            </m:r>
          </m:sub>
          <m:sup>
            <m:r>
              <m:t>D</m:t>
            </m:r>
            <m:r>
              <m:t>R</m:t>
            </m:r>
            <m:r>
              <m:t>O</m:t>
            </m:r>
          </m:sup>
        </m:sSubSup>
        <m:d>
          <m:dPr>
            <m:begChr m:val="("/>
            <m:sepChr m:val=""/>
            <m:endChr m:val=")"/>
            <m:grow/>
          </m:dPr>
          <m:e>
            <m:r>
              <m:t>ε</m:t>
            </m:r>
          </m:e>
        </m:d>
      </m:oMath>
      <w:r>
        <w:t xml:space="preserve"> </w:t>
      </w:r>
      <w:r>
        <w:t xml:space="preserve">is non-increasing in</w:t>
      </w:r>
      <w:r>
        <w:t xml:space="preserve"> </w:t>
      </w:r>
      <m:oMath>
        <m:r>
          <m:t>ε</m:t>
        </m:r>
      </m:oMath>
      <w:r>
        <w:t xml:space="preserve">. When the atoms just above</w:t>
      </w:r>
      <w:r>
        <w:t xml:space="preserve"> </w:t>
      </w:r>
      <m:oMath>
        <m:r>
          <m:t>C</m:t>
        </m:r>
      </m:oMath>
      <w:r>
        <w:t xml:space="preserve"> </w:t>
      </w:r>
      <w:r>
        <w:t xml:space="preserve">have large margins,</w:t>
      </w:r>
      <w:r>
        <w:t xml:space="preserve"> </w:t>
      </w:r>
      <m:oMath>
        <m:sSub>
          <m:e>
            <m:r>
              <m:t>Φ</m:t>
            </m:r>
          </m:e>
          <m:sub>
            <m:r>
              <m:t>ρ</m:t>
            </m:r>
          </m:sub>
        </m:sSub>
        <m:d>
          <m:dPr>
            <m:begChr m:val="("/>
            <m:sepChr m:val=""/>
            <m:endChr m:val=")"/>
            <m:grow/>
          </m:dPr>
          <m:e>
            <m:r>
              <m:t>C</m:t>
            </m:r>
          </m:e>
        </m:d>
      </m:oMath>
      <w:r>
        <w:t xml:space="preserve"> </w:t>
      </w:r>
      <w:r>
        <w:t xml:space="preserve">is large and a moderate radius does not change the commitment. ∎</w:t>
      </w:r>
    </w:p>
    <w:p>
      <w:pPr>
        <w:pStyle w:val="BodyText"/>
      </w:pPr>
      <w:r>
        <w:t xml:space="preserve">If the radius exceeds the finite-sample concentration radius</w:t>
      </w:r>
      <w:r>
        <w:t xml:space="preserve"> </w:t>
      </w:r>
      <m:oMath>
        <m:sSub>
          <m:e>
            <m:r>
              <m:t>ε</m:t>
            </m:r>
          </m:e>
          <m:sub>
            <m:r>
              <m:t>N</m:t>
            </m:r>
            <m:r>
              <m:rPr>
                <m:sty m:val="p"/>
              </m:rPr>
              <m:t>,</m:t>
            </m:r>
            <m:r>
              <m:t>β</m:t>
            </m:r>
          </m:sub>
        </m:sSub>
      </m:oMath>
      <w:r>
        <w:t xml:space="preserve"> </w:t>
      </w:r>
      <w:r>
        <w:t xml:space="preserve">of the 1-Wasserstein distance [26], the true capability distribution lies in</w:t>
      </w:r>
      <w:r>
        <w:t xml:space="preserve"> </w:t>
      </w:r>
      <m:oMath>
        <m:sSub>
          <m:e>
            <m:r>
              <m:rPr>
                <m:scr m:val="script"/>
                <m:sty m:val="p"/>
              </m:rPr>
              <m:t>B</m:t>
            </m:r>
          </m:e>
          <m:sub>
            <m:r>
              <m:t>ε</m:t>
            </m:r>
          </m:sub>
        </m:sSub>
        <m:d>
          <m:dPr>
            <m:begChr m:val="("/>
            <m:sepChr m:val=""/>
            <m:endChr m:val=")"/>
            <m:grow/>
          </m:dPr>
          <m:e>
            <m:sSub>
              <m:e>
                <m:acc>
                  <m:accPr>
                    <m:chr m:val="̂"/>
                  </m:accPr>
                  <m:e>
                    <m:r>
                      <m:t>P</m:t>
                    </m:r>
                  </m:e>
                </m:acc>
              </m:e>
              <m:sub>
                <m:r>
                  <m:t>N</m:t>
                </m:r>
              </m:sub>
            </m:sSub>
          </m:e>
        </m:d>
      </m:oMath>
      <w:r>
        <w:t xml:space="preserve"> </w:t>
      </w:r>
      <w:r>
        <w:t xml:space="preserve">with confidence</w:t>
      </w:r>
      <w:r>
        <w:t xml:space="preserve"> </w:t>
      </w:r>
      <m:oMath>
        <m:r>
          <m:t>1</m:t>
        </m:r>
        <m:r>
          <m:rPr>
            <m:sty m:val="p"/>
          </m:rPr>
          <m:t>−</m:t>
        </m:r>
        <m:r>
          <m:t>β</m:t>
        </m:r>
      </m:oMath>
      <w:r>
        <w:t xml:space="preserve">, and the commitment</w:t>
      </w:r>
      <w:r>
        <w:t xml:space="preserve"> </w:t>
      </w:r>
      <m:oMath>
        <m:sSubSup>
          <m:e>
            <m:r>
              <m:t>C</m:t>
            </m:r>
          </m:e>
          <m:sub>
            <m:r>
              <m:t>ρ</m:t>
            </m:r>
          </m:sub>
          <m:sup>
            <m:r>
              <m:t>D</m:t>
            </m:r>
            <m:r>
              <m:t>R</m:t>
            </m:r>
            <m:r>
              <m:t>O</m:t>
            </m:r>
          </m:sup>
        </m:sSubSup>
      </m:oMath>
      <w:r>
        <w:t xml:space="preserve"> </w:t>
      </w:r>
      <w:r>
        <w:t xml:space="preserve">is delivered in full with probability at least</w:t>
      </w:r>
      <w:r>
        <w:t xml:space="preserve"> </w:t>
      </w:r>
      <m:oMath>
        <m:r>
          <m:t>ρ</m:t>
        </m:r>
      </m:oMath>
      <w:r>
        <w:t xml:space="preserve">. For</w:t>
      </w:r>
      <w:r>
        <w:t xml:space="preserve"> </w:t>
      </w:r>
      <m:oMath>
        <m:r>
          <m:t>N</m:t>
        </m:r>
        <m:r>
          <m:rPr>
            <m:sty m:val="p"/>
          </m:rPr>
          <m:t>=</m:t>
        </m:r>
        <m:r>
          <m:t>14</m:t>
        </m:r>
      </m:oMath>
      <w:r>
        <w:t xml:space="preserve"> </w:t>
      </w:r>
      <w:r>
        <w:t xml:space="preserve">such radii exceed the spread of the capability itself, so the case study uses the expected estimation error (20), which scales with the dispersion of the capability, and validates it by leave-one-out.</w:t>
      </w:r>
    </w:p>
    <w:p>
      <w:pPr>
        <w:pStyle w:val="BodyText"/>
      </w:pPr>
      <w:r>
        <w:rPr>
          <w:bCs/>
          <w:b/>
        </w:rPr>
        <w:t xml:space="preserve">Remark B.1 (single channel price).</w:t>
      </w:r>
      <w:r>
        <w:t xml:space="preserve"> </w:t>
      </w:r>
      <w:r>
        <w:t xml:space="preserve">For the joint model with fixed binaries, let</w:t>
      </w:r>
      <w:r>
        <w:t xml:space="preserve"> </w:t>
      </w:r>
      <m:oMath>
        <m:sSubSup>
          <m:e>
            <m:r>
              <m:t>λ</m:t>
            </m:r>
          </m:e>
          <m:sub>
            <m:r>
              <m:t>t</m:t>
            </m:r>
          </m:sub>
          <m:sup>
            <m:r>
              <m:t>e</m:t>
            </m:r>
            <m:r>
              <m:t>l</m:t>
            </m:r>
          </m:sup>
        </m:sSubSup>
      </m:oMath>
      <w:r>
        <w:t xml:space="preserve"> </w:t>
      </w:r>
      <w:r>
        <w:t xml:space="preserve">be the dual of the electric balance,</w:t>
      </w:r>
      <w:r>
        <w:t xml:space="preserve"> </w:t>
      </w:r>
      <m:oMath>
        <m:sSub>
          <m:e>
            <m:r>
              <m:t>ν</m:t>
            </m:r>
          </m:e>
          <m:sub>
            <m:r>
              <m:t>t</m:t>
            </m:r>
          </m:sub>
        </m:sSub>
      </m:oMath>
      <w:r>
        <w:t xml:space="preserve"> </w:t>
      </w:r>
      <w:r>
        <w:t xml:space="preserve">that of the BESS energy equation and</w:t>
      </w:r>
      <w:r>
        <w:t xml:space="preserve"> </w:t>
      </w:r>
      <m:oMath>
        <m:sSub>
          <m:e>
            <m:r>
              <m:t>μ</m:t>
            </m:r>
          </m:e>
          <m:sub>
            <m:r>
              <m:t>c</m:t>
            </m:r>
            <m:r>
              <m:rPr>
                <m:sty m:val="p"/>
              </m:rPr>
              <m:t>,</m:t>
            </m:r>
            <m:r>
              <m:t>t</m:t>
            </m:r>
          </m:sub>
        </m:sSub>
      </m:oMath>
      <w:r>
        <w:t xml:space="preserve"> </w:t>
      </w:r>
      <w:r>
        <w:t xml:space="preserve">that of the backlog equation of class</w:t>
      </w:r>
      <w:r>
        <w:t xml:space="preserve"> </w:t>
      </w:r>
      <m:oMath>
        <m:r>
          <m:t>c</m:t>
        </m:r>
      </m:oMath>
      <w:r>
        <w:t xml:space="preserve">. The KKT conditions give</w:t>
      </w:r>
      <w:r>
        <w:t xml:space="preserve"> </w:t>
      </w:r>
      <m:oMath>
        <m:sSubSup>
          <m:e>
            <m:r>
              <m:t>λ</m:t>
            </m:r>
          </m:e>
          <m:sub>
            <m:r>
              <m:t>t</m:t>
            </m:r>
          </m:sub>
          <m:sup>
            <m:r>
              <m:t>e</m:t>
            </m:r>
            <m:r>
              <m:t>l</m:t>
            </m:r>
          </m:sup>
        </m:sSubSup>
        <m:r>
          <m:rPr>
            <m:sty m:val="p"/>
          </m:rPr>
          <m:t>=</m:t>
        </m:r>
        <m:sSub>
          <m:e>
            <m:r>
              <m:t>π</m:t>
            </m:r>
          </m:e>
          <m:sub>
            <m:r>
              <m:t>t</m:t>
            </m:r>
          </m:sub>
        </m:sSub>
        <m:r>
          <m:rPr>
            <m:sty m:val="p"/>
          </m:rPr>
          <m:t>+</m:t>
        </m:r>
        <m:sSubSup>
          <m:e>
            <m:r>
              <m:t>λ</m:t>
            </m:r>
          </m:e>
          <m:sub>
            <m:r>
              <m:t>t</m:t>
            </m:r>
          </m:sub>
          <m:sup>
            <m:r>
              <m:t>c</m:t>
            </m:r>
            <m:r>
              <m:t>a</m:t>
            </m:r>
            <m:r>
              <m:t>p</m:t>
            </m:r>
          </m:sup>
        </m:sSubSup>
        <m:r>
          <m:rPr>
            <m:sty m:val="p"/>
          </m:rPr>
          <m:t>+</m:t>
        </m:r>
        <m:sSubSup>
          <m:e>
            <m:r>
              <m:t>λ</m:t>
            </m:r>
          </m:e>
          <m:sub>
            <m:r>
              <m:t>t</m:t>
            </m:r>
          </m:sub>
          <m:sup>
            <m:r>
              <m:t>e</m:t>
            </m:r>
            <m:r>
              <m:t>v</m:t>
            </m:r>
          </m:sup>
        </m:sSubSup>
      </m:oMath>
      <w:r>
        <w:t xml:space="preserve"> </w:t>
      </w:r>
      <w:r>
        <w:t xml:space="preserve">when the import is interior,</w:t>
      </w:r>
      <w:r>
        <w:t xml:space="preserve"> </w:t>
      </w:r>
      <m:oMath>
        <m:sSub>
          <m:e>
            <m:r>
              <m:t>η</m:t>
            </m:r>
          </m:e>
          <m:sub>
            <m:r>
              <m:t>c</m:t>
            </m:r>
          </m:sub>
        </m:sSub>
        <m:sSub>
          <m:e>
            <m:r>
              <m:t>ν</m:t>
            </m:r>
          </m:e>
          <m:sub>
            <m:r>
              <m:t>t</m:t>
            </m:r>
          </m:sub>
        </m:sSub>
        <m:r>
          <m:rPr>
            <m:sty m:val="p"/>
          </m:rPr>
          <m:t>=</m:t>
        </m:r>
        <m:sSubSup>
          <m:e>
            <m:r>
              <m:t>λ</m:t>
            </m:r>
          </m:e>
          <m:sub>
            <m:r>
              <m:t>t</m:t>
            </m:r>
          </m:sub>
          <m:sup>
            <m:r>
              <m:t>e</m:t>
            </m:r>
            <m:r>
              <m:t>l</m:t>
            </m:r>
          </m:sup>
        </m:sSubSup>
        <m:r>
          <m:rPr>
            <m:sty m:val="p"/>
          </m:rPr>
          <m:t>+</m:t>
        </m:r>
        <m:sSup>
          <m:e>
            <m:r>
              <m:t>c</m:t>
            </m:r>
          </m:e>
          <m:sup>
            <m:r>
              <m:t>d</m:t>
            </m:r>
            <m:r>
              <m:t>e</m:t>
            </m:r>
            <m:r>
              <m:t>g</m:t>
            </m:r>
          </m:sup>
        </m:sSup>
      </m:oMath>
      <w:r>
        <w:t xml:space="preserve"> </w:t>
      </w:r>
      <w:r>
        <w:t xml:space="preserve">for interior charging and</w:t>
      </w:r>
      <w:r>
        <w:t xml:space="preserve"> </w:t>
      </w:r>
      <m:oMath>
        <m:sSub>
          <m:e>
            <m:r>
              <m:t>μ</m:t>
            </m:r>
          </m:e>
          <m:sub>
            <m:r>
              <m:t>c</m:t>
            </m:r>
            <m:r>
              <m:rPr>
                <m:sty m:val="p"/>
              </m:rPr>
              <m:t>,</m:t>
            </m:r>
            <m:r>
              <m:t>t</m:t>
            </m:r>
          </m:sub>
        </m:sSub>
        <m:r>
          <m:rPr>
            <m:sty m:val="p"/>
          </m:rPr>
          <m:t>=</m:t>
        </m:r>
        <m:sSub>
          <m:e>
            <m:r>
              <m:t>ψ</m:t>
            </m:r>
          </m:e>
          <m:sub>
            <m:r>
              <m:t>t</m:t>
            </m:r>
          </m:sub>
        </m:sSub>
        <m:sSubSup>
          <m:e>
            <m:r>
              <m:t>λ</m:t>
            </m:r>
          </m:e>
          <m:sub>
            <m:r>
              <m:t>t</m:t>
            </m:r>
          </m:sub>
          <m:sup>
            <m:r>
              <m:t>e</m:t>
            </m:r>
            <m:r>
              <m:t>l</m:t>
            </m:r>
          </m:sup>
        </m:sSubSup>
      </m:oMath>
      <w:r>
        <w:t xml:space="preserve"> </w:t>
      </w:r>
      <w:r>
        <w:t xml:space="preserve">for interior execution. When catch-up and recharge are both interior,</w:t>
      </w:r>
      <w:r>
        <w:t xml:space="preserve"> </w:t>
      </w:r>
      <m:oMath>
        <m:sSub>
          <m:e>
            <m:r>
              <m:t>μ</m:t>
            </m:r>
          </m:e>
          <m:sub>
            <m:r>
              <m:t>c</m:t>
            </m:r>
            <m:r>
              <m:rPr>
                <m:sty m:val="p"/>
              </m:rPr>
              <m:t>,</m:t>
            </m:r>
            <m:r>
              <m:t>t</m:t>
            </m:r>
          </m:sub>
        </m:sSub>
        <m:r>
          <m:rPr>
            <m:sty m:val="p"/>
          </m:rPr>
          <m:t>/</m:t>
        </m:r>
        <m:sSub>
          <m:e>
            <m:r>
              <m:t>ψ</m:t>
            </m:r>
          </m:e>
          <m:sub>
            <m:r>
              <m:t>t</m:t>
            </m:r>
          </m:sub>
        </m:sSub>
        <m:r>
          <m:rPr>
            <m:sty m:val="p"/>
          </m:rPr>
          <m:t>=</m:t>
        </m:r>
        <m:sSubSup>
          <m:e>
            <m:r>
              <m:t>λ</m:t>
            </m:r>
          </m:e>
          <m:sub>
            <m:r>
              <m:t>t</m:t>
            </m:r>
          </m:sub>
          <m:sup>
            <m:r>
              <m:t>e</m:t>
            </m:r>
            <m:r>
              <m:t>l</m:t>
            </m:r>
          </m:sup>
        </m:sSubSup>
        <m:r>
          <m:rPr>
            <m:sty m:val="p"/>
          </m:rPr>
          <m:t>=</m:t>
        </m:r>
        <m:sSub>
          <m:e>
            <m:r>
              <m:t>η</m:t>
            </m:r>
          </m:e>
          <m:sub>
            <m:r>
              <m:t>c</m:t>
            </m:r>
          </m:sub>
        </m:sSub>
        <m:sSub>
          <m:e>
            <m:r>
              <m:t>ν</m:t>
            </m:r>
          </m:e>
          <m:sub>
            <m:r>
              <m:t>t</m:t>
            </m:r>
          </m:sub>
        </m:sSub>
        <m:r>
          <m:rPr>
            <m:sty m:val="p"/>
          </m:rPr>
          <m:t>−</m:t>
        </m:r>
        <m:sSup>
          <m:e>
            <m:r>
              <m:t>c</m:t>
            </m:r>
          </m:e>
          <m:sup>
            <m:r>
              <m:t>d</m:t>
            </m:r>
            <m:r>
              <m:t>e</m:t>
            </m:r>
            <m:r>
              <m:t>g</m:t>
            </m:r>
          </m:sup>
        </m:sSup>
      </m:oMath>
      <w:r>
        <w:t xml:space="preserve">: one channel price values both debts. Independent recovery schedules catch-up against</w:t>
      </w:r>
      <w:r>
        <w:t xml:space="preserve"> </w:t>
      </w:r>
      <m:oMath>
        <m:sSub>
          <m:e>
            <m:r>
              <m:t>π</m:t>
            </m:r>
          </m:e>
          <m:sub>
            <m:r>
              <m:t>t</m:t>
            </m:r>
          </m:sub>
        </m:sSub>
      </m:oMath>
      <w:r>
        <w:t xml:space="preserve"> </w:t>
      </w:r>
      <w:r>
        <w:t xml:space="preserve">or its own share, ignores</w:t>
      </w:r>
      <w:r>
        <w:t xml:space="preserve"> </w:t>
      </w:r>
      <m:oMath>
        <m:sSubSup>
          <m:e>
            <m:r>
              <m:t>λ</m:t>
            </m:r>
          </m:e>
          <m:sub>
            <m:r>
              <m:t>t</m:t>
            </m:r>
          </m:sub>
          <m:sup>
            <m:r>
              <m:t>c</m:t>
            </m:r>
            <m:r>
              <m:t>a</m:t>
            </m:r>
            <m:r>
              <m:t>p</m:t>
            </m:r>
          </m:sup>
        </m:sSubSup>
      </m:oMath>
      <w:r>
        <w:t xml:space="preserve"> </w:t>
      </w:r>
      <w:r>
        <w:t xml:space="preserve">and breaks this equality; IR-P restores the price part with a day-ahead signal but neither updates it with the realised state nor resolves the non-uniqueness of the IT response at that price (supplementary Fig. S7).</w:t>
      </w:r>
    </w:p>
    <w:bookmarkEnd w:id="103"/>
    <w:bookmarkStart w:id="104" w:name="references"/>
    <w:p>
      <w:pPr>
        <w:pStyle w:val="Heading1"/>
      </w:pPr>
      <w:r>
        <w:t xml:space="preserve">References</w:t>
      </w:r>
    </w:p>
    <w:p>
      <w:pPr>
        <w:pStyle w:val="Bibliography"/>
      </w:pPr>
      <w:r>
        <w:t xml:space="preserve">[1] IEA. Energy and AI. Paris: International Energy Agency; 2025.</w:t>
      </w:r>
    </w:p>
    <w:p>
      <w:pPr>
        <w:pStyle w:val="Bibliography"/>
      </w:pPr>
      <w:r>
        <w:t xml:space="preserve">[2] Shehabi A, Smith SJ, Hubbard A, Newkirk A, Lei N, Siddik MAB, et al. 2024 United States Data Center Energy Usage Report. Berkeley: Lawrence Berkeley National Laboratory; 2024.</w:t>
      </w:r>
    </w:p>
    <w:p>
      <w:pPr>
        <w:pStyle w:val="Bibliography"/>
      </w:pPr>
      <w:r>
        <w:t xml:space="preserve">[3] Norris TH, Profeta T, Patiño-Echeverri D, Cowie-Haskell A. Rethinking load growth: assessing the potential for integration of large flexible loads in US power systems. Durham: Nicholas Institute for Energy, Environment &amp; Sustainability, Duke University; 2025.</w:t>
      </w:r>
    </w:p>
    <w:p>
      <w:pPr>
        <w:pStyle w:val="Bibliography"/>
      </w:pPr>
      <w:r>
        <w:t xml:space="preserve">[4] Colangelo P, Coskun AK, Megrue J, et al. Turning AI data centers into grid-interactive assets: results from a field demonstration in Phoenix, Arizona. arXiv:2507.00909; 2025.</w:t>
      </w:r>
    </w:p>
    <w:p>
      <w:pPr>
        <w:pStyle w:val="Bibliography"/>
      </w:pPr>
      <w:r>
        <w:t xml:space="preserve">[5] Google. Demand response agreements with Indiana Michigan Power and the Tennessee Valley Authority targeting machine-learning workloads. Google blog, 4 August 2025.</w:t>
      </w:r>
    </w:p>
    <w:p>
      <w:pPr>
        <w:pStyle w:val="Bibliography"/>
      </w:pPr>
      <w:r>
        <w:t xml:space="preserve">[6] Jiangsu Provincial Development and Reform Commission. Implementation rules for electricity demand response in Jiangsu Province (effective 14 July 2024). Nanjing; 2024 (in Chinese).</w:t>
      </w:r>
    </w:p>
    <w:p>
      <w:pPr>
        <w:pStyle w:val="Bibliography"/>
      </w:pPr>
      <w:r>
        <w:t xml:space="preserve">[7] Liu Z, Wierman A, Chen Y, Razon B, Chen N. Data center demand response: avoiding the coincident peak via workload shifting and local generation. Performance Evaluation 2013;70(10):770–791.</w:t>
      </w:r>
    </w:p>
    <w:p>
      <w:pPr>
        <w:pStyle w:val="Bibliography"/>
      </w:pPr>
      <w:r>
        <w:t xml:space="preserve">[8] Wierman A, Liu Z, Liu I, Mohsenian-Rad H. Opportunities and challenges for data center demand response. In: International Green Computing Conference (IGCC); 2014.</w:t>
      </w:r>
    </w:p>
    <w:p>
      <w:pPr>
        <w:pStyle w:val="Bibliography"/>
      </w:pPr>
      <w:r>
        <w:t xml:space="preserve">[9] Chen M, Gao C, Song M, et al. Internet data centers participating in demand response: a comprehensive review. Renewable and Sustainable Energy Reviews 2020;117:109466.</w:t>
      </w:r>
    </w:p>
    <w:p>
      <w:pPr>
        <w:pStyle w:val="Bibliography"/>
      </w:pPr>
      <w:r>
        <w:t xml:space="preserve">[10] Acun F, Hankendi C, Levine E, Reynolds H, Bardwick J, Coskun AK. Investigating power consumption flexibility of AI data centers for demand response participation. In: 17th ACM International Conference on Future and Sustainable Energy Systems (e-Energy); 2026, p. 344–348.</w:t>
      </w:r>
    </w:p>
    <w:p>
      <w:pPr>
        <w:pStyle w:val="Bibliography"/>
      </w:pPr>
      <w:r>
        <w:t xml:space="preserve">[11] Du B, Fan X, Du E, Chen L, Han J, Hou Q, Zhang N, Kang C. From tokens to energy flexibility: quantization-enabled demand response for data centers with LLM inference workloads. arXiv:2606.18851; 2026.</w:t>
      </w:r>
    </w:p>
    <w:p>
      <w:pPr>
        <w:pStyle w:val="Bibliography"/>
      </w:pPr>
      <w:r>
        <w:t xml:space="preserve">[12] Chen Y, Zheng X. To defer or to shift? The role of AI data center flexibility on grid interconnection. arXiv:2604.05376; 2026.</w:t>
      </w:r>
    </w:p>
    <w:p>
      <w:pPr>
        <w:pStyle w:val="Bibliography"/>
      </w:pPr>
      <w:r>
        <w:t xml:space="preserve">[13] Williams C, Colangelo P, Coskun AK, et al. Power-flexible AI data centers: a new paradigm for grid-responsive compute. arXiv:2606.25098; 2026.</w:t>
      </w:r>
    </w:p>
    <w:p>
      <w:pPr>
        <w:pStyle w:val="Bibliography"/>
      </w:pPr>
      <w:r>
        <w:t xml:space="preserve">[14] Zhou Y, Wei F, Li S, Wang Z, Liu J, Yu D. Data center load modeling through optimal energy consumption characteristics: a path to simultaneously enhance energy efficiency and demand response quality. Applied Energy 2025;393:126095.</w:t>
      </w:r>
    </w:p>
    <w:p>
      <w:pPr>
        <w:pStyle w:val="Bibliography"/>
      </w:pPr>
      <w:r>
        <w:t xml:space="preserve">[15] Chen C, Ye C, Ding Y, Xiong K, Tang X. Exploring the demand response potential of liquid-cooled data centers. Applied Energy 2026;412:127679.</w:t>
      </w:r>
    </w:p>
    <w:p>
      <w:pPr>
        <w:pStyle w:val="Bibliography"/>
      </w:pPr>
      <w:r>
        <w:t xml:space="preserve">[16] Han O, Ding T, Yang M, et al. A novel 4-level joint optimal dispatch for demand response of data centers with district autonomy realization. Applied Energy 2024;358:122590.</w:t>
      </w:r>
    </w:p>
    <w:p>
      <w:pPr>
        <w:pStyle w:val="Bibliography"/>
      </w:pPr>
      <w:r>
        <w:t xml:space="preserve">[17] Lin J, Han J, Wang Y, et al. Planning and operation optimization of a low-carbon data-center computing integrated energy system considering exergy efficiency. Journal of Shanghai Jiao Tong University 2025;59(9):1327–1337 (in Chinese).</w:t>
      </w:r>
    </w:p>
    <w:p>
      <w:pPr>
        <w:pStyle w:val="Bibliography"/>
      </w:pPr>
      <w:r>
        <w:t xml:space="preserve">[18] Fan H, Chen S, Luo H, et al. Optimal operation of data centers considering multi-energy complementarity of cooling, heating and power and spatio-temporal adjustable loads. Southern Power System Technology 2026;20(5):28–36 (in Chinese).</w:t>
      </w:r>
    </w:p>
    <w:p>
      <w:pPr>
        <w:pStyle w:val="Bibliography"/>
      </w:pPr>
      <w:r>
        <w:t xml:space="preserve">[19] Zhang S, Ding S, Li Y, Wei M, Tan Q. A bi-level planning model of integrated energy capacity configuration for data center cluster considering computing-electricity coupling operation and supply-demand uncertainties. Applied Energy 2026;425:128499.</w:t>
      </w:r>
    </w:p>
    <w:p>
      <w:pPr>
        <w:pStyle w:val="Bibliography"/>
      </w:pPr>
      <w:r>
        <w:t xml:space="preserve">[20] Lu X, Qiu J, Lin J, An S, Sun M, Zhao J. Battery-assisted operation of hyperscale AI data centers under connect-and-manage interconnection practices. arXiv:2605.14105; 2026.</w:t>
      </w:r>
    </w:p>
    <w:p>
      <w:pPr>
        <w:pStyle w:val="Bibliography"/>
      </w:pPr>
      <w:r>
        <w:t xml:space="preserve">[21] Yu Y, Shan K, Li H, Wang S. Quantitative impacts of energy system flexibility provision and design/operation on data center reliability and the key influential parameters. Applied Energy 2026;415:127904.</w:t>
      </w:r>
    </w:p>
    <w:p>
      <w:pPr>
        <w:pStyle w:val="Bibliography"/>
      </w:pPr>
      <w:r>
        <w:t xml:space="preserve">[22] Hao H, Sanandaji BM, Poolla K, Vincent TL. Aggregate flexibility of thermostatically controlled loads. IEEE Transactions on Power Systems 2015;30(1):189–198.</w:t>
      </w:r>
    </w:p>
    <w:p>
      <w:pPr>
        <w:pStyle w:val="Bibliography"/>
      </w:pPr>
      <w:r>
        <w:t xml:space="preserve">[23] Evans MP, Tindemans SH, Angeli D. Flexibility framework with recovery guarantees for aggregated energy storage devices. IEEE Transactions on Smart Grid 2022;13(5):3519–3531.</w:t>
      </w:r>
    </w:p>
    <w:p>
      <w:pPr>
        <w:pStyle w:val="Bibliography"/>
      </w:pPr>
      <w:r>
        <w:t xml:space="preserve">[24] Li M. Beyond scalar flexibility: from eligible AI workloads to dependable load relief. arXiv:2609.05406; 2026.</w:t>
      </w:r>
    </w:p>
    <w:p>
      <w:pPr>
        <w:pStyle w:val="Bibliography"/>
      </w:pPr>
      <w:r>
        <w:t xml:space="preserve">[25] Schildbach G, Fagiano L, Frei C, Morari M. The scenario approach for stochastic model predictive control with bounds on closed-loop constraint violations. Automatica 2014;50(12):3009–3018.</w:t>
      </w:r>
    </w:p>
    <w:p>
      <w:pPr>
        <w:pStyle w:val="Bibliography"/>
      </w:pPr>
      <w:r>
        <w:t xml:space="preserve">[26] Mohajerin Esfahani P, Kuhn D. Data-driven distributionally robust optimization using the Wasserstein metric: performance guarantees and tractable reformulations. Mathematical Programming 2018;171:115–166.</w:t>
      </w:r>
    </w:p>
    <w:p>
      <w:pPr>
        <w:pStyle w:val="Bibliography"/>
      </w:pPr>
      <w:r>
        <w:t xml:space="preserve">[27] Duan C, Fang W, Jiang L, Yao L, Liu J. Distributionally robust chance-constrained approximate AC-OPF with Wasserstein metric. IEEE Transactions on Power Systems 2018;33(5):4924–4936.</w:t>
      </w:r>
    </w:p>
    <w:p>
      <w:pPr>
        <w:pStyle w:val="Bibliography"/>
      </w:pPr>
      <w:r>
        <w:t xml:space="preserve">[28] Zeng B, Zhao L. Solving two-stage robust optimization problems using a column-and-constraint generation method. Operations Research Letters 2013;41(5):457–461.</w:t>
      </w:r>
    </w:p>
    <w:p>
      <w:pPr>
        <w:pStyle w:val="Bibliography"/>
      </w:pPr>
      <w:r>
        <w:t xml:space="preserve">[29] del Barrio E, Giné E, Matrán C. Central limit theorems for the Wasserstein distance between the empirical and the true distributions. The Annals of Probability 1999;27(2):1009–1071.</w:t>
      </w:r>
    </w:p>
    <w:p>
      <w:pPr>
        <w:pStyle w:val="Bibliography"/>
      </w:pPr>
      <w:r>
        <w:t xml:space="preserve">[30] Weng Q, Xiao W, Yu Y, et al. MLaaS in the wild: workload analysis and scheduling in large-scale heterogeneous GPU clusters. In: 19th USENIX Symposium on Networked Systems Design and Implementation (NSDI); 2022.</w:t>
      </w:r>
    </w:p>
    <w:p>
      <w:pPr>
        <w:pStyle w:val="Bibliography"/>
      </w:pPr>
      <w:r>
        <w:t xml:space="preserve">[31] Stojkovic J, Zhang C, Goiri Í, Torrellas J, Choukse E. DynamoLLM: designing LLM inference clusters for performance and energy efficiency. In: IEEE International Symposium on High-Performance Computer Architecture (HPCA); 2025.</w:t>
      </w:r>
    </w:p>
    <w:p>
      <w:pPr>
        <w:pStyle w:val="Bibliography"/>
      </w:pPr>
      <w:r>
        <w:t xml:space="preserve">[32] Chao H. Demand response in wholesale electricity markets: the choice of customer baseline. Journal of Regulatory Economics 2011;39(1):68–88.</w:t>
      </w:r>
    </w:p>
    <w:p>
      <w:pPr>
        <w:pStyle w:val="Bibliography"/>
      </w:pPr>
      <w:r>
        <w:t xml:space="preserve">[33] Latif I, Newkirk AC, Carbone MR, et al. Empirical measurements of AI training power demand on a GPU-accelerated node. arXiv:2412.08602; 2024.</w:t>
      </w:r>
    </w:p>
    <w:p>
      <w:pPr>
        <w:pStyle w:val="Bibliography"/>
      </w:pPr>
      <w:r>
        <w:t xml:space="preserve">[34] Fan X, Weber W-D, Barroso LA. Power provisioning for a warehouse-sized computer. In: 34th International Symposium on Computer Architecture (ISCA); 2007.</w:t>
      </w:r>
    </w:p>
    <w:p>
      <w:pPr>
        <w:pStyle w:val="Bibliography"/>
      </w:pPr>
      <w:r>
        <w:t xml:space="preserve">[35] Patel P, Choukse E, Zhang C, et al. Characterizing power management opportunities for LLMs in the cloud. In: ACM International Conference on Architectural Support for Programming Languages and Operating Systems (ASPLOS); 2024, p. 207–222.</w:t>
      </w:r>
    </w:p>
    <w:p>
      <w:pPr>
        <w:pStyle w:val="Bibliography"/>
      </w:pPr>
      <w:r>
        <w:t xml:space="preserve">[36] Xu B, Zhao J, Zheng T, Litvinov E, Kirschen DS. Factoring the cycle aging cost of batteries participating in electricity markets. IEEE Transactions on Power Systems 2018;33(2):2248–2259.</w:t>
      </w:r>
    </w:p>
    <w:p>
      <w:pPr>
        <w:pStyle w:val="Bibliography"/>
      </w:pPr>
      <w:r>
        <w:t xml:space="preserve">[37] Dobos AP. PVWatts version 5 manual. NREL/TP-6A20-62641. Golden: National Renewable Energy Laboratory; 2014.</w:t>
      </w:r>
    </w:p>
    <w:p>
      <w:pPr>
        <w:pStyle w:val="Bibliography"/>
      </w:pPr>
      <w:r>
        <w:t xml:space="preserve">[38] General Office of the National Development and Reform Commission. Notice on improving the implementation of the capacity charge for two-part tariff users (Fagai Ban Jiage [2016] No. 1583). Beijing; 2016 (in Chinese).</w:t>
      </w:r>
    </w:p>
    <w:bookmarkEnd w:id="104"/>
    <w:sectPr>
      <w:footerReference r:id="rId9" w:type="default"/>
      <w:pgSz w:h="16838" w:w="11906"/>
      <w:pgMar w:bottom="1418" w:footer="709" w:gutter="0" w:header="709" w:left="1418" w:right="1418" w:top="1418"/>
      <w:lnNumType w:countBy="1" w:distance="284" w:restart="continuous"/>
      <w:cols w:space="7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suppressLineNumbers/>
      <w:spacing w:before="0" w:after="0" w:line="240" w:lineRule="auto"/>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31">
    <w:nsid w:val="00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zh-CN" w:val="en-GB"/>
      </w:rPr>
    </w:rPrDefault>
    <w:pPrDefault>
      <w:pPr>
        <w:spacing w:after="0" w:before="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qFormat/>
    <w:pPr>
      <w:spacing w:after="0" w:before="0" w:line="480" w:lineRule="auto"/>
      <w:jc w:val="both"/>
    </w:pPr>
  </w:style>
  <w:style w:customStyle="1" w:styleId="FirstParagraph" w:type="paragraph">
    <w:name w:val="First Paragraph"/>
    <w:basedOn w:val="BodyText"/>
    <w:next w:val="BodyText"/>
    <w:qFormat/>
  </w:style>
  <w:style w:customStyle="1" w:styleId="Compact" w:type="paragraph">
    <w:name w:val="Compact"/>
    <w:basedOn w:val="BodyText"/>
    <w:qFormat/>
    <w:pPr>
      <w:jc w:val="left"/>
    </w:pPr>
  </w:style>
  <w:style w:styleId="Title" w:type="paragraph">
    <w:name w:val="Title"/>
    <w:basedOn w:val="Normal"/>
    <w:next w:val="BodyText"/>
    <w:qFormat/>
    <w:pPr>
      <w:keepNext/>
      <w:spacing w:after="360" w:before="0" w:line="360" w:lineRule="auto"/>
      <w:jc w:val="center"/>
    </w:pPr>
    <w:rPr>
      <w:b/>
      <w:bCs/>
      <w:sz w:val="32"/>
      <w:szCs w:val="32"/>
    </w:rPr>
  </w:style>
  <w:style w:styleId="Subtitle" w:type="paragraph">
    <w:name w:val="Subtitle"/>
    <w:basedOn w:val="Normal"/>
    <w:next w:val="BodyText"/>
    <w:qFormat/>
    <w:pPr>
      <w:spacing w:after="360" w:before="0" w:line="360" w:lineRule="auto"/>
      <w:jc w:val="center"/>
    </w:pPr>
    <w:rPr>
      <w:i/>
      <w:iCs/>
      <w:sz w:val="24"/>
      <w:szCs w:val="24"/>
    </w:rPr>
  </w:style>
  <w:style w:customStyle="1" w:styleId="Author" w:type="paragraph">
    <w:name w:val="Author"/>
    <w:basedOn w:val="Normal"/>
    <w:next w:val="BodyText"/>
    <w:qFormat/>
    <w:pPr>
      <w:spacing w:after="120" w:before="0" w:line="360" w:lineRule="auto"/>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spacing w:after="120" w:before="240" w:line="276" w:lineRule="auto"/>
    </w:pPr>
    <w:rPr>
      <w:b/>
      <w:bCs/>
    </w:rPr>
  </w:style>
  <w:style w:customStyle="1" w:styleId="Abstract" w:type="paragraph">
    <w:name w:val="Abstract"/>
    <w:basedOn w:val="BodyText"/>
    <w:qFormat/>
  </w:style>
  <w:style w:styleId="Bibliography" w:type="paragraph">
    <w:name w:val="Bibliography"/>
    <w:basedOn w:val="Normal"/>
    <w:next w:val="Bibliography"/>
    <w:qFormat/>
    <w:pPr>
      <w:spacing w:after="0" w:before="0" w:line="480" w:lineRule="auto"/>
      <w:ind w:hanging="567" w:left="567"/>
    </w:pPr>
  </w:style>
  <w:style w:styleId="Heading1" w:type="paragraph">
    <w:name w:val="Heading 1"/>
    <w:basedOn w:val="Normal"/>
    <w:next w:val="BodyText"/>
    <w:qFormat/>
    <w:pPr>
      <w:keepNext/>
      <w:keepLines/>
      <w:spacing w:after="120" w:before="360" w:line="276" w:lineRule="auto"/>
      <w:outlineLvl w:val="0"/>
    </w:pPr>
    <w:rPr>
      <w:b/>
      <w:bCs/>
      <w:sz w:val="24"/>
      <w:szCs w:val="24"/>
    </w:rPr>
  </w:style>
  <w:style w:styleId="Heading2" w:type="paragraph">
    <w:name w:val="Heading 2"/>
    <w:basedOn w:val="Normal"/>
    <w:next w:val="BodyText"/>
    <w:qFormat/>
    <w:pPr>
      <w:keepNext/>
      <w:keepLines/>
      <w:spacing w:after="120" w:before="240" w:line="276" w:lineRule="auto"/>
      <w:outlineLvl w:val="1"/>
    </w:pPr>
    <w:rPr>
      <w:b/>
      <w:bCs/>
      <w:i/>
      <w:iCs/>
      <w:sz w:val="24"/>
      <w:szCs w:val="24"/>
    </w:rPr>
  </w:style>
  <w:style w:styleId="Heading3" w:type="paragraph">
    <w:name w:val="Heading 3"/>
    <w:basedOn w:val="Normal"/>
    <w:next w:val="BodyText"/>
    <w:qFormat/>
    <w:pPr>
      <w:keepNext/>
      <w:keepLines/>
      <w:spacing w:after="60" w:before="240" w:line="276" w:lineRule="auto"/>
      <w:outlineLvl w:val="2"/>
    </w:pPr>
    <w:rPr>
      <w:i/>
      <w:i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000000" w:space="0" w:sz="8" w:val="single"/>
        <w:bottom w:color="000000" w:space="0" w:sz="8" w:val="single"/>
      </w:tblBorders>
      <w:tblCellMar>
        <w:top w:type="dxa" w:w="0"/>
        <w:left w:type="dxa" w:w="85"/>
        <w:bottom w:type="dxa" w:w="0"/>
        <w:right w:type="dxa" w:w="85"/>
      </w:tblCellMar>
    </w:tblPr>
    <w:tblStylePr w:type="firstRow">
      <w:tcPr>
        <w:tcBorders>
          <w:bottom w:color="000000" w:space="0" w:sz="4"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qFormat/>
    <w:pPr>
      <w:spacing w:after="120" w:before="0" w:line="276" w:lineRule="auto"/>
      <w:jc w:val="both"/>
    </w:pPr>
    <w:rPr>
      <w:sz w:val="22"/>
      <w:szCs w:val="22"/>
    </w:rPr>
  </w:style>
  <w:style w:customStyle="1" w:styleId="TableCaption" w:type="paragraph">
    <w:name w:val="Table Caption"/>
    <w:basedOn w:val="Caption"/>
    <w:qFormat/>
    <w:pPr>
      <w:keepNext/>
      <w:spacing w:after="120" w:before="240" w:line="276" w:lineRule="auto"/>
    </w:pPr>
  </w:style>
  <w:style w:customStyle="1" w:styleId="ImageCaption" w:type="paragraph">
    <w:name w:val="Image Caption"/>
    <w:basedOn w:val="FigureCaption"/>
    <w:qFormat/>
  </w:style>
  <w:style w:customStyle="1" w:styleId="Figure" w:type="paragraph">
    <w:name w:val="Figure"/>
    <w:basedOn w:val="Normal"/>
    <w:qFormat/>
    <w:pPr>
      <w:keepNext/>
      <w:spacing w:after="60" w:before="240" w:line="240" w:lineRule="auto"/>
      <w:jc w:val="center"/>
    </w:pPr>
  </w:style>
  <w:style w:customStyle="1" w:styleId="CaptionedFigure" w:type="paragraph">
    <w:name w:val="Captioned Figure"/>
    <w:basedOn w:val="Figure"/>
    <w:qFormat/>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DefaultParagraphFont"/>
    <w:qFormat/>
    <w:rPr>
      <w:color w:val="1F4E79"/>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FigureCaption" w:type="paragraph">
    <w:name w:val="Figure Caption"/>
    <w:basedOn w:val="Caption"/>
    <w:qFormat/>
    <w:pPr>
      <w:spacing w:after="240" w:before="60" w:line="276" w:lineRule="auto"/>
    </w:pPr>
  </w:style>
  <w:style w:customStyle="1" w:styleId="Equation" w:type="paragraph">
    <w:name w:val="Equation"/>
    <w:basedOn w:val="Normal"/>
    <w:qFormat/>
    <w:pPr>
      <w:keepLines/>
      <w:tabs>
        <w:tab w:pos="4535" w:val="center"/>
        <w:tab w:pos="9070" w:val="right"/>
      </w:tabs>
      <w:spacing w:after="120" w:before="120" w:line="276" w:lineRule="auto"/>
    </w:pPr>
  </w:style>
  <w:style w:customStyle="1" w:styleId="TableText" w:type="paragraph">
    <w:name w:val="Table Text"/>
    <w:basedOn w:val="Normal"/>
    <w:qFormat/>
    <w:pPr>
      <w:spacing w:after="20" w:before="20" w:line="240" w:lineRule="auto"/>
      <w:jc w:val="left"/>
    </w:pPr>
    <w:rPr>
      <w:sz w:val="20"/>
      <w:szCs w:val="20"/>
    </w:rPr>
  </w:style>
  <w:style w:customStyle="1" w:styleId="Placeholder" w:type="character">
    <w:name w:val="Placeholder"/>
    <w:basedOn w:val="DefaultParagraphFont"/>
    <w:qFormat/>
    <w:rPr>
      <w:shd w:color="auto" w:fill="FFFF00" w:val="clear"/>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76" Target="media/rId76.png" /><Relationship Type="http://schemas.openxmlformats.org/officeDocument/2006/relationships/image" Id="rId80" Target="media/rId80.png" /><Relationship Type="http://schemas.openxmlformats.org/officeDocument/2006/relationships/image" Id="rId84" Target="media/rId84.png" /><Relationship Type="http://schemas.openxmlformats.org/officeDocument/2006/relationships/image" Id="rId88" Target="media/rId88.png" /><Relationship Type="http://schemas.openxmlformats.org/officeDocument/2006/relationships/image" Id="rId91" Target="media/rId91.png" /><Relationship Type="http://schemas.openxmlformats.org/officeDocument/2006/relationships/image" Id="rId24" Target="media/rId24.png" /><Relationship Type="http://schemas.openxmlformats.org/officeDocument/2006/relationships/image" Id="rId39" Target="media/rId39.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69" Target="media/rId69.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Recovery-aware coordinated scheduling of computing workloads and energy storage for deliverable consecutive demand response in AI data centers</dc:title>
  <dc:creator/>
  <dc:language>en-GB</dc:language>
  <cp:keywords/>
  <dcterms:created xsi:type="dcterms:W3CDTF">2026-10-24T03:26:54Z</dcterms:created>
  <dcterms:modified xsi:type="dcterms:W3CDTF">2026-10-24T03:26:54Z</dcterms:modified>
</cp:coreProperties>
</file>

<file path=docProps/custom.xml><?xml version="1.0" encoding="utf-8"?>
<Properties xmlns="http://schemas.openxmlformats.org/officeDocument/2006/custom-properties" xmlns:vt="http://schemas.openxmlformats.org/officeDocument/2006/docPropsVTypes"/>
</file>