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pPr>
        <w:pStyle w:val="Subtitle"/>
      </w:pPr>
      <w:r>
        <w:t xml:space="preserve">Recovery-aware</w:t>
      </w:r>
      <w:r>
        <w:t xml:space="preserve"> </w:t>
      </w:r>
      <w:r>
        <w:t xml:space="preserve">coordinated</w:t>
      </w:r>
      <w:r>
        <w:t xml:space="preserve"> </w:t>
      </w:r>
      <w:r>
        <w:t xml:space="preserve">scheduling</w:t>
      </w:r>
      <w:r>
        <w:t xml:space="preserve"> </w:t>
      </w:r>
      <w:r>
        <w:t xml:space="preserve">of</w:t>
      </w:r>
      <w:r>
        <w:t xml:space="preserve"> </w:t>
      </w:r>
      <w:r>
        <w:t xml:space="preserve">computing</w:t>
      </w:r>
      <w:r>
        <w:t xml:space="preserve"> </w:t>
      </w:r>
      <w:r>
        <w:t xml:space="preserve">workloads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storage</w:t>
      </w:r>
      <w:r>
        <w:t xml:space="preserve"> </w:t>
      </w:r>
      <w:r>
        <w:t xml:space="preserve">for</w:t>
      </w:r>
      <w:r>
        <w:t xml:space="preserve"> </w:t>
      </w:r>
      <w:r>
        <w:t xml:space="preserve">deliverable</w:t>
      </w:r>
      <w:r>
        <w:t xml:space="preserve"> </w:t>
      </w:r>
      <w:r>
        <w:t xml:space="preserve">consecutive</w:t>
      </w:r>
      <w:r>
        <w:t xml:space="preserve"> </w:t>
      </w:r>
      <w:r>
        <w:t xml:space="preserve">demand</w:t>
      </w:r>
      <w:r>
        <w:t xml:space="preserve"> </w:t>
      </w:r>
      <w:r>
        <w:t xml:space="preserve">response</w:t>
      </w:r>
      <w:r>
        <w:t xml:space="preserve"> </w:t>
      </w:r>
      <w:r>
        <w:t xml:space="preserve">in</w:t>
      </w:r>
      <w:r>
        <w:t xml:space="preserve"> </w:t>
      </w:r>
      <w:r>
        <w:t xml:space="preserve">AI</w:t>
      </w:r>
      <w:r>
        <w:t xml:space="preserve"> </w:t>
      </w:r>
      <w:r>
        <w:t xml:space="preserve">data</w:t>
      </w:r>
      <w:r>
        <w:t xml:space="preserve"> </w:t>
      </w:r>
      <w:r>
        <w:t xml:space="preserve">centers</w:t>
      </w:r>
    </w:p>
    <w:p>
      <w:pPr>
        <w:pStyle w:val="Figure"/>
      </w:pPr>
      <w:r>
        <w:drawing>
          <wp:inline>
            <wp:extent cx="5576399" cy="326965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datacenter/paper/figures/FigS1_perfect_information_regio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399" cy="326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S1.</w:t>
      </w:r>
      <w:r>
        <w:t xml:space="preserve"> </w:t>
      </w:r>
      <w:r>
        <w:t xml:space="preserve">Two-event capability regions with perfect information on the DR day for different event durations and intervals, and for three events (E1 = E2 =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 E3 maximised), for joint recovery, event-by-event joint recovery, independent recovery with the best static split and the independent post-event state with joint recovery.</w:t>
      </w:r>
    </w:p>
    <w:p>
      <w:pPr>
        <w:pStyle w:val="Figure"/>
      </w:pPr>
      <w:r>
        <w:drawing>
          <wp:inline>
            <wp:extent cx="5648399" cy="271598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datacenter/paper/figures/FigS2_commitment_method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99" cy="271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S2.</w:t>
      </w:r>
      <w:r>
        <w:t xml:space="preserve"> </w:t>
      </w:r>
      <w:r>
        <w:t xml:space="preserve">Day-ahead commitment methods in the plane of out-of-sample full delivery and daily benefit (Table 5): closed-loop back-test with sample-average, robust and cost-optimal commitments, and commitments from physical capability (perfect-recourse MILP, single-event capability).</w:t>
      </w:r>
    </w:p>
    <w:p>
      <w:pPr>
        <w:pStyle w:val="Figure"/>
      </w:pPr>
      <w:r>
        <w:drawing>
          <wp:inline>
            <wp:extent cx="5695199" cy="240423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datacenter/paper/figures/FigS3_call_uncertain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99" cy="240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S3.</w:t>
      </w:r>
      <w:r>
        <w:t xml:space="preserve"> </w:t>
      </w:r>
      <w:r>
        <w:t xml:space="preserve">Event-call uncertainty (S3 with the third event called with probability 0.6 and confirmed 1 h ahead, 6 MW per event): (a) mean daily cost and (b) mean fulfilment on the days on which the third event is called or cancelled.</w:t>
      </w:r>
    </w:p>
    <w:p>
      <w:pPr>
        <w:pStyle w:val="Figure"/>
      </w:pPr>
      <w:r>
        <w:drawing>
          <wp:inline>
            <wp:extent cx="5695199" cy="234633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datacenter/paper/figures/FigS4_rebound_polic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99" cy="234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S4.</w:t>
      </w:r>
      <w:r>
        <w:t xml:space="preserve"> </w:t>
      </w:r>
      <w:r>
        <w:t xml:space="preserve">Post-event rebound as a policy parameter (S1, 6 MW, DR day): (a) cost under the Jiangsu rules alone versus the peak post-event rebound, (b) peak rebound versus the rebound assessment price.</w:t>
      </w:r>
    </w:p>
    <w:p>
      <w:pPr>
        <w:pStyle w:val="Figure"/>
      </w:pPr>
      <w:r>
        <w:drawing>
          <wp:inline>
            <wp:extent cx="5723999" cy="23905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datacenter/paper/figures/FigS5_mechanism_boun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3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S5.</w:t>
      </w:r>
      <w:r>
        <w:t xml:space="preserve"> </w:t>
      </w:r>
      <w:r>
        <w:t xml:space="preserve">Proposition 1 on the DR day: deliverable capability of event B relative to its single-event capability versus the interval, for joint response and recovery, independent recovery, the independent post-event state with joint recovery and the bound of Proposition 1, for (a) a 2-h first event and (b) a 2-h second event; (c) capability gain of joint recovery over the interval and the connection margin.</w:t>
      </w:r>
    </w:p>
    <w:p>
      <w:pPr>
        <w:pStyle w:val="Figure"/>
      </w:pPr>
      <w:r>
        <w:drawing>
          <wp:inline>
            <wp:extent cx="5723999" cy="197600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datacenter/paper/figures/FigS6_proposition2_check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97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S6.</w:t>
      </w:r>
      <w:r>
        <w:t xml:space="preserve"> </w:t>
      </w:r>
      <w:r>
        <w:t xml:space="preserve">Proposition 2: deliverable reduction of the next event versus the interval in the single-class model, closed form (lines) and discrete-time LP (markers), for lag bounds of 1, 1.5, 2 and 3 h.</w:t>
      </w:r>
    </w:p>
    <w:p>
      <w:pPr>
        <w:pStyle w:val="Figure"/>
      </w:pPr>
      <w:r>
        <w:drawing>
          <wp:inline>
            <wp:extent cx="4017599" cy="300253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datacenter/paper/figures/FigS7_shadow_pric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99" cy="300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S7.</w:t>
      </w:r>
      <w:r>
        <w:t xml:space="preserve"> </w:t>
      </w:r>
      <w:r>
        <w:t xml:space="preserve">Single channel price (Remark B.1): (a) dual of the electric balance (recovery-channel price) and TOU price; (b) duals of the backlog equations of the three classes, which coincide with the channel price when catch-up and recharge are both interior.</w:t>
      </w:r>
    </w:p>
    <w:sectPr>
      <w:footerReference r:id="rId9" w:type="default"/>
      <w:pgSz w:h="16838" w:w="11906"/>
      <w:pgMar w:bottom="1418" w:footer="709" w:gutter="0" w:header="709" w:left="1418" w:right="1418" w:top="1418"/>
      <w:lnNumType w:countBy="1" w:distance="284" w:restart="continuous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uppressLineNumbers/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GB"/>
      </w:rPr>
    </w:rPrDefault>
    <w:pPrDefault>
      <w:pPr>
        <w:spacing w:after="0" w:before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qFormat/>
    <w:pPr>
      <w:spacing w:after="0" w:before="0" w:line="480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left"/>
    </w:pPr>
  </w:style>
  <w:style w:styleId="Title" w:type="paragraph">
    <w:name w:val="Title"/>
    <w:basedOn w:val="Normal"/>
    <w:next w:val="BodyText"/>
    <w:qFormat/>
    <w:pPr>
      <w:keepNext/>
      <w:spacing w:after="360" w:before="0" w:line="360" w:lineRule="auto"/>
      <w:jc w:val="center"/>
    </w:pPr>
    <w:rPr>
      <w:b/>
      <w:bCs/>
      <w:sz w:val="32"/>
      <w:szCs w:val="32"/>
    </w:rPr>
  </w:style>
  <w:style w:styleId="Subtitle" w:type="paragraph">
    <w:name w:val="Subtitle"/>
    <w:basedOn w:val="Normal"/>
    <w:next w:val="BodyText"/>
    <w:qFormat/>
    <w:pPr>
      <w:spacing w:after="360" w:before="0" w:line="360" w:lineRule="auto"/>
      <w:jc w:val="center"/>
    </w:pPr>
    <w:rPr>
      <w:i/>
      <w:iCs/>
      <w:sz w:val="24"/>
      <w:szCs w:val="24"/>
    </w:rPr>
  </w:style>
  <w:style w:customStyle="1" w:styleId="Author" w:type="paragraph">
    <w:name w:val="Author"/>
    <w:basedOn w:val="Normal"/>
    <w:next w:val="BodyText"/>
    <w:qFormat/>
    <w:pPr>
      <w:spacing w:after="120" w:before="0" w:line="360" w:lineRule="auto"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spacing w:after="120" w:before="240" w:line="276" w:lineRule="auto"/>
    </w:pPr>
    <w:rPr>
      <w:b/>
      <w:bCs/>
    </w:rPr>
  </w:style>
  <w:style w:customStyle="1" w:styleId="Abstract" w:type="paragraph">
    <w:name w:val="Abstract"/>
    <w:basedOn w:val="BodyText"/>
    <w:qFormat/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  <w:ind w:hanging="567" w:left="567"/>
    </w:pPr>
  </w:style>
  <w:style w:styleId="Heading1" w:type="paragraph">
    <w:name w:val="Heading 1"/>
    <w:basedOn w:val="Normal"/>
    <w:next w:val="BodyText"/>
    <w:qFormat/>
    <w:pPr>
      <w:keepNext/>
      <w:keepLines/>
      <w:spacing w:after="120" w:before="360" w:line="276" w:lineRule="auto"/>
      <w:outlineLvl w:val="0"/>
    </w:pPr>
    <w:rPr>
      <w:b/>
      <w:bCs/>
      <w:sz w:val="24"/>
      <w:szCs w:val="24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 w:line="276" w:lineRule="auto"/>
      <w:outlineLvl w:val="1"/>
    </w:pPr>
    <w:rPr>
      <w:b/>
      <w:bCs/>
      <w:i/>
      <w:iCs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240" w:line="276" w:lineRule="auto"/>
      <w:outlineLvl w:val="2"/>
    </w:pPr>
    <w:rPr>
      <w:i/>
      <w:i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85"/>
        <w:bottom w:type="dxa" w:w="0"/>
        <w:right w:type="dxa" w:w="85"/>
      </w:tblCellMar>
    </w:tblPr>
    <w:tblStylePr w:type="firstRow">
      <w:tcPr>
        <w:tcBorders>
          <w:bottom w:color="000000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120" w:before="0" w:line="276" w:lineRule="auto"/>
      <w:jc w:val="both"/>
    </w:pPr>
    <w:rPr>
      <w:sz w:val="22"/>
      <w:szCs w:val="22"/>
    </w:rPr>
  </w:style>
  <w:style w:customStyle="1" w:styleId="TableCaption" w:type="paragraph">
    <w:name w:val="Table Caption"/>
    <w:basedOn w:val="Caption"/>
    <w:qFormat/>
    <w:pPr>
      <w:keepNext/>
      <w:spacing w:after="120" w:before="240" w:line="276" w:lineRule="auto"/>
    </w:pPr>
  </w:style>
  <w:style w:customStyle="1" w:styleId="ImageCaption" w:type="paragraph">
    <w:name w:val="Image Caption"/>
    <w:basedOn w:val="FigureCaption"/>
    <w:qFormat/>
  </w:style>
  <w:style w:customStyle="1" w:styleId="Figure" w:type="paragraph">
    <w:name w:val="Figure"/>
    <w:basedOn w:val="Normal"/>
    <w:qFormat/>
    <w:pPr>
      <w:keepNext/>
      <w:spacing w:after="60" w:before="240" w:line="240" w:lineRule="auto"/>
      <w:jc w:val="center"/>
    </w:pPr>
  </w:style>
  <w:style w:customStyle="1" w:styleId="CaptionedFigure" w:type="paragraph">
    <w:name w:val="Captioned Figure"/>
    <w:basedOn w:val="Figure"/>
    <w:qFormat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qFormat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FigureCaption" w:type="paragraph">
    <w:name w:val="Figure Caption"/>
    <w:basedOn w:val="Caption"/>
    <w:qFormat/>
    <w:pPr>
      <w:spacing w:after="240" w:before="60" w:line="276" w:lineRule="auto"/>
    </w:pPr>
  </w:style>
  <w:style w:customStyle="1" w:styleId="Equation" w:type="paragraph">
    <w:name w:val="Equation"/>
    <w:basedOn w:val="Normal"/>
    <w:qFormat/>
    <w:pPr>
      <w:keepLines/>
      <w:tabs>
        <w:tab w:pos="4535" w:val="center"/>
        <w:tab w:pos="9070" w:val="right"/>
      </w:tabs>
      <w:spacing w:after="120" w:before="120" w:line="276" w:lineRule="auto"/>
    </w:pPr>
  </w:style>
  <w:style w:customStyle="1" w:styleId="TableText" w:type="paragraph">
    <w:name w:val="Table Text"/>
    <w:basedOn w:val="Normal"/>
    <w:qFormat/>
    <w:pPr>
      <w:spacing w:after="20" w:before="20" w:line="240" w:lineRule="auto"/>
      <w:jc w:val="left"/>
    </w:pPr>
    <w:rPr>
      <w:sz w:val="20"/>
      <w:szCs w:val="20"/>
    </w:rPr>
  </w:style>
  <w:style w:customStyle="1" w:styleId="Placeholder" w:type="character">
    <w:name w:val="Placeholder"/>
    <w:basedOn w:val="DefaultParagraphFont"/>
    <w:qFormat/>
    <w:rPr>
      <w:shd w:color="auto" w:fill="FFFF00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dc:language>en-GB</dc:language>
  <cp:keywords/>
  <dcterms:created xsi:type="dcterms:W3CDTF">2026-10-24T03:26:54Z</dcterms:created>
  <dcterms:modified xsi:type="dcterms:W3CDTF">2026-10-24T03:26:54Z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Recovery-aware coordinated scheduling of computing workloads and energy storage for deliverable consecutive demand response in AI data centers</vt:lpwstr>
  </property>
</Properties>
</file>