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0.png" ContentType="image/png"/>
  <Override PartName="/word/media/rId74.png" ContentType="image/png"/>
  <Override PartName="/word/media/rId78.png" ContentType="image/png"/>
  <Override PartName="/word/media/rId82.png" ContentType="image/png"/>
  <Override PartName="/word/media/rId85.png" ContentType="image/png"/>
  <Override PartName="/word/media/rId24.png" ContentType="image/png"/>
  <Override PartName="/word/media/rId37.png" ContentType="image/png"/>
  <Override PartName="/word/media/rId46.png" ContentType="image/png"/>
  <Override PartName="/word/media/rId49.png" ContentType="image/png"/>
  <Override PartName="/word/media/rId52.png" ContentType="image/png"/>
  <Override PartName="/word/media/rId56.png" ContentType="image/png"/>
  <Override PartName="/word/media/rId59.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Recovery-aware</w:t>
      </w:r>
      <w:r>
        <w:t xml:space="preserve"> </w:t>
      </w:r>
      <w:r>
        <w:t xml:space="preserve">coordinated</w:t>
      </w:r>
      <w:r>
        <w:t xml:space="preserve"> </w:t>
      </w:r>
      <w:r>
        <w:t xml:space="preserve">scheduling</w:t>
      </w:r>
      <w:r>
        <w:t xml:space="preserve"> </w:t>
      </w:r>
      <w:r>
        <w:t xml:space="preserve">of</w:t>
      </w:r>
      <w:r>
        <w:t xml:space="preserve"> </w:t>
      </w:r>
      <w:r>
        <w:t xml:space="preserve">computing</w:t>
      </w:r>
      <w:r>
        <w:t xml:space="preserve"> </w:t>
      </w:r>
      <w:r>
        <w:t xml:space="preserve">workloads</w:t>
      </w:r>
      <w:r>
        <w:t xml:space="preserve"> </w:t>
      </w:r>
      <w:r>
        <w:t xml:space="preserve">and</w:t>
      </w:r>
      <w:r>
        <w:t xml:space="preserve"> </w:t>
      </w:r>
      <w:r>
        <w:t xml:space="preserve">energy</w:t>
      </w:r>
      <w:r>
        <w:t xml:space="preserve"> </w:t>
      </w:r>
      <w:r>
        <w:t xml:space="preserve">storage</w:t>
      </w:r>
      <w:r>
        <w:t xml:space="preserve"> </w:t>
      </w:r>
      <w:r>
        <w:t xml:space="preserve">for</w:t>
      </w:r>
      <w:r>
        <w:t xml:space="preserve"> </w:t>
      </w:r>
      <w:r>
        <w:t xml:space="preserve">deliverable</w:t>
      </w:r>
      <w:r>
        <w:t xml:space="preserve"> </w:t>
      </w:r>
      <w:r>
        <w:t xml:space="preserve">consecutive</w:t>
      </w:r>
      <w:r>
        <w:t xml:space="preserve"> </w:t>
      </w:r>
      <w:r>
        <w:t xml:space="preserve">demand</w:t>
      </w:r>
      <w:r>
        <w:t xml:space="preserve"> </w:t>
      </w:r>
      <w:r>
        <w:t xml:space="preserve">response</w:t>
      </w:r>
      <w:r>
        <w:t xml:space="preserve"> </w:t>
      </w:r>
      <w:r>
        <w:t xml:space="preserve">in</w:t>
      </w:r>
      <w:r>
        <w:t xml:space="preserve"> </w:t>
      </w:r>
      <w:r>
        <w:t xml:space="preserve">AI</w:t>
      </w:r>
      <w:r>
        <w:t xml:space="preserve"> </w:t>
      </w:r>
      <w:r>
        <w:t xml:space="preserve">data</w:t>
      </w:r>
      <w:r>
        <w:t xml:space="preserve"> </w:t>
      </w:r>
      <w:r>
        <w:t xml:space="preserve">centers</w:t>
      </w:r>
    </w:p>
    <w:p>
      <w:pPr>
        <w:pStyle w:val="Author"/>
      </w:pPr>
      <w:r>
        <w:rPr>
          <w:rStyle w:val="Placeholder"/>
        </w:rPr>
        <w:t xml:space="preserve">Author names (affiliation letters as superscripts; an asterisk marks the corresponding author)</w:t>
      </w:r>
    </w:p>
    <w:p>
      <w:pPr>
        <w:pStyle w:val="Author"/>
      </w:pPr>
      <w:r>
        <w:rPr>
          <w:rStyle w:val="Placeholder"/>
        </w:rPr>
        <w:t xml:space="preserve">Affiliations</w:t>
      </w:r>
    </w:p>
    <w:p>
      <w:pPr>
        <w:pStyle w:val="Author"/>
      </w:pPr>
      <w:r>
        <w:rPr>
          <w:rStyle w:val="Placeholder"/>
        </w:rPr>
        <w:t xml:space="preserve">* Corresponding author. E-mail address</w:t>
      </w:r>
    </w:p>
    <w:p>
      <w:r>
        <w:br w:type="page"/>
      </w:r>
    </w:p>
    <w:bookmarkStart w:id="20" w:name="highlights"/>
    <w:p>
      <w:pPr>
        <w:pStyle w:val="Heading1"/>
      </w:pPr>
      <w:r>
        <w:t xml:space="preserve">Highlights</w:t>
      </w:r>
    </w:p>
    <w:p>
      <w:pPr>
        <w:pStyle w:val="Compact"/>
        <w:numPr>
          <w:ilvl w:val="0"/>
          <w:numId w:val="1001"/>
        </w:numPr>
      </w:pPr>
      <w:r>
        <w:t xml:space="preserve">Computing backlog and storage deficit compete for one grid recovery channel.</w:t>
      </w:r>
    </w:p>
    <w:p>
      <w:pPr>
        <w:pStyle w:val="Compact"/>
        <w:numPr>
          <w:ilvl w:val="0"/>
          <w:numId w:val="1001"/>
        </w:numPr>
      </w:pPr>
      <w:r>
        <w:t xml:space="preserve">Commitments are sized by closed-loop capability within a Wasserstein ball.</w:t>
      </w:r>
    </w:p>
    <w:p>
      <w:pPr>
        <w:pStyle w:val="Compact"/>
        <w:numPr>
          <w:ilvl w:val="0"/>
          <w:numId w:val="1001"/>
        </w:numPr>
      </w:pPr>
      <w:r>
        <w:t xml:space="preserve">Cross-event joint recovery firmly delivers 7.5 MW, 94 % of the physical capability.</w:t>
      </w:r>
    </w:p>
    <w:p>
      <w:pPr>
        <w:pStyle w:val="Compact"/>
        <w:numPr>
          <w:ilvl w:val="0"/>
          <w:numId w:val="1001"/>
        </w:numPr>
      </w:pPr>
      <w:r>
        <w:t xml:space="preserve">Foresight is worth up to 4 MW at short intervals and vanishes at 2–3 h.</w:t>
      </w:r>
    </w:p>
    <w:p>
      <w:pPr>
        <w:pStyle w:val="Compact"/>
        <w:numPr>
          <w:ilvl w:val="0"/>
          <w:numId w:val="1001"/>
        </w:numPr>
      </w:pPr>
      <w:r>
        <w:t xml:space="preserve">Cross-event foresight saves 9.3 MWh of battery, which extra connection cannot buy.</w:t>
      </w:r>
    </w:p>
    <w:bookmarkEnd w:id="20"/>
    <w:bookmarkStart w:id="21" w:name="abstract"/>
    <w:p>
      <w:pPr>
        <w:pStyle w:val="Heading1"/>
      </w:pPr>
      <w:r>
        <w:t xml:space="preserve">Abstract</w:t>
      </w:r>
    </w:p>
    <w:p>
      <w:pPr>
        <w:pStyle w:val="FirstParagraph"/>
      </w:pPr>
      <w:r>
        <w:t xml:space="preserve">AI data centers are increasingly asked to curtail load several times within one evening peak, each time leaving deferred computing work and depleted storage that compete for grid headroom before the next event. This paper models these cross-event recovery debts in an AI data-center integrated energy system, bounds the next event’s deliverable reduction and derives the closed-form value of joint recovery. The firm consecutive demand-response capacity is defined as the largest uniform commitment delivered in full in every event with a prescribed probability, and the day-ahead commitment is set from the controller’s closed-loop capability on historical days within a Wasserstein ball, solved exactly by sorting. A recovery-aware scheduling framework couples it with intraday cross-event joint recovery by model predictive control. On a 16 000-GPU data center under the Jiangsu demand-response rules, over 26 operating days from public traces, cross-event joint recovery firmly delivers 7.5 MW with two events, 94 % of the physical capability, and 6.5 MW with three events. Tuned and price-coordinated independent recovery is not firm even at 1 MW: baseline deviations fall on storage that serves a fixed share of the reduction. Cross-event foresight adds up to 4.0 MW at short intervals, vanishes at 2–3 h and substitutes 9.3 MWh of battery, about 5.6 million CNY. The cost-optimal robust commitment is delivered in full on every operating day, a perfect-recourse two-stage commitment on only 85 % of them. Joint recovery also yields the largest benefit, 43–45 thousand CNY per day, with the shortest task delays.</w:t>
      </w:r>
    </w:p>
    <w:p>
      <w:pPr>
        <w:pStyle w:val="BodyText"/>
      </w:pPr>
      <w:r>
        <w:rPr>
          <w:bCs/>
          <w:b/>
        </w:rPr>
        <w:t xml:space="preserve">Keywords:</w:t>
      </w:r>
      <w:r>
        <w:t xml:space="preserve"> </w:t>
      </w:r>
      <w:r>
        <w:t xml:space="preserve">AI data center; consecutive demand response; computing–storage recovery; firm deliverable capacity; integrated energy system; model predictive control</w:t>
      </w:r>
    </w:p>
    <w:bookmarkEnd w:id="21"/>
    <w:bookmarkStart w:id="22" w:name="nomenclature"/>
    <w:p>
      <w:pPr>
        <w:pStyle w:val="Heading1"/>
      </w:pPr>
      <w:r>
        <w:t xml:space="preserve">Nomenclature</w:t>
      </w:r>
    </w:p>
    <w:p>
      <w:pPr>
        <w:pStyle w:val="FirstParagraph"/>
      </w:pPr>
      <w:r>
        <w:rPr>
          <w:bCs/>
          <w:b/>
        </w:rPr>
        <w:t xml:space="preserve">Abbreviations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1814"/>
        <w:gridCol w:w="7256"/>
      </w:tblGrid>
      <w:tr>
        <w:tc>
          <w:tcPr>
            <w:tcW w:w="1814" w:type="dxa"/>
          </w:tcPr>
          <w:p>
            <w:pPr>
              <w:pStyle w:val="TableText"/>
              <w:jc w:val="left"/>
            </w:pPr>
            <w:r>
              <w:t xml:space="preserve">AIDC</w:t>
            </w:r>
          </w:p>
        </w:tc>
        <w:tc>
          <w:tcPr>
            <w:tcW w:w="7256" w:type="dxa"/>
          </w:tcPr>
          <w:p>
            <w:pPr>
              <w:pStyle w:val="TableText"/>
              <w:jc w:val="left"/>
            </w:pPr>
            <w:r>
              <w:t xml:space="preserve">AI data center</w:t>
            </w:r>
          </w:p>
        </w:tc>
      </w:tr>
      <w:tr>
        <w:tc>
          <w:tcPr>
            <w:tcW w:w="1814" w:type="dxa"/>
          </w:tcPr>
          <w:p>
            <w:pPr>
              <w:pStyle w:val="TableText"/>
              <w:jc w:val="left"/>
            </w:pPr>
            <w:r>
              <w:t xml:space="preserve">BESS</w:t>
            </w:r>
          </w:p>
        </w:tc>
        <w:tc>
          <w:tcPr>
            <w:tcW w:w="7256" w:type="dxa"/>
          </w:tcPr>
          <w:p>
            <w:pPr>
              <w:pStyle w:val="TableText"/>
              <w:jc w:val="left"/>
            </w:pPr>
            <w:r>
              <w:t xml:space="preserve">Battery energy storage system</w:t>
            </w:r>
          </w:p>
        </w:tc>
      </w:tr>
      <w:tr>
        <w:tc>
          <w:tcPr>
            <w:tcW w:w="1814" w:type="dxa"/>
          </w:tcPr>
          <w:p>
            <w:pPr>
              <w:pStyle w:val="TableText"/>
              <w:jc w:val="left"/>
            </w:pPr>
            <w:r>
              <w:t xml:space="preserve">CCHP</w:t>
            </w:r>
          </w:p>
        </w:tc>
        <w:tc>
          <w:tcPr>
            <w:tcW w:w="7256" w:type="dxa"/>
          </w:tcPr>
          <w:p>
            <w:pPr>
              <w:pStyle w:val="TableText"/>
              <w:jc w:val="left"/>
            </w:pPr>
            <w:r>
              <w:t xml:space="preserve">Combined cooling, heating and power</w:t>
            </w:r>
          </w:p>
        </w:tc>
      </w:tr>
      <w:tr>
        <w:tc>
          <w:tcPr>
            <w:tcW w:w="1814" w:type="dxa"/>
          </w:tcPr>
          <w:p>
            <w:pPr>
              <w:pStyle w:val="TableText"/>
              <w:jc w:val="left"/>
            </w:pPr>
            <w:r>
              <w:t xml:space="preserve">COP</w:t>
            </w:r>
          </w:p>
        </w:tc>
        <w:tc>
          <w:tcPr>
            <w:tcW w:w="7256" w:type="dxa"/>
          </w:tcPr>
          <w:p>
            <w:pPr>
              <w:pStyle w:val="TableText"/>
              <w:jc w:val="left"/>
            </w:pPr>
            <w:r>
              <w:t xml:space="preserve">Coefficient of performance</w:t>
            </w:r>
          </w:p>
        </w:tc>
      </w:tr>
      <w:tr>
        <w:tc>
          <w:tcPr>
            <w:tcW w:w="1814" w:type="dxa"/>
          </w:tcPr>
          <w:p>
            <w:pPr>
              <w:pStyle w:val="TableText"/>
              <w:jc w:val="left"/>
            </w:pPr>
            <w:r>
              <w:t xml:space="preserve">DR</w:t>
            </w:r>
          </w:p>
        </w:tc>
        <w:tc>
          <w:tcPr>
            <w:tcW w:w="7256" w:type="dxa"/>
          </w:tcPr>
          <w:p>
            <w:pPr>
              <w:pStyle w:val="TableText"/>
              <w:jc w:val="left"/>
            </w:pPr>
            <w:r>
              <w:t xml:space="preserve">Demand response</w:t>
            </w:r>
          </w:p>
        </w:tc>
      </w:tr>
      <w:tr>
        <w:tc>
          <w:tcPr>
            <w:tcW w:w="1814" w:type="dxa"/>
          </w:tcPr>
          <w:p>
            <w:pPr>
              <w:pStyle w:val="TableText"/>
              <w:jc w:val="left"/>
            </w:pPr>
            <w:r>
              <w:t xml:space="preserve">IES</w:t>
            </w:r>
          </w:p>
        </w:tc>
        <w:tc>
          <w:tcPr>
            <w:tcW w:w="7256" w:type="dxa"/>
          </w:tcPr>
          <w:p>
            <w:pPr>
              <w:pStyle w:val="TableText"/>
              <w:jc w:val="left"/>
            </w:pPr>
            <w:r>
              <w:t xml:space="preserve">Integrated energy system</w:t>
            </w:r>
          </w:p>
        </w:tc>
      </w:tr>
      <w:tr>
        <w:tc>
          <w:tcPr>
            <w:tcW w:w="1814" w:type="dxa"/>
          </w:tcPr>
          <w:p>
            <w:pPr>
              <w:pStyle w:val="TableText"/>
              <w:jc w:val="left"/>
            </w:pPr>
            <w:r>
              <w:t xml:space="preserve">IR-O* / IR-P</w:t>
            </w:r>
          </w:p>
        </w:tc>
        <w:tc>
          <w:tcPr>
            <w:tcW w:w="7256" w:type="dxa"/>
          </w:tcPr>
          <w:p>
            <w:pPr>
              <w:pStyle w:val="TableText"/>
              <w:jc w:val="left"/>
            </w:pPr>
            <w:r>
              <w:t xml:space="preserve">Independent recovery with a day-ahead tuned static split / with day-ahead channel-price coordination</w:t>
            </w:r>
          </w:p>
        </w:tc>
      </w:tr>
      <w:tr>
        <w:tc>
          <w:tcPr>
            <w:tcW w:w="1814" w:type="dxa"/>
          </w:tcPr>
          <w:p>
            <w:pPr>
              <w:pStyle w:val="TableText"/>
              <w:jc w:val="left"/>
            </w:pPr>
            <w:r>
              <w:t xml:space="preserve">JR-D / JR-M / JR-S</w:t>
            </w:r>
          </w:p>
        </w:tc>
        <w:tc>
          <w:tcPr>
            <w:tcW w:w="7256" w:type="dxa"/>
          </w:tcPr>
          <w:p>
            <w:pPr>
              <w:pStyle w:val="TableText"/>
              <w:jc w:val="left"/>
            </w:pPr>
            <w:r>
              <w:t xml:space="preserve">Joint recovery: cross-event deterministic MPC (proposed) / event-by-event / scenario MPC</w:t>
            </w:r>
          </w:p>
        </w:tc>
      </w:tr>
      <w:tr>
        <w:tc>
          <w:tcPr>
            <w:tcW w:w="1814" w:type="dxa"/>
          </w:tcPr>
          <w:p>
            <w:pPr>
              <w:pStyle w:val="TableText"/>
              <w:jc w:val="left"/>
            </w:pPr>
            <w:r>
              <w:t xml:space="preserve">MILP</w:t>
            </w:r>
          </w:p>
        </w:tc>
        <w:tc>
          <w:tcPr>
            <w:tcW w:w="7256" w:type="dxa"/>
          </w:tcPr>
          <w:p>
            <w:pPr>
              <w:pStyle w:val="TableText"/>
              <w:jc w:val="left"/>
            </w:pPr>
            <w:r>
              <w:t xml:space="preserve">Mixed-integer linear programming</w:t>
            </w:r>
          </w:p>
        </w:tc>
      </w:tr>
      <w:tr>
        <w:tc>
          <w:tcPr>
            <w:tcW w:w="1814" w:type="dxa"/>
          </w:tcPr>
          <w:p>
            <w:pPr>
              <w:pStyle w:val="TableText"/>
              <w:jc w:val="left"/>
            </w:pPr>
            <w:r>
              <w:t xml:space="preserve">MPC</w:t>
            </w:r>
          </w:p>
        </w:tc>
        <w:tc>
          <w:tcPr>
            <w:tcW w:w="7256" w:type="dxa"/>
          </w:tcPr>
          <w:p>
            <w:pPr>
              <w:pStyle w:val="TableText"/>
              <w:jc w:val="left"/>
            </w:pPr>
            <w:r>
              <w:t xml:space="preserve">Model predictive control</w:t>
            </w:r>
          </w:p>
        </w:tc>
      </w:tr>
      <w:tr>
        <w:tc>
          <w:tcPr>
            <w:tcW w:w="1814" w:type="dxa"/>
          </w:tcPr>
          <w:p>
            <w:pPr>
              <w:pStyle w:val="TableText"/>
              <w:jc w:val="left"/>
            </w:pPr>
            <w:r>
              <w:t xml:space="preserve">PV</w:t>
            </w:r>
          </w:p>
        </w:tc>
        <w:tc>
          <w:tcPr>
            <w:tcW w:w="7256" w:type="dxa"/>
          </w:tcPr>
          <w:p>
            <w:pPr>
              <w:pStyle w:val="TableText"/>
              <w:jc w:val="left"/>
            </w:pPr>
            <w:r>
              <w:t xml:space="preserve">Photovoltaic</w:t>
            </w:r>
          </w:p>
        </w:tc>
      </w:tr>
      <w:tr>
        <w:tc>
          <w:tcPr>
            <w:tcW w:w="1814" w:type="dxa"/>
          </w:tcPr>
          <w:p>
            <w:pPr>
              <w:pStyle w:val="TableText"/>
              <w:jc w:val="left"/>
            </w:pPr>
            <w:r>
              <w:t xml:space="preserve">SAA</w:t>
            </w:r>
          </w:p>
        </w:tc>
        <w:tc>
          <w:tcPr>
            <w:tcW w:w="7256" w:type="dxa"/>
          </w:tcPr>
          <w:p>
            <w:pPr>
              <w:pStyle w:val="TableText"/>
              <w:jc w:val="left"/>
            </w:pPr>
            <w:r>
              <w:t xml:space="preserve">Sample average approximation</w:t>
            </w:r>
          </w:p>
        </w:tc>
      </w:tr>
      <w:tr>
        <w:tc>
          <w:tcPr>
            <w:tcW w:w="1814" w:type="dxa"/>
          </w:tcPr>
          <w:p>
            <w:pPr>
              <w:pStyle w:val="TableText"/>
              <w:jc w:val="left"/>
            </w:pPr>
            <w:r>
              <w:t xml:space="preserve">DRO</w:t>
            </w:r>
          </w:p>
        </w:tc>
        <w:tc>
          <w:tcPr>
            <w:tcW w:w="7256" w:type="dxa"/>
          </w:tcPr>
          <w:p>
            <w:pPr>
              <w:pStyle w:val="TableText"/>
              <w:jc w:val="left"/>
            </w:pPr>
            <w:r>
              <w:t xml:space="preserve">Distributionally robust optimisation</w:t>
            </w:r>
          </w:p>
        </w:tc>
      </w:tr>
      <w:tr>
        <w:tc>
          <w:tcPr>
            <w:tcW w:w="1814" w:type="dxa"/>
          </w:tcPr>
          <w:p>
            <w:pPr>
              <w:pStyle w:val="TableText"/>
              <w:jc w:val="left"/>
            </w:pPr>
            <w:r>
              <w:t xml:space="preserve">SLA</w:t>
            </w:r>
          </w:p>
        </w:tc>
        <w:tc>
          <w:tcPr>
            <w:tcW w:w="7256" w:type="dxa"/>
          </w:tcPr>
          <w:p>
            <w:pPr>
              <w:pStyle w:val="TableText"/>
              <w:jc w:val="left"/>
            </w:pPr>
            <w:r>
              <w:t xml:space="preserve">Service-level agreement</w:t>
            </w:r>
          </w:p>
        </w:tc>
      </w:tr>
      <w:tr>
        <w:tc>
          <w:tcPr>
            <w:tcW w:w="1814" w:type="dxa"/>
          </w:tcPr>
          <w:p>
            <w:pPr>
              <w:pStyle w:val="TableText"/>
              <w:jc w:val="left"/>
            </w:pPr>
            <w:r>
              <w:t xml:space="preserve">TES</w:t>
            </w:r>
          </w:p>
        </w:tc>
        <w:tc>
          <w:tcPr>
            <w:tcW w:w="7256" w:type="dxa"/>
          </w:tcPr>
          <w:p>
            <w:pPr>
              <w:pStyle w:val="TableText"/>
              <w:jc w:val="left"/>
            </w:pPr>
            <w:r>
              <w:t xml:space="preserve">Thermal (chilled-water) energy storage</w:t>
            </w:r>
          </w:p>
        </w:tc>
      </w:tr>
      <w:tr>
        <w:tc>
          <w:tcPr>
            <w:tcW w:w="1814" w:type="dxa"/>
          </w:tcPr>
          <w:p>
            <w:pPr>
              <w:pStyle w:val="TableText"/>
              <w:jc w:val="left"/>
            </w:pPr>
            <w:r>
              <w:t xml:space="preserve">TOU</w:t>
            </w:r>
          </w:p>
        </w:tc>
        <w:tc>
          <w:tcPr>
            <w:tcW w:w="7256" w:type="dxa"/>
          </w:tcPr>
          <w:p>
            <w:pPr>
              <w:pStyle w:val="TableText"/>
              <w:jc w:val="left"/>
            </w:pPr>
            <w:r>
              <w:t xml:space="preserve">Time of use</w:t>
            </w:r>
          </w:p>
        </w:tc>
      </w:tr>
    </w:tbl>
    <w:p>
      <w:pPr>
        <w:pStyle w:val="BodyText"/>
      </w:pPr>
      <w:r>
        <w:rPr>
          <w:bCs/>
          <w:b/>
        </w:rPr>
        <w:t xml:space="preserve">Parameters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1814"/>
        <w:gridCol w:w="7256"/>
      </w:tblGrid>
      <w:tr>
        <w:tc>
          <w:tcPr>
            <w:tcW w:w="1814" w:type="dxa"/>
          </w:tcPr>
          <w:p>
            <w:pPr>
              <w:pStyle w:val="TableText"/>
              <w:jc w:val="left"/>
            </w:pPr>
            <m:oMath>
              <m:r>
                <m:t>Δ</m:t>
              </m:r>
              <m:r>
                <m:t>t</m:t>
              </m:r>
            </m:oMath>
          </w:p>
        </w:tc>
        <w:tc>
          <w:tcPr>
            <w:tcW w:w="7256" w:type="dxa"/>
          </w:tcPr>
          <w:p>
            <w:pPr>
              <w:pStyle w:val="TableText"/>
              <w:jc w:val="left"/>
            </w:pPr>
            <w:r>
              <w:t xml:space="preserve">Time step (0.25 h)</w:t>
            </w:r>
          </w:p>
        </w:tc>
      </w:tr>
      <w:tr>
        <w:tc>
          <w:tcPr>
            <w:tcW w:w="1814" w:type="dxa"/>
          </w:tcPr>
          <w:p>
            <w:pPr>
              <w:pStyle w:val="TableText"/>
              <w:jc w:val="left"/>
            </w:pPr>
            <m:oMath>
              <m:r>
                <m:rPr>
                  <m:scr m:val="script"/>
                  <m:sty m:val="p"/>
                </m:rPr>
                <m:t>K</m:t>
              </m:r>
            </m:oMath>
            <w:r>
              <w:t xml:space="preserve">,</w:t>
            </w:r>
            <w:r>
              <w:t xml:space="preserve"> </w:t>
            </w:r>
            <m:oMath>
              <m:sSub>
                <m:e>
                  <m:r>
                    <m:rPr>
                      <m:scr m:val="script"/>
                      <m:sty m:val="p"/>
                    </m:rPr>
                    <m:t>T</m:t>
                  </m:r>
                </m:e>
                <m:sub>
                  <m:r>
                    <m:t>k</m:t>
                  </m:r>
                </m:sub>
              </m:sSub>
            </m:oMath>
            <w:r>
              <w:t xml:space="preserve">,</w:t>
            </w:r>
            <w:r>
              <w:t xml:space="preserve"> </w:t>
            </w:r>
            <m:oMath>
              <m:sSub>
                <m:e>
                  <m:r>
                    <m:t>D</m:t>
                  </m:r>
                </m:e>
                <m:sub>
                  <m:r>
                    <m:t>k</m:t>
                  </m:r>
                </m:sub>
              </m:sSub>
            </m:oMath>
          </w:p>
        </w:tc>
        <w:tc>
          <w:tcPr>
            <w:tcW w:w="7256" w:type="dxa"/>
          </w:tcPr>
          <w:p>
            <w:pPr>
              <w:pStyle w:val="TableText"/>
              <w:jc w:val="left"/>
            </w:pPr>
            <w:r>
              <w:t xml:space="preserve">Set of DR events; steps and duration of event</w:t>
            </w:r>
            <w:r>
              <w:t xml:space="preserve"> </w:t>
            </w:r>
            <m:oMath>
              <m:r>
                <m:t>k</m:t>
              </m:r>
            </m:oMath>
          </w:p>
        </w:tc>
      </w:tr>
      <w:tr>
        <w:tc>
          <w:tcPr>
            <w:tcW w:w="1814" w:type="dxa"/>
          </w:tcPr>
          <w:p>
            <w:pPr>
              <w:pStyle w:val="TableText"/>
              <w:jc w:val="left"/>
            </w:pPr>
            <m:oMath>
              <m:sSub>
                <m:e>
                  <m:r>
                    <m:t>C</m:t>
                  </m:r>
                </m:e>
                <m:sub>
                  <m:r>
                    <m:t>k</m:t>
                  </m:r>
                </m:sub>
              </m:sSub>
            </m:oMath>
          </w:p>
        </w:tc>
        <w:tc>
          <w:tcPr>
            <w:tcW w:w="7256" w:type="dxa"/>
          </w:tcPr>
          <w:p>
            <w:pPr>
              <w:pStyle w:val="TableText"/>
              <w:jc w:val="left"/>
            </w:pPr>
            <w:r>
              <w:t xml:space="preserve">DR commitment of event</w:t>
            </w:r>
            <w:r>
              <w:t xml:space="preserve"> </w:t>
            </w:r>
            <m:oMath>
              <m:r>
                <m:t>k</m:t>
              </m:r>
            </m:oMath>
            <w:r>
              <w:t xml:space="preserve"> </w:t>
            </w:r>
            <w:r>
              <w:t xml:space="preserve">(MW)</w:t>
            </w:r>
          </w:p>
        </w:tc>
      </w:tr>
      <w:tr>
        <w:tc>
          <w:tcPr>
            <w:tcW w:w="1814" w:type="dxa"/>
          </w:tcPr>
          <w:p>
            <w:pPr>
              <w:pStyle w:val="TableText"/>
              <w:jc w:val="left"/>
            </w:pPr>
            <m:oMath>
              <m:sSub>
                <m:e>
                  <m:r>
                    <m:t>π</m:t>
                  </m:r>
                </m:e>
                <m:sub>
                  <m:r>
                    <m:t>t</m:t>
                  </m:r>
                </m:sub>
              </m:sSub>
            </m:oMath>
            <w:r>
              <w:t xml:space="preserve">,</w:t>
            </w:r>
            <w:r>
              <w:t xml:space="preserve"> </w:t>
            </w:r>
            <m:oMath>
              <m:sSub>
                <m:e>
                  <m:r>
                    <m:t>π</m:t>
                  </m:r>
                </m:e>
                <m:sub>
                  <m:r>
                    <m:t>k</m:t>
                  </m:r>
                </m:sub>
              </m:sSub>
            </m:oMath>
          </w:p>
        </w:tc>
        <w:tc>
          <w:tcPr>
            <w:tcW w:w="7256" w:type="dxa"/>
          </w:tcPr>
          <w:p>
            <w:pPr>
              <w:pStyle w:val="TableText"/>
              <w:jc w:val="left"/>
            </w:pPr>
            <w:r>
              <w:t xml:space="preserve">TOU energy price; DR unit price of event</w:t>
            </w:r>
            <w:r>
              <w:t xml:space="preserve"> </w:t>
            </w:r>
            <m:oMath>
              <m:r>
                <m:t>k</m:t>
              </m:r>
            </m:oMath>
            <w:r>
              <w:t xml:space="preserve"> </w:t>
            </w:r>
            <w:r>
              <w:t xml:space="preserve">(CNY/MWh)</w:t>
            </w:r>
          </w:p>
        </w:tc>
      </w:tr>
      <w:tr>
        <w:tc>
          <w:tcPr>
            <w:tcW w:w="1814" w:type="dxa"/>
          </w:tcPr>
          <w:p>
            <w:pPr>
              <w:pStyle w:val="TableText"/>
              <w:jc w:val="left"/>
            </w:pPr>
            <m:oMath>
              <m:r>
                <m:t>κ</m:t>
              </m:r>
            </m:oMath>
          </w:p>
        </w:tc>
        <w:tc>
          <w:tcPr>
            <w:tcW w:w="7256" w:type="dxa"/>
          </w:tcPr>
          <w:p>
            <w:pPr>
              <w:pStyle w:val="TableText"/>
              <w:jc w:val="left"/>
            </w:pPr>
            <w:r>
              <w:t xml:space="preserve">Shortfall assessment coefficient</w:t>
            </w:r>
          </w:p>
        </w:tc>
      </w:tr>
      <w:tr>
        <w:tc>
          <w:tcPr>
            <w:tcW w:w="1814" w:type="dxa"/>
          </w:tcPr>
          <w:p>
            <w:pPr>
              <w:pStyle w:val="TableText"/>
              <w:jc w:val="left"/>
            </w:pPr>
            <m:oMath>
              <m:sSubSup>
                <m:e>
                  <m:r>
                    <m:t>P</m:t>
                  </m:r>
                </m:e>
                <m:sub>
                  <m:r>
                    <m:t>t</m:t>
                  </m:r>
                </m:sub>
                <m:sup>
                  <m:r>
                    <m:t>b</m:t>
                  </m:r>
                  <m:r>
                    <m:t>a</m:t>
                  </m:r>
                  <m:r>
                    <m:t>s</m:t>
                  </m:r>
                  <m:r>
                    <m:t>e</m:t>
                  </m:r>
                </m:sup>
              </m:sSubSup>
            </m:oMath>
          </w:p>
        </w:tc>
        <w:tc>
          <w:tcPr>
            <w:tcW w:w="7256" w:type="dxa"/>
          </w:tcPr>
          <w:p>
            <w:pPr>
              <w:pStyle w:val="TableText"/>
              <w:jc w:val="left"/>
            </w:pPr>
            <w:r>
              <w:t xml:space="preserve">DR baseline (MW)</w:t>
            </w:r>
          </w:p>
        </w:tc>
      </w:tr>
      <w:tr>
        <w:tc>
          <w:tcPr>
            <w:tcW w:w="1814" w:type="dxa"/>
          </w:tcPr>
          <w:p>
            <w:pPr>
              <w:pStyle w:val="TableText"/>
              <w:jc w:val="left"/>
            </w:pPr>
            <m:oMath>
              <m:sSup>
                <m:e>
                  <m:r>
                    <m:t>P</m:t>
                  </m:r>
                </m:e>
                <m:sup>
                  <m:r>
                    <m:t>c</m:t>
                  </m:r>
                  <m:r>
                    <m:t>a</m:t>
                  </m:r>
                  <m:r>
                    <m:t>p</m:t>
                  </m:r>
                </m:sup>
              </m:sSup>
              <m:r>
                <m:rPr>
                  <m:sty m:val="p"/>
                </m:rPr>
                <m:t>=</m:t>
              </m:r>
              <m:r>
                <m:t>γ</m:t>
              </m:r>
              <m:acc>
                <m:accPr>
                  <m:chr m:val="̂"/>
                </m:accPr>
                <m:e>
                  <m:r>
                    <m:t>P</m:t>
                  </m:r>
                </m:e>
              </m:acc>
            </m:oMath>
          </w:p>
        </w:tc>
        <w:tc>
          <w:tcPr>
            <w:tcW w:w="7256" w:type="dxa"/>
          </w:tcPr>
          <w:p>
            <w:pPr>
              <w:pStyle w:val="TableText"/>
              <w:jc w:val="left"/>
            </w:pPr>
            <w:r>
              <w:t xml:space="preserve">Grid connection limit;</w:t>
            </w:r>
            <w:r>
              <w:t xml:space="preserve"> </w:t>
            </w:r>
            <m:oMath>
              <m:r>
                <m:t>γ</m:t>
              </m:r>
            </m:oMath>
            <w:r>
              <w:t xml:space="preserve"> </w:t>
            </w:r>
            <w:r>
              <w:t xml:space="preserve">connection margin over the typical-day peak</w:t>
            </w:r>
            <w:r>
              <w:t xml:space="preserve"> </w:t>
            </w:r>
            <m:oMath>
              <m:acc>
                <m:accPr>
                  <m:chr m:val="̂"/>
                </m:accPr>
                <m:e>
                  <m:r>
                    <m:t>P</m:t>
                  </m:r>
                </m:e>
              </m:acc>
            </m:oMath>
          </w:p>
        </w:tc>
      </w:tr>
      <w:tr>
        <w:tc>
          <w:tcPr>
            <w:tcW w:w="1814" w:type="dxa"/>
          </w:tcPr>
          <w:p>
            <w:pPr>
              <w:pStyle w:val="TableText"/>
              <w:jc w:val="left"/>
            </w:pPr>
            <m:oMath>
              <m:sSub>
                <m:e>
                  <m:r>
                    <m:t>a</m:t>
                  </m:r>
                </m:e>
                <m:sub>
                  <m:r>
                    <m:t>c</m:t>
                  </m:r>
                  <m:r>
                    <m:rPr>
                      <m:sty m:val="p"/>
                    </m:rPr>
                    <m:t>,</m:t>
                  </m:r>
                  <m:r>
                    <m:t>t</m:t>
                  </m:r>
                </m:sub>
              </m:sSub>
            </m:oMath>
          </w:p>
        </w:tc>
        <w:tc>
          <w:tcPr>
            <w:tcW w:w="7256" w:type="dxa"/>
          </w:tcPr>
          <w:p>
            <w:pPr>
              <w:pStyle w:val="TableText"/>
              <w:jc w:val="left"/>
            </w:pPr>
            <w:r>
              <w:t xml:space="preserve">Arrival rate of deferrable work of class</w:t>
            </w:r>
            <w:r>
              <w:t xml:space="preserve"> </w:t>
            </w:r>
            <m:oMath>
              <m:r>
                <m:t>c</m:t>
              </m:r>
            </m:oMath>
            <w:r>
              <w:t xml:space="preserve"> </w:t>
            </w:r>
            <w:r>
              <w:t xml:space="preserve">(busy GPUs)</w:t>
            </w:r>
          </w:p>
        </w:tc>
      </w:tr>
      <w:tr>
        <w:tc>
          <w:tcPr>
            <w:tcW w:w="1814" w:type="dxa"/>
          </w:tcPr>
          <w:p>
            <w:pPr>
              <w:pStyle w:val="TableText"/>
              <w:jc w:val="left"/>
            </w:pPr>
            <m:oMath>
              <m:sSub>
                <m:e>
                  <m:r>
                    <m:t>L</m:t>
                  </m:r>
                </m:e>
                <m:sub>
                  <m:r>
                    <m:t>c</m:t>
                  </m:r>
                </m:sub>
              </m:sSub>
            </m:oMath>
          </w:p>
        </w:tc>
        <w:tc>
          <w:tcPr>
            <w:tcW w:w="7256" w:type="dxa"/>
          </w:tcPr>
          <w:p>
            <w:pPr>
              <w:pStyle w:val="TableText"/>
              <w:jc w:val="left"/>
            </w:pPr>
            <w:r>
              <w:t xml:space="preserve">Lag bound (deadline) of class</w:t>
            </w:r>
            <w:r>
              <w:t xml:space="preserve"> </w:t>
            </w:r>
            <m:oMath>
              <m:r>
                <m:t>c</m:t>
              </m:r>
            </m:oMath>
            <w:r>
              <w:t xml:space="preserve"> </w:t>
            </w:r>
            <w:r>
              <w:t xml:space="preserve">(h)</w:t>
            </w:r>
          </w:p>
        </w:tc>
      </w:tr>
      <w:tr>
        <w:tc>
          <w:tcPr>
            <w:tcW w:w="1814" w:type="dxa"/>
          </w:tcPr>
          <w:p>
            <w:pPr>
              <w:pStyle w:val="TableText"/>
              <w:jc w:val="left"/>
            </w:pPr>
            <m:oMath>
              <m:sSubSup>
                <m:e>
                  <m:r>
                    <m:t>G</m:t>
                  </m:r>
                </m:e>
                <m:sub>
                  <m:r>
                    <m:t>t</m:t>
                  </m:r>
                </m:sub>
                <m:sup>
                  <m:r>
                    <m:t>i</m:t>
                  </m:r>
                  <m:r>
                    <m:t>n</m:t>
                  </m:r>
                  <m:r>
                    <m:t>f</m:t>
                  </m:r>
                </m:sup>
              </m:sSubSup>
            </m:oMath>
            <w:r>
              <w:t xml:space="preserve">,</w:t>
            </w:r>
            <w:r>
              <w:t xml:space="preserve"> </w:t>
            </w:r>
            <m:oMath>
              <m:sSubSup>
                <m:e>
                  <m:r>
                    <m:t>G</m:t>
                  </m:r>
                </m:e>
                <m:sub>
                  <m:r>
                    <m:t>t</m:t>
                  </m:r>
                </m:sub>
                <m:sup>
                  <m:r>
                    <m:t>f</m:t>
                  </m:r>
                  <m:r>
                    <m:t>i</m:t>
                  </m:r>
                  <m:r>
                    <m:t>x</m:t>
                  </m:r>
                </m:sup>
              </m:sSubSup>
            </m:oMath>
          </w:p>
        </w:tc>
        <w:tc>
          <w:tcPr>
            <w:tcW w:w="7256" w:type="dxa"/>
          </w:tcPr>
          <w:p>
            <w:pPr>
              <w:pStyle w:val="TableText"/>
              <w:jc w:val="left"/>
            </w:pPr>
            <w:r>
              <w:t xml:space="preserve">Busy GPUs of online inference and non-deferrable training</w:t>
            </w:r>
          </w:p>
        </w:tc>
      </w:tr>
      <w:tr>
        <w:tc>
          <w:tcPr>
            <w:tcW w:w="1814" w:type="dxa"/>
          </w:tcPr>
          <w:p>
            <w:pPr>
              <w:pStyle w:val="TableText"/>
              <w:jc w:val="left"/>
            </w:pPr>
            <m:oMath>
              <m:sSup>
                <m:e>
                  <m:r>
                    <m:t>p</m:t>
                  </m:r>
                </m:e>
                <m:sup>
                  <m:r>
                    <m:t>d</m:t>
                  </m:r>
                  <m:r>
                    <m:t>y</m:t>
                  </m:r>
                  <m:r>
                    <m:t>n</m:t>
                  </m:r>
                </m:sup>
              </m:sSup>
            </m:oMath>
            <w:r>
              <w:t xml:space="preserve">,</w:t>
            </w:r>
            <w:r>
              <w:t xml:space="preserve"> </w:t>
            </w:r>
            <m:oMath>
              <m:sSup>
                <m:e>
                  <m:r>
                    <m:t>P</m:t>
                  </m:r>
                </m:e>
                <m:sup>
                  <m:r>
                    <m:t>f</m:t>
                  </m:r>
                  <m:r>
                    <m:t>i</m:t>
                  </m:r>
                  <m:r>
                    <m:t>x</m:t>
                  </m:r>
                </m:sup>
              </m:sSup>
            </m:oMath>
          </w:p>
        </w:tc>
        <w:tc>
          <w:tcPr>
            <w:tcW w:w="7256" w:type="dxa"/>
          </w:tcPr>
          <w:p>
            <w:pPr>
              <w:pStyle w:val="TableText"/>
              <w:jc w:val="left"/>
            </w:pPr>
            <w:r>
              <w:t xml:space="preserve">Dynamic power per busy GPU; schedule-independent IT power (MW)</w:t>
            </w:r>
          </w:p>
        </w:tc>
      </w:tr>
      <w:tr>
        <w:tc>
          <w:tcPr>
            <w:tcW w:w="1814" w:type="dxa"/>
          </w:tcPr>
          <w:p>
            <w:pPr>
              <w:pStyle w:val="TableText"/>
              <w:jc w:val="left"/>
            </w:pPr>
            <m:oMath>
              <m:sSub>
                <m:e>
                  <m:r>
                    <m:t>η</m:t>
                  </m:r>
                </m:e>
                <m:sub>
                  <m:r>
                    <m:t>c</m:t>
                  </m:r>
                </m:sub>
              </m:sSub>
            </m:oMath>
            <w:r>
              <w:t xml:space="preserve">,</w:t>
            </w:r>
            <w:r>
              <w:t xml:space="preserve"> </w:t>
            </w:r>
            <m:oMath>
              <m:sSub>
                <m:e>
                  <m:r>
                    <m:t>η</m:t>
                  </m:r>
                </m:e>
                <m:sub>
                  <m:r>
                    <m:t>d</m:t>
                  </m:r>
                </m:sub>
              </m:sSub>
            </m:oMath>
          </w:p>
        </w:tc>
        <w:tc>
          <w:tcPr>
            <w:tcW w:w="7256" w:type="dxa"/>
          </w:tcPr>
          <w:p>
            <w:pPr>
              <w:pStyle w:val="TableText"/>
              <w:jc w:val="left"/>
            </w:pPr>
            <w:r>
              <w:t xml:space="preserve">BESS charging / discharging efficiency</w:t>
            </w:r>
          </w:p>
        </w:tc>
      </w:tr>
      <w:tr>
        <w:tc>
          <w:tcPr>
            <w:tcW w:w="1814" w:type="dxa"/>
          </w:tcPr>
          <w:p>
            <w:pPr>
              <w:pStyle w:val="TableText"/>
              <w:jc w:val="left"/>
            </w:pPr>
            <m:oMath>
              <m:bar>
                <m:barPr>
                  <m:pos m:val="bot"/>
                </m:barPr>
                <m:e>
                  <m:r>
                    <m:t>E</m:t>
                  </m:r>
                </m:e>
              </m:bar>
            </m:oMath>
            <w:r>
              <w:t xml:space="preserve">,</w:t>
            </w:r>
            <w:r>
              <w:t xml:space="preserve"> </w:t>
            </w:r>
            <m:oMath>
              <m:acc>
                <m:accPr>
                  <m:chr m:val="‾"/>
                </m:accPr>
                <m:e>
                  <m:r>
                    <m:t>E</m:t>
                  </m:r>
                </m:e>
              </m:acc>
            </m:oMath>
            <w:r>
              <w:t xml:space="preserve">,</w:t>
            </w:r>
            <w:r>
              <w:t xml:space="preserve"> </w:t>
            </w:r>
            <m:oMath>
              <m:sSup>
                <m:e>
                  <m:acc>
                    <m:accPr>
                      <m:chr m:val="‾"/>
                    </m:accPr>
                    <m:e>
                      <m:r>
                        <m:t>P</m:t>
                      </m:r>
                    </m:e>
                  </m:acc>
                </m:e>
                <m:sup>
                  <m:r>
                    <m:t>B</m:t>
                  </m:r>
                </m:sup>
              </m:sSup>
            </m:oMath>
          </w:p>
        </w:tc>
        <w:tc>
          <w:tcPr>
            <w:tcW w:w="7256" w:type="dxa"/>
          </w:tcPr>
          <w:p>
            <w:pPr>
              <w:pStyle w:val="TableText"/>
              <w:jc w:val="left"/>
            </w:pPr>
            <w:r>
              <w:t xml:space="preserve">BESS energy bounds and power rating</w:t>
            </w:r>
          </w:p>
        </w:tc>
      </w:tr>
      <w:tr>
        <w:tc>
          <w:tcPr>
            <w:tcW w:w="1814" w:type="dxa"/>
          </w:tcPr>
          <w:p>
            <w:pPr>
              <w:pStyle w:val="TableText"/>
              <w:jc w:val="left"/>
            </w:pPr>
            <m:oMath>
              <m:sSub>
                <m:e>
                  <m:r>
                    <m:rPr>
                      <m:sty m:val="p"/>
                    </m:rPr>
                    <m:t>C</m:t>
                  </m:r>
                  <m:r>
                    <m:rPr>
                      <m:sty m:val="p"/>
                    </m:rPr>
                    <m:t>O</m:t>
                  </m:r>
                  <m:r>
                    <m:rPr>
                      <m:sty m:val="p"/>
                    </m:rPr>
                    <m:t>P</m:t>
                  </m:r>
                </m:e>
                <m:sub>
                  <m:r>
                    <m:t>t</m:t>
                  </m:r>
                </m:sub>
              </m:sSub>
            </m:oMath>
          </w:p>
        </w:tc>
        <w:tc>
          <w:tcPr>
            <w:tcW w:w="7256" w:type="dxa"/>
          </w:tcPr>
          <w:p>
            <w:pPr>
              <w:pStyle w:val="TableText"/>
              <w:jc w:val="left"/>
            </w:pPr>
            <w:r>
              <w:t xml:space="preserve">Electric chiller COP (temperature dependent)</w:t>
            </w:r>
          </w:p>
        </w:tc>
      </w:tr>
      <w:tr>
        <w:tc>
          <w:tcPr>
            <w:tcW w:w="1814" w:type="dxa"/>
          </w:tcPr>
          <w:p>
            <w:pPr>
              <w:pStyle w:val="TableText"/>
              <w:jc w:val="left"/>
            </w:pPr>
            <m:oMath>
              <m:r>
                <m:t>ρ</m:t>
              </m:r>
            </m:oMath>
          </w:p>
        </w:tc>
        <w:tc>
          <w:tcPr>
            <w:tcW w:w="7256" w:type="dxa"/>
          </w:tcPr>
          <w:p>
            <w:pPr>
              <w:pStyle w:val="TableText"/>
              <w:jc w:val="left"/>
            </w:pPr>
            <w:r>
              <w:t xml:space="preserve">Target reliability of the firm capacity</w:t>
            </w:r>
          </w:p>
        </w:tc>
      </w:tr>
      <w:tr>
        <w:tc>
          <w:tcPr>
            <w:tcW w:w="1814" w:type="dxa"/>
          </w:tcPr>
          <w:p>
            <w:pPr>
              <w:pStyle w:val="TableText"/>
              <w:jc w:val="left"/>
            </w:pPr>
            <m:oMath>
              <m:sSub>
                <m:e>
                  <m:r>
                    <m:t>ϵ</m:t>
                  </m:r>
                </m:e>
                <m:sub>
                  <m:r>
                    <m:t>f</m:t>
                  </m:r>
                </m:sub>
              </m:sSub>
            </m:oMath>
          </w:p>
        </w:tc>
        <w:tc>
          <w:tcPr>
            <w:tcW w:w="7256" w:type="dxa"/>
          </w:tcPr>
          <w:p>
            <w:pPr>
              <w:pStyle w:val="TableText"/>
              <w:jc w:val="left"/>
            </w:pPr>
            <w:r>
              <w:t xml:space="preserve">Metering tolerance of full delivery (2 %)</w:t>
            </w:r>
          </w:p>
        </w:tc>
      </w:tr>
      <w:tr>
        <w:tc>
          <w:tcPr>
            <w:tcW w:w="1814" w:type="dxa"/>
          </w:tcPr>
          <w:p>
            <w:pPr>
              <w:pStyle w:val="TableText"/>
              <w:jc w:val="left"/>
            </w:pPr>
            <m:oMath>
              <m:r>
                <m:t>ε</m:t>
              </m:r>
            </m:oMath>
          </w:p>
        </w:tc>
        <w:tc>
          <w:tcPr>
            <w:tcW w:w="7256" w:type="dxa"/>
          </w:tcPr>
          <w:p>
            <w:pPr>
              <w:pStyle w:val="TableText"/>
              <w:jc w:val="left"/>
            </w:pPr>
            <w:r>
              <w:t xml:space="preserve">Radius of the 1-Wasserstein ambiguity set (MW)</w:t>
            </w:r>
          </w:p>
        </w:tc>
      </w:tr>
      <w:tr>
        <w:tc>
          <w:tcPr>
            <w:tcW w:w="1814" w:type="dxa"/>
          </w:tcPr>
          <w:p>
            <w:pPr>
              <w:pStyle w:val="TableText"/>
              <w:jc w:val="left"/>
            </w:pPr>
            <m:oMath>
              <m:sSup>
                <m:e>
                  <m:r>
                    <m:t>Ω</m:t>
                  </m:r>
                </m:e>
                <m:sup>
                  <m:r>
                    <m:t>D</m:t>
                  </m:r>
                  <m:r>
                    <m:t>A</m:t>
                  </m:r>
                </m:sup>
              </m:sSup>
            </m:oMath>
            <w:r>
              <w:t xml:space="preserve">,</w:t>
            </w:r>
            <w:r>
              <w:t xml:space="preserve"> </w:t>
            </w:r>
            <m:oMath>
              <m:r>
                <m:t>Ω</m:t>
              </m:r>
            </m:oMath>
          </w:p>
        </w:tc>
        <w:tc>
          <w:tcPr>
            <w:tcW w:w="7256" w:type="dxa"/>
          </w:tcPr>
          <w:p>
            <w:pPr>
              <w:pStyle w:val="TableText"/>
              <w:jc w:val="left"/>
            </w:pPr>
            <w:r>
              <w:t xml:space="preserve">Historical days used day-ahead; operating (test) days</w:t>
            </w:r>
          </w:p>
        </w:tc>
      </w:tr>
      <w:tr>
        <w:tc>
          <w:tcPr>
            <w:tcW w:w="1814" w:type="dxa"/>
          </w:tcPr>
          <w:p>
            <w:pPr>
              <w:pStyle w:val="TableText"/>
              <w:jc w:val="left"/>
            </w:pPr>
            <m:oMath>
              <m:sSup>
                <m:e>
                  <m:r>
                    <m:t>c</m:t>
                  </m:r>
                </m:e>
                <m:sup>
                  <m:r>
                    <m:t>j</m:t>
                  </m:r>
                  <m:r>
                    <m:t>c</m:t>
                  </m:r>
                  <m:r>
                    <m:t>t</m:t>
                  </m:r>
                </m:sup>
              </m:sSup>
            </m:oMath>
            <w:r>
              <w:t xml:space="preserve">,</w:t>
            </w:r>
            <w:r>
              <w:t xml:space="preserve"> </w:t>
            </w:r>
            <m:oMath>
              <m:sSup>
                <m:e>
                  <m:r>
                    <m:t>c</m:t>
                  </m:r>
                </m:e>
                <m:sup>
                  <m:r>
                    <m:t>l</m:t>
                  </m:r>
                  <m:r>
                    <m:t>a</m:t>
                  </m:r>
                  <m:r>
                    <m:t>t</m:t>
                  </m:r>
                  <m:r>
                    <m:t>e</m:t>
                  </m:r>
                </m:sup>
              </m:sSup>
            </m:oMath>
          </w:p>
        </w:tc>
        <w:tc>
          <w:tcPr>
            <w:tcW w:w="7256" w:type="dxa"/>
          </w:tcPr>
          <w:p>
            <w:pPr>
              <w:pStyle w:val="TableText"/>
              <w:jc w:val="left"/>
            </w:pPr>
            <w:r>
              <w:t xml:space="preserve">Delay and lateness prices of deferred work (CNY per GPU·h·h)</w:t>
            </w:r>
          </w:p>
        </w:tc>
      </w:tr>
    </w:tbl>
    <w:p>
      <w:pPr>
        <w:pStyle w:val="BodyText"/>
      </w:pPr>
      <w:r>
        <w:rPr>
          <w:bCs/>
          <w:b/>
        </w:rPr>
        <w:t xml:space="preserve">Variables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1814"/>
        <w:gridCol w:w="7256"/>
      </w:tblGrid>
      <w:tr>
        <w:tc>
          <w:tcPr>
            <w:tcW w:w="1814" w:type="dxa"/>
          </w:tcPr>
          <w:p>
            <w:pPr>
              <w:pStyle w:val="TableText"/>
              <w:jc w:val="left"/>
            </w:pPr>
            <m:oMath>
              <m:sSub>
                <m:e>
                  <m:r>
                    <m:t>y</m:t>
                  </m:r>
                </m:e>
                <m:sub>
                  <m:r>
                    <m:t>c</m:t>
                  </m:r>
                  <m:r>
                    <m:rPr>
                      <m:sty m:val="p"/>
                    </m:rPr>
                    <m:t>,</m:t>
                  </m:r>
                  <m:r>
                    <m:t>t</m:t>
                  </m:r>
                </m:sub>
              </m:sSub>
            </m:oMath>
          </w:p>
        </w:tc>
        <w:tc>
          <w:tcPr>
            <w:tcW w:w="7256" w:type="dxa"/>
          </w:tcPr>
          <w:p>
            <w:pPr>
              <w:pStyle w:val="TableText"/>
              <w:jc w:val="left"/>
            </w:pPr>
            <w:r>
              <w:t xml:space="preserve">Busy GPUs executing class-</w:t>
            </w:r>
            <m:oMath>
              <m:r>
                <m:t>c</m:t>
              </m:r>
            </m:oMath>
            <w:r>
              <w:t xml:space="preserve"> </w:t>
            </w:r>
            <w:r>
              <w:t xml:space="preserve">work</w:t>
            </w:r>
          </w:p>
        </w:tc>
      </w:tr>
      <w:tr>
        <w:tc>
          <w:tcPr>
            <w:tcW w:w="1814" w:type="dxa"/>
          </w:tcPr>
          <w:p>
            <w:pPr>
              <w:pStyle w:val="TableText"/>
              <w:jc w:val="left"/>
            </w:pPr>
            <m:oMath>
              <m:sSub>
                <m:e>
                  <m:r>
                    <m:t>B</m:t>
                  </m:r>
                </m:e>
                <m:sub>
                  <m:r>
                    <m:t>c</m:t>
                  </m:r>
                  <m:r>
                    <m:rPr>
                      <m:sty m:val="p"/>
                    </m:rPr>
                    <m:t>,</m:t>
                  </m:r>
                  <m:r>
                    <m:t>t</m:t>
                  </m:r>
                </m:sub>
              </m:sSub>
            </m:oMath>
            <w:r>
              <w:t xml:space="preserve">,</w:t>
            </w:r>
            <w:r>
              <w:t xml:space="preserve"> </w:t>
            </w:r>
            <m:oMath>
              <m:sSub>
                <m:e>
                  <m:r>
                    <m:t>v</m:t>
                  </m:r>
                </m:e>
                <m:sub>
                  <m:r>
                    <m:t>c</m:t>
                  </m:r>
                  <m:r>
                    <m:rPr>
                      <m:sty m:val="p"/>
                    </m:rPr>
                    <m:t>,</m:t>
                  </m:r>
                  <m:r>
                    <m:t>t</m:t>
                  </m:r>
                </m:sub>
              </m:sSub>
            </m:oMath>
          </w:p>
        </w:tc>
        <w:tc>
          <w:tcPr>
            <w:tcW w:w="7256" w:type="dxa"/>
          </w:tcPr>
          <w:p>
            <w:pPr>
              <w:pStyle w:val="TableText"/>
              <w:jc w:val="left"/>
            </w:pPr>
            <w:r>
              <w:t xml:space="preserve">Backlog and overdue work of class</w:t>
            </w:r>
            <w:r>
              <w:t xml:space="preserve"> </w:t>
            </w:r>
            <m:oMath>
              <m:r>
                <m:t>c</m:t>
              </m:r>
            </m:oMath>
            <w:r>
              <w:t xml:space="preserve"> </w:t>
            </w:r>
            <w:r>
              <w:t xml:space="preserve">(GPU·h)</w:t>
            </w:r>
          </w:p>
        </w:tc>
      </w:tr>
      <w:tr>
        <w:tc>
          <w:tcPr>
            <w:tcW w:w="1814" w:type="dxa"/>
          </w:tcPr>
          <w:p>
            <w:pPr>
              <w:pStyle w:val="TableText"/>
              <w:jc w:val="left"/>
            </w:pPr>
            <m:oMath>
              <m:sSubSup>
                <m:e>
                  <m:r>
                    <m:t>P</m:t>
                  </m:r>
                </m:e>
                <m:sub>
                  <m:r>
                    <m:t>t</m:t>
                  </m:r>
                </m:sub>
                <m:sup>
                  <m:r>
                    <m:t>g</m:t>
                  </m:r>
                  <m:r>
                    <m:t>r</m:t>
                  </m:r>
                  <m:r>
                    <m:t>i</m:t>
                  </m:r>
                  <m:r>
                    <m:t>d</m:t>
                  </m:r>
                </m:sup>
              </m:sSubSup>
            </m:oMath>
          </w:p>
        </w:tc>
        <w:tc>
          <w:tcPr>
            <w:tcW w:w="7256" w:type="dxa"/>
          </w:tcPr>
          <w:p>
            <w:pPr>
              <w:pStyle w:val="TableText"/>
              <w:jc w:val="left"/>
            </w:pPr>
            <w:r>
              <w:t xml:space="preserve">Grid import (MW)</w:t>
            </w:r>
          </w:p>
        </w:tc>
      </w:tr>
      <w:tr>
        <w:tc>
          <w:tcPr>
            <w:tcW w:w="1814" w:type="dxa"/>
          </w:tcPr>
          <w:p>
            <w:pPr>
              <w:pStyle w:val="TableText"/>
              <w:jc w:val="left"/>
            </w:pPr>
            <m:oMath>
              <m:sSubSup>
                <m:e>
                  <m:r>
                    <m:t>P</m:t>
                  </m:r>
                </m:e>
                <m:sub>
                  <m:r>
                    <m:t>t</m:t>
                  </m:r>
                </m:sub>
                <m:sup>
                  <m:r>
                    <m:t>c</m:t>
                  </m:r>
                  <m:r>
                    <m:t>h</m:t>
                  </m:r>
                </m:sup>
              </m:sSubSup>
            </m:oMath>
            <w:r>
              <w:t xml:space="preserve">,</w:t>
            </w:r>
            <w:r>
              <w:t xml:space="preserve"> </w:t>
            </w:r>
            <m:oMath>
              <m:sSubSup>
                <m:e>
                  <m:r>
                    <m:t>P</m:t>
                  </m:r>
                </m:e>
                <m:sub>
                  <m:r>
                    <m:t>t</m:t>
                  </m:r>
                </m:sub>
                <m:sup>
                  <m:r>
                    <m:t>d</m:t>
                  </m:r>
                  <m:r>
                    <m:t>i</m:t>
                  </m:r>
                  <m:r>
                    <m:t>s</m:t>
                  </m:r>
                </m:sup>
              </m:sSubSup>
            </m:oMath>
            <w:r>
              <w:t xml:space="preserve">,</w:t>
            </w:r>
            <w:r>
              <w:t xml:space="preserve"> </w:t>
            </w:r>
            <m:oMath>
              <m:sSub>
                <m:e>
                  <m:r>
                    <m:t>E</m:t>
                  </m:r>
                </m:e>
                <m:sub>
                  <m:r>
                    <m:t>t</m:t>
                  </m:r>
                </m:sub>
              </m:sSub>
            </m:oMath>
          </w:p>
        </w:tc>
        <w:tc>
          <w:tcPr>
            <w:tcW w:w="7256" w:type="dxa"/>
          </w:tcPr>
          <w:p>
            <w:pPr>
              <w:pStyle w:val="TableText"/>
              <w:jc w:val="left"/>
            </w:pPr>
            <w:r>
              <w:t xml:space="preserve">BESS charging, discharging power and stored energy</w:t>
            </w:r>
          </w:p>
        </w:tc>
      </w:tr>
      <w:tr>
        <w:tc>
          <w:tcPr>
            <w:tcW w:w="1814" w:type="dxa"/>
          </w:tcPr>
          <w:p>
            <w:pPr>
              <w:pStyle w:val="TableText"/>
              <w:jc w:val="left"/>
            </w:pPr>
            <m:oMath>
              <m:sSubSup>
                <m:e>
                  <m:r>
                    <m:t>Q</m:t>
                  </m:r>
                </m:e>
                <m:sub>
                  <m:r>
                    <m:t>t</m:t>
                  </m:r>
                </m:sub>
                <m:sup>
                  <m:r>
                    <m:t>T</m:t>
                  </m:r>
                  <m:r>
                    <m:t>C</m:t>
                  </m:r>
                </m:sup>
              </m:sSubSup>
            </m:oMath>
            <w:r>
              <w:t xml:space="preserve">,</w:t>
            </w:r>
            <w:r>
              <w:t xml:space="preserve"> </w:t>
            </w:r>
            <m:oMath>
              <m:sSubSup>
                <m:e>
                  <m:r>
                    <m:t>Q</m:t>
                  </m:r>
                </m:e>
                <m:sub>
                  <m:r>
                    <m:t>t</m:t>
                  </m:r>
                </m:sub>
                <m:sup>
                  <m:r>
                    <m:t>T</m:t>
                  </m:r>
                  <m:r>
                    <m:t>D</m:t>
                  </m:r>
                </m:sup>
              </m:sSubSup>
            </m:oMath>
            <w:r>
              <w:t xml:space="preserve">,</w:t>
            </w:r>
            <w:r>
              <w:t xml:space="preserve"> </w:t>
            </w:r>
            <m:oMath>
              <m:sSub>
                <m:e>
                  <m:r>
                    <m:t>S</m:t>
                  </m:r>
                </m:e>
                <m:sub>
                  <m:r>
                    <m:t>t</m:t>
                  </m:r>
                </m:sub>
              </m:sSub>
            </m:oMath>
          </w:p>
        </w:tc>
        <w:tc>
          <w:tcPr>
            <w:tcW w:w="7256" w:type="dxa"/>
          </w:tcPr>
          <w:p>
            <w:pPr>
              <w:pStyle w:val="TableText"/>
              <w:jc w:val="left"/>
            </w:pPr>
            <w:r>
              <w:t xml:space="preserve">TES charging, discharging and stored cold</w:t>
            </w:r>
          </w:p>
        </w:tc>
      </w:tr>
      <w:tr>
        <w:tc>
          <w:tcPr>
            <w:tcW w:w="1814" w:type="dxa"/>
          </w:tcPr>
          <w:p>
            <w:pPr>
              <w:pStyle w:val="TableText"/>
              <w:jc w:val="left"/>
            </w:pPr>
            <m:oMath>
              <m:sSubSup>
                <m:e>
                  <m:r>
                    <m:t>P</m:t>
                  </m:r>
                </m:e>
                <m:sub>
                  <m:r>
                    <m:t>t</m:t>
                  </m:r>
                </m:sub>
                <m:sup>
                  <m:r>
                    <m:t>G</m:t>
                  </m:r>
                  <m:r>
                    <m:t>T</m:t>
                  </m:r>
                </m:sup>
              </m:sSubSup>
            </m:oMath>
            <w:r>
              <w:t xml:space="preserve">,</w:t>
            </w:r>
            <w:r>
              <w:t xml:space="preserve"> </w:t>
            </w:r>
            <m:oMath>
              <m:sSubSup>
                <m:e>
                  <m:r>
                    <m:t>H</m:t>
                  </m:r>
                </m:e>
                <m:sub>
                  <m:r>
                    <m:t>t</m:t>
                  </m:r>
                </m:sub>
                <m:sup>
                  <m:r>
                    <m:t>A</m:t>
                  </m:r>
                  <m:r>
                    <m:t>C</m:t>
                  </m:r>
                </m:sup>
              </m:sSubSup>
            </m:oMath>
            <w:r>
              <w:t xml:space="preserve">,</w:t>
            </w:r>
            <w:r>
              <w:t xml:space="preserve"> </w:t>
            </w:r>
            <m:oMath>
              <m:sSubSup>
                <m:e>
                  <m:r>
                    <m:t>Q</m:t>
                  </m:r>
                </m:e>
                <m:sub>
                  <m:r>
                    <m:t>t</m:t>
                  </m:r>
                </m:sub>
                <m:sup>
                  <m:r>
                    <m:t>E</m:t>
                  </m:r>
                  <m:r>
                    <m:t>C</m:t>
                  </m:r>
                </m:sup>
              </m:sSubSup>
            </m:oMath>
          </w:p>
        </w:tc>
        <w:tc>
          <w:tcPr>
            <w:tcW w:w="7256" w:type="dxa"/>
          </w:tcPr>
          <w:p>
            <w:pPr>
              <w:pStyle w:val="TableText"/>
              <w:jc w:val="left"/>
            </w:pPr>
            <w:r>
              <w:t xml:space="preserve">Gas engine output, heat to the absorption chiller, electric chiller output</w:t>
            </w:r>
          </w:p>
        </w:tc>
      </w:tr>
      <w:tr>
        <w:tc>
          <w:tcPr>
            <w:tcW w:w="1814" w:type="dxa"/>
          </w:tcPr>
          <w:p>
            <w:pPr>
              <w:pStyle w:val="TableText"/>
              <w:jc w:val="left"/>
            </w:pPr>
            <m:oMath>
              <m:sSub>
                <m:e>
                  <m:acc>
                    <m:accPr>
                      <m:chr m:val="‾"/>
                    </m:accPr>
                    <m:e>
                      <m:r>
                        <m:t>r</m:t>
                      </m:r>
                    </m:e>
                  </m:acc>
                </m:e>
                <m:sub>
                  <m:r>
                    <m:t>k</m:t>
                  </m:r>
                </m:sub>
              </m:sSub>
            </m:oMath>
          </w:p>
        </w:tc>
        <w:tc>
          <w:tcPr>
            <w:tcW w:w="7256" w:type="dxa"/>
          </w:tcPr>
          <w:p>
            <w:pPr>
              <w:pStyle w:val="TableText"/>
              <w:jc w:val="left"/>
            </w:pPr>
            <w:r>
              <w:t xml:space="preserve">Average reduction of event</w:t>
            </w:r>
            <w:r>
              <w:t xml:space="preserve"> </w:t>
            </w:r>
            <m:oMath>
              <m:r>
                <m:t>k</m:t>
              </m:r>
            </m:oMath>
            <w:r>
              <w:t xml:space="preserve"> </w:t>
            </w:r>
            <w:r>
              <w:t xml:space="preserve">w.r.t. the baseline</w:t>
            </w:r>
          </w:p>
        </w:tc>
      </w:tr>
      <w:tr>
        <w:tc>
          <w:tcPr>
            <w:tcW w:w="1814" w:type="dxa"/>
          </w:tcPr>
          <w:p>
            <w:pPr>
              <w:pStyle w:val="TableText"/>
              <w:jc w:val="left"/>
            </w:pPr>
            <m:oMath>
              <m:sSub>
                <m:e>
                  <m:r>
                    <m:t>z</m:t>
                  </m:r>
                </m:e>
                <m:sub>
                  <m:r>
                    <m:t>k</m:t>
                  </m:r>
                </m:sub>
              </m:sSub>
            </m:oMath>
            <w:r>
              <w:t xml:space="preserve">,</w:t>
            </w:r>
            <w:r>
              <w:t xml:space="preserve"> </w:t>
            </w:r>
            <m:oMath>
              <m:sSub>
                <m:e>
                  <m:r>
                    <m:t>R</m:t>
                  </m:r>
                </m:e>
                <m:sub>
                  <m:r>
                    <m:t>k</m:t>
                  </m:r>
                </m:sub>
              </m:sSub>
            </m:oMath>
            <w:r>
              <w:t xml:space="preserve">,</w:t>
            </w:r>
            <w:r>
              <w:t xml:space="preserve"> </w:t>
            </w:r>
            <m:oMath>
              <m:sSub>
                <m:e>
                  <m:r>
                    <m:t>s</m:t>
                  </m:r>
                </m:e>
                <m:sub>
                  <m:r>
                    <m:t>k</m:t>
                  </m:r>
                </m:sub>
              </m:sSub>
            </m:oMath>
          </w:p>
        </w:tc>
        <w:tc>
          <w:tcPr>
            <w:tcW w:w="7256" w:type="dxa"/>
          </w:tcPr>
          <w:p>
            <w:pPr>
              <w:pStyle w:val="TableText"/>
              <w:jc w:val="left"/>
            </w:pPr>
            <w:r>
              <w:t xml:space="preserve">Validity indicator, paid reduction and shortfall of event</w:t>
            </w:r>
            <w:r>
              <w:t xml:space="preserve"> </w:t>
            </w:r>
            <m:oMath>
              <m:r>
                <m:t>k</m:t>
              </m:r>
            </m:oMath>
          </w:p>
        </w:tc>
      </w:tr>
      <w:tr>
        <w:tc>
          <w:tcPr>
            <w:tcW w:w="1814" w:type="dxa"/>
          </w:tcPr>
          <w:p>
            <w:pPr>
              <w:pStyle w:val="TableText"/>
              <w:jc w:val="left"/>
            </w:pPr>
            <m:oMath>
              <m:sSub>
                <m:e>
                  <m:r>
                    <m:t>u</m:t>
                  </m:r>
                </m:e>
                <m:sub>
                  <m:r>
                    <m:t>ω</m:t>
                  </m:r>
                </m:sub>
              </m:sSub>
            </m:oMath>
          </w:p>
        </w:tc>
        <w:tc>
          <w:tcPr>
            <w:tcW w:w="7256" w:type="dxa"/>
          </w:tcPr>
          <w:p>
            <w:pPr>
              <w:pStyle w:val="TableText"/>
              <w:jc w:val="left"/>
            </w:pPr>
            <w:r>
              <w:t xml:space="preserve">Indicator that every event is delivered in full in scenario</w:t>
            </w:r>
            <w:r>
              <w:t xml:space="preserve"> </w:t>
            </w:r>
            <m:oMath>
              <m:r>
                <m:t>ω</m:t>
              </m:r>
            </m:oMath>
          </w:p>
        </w:tc>
      </w:tr>
      <w:tr>
        <w:tc>
          <w:tcPr>
            <w:tcW w:w="1814" w:type="dxa"/>
          </w:tcPr>
          <w:p>
            <w:pPr>
              <w:pStyle w:val="TableText"/>
              <w:jc w:val="left"/>
            </w:pPr>
            <m:oMath>
              <m:sSubSup>
                <m:e>
                  <m:r>
                    <m:t>C</m:t>
                  </m:r>
                </m:e>
                <m:sub>
                  <m:r>
                    <m:t>ρ</m:t>
                  </m:r>
                </m:sub>
                <m:sup>
                  <m:r>
                    <m:t>f</m:t>
                  </m:r>
                  <m:r>
                    <m:t>i</m:t>
                  </m:r>
                  <m:r>
                    <m:t>r</m:t>
                  </m:r>
                  <m:r>
                    <m:t>m</m:t>
                  </m:r>
                </m:sup>
              </m:sSubSup>
            </m:oMath>
          </w:p>
        </w:tc>
        <w:tc>
          <w:tcPr>
            <w:tcW w:w="7256" w:type="dxa"/>
          </w:tcPr>
          <w:p>
            <w:pPr>
              <w:pStyle w:val="TableText"/>
              <w:jc w:val="left"/>
            </w:pPr>
            <w:r>
              <w:t xml:space="preserve">Firm consecutive DR capacity at reliability</w:t>
            </w:r>
            <w:r>
              <w:t xml:space="preserve"> </w:t>
            </w:r>
            <m:oMath>
              <m:r>
                <m:t>ρ</m:t>
              </m:r>
            </m:oMath>
          </w:p>
        </w:tc>
      </w:tr>
      <w:tr>
        <w:tc>
          <w:tcPr>
            <w:tcW w:w="1814" w:type="dxa"/>
          </w:tcPr>
          <w:p>
            <w:pPr>
              <w:pStyle w:val="TableText"/>
              <w:jc w:val="left"/>
            </w:pPr>
            <m:oMath>
              <m:sSub>
                <m:e>
                  <m:r>
                    <m:t>ξ</m:t>
                  </m:r>
                </m:e>
                <m:sub>
                  <m:r>
                    <m:t>d</m:t>
                  </m:r>
                </m:sub>
              </m:sSub>
            </m:oMath>
          </w:p>
        </w:tc>
        <w:tc>
          <w:tcPr>
            <w:tcW w:w="7256" w:type="dxa"/>
          </w:tcPr>
          <w:p>
            <w:pPr>
              <w:pStyle w:val="TableText"/>
              <w:jc w:val="left"/>
            </w:pPr>
            <w:r>
              <w:t xml:space="preserve">Closed-loop capability of the controller on day</w:t>
            </w:r>
            <w:r>
              <w:t xml:space="preserve"> </w:t>
            </w:r>
            <m:oMath>
              <m:r>
                <m:t>d</m:t>
              </m:r>
            </m:oMath>
            <w:r>
              <w:t xml:space="preserve"> </w:t>
            </w:r>
            <w:r>
              <w:t xml:space="preserve">(MW)</w:t>
            </w:r>
          </w:p>
        </w:tc>
      </w:tr>
      <w:tr>
        <w:tc>
          <w:tcPr>
            <w:tcW w:w="1814" w:type="dxa"/>
          </w:tcPr>
          <w:p>
            <w:pPr>
              <w:pStyle w:val="TableText"/>
              <w:jc w:val="left"/>
            </w:pPr>
            <m:oMath>
              <m:sSubSup>
                <m:e>
                  <m:r>
                    <m:t>C</m:t>
                  </m:r>
                </m:e>
                <m:sub>
                  <m:r>
                    <m:t>ρ</m:t>
                  </m:r>
                </m:sub>
                <m:sup>
                  <m:r>
                    <m:t>D</m:t>
                  </m:r>
                  <m:r>
                    <m:t>R</m:t>
                  </m:r>
                  <m:r>
                    <m:t>O</m:t>
                  </m:r>
                </m:sup>
              </m:sSubSup>
              <m:d>
                <m:dPr>
                  <m:begChr m:val="("/>
                  <m:sepChr m:val=""/>
                  <m:endChr m:val=")"/>
                  <m:grow/>
                </m:dPr>
                <m:e>
                  <m:r>
                    <m:t>ε</m:t>
                  </m:r>
                </m:e>
              </m:d>
            </m:oMath>
            <w:r>
              <w:t xml:space="preserve">,</w:t>
            </w:r>
            <w:r>
              <w:t xml:space="preserve"> </w:t>
            </w:r>
            <m:oMath>
              <m:sSub>
                <m:e>
                  <m:r>
                    <m:t>Φ</m:t>
                  </m:r>
                </m:e>
                <m:sub>
                  <m:r>
                    <m:t>ρ</m:t>
                  </m:r>
                </m:sub>
              </m:sSub>
              <m:d>
                <m:dPr>
                  <m:begChr m:val="("/>
                  <m:sepChr m:val=""/>
                  <m:endChr m:val=")"/>
                  <m:grow/>
                </m:dPr>
                <m:e>
                  <m:r>
                    <m:t>C</m:t>
                  </m:r>
                </m:e>
              </m:d>
            </m:oMath>
          </w:p>
        </w:tc>
        <w:tc>
          <w:tcPr>
            <w:tcW w:w="7256" w:type="dxa"/>
          </w:tcPr>
          <w:p>
            <w:pPr>
              <w:pStyle w:val="TableText"/>
              <w:jc w:val="left"/>
            </w:pPr>
            <w:r>
              <w:t xml:space="preserve">Distributionally robust firm capacity; certified reliability margin (MW)</w:t>
            </w:r>
          </w:p>
        </w:tc>
      </w:tr>
    </w:tbl>
    <w:bookmarkEnd w:id="22"/>
    <w:bookmarkStart w:id="23" w:name="introduction"/>
    <w:p>
      <w:pPr>
        <w:pStyle w:val="Heading1"/>
      </w:pPr>
      <w:r>
        <w:t xml:space="preserve">1. Introduction</w:t>
      </w:r>
    </w:p>
    <w:p>
      <w:pPr>
        <w:pStyle w:val="FirstParagraph"/>
      </w:pPr>
      <w:r>
        <w:t xml:space="preserve">Electricity demand of data centers is growing faster than any other end use. The International Energy Agency projects global data-center consumption to rise from about 415 TWh in 2024 to about 945 TWh by 2030 [1], and in the United States data centers already account for 4.4 % of electricity use [2]. Connection capacity has become the binding constraint for new AI campuses, and flexibility is increasingly treated as a condition for faster interconnection: Norris et al. estimate that curtailing large loads for 0.25–1 % of the year would accommodate 76–126 GW of new load in 22 US balancing areas [3]. AI data centers (AIDCs) are now operated as grid-interactive assets in practice. A field demonstration in Phoenix reduced the power of a production GPU cluster by 25 % for three hours without violating service levels [4], and utilities have signed demand-response agreements that target machine-learning workloads [5]. Demand-response (DR) programs reward exactly this behaviour. In Jiangsu, China, the 2024 implementation rules allow up to two agreed DR events per day and additional rapid peak-shaving calls with a short notice, with settlement based on the average reduction against a five-day baseline [6]. Consecutive events within one evening peak are therefore the normal operating condition of a DR-participating AIDC, not an exception.</w:t>
      </w:r>
    </w:p>
    <w:p>
      <w:pPr>
        <w:pStyle w:val="BodyText"/>
      </w:pPr>
      <w:r>
        <w:t xml:space="preserve">Each event leaves recovery debts behind. Deferred training and batch work accumulates as a backlog that must be completed before its service deadline, and storage that covered part of the reduction must be recharged. Both debts are repaid by drawing power above the baseline, through the same grid headroom, before the next event starts. Whether an AIDC can deliver the next commitment therefore depends on how it recovered from the previous one. This cross-event dependence determines how much flexibility the grid can actually count on.</w:t>
      </w:r>
    </w:p>
    <w:p>
      <w:pPr>
        <w:pStyle w:val="BodyText"/>
      </w:pPr>
      <w:r>
        <w:rPr>
          <w:bCs/>
          <w:b/>
        </w:rPr>
        <w:t xml:space="preserve">Data-center demand response and computing flexibility.</w:t>
      </w:r>
      <w:r>
        <w:t xml:space="preserve"> </w:t>
      </w:r>
      <w:r>
        <w:t xml:space="preserve">Workload shifting and local generation for data-center DR were introduced by Liu et al. [7] and reviewed in [8,9]. Recent work quantifies the flexibility of AI workloads: Acun et al. report 18–55 % power flexibility of AI data centers [10], Du et al. add inference quantization as a DR lever [11], Chen and Zheng show that deferring workloads reduces interconnection cost with diminishing returns in the delay window [12], and Williams et al. frame power-flexible AI data centers as grid-responsive compute [13]. In</w:t>
      </w:r>
      <w:r>
        <w:t xml:space="preserve"> </w:t>
      </w:r>
      <w:r>
        <w:rPr>
          <w:iCs/>
          <w:i/>
        </w:rPr>
        <w:t xml:space="preserve">Applied Energy</w:t>
      </w:r>
      <w:r>
        <w:t xml:space="preserve">, data-center load models for DR [14], the DR potential of liquid-cooled data centers [15] and a four-level joint dispatch of data-center DR [16] have been developed. Overall, existing studies evaluate the curtailment of a single event, and the recovery state that one event passes on to the next remains insufficiently explored.</w:t>
      </w:r>
    </w:p>
    <w:p>
      <w:pPr>
        <w:pStyle w:val="BodyText"/>
      </w:pPr>
      <w:r>
        <w:rPr>
          <w:bCs/>
          <w:b/>
        </w:rPr>
        <w:t xml:space="preserve">Computing–energy coupling in data-center integrated energy systems.</w:t>
      </w:r>
      <w:r>
        <w:t xml:space="preserve"> </w:t>
      </w:r>
      <w:r>
        <w:t xml:space="preserve">Data centers increasingly operate as integrated energy systems (IES) with combined cooling, heating and power, cold storage and batteries [17,18]. Zhang et al. coupled computing and electricity in a bi-level capacity planning model of a data-center cluster under supply–demand uncertainty [19], Lu et al. studied battery-assisted operation of hyperscale AI data centers [20], and the reliability impact of energy-system flexibility on data centers has been quantified in [21]. These studies capture the coupling between computing, power and heat within a scheduling period. They treat the computing backlog and the state of charge as internal operating states, not as debts that are inherited across DR events and that determine the next deliverable reduction.</w:t>
      </w:r>
    </w:p>
    <w:p>
      <w:pPr>
        <w:pStyle w:val="BodyText"/>
      </w:pPr>
      <w:r>
        <w:rPr>
          <w:bCs/>
          <w:b/>
        </w:rPr>
        <w:t xml:space="preserve">Deliverability and recovery of flexible resources.</w:t>
      </w:r>
      <w:r>
        <w:t xml:space="preserve"> </w:t>
      </w:r>
      <w:r>
        <w:t xml:space="preserve">Aggregate flexibility models describe the power–energy envelope of homogeneous devices [22], and Evans et al. derived recovery guarantees for aggregated energy storage that must be restored between service requests [23]. Li distinguishes eligible AI workloads from dependable load relief [24], and the scenario approach provides probabilistic guarantees for closed-loop constraint satisfaction [25]. Distributionally robust chance constraints over Wasserstein ambiguity sets give data-driven reliability guarantees [26,27] and are widely used for flexibility commitments; their two-stage form, solved by column-and-constraint generation [28], evaluates the second stage with perfect recourse and therefore certifies physical capability rather than the deliverability of the controller that will operate the resource. Recovery guarantees, moreover, have been developed for one type of resource with one type of debt. An AIDC holds two heterogeneous debts at once: computing debt is lossless but deadline-bound, storage debt is lossy but has no deadline, and both compete for the same recovery channel.</w:t>
      </w:r>
    </w:p>
    <w:p>
      <w:pPr>
        <w:pStyle w:val="BodyText"/>
      </w:pPr>
      <w:r>
        <w:t xml:space="preserve">To the best of our knowledge, few studies have examined how the heterogeneous recovery demands left by one DR event limit the deliverable capacity of the next one under a shared grid connection, or how this effect can be built into multi-event DR commitments. As a result, the capacity that an AIDC can firmly offer for consecutive events, and the conditions under which coordinated recovery enlarges it, are unknown. To address these gaps, this paper develops a recovery-aware coordinated scheduling framework for consecutive DR of an AIDC integrated energy system. The main contributions are as follows.</w:t>
      </w:r>
    </w:p>
    <w:p>
      <w:pPr>
        <w:pStyle w:val="Compact"/>
        <w:numPr>
          <w:ilvl w:val="0"/>
          <w:numId w:val="1002"/>
        </w:numPr>
      </w:pPr>
      <w:r>
        <w:rPr>
          <w:bCs/>
          <w:b/>
        </w:rPr>
        <w:t xml:space="preserve">A cross-event heterogeneous recovery model.</w:t>
      </w:r>
      <w:r>
        <w:t xml:space="preserve"> </w:t>
      </w:r>
      <w:r>
        <w:t xml:space="preserve">Deadline-bound computing backlogs of three workload classes and lossy storage deficits are modelled as recovery debts that share one grid recovery channel, together with the electric–cooling–heat balances of the AIDC-IES and the Jiangsu settlement rules. Two propositions bound the deliverable capability of a subsequent event and give the closed-form minimum recovery interval and the conditions under which joint recovery is (and is not) valuable.</w:t>
      </w:r>
    </w:p>
    <w:p>
      <w:pPr>
        <w:pStyle w:val="Compact"/>
        <w:numPr>
          <w:ilvl w:val="0"/>
          <w:numId w:val="1002"/>
        </w:numPr>
      </w:pPr>
      <w:r>
        <w:rPr>
          <w:bCs/>
          <w:b/>
        </w:rPr>
        <w:t xml:space="preserve">Firm consecutive DR capacity and its distributionally robust commitment.</w:t>
      </w:r>
      <w:r>
        <w:t xml:space="preserve"> </w:t>
      </w:r>
      <w:r>
        <w:t xml:space="preserve">The firm capacity</w:t>
      </w:r>
      <w:r>
        <w:t xml:space="preserve"> </w:t>
      </w:r>
      <m:oMath>
        <m:sSubSup>
          <m:e>
            <m:r>
              <m:t>C</m:t>
            </m:r>
          </m:e>
          <m:sub>
            <m:r>
              <m:t>ρ</m:t>
            </m:r>
          </m:sub>
          <m:sup>
            <m:r>
              <m:t>f</m:t>
            </m:r>
            <m:r>
              <m:t>i</m:t>
            </m:r>
            <m:r>
              <m:t>r</m:t>
            </m:r>
            <m:r>
              <m:t>m</m:t>
            </m:r>
          </m:sup>
        </m:sSubSup>
      </m:oMath>
      <w:r>
        <w:t xml:space="preserve"> </w:t>
      </w:r>
      <w:r>
        <w:t xml:space="preserve">is defined as the largest uniform commitment delivered in full in every event with probability</w:t>
      </w:r>
      <w:r>
        <w:t xml:space="preserve"> </w:t>
      </w:r>
      <m:oMath>
        <m:r>
          <m:t>ρ</m:t>
        </m:r>
      </m:oMath>
      <w:r>
        <w:t xml:space="preserve">, together with its multi-event reliability region. The commitment is computed from the closed-loop capability of the controller on historical days with a 1-Wasserstein ambiguity set; Proposition 3 gives its exact solution by sorting and shows that it reduces to the sample-average capacity for a zero radius. A perfect-recourse two-stage model, in contrast, overstates the deliverable capacity because it measures physical capability.</w:t>
      </w:r>
    </w:p>
    <w:p>
      <w:pPr>
        <w:pStyle w:val="Compact"/>
        <w:numPr>
          <w:ilvl w:val="0"/>
          <w:numId w:val="1002"/>
        </w:numPr>
      </w:pPr>
      <w:r>
        <w:rPr>
          <w:bCs/>
          <w:b/>
        </w:rPr>
        <w:t xml:space="preserve">A recovery-aware coordinated scheduling framework with a system-level validation.</w:t>
      </w:r>
      <w:r>
        <w:t xml:space="preserve"> </w:t>
      </w:r>
      <w:r>
        <w:t xml:space="preserve">The day-ahead commitment is coupled with an intraday cross-event joint recovery MPC. The framework is validated against tuned and price-coordinated independent recovery and event-by-event joint recovery under fixed and endogenous commitments, three event scenarios and 26 operating days. The validation separates the value of coordination from the value of cross-event foresight, converts the capacity gain into equivalent battery energy and connection capacity, quantifies the contribution of the gas engine, cold storage and absorption chiller, and identifies the conditions under which joint recovery pays off.</w:t>
      </w:r>
    </w:p>
    <w:p>
      <w:pPr>
        <w:pStyle w:val="FirstParagraph"/>
      </w:pPr>
      <w:r>
        <w:t xml:space="preserve">The remainder of the paper is organised as follows. Section 2 describes the system and the consecutive DR problem. Section 3 develops the cross-event recovery model and the firm capacity. Section 4 presents the recovery-aware coordinated scheduling framework. Section 5 reports the case studies and Section 6 concludes.</w:t>
      </w:r>
    </w:p>
    <w:bookmarkEnd w:id="23"/>
    <w:bookmarkStart w:id="29" w:name="X771ffe74e197e853afb063b2891551b3b9fb893"/>
    <w:p>
      <w:pPr>
        <w:pStyle w:val="Heading1"/>
      </w:pPr>
      <w:r>
        <w:t xml:space="preserve">2. System description and problem formulation</w:t>
      </w:r>
    </w:p>
    <w:bookmarkStart w:id="27" w:name="ai-data-center-integrated-energy-system"/>
    <w:p>
      <w:pPr>
        <w:pStyle w:val="Heading2"/>
      </w:pPr>
      <w:r>
        <w:t xml:space="preserve">2.1 AI data-center integrated energy system</w:t>
      </w:r>
    </w:p>
    <w:p>
      <w:pPr>
        <w:pStyle w:val="FirstParagraph"/>
      </w:pPr>
      <w:r>
        <w:t xml:space="preserve">The AIDC (Fig. 1a) hosts 16 000 H100-class GPUs in 2 000 eight-GPU nodes. Its integrated energy system comprises the grid connection with limit</w:t>
      </w:r>
      <w:r>
        <w:t xml:space="preserve"> </w:t>
      </w:r>
      <m:oMath>
        <m:sSup>
          <m:e>
            <m:r>
              <m:t>P</m:t>
            </m:r>
          </m:e>
          <m:sup>
            <m:r>
              <m:t>c</m:t>
            </m:r>
            <m:r>
              <m:t>a</m:t>
            </m:r>
            <m:r>
              <m:t>p</m:t>
            </m:r>
          </m:sup>
        </m:sSup>
      </m:oMath>
      <w:r>
        <w:t xml:space="preserve">, 8 MWp of PV, a 3 MW gas engine whose recovered heat drives a single-effect absorption chiller (CCHP), electric chillers whose COP depends on the ambient temperature, a 10 MWh chilled-water TES and a 6 MW/12 MWh BESS. The GPU load consists of online inference and non-deferrable training (Flex 0) and three classes of deferrable training and batch work (C1–C3) that tolerate a delay up to their lag bound</w:t>
      </w:r>
      <w:r>
        <w:t xml:space="preserve"> </w:t>
      </w:r>
      <m:oMath>
        <m:sSub>
          <m:e>
            <m:r>
              <m:t>L</m:t>
            </m:r>
          </m:e>
          <m:sub>
            <m:r>
              <m:t>c</m:t>
            </m:r>
          </m:sub>
        </m:sSub>
      </m:oMath>
      <w:r>
        <w:t xml:space="preserve"> </w:t>
      </w:r>
      <w:r>
        <w:t xml:space="preserve">= 0.5, 1.5 and 3 h, corresponding to the flexibility tiers used in industrial AI-DR programs [4].</w:t>
      </w:r>
    </w:p>
    <w:p>
      <w:pPr>
        <w:pStyle w:val="Figure"/>
      </w:pPr>
      <w:r>
        <w:drawing>
          <wp:inline>
            <wp:extent cx="5381999" cy="3276132"/>
            <wp:effectExtent b="0" l="0" r="0" t="0"/>
            <wp:docPr descr="" title="" id="25" name="Picture"/>
            <a:graphic>
              <a:graphicData uri="http://schemas.openxmlformats.org/drawingml/2006/picture">
                <pic:pic>
                  <pic:nvPicPr>
                    <pic:cNvPr descr="/home/user/datacenter/paper/figures/Fig1_system_recovery_channel.png" id="26" name="Picture"/>
                    <pic:cNvPicPr>
                      <a:picLocks noChangeArrowheads="1" noChangeAspect="1"/>
                    </pic:cNvPicPr>
                  </pic:nvPicPr>
                  <pic:blipFill>
                    <a:blip r:embed="rId24"/>
                    <a:stretch>
                      <a:fillRect/>
                    </a:stretch>
                  </pic:blipFill>
                  <pic:spPr bwMode="auto">
                    <a:xfrm>
                      <a:off x="0" y="0"/>
                      <a:ext cx="5381999" cy="3276132"/>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System and recovery channel. (a) AI data-center integrated energy system: grid connection, PV, gas engine with absorption chiller (CCHP), electric chillers, chilled-water storage (TES), BESS, and the GPU cluster with fixed load and three deferrable classes C1–C3 (lag bounds 0.5, 1.5 and 3 h); the day-ahead commitment and the intraday controller act on the flexible resources. (b) Two consecutive DR events: after the first event, computing catch-up and storage recharge are repaid through one recovery channel between the baseline and the connection limit.</w:t>
      </w:r>
    </w:p>
    <w:bookmarkEnd w:id="27"/>
    <w:bookmarkStart w:id="28" w:name="Xb003988c82603c7d294a87346393535d11502b2"/>
    <w:p>
      <w:pPr>
        <w:pStyle w:val="Heading2"/>
      </w:pPr>
      <w:r>
        <w:t xml:space="preserve">2.2 Consecutive demand response and recovery debts</w:t>
      </w:r>
    </w:p>
    <w:p>
      <w:pPr>
        <w:pStyle w:val="FirstParagraph"/>
      </w:pPr>
      <w:r>
        <w:t xml:space="preserve">A DR operator confirms events</w:t>
      </w:r>
      <w:r>
        <w:t xml:space="preserve"> </w:t>
      </w:r>
      <m:oMath>
        <m:r>
          <m:t>k</m:t>
        </m:r>
        <m:r>
          <m:rPr>
            <m:sty m:val="p"/>
          </m:rPr>
          <m:t>∈</m:t>
        </m:r>
        <m:r>
          <m:rPr>
            <m:scr m:val="script"/>
            <m:sty m:val="p"/>
          </m:rPr>
          <m:t>K</m:t>
        </m:r>
      </m:oMath>
      <w:r>
        <w:t xml:space="preserve"> </w:t>
      </w:r>
      <w:r>
        <w:t xml:space="preserve">with commitments</w:t>
      </w:r>
      <w:r>
        <w:t xml:space="preserve"> </w:t>
      </w:r>
      <m:oMath>
        <m:sSub>
          <m:e>
            <m:r>
              <m:t>C</m:t>
            </m:r>
          </m:e>
          <m:sub>
            <m:r>
              <m:t>k</m:t>
            </m:r>
          </m:sub>
        </m:sSub>
      </m:oMath>
      <w:r>
        <w:t xml:space="preserve">. Under the Jiangsu rules [6] an event is valid when the average reduction against the five-day baseline reaches 80 % of the commitment; payment is proportional to the reduction up to 120 % of the commitment and a shortfall is assessed at</w:t>
      </w:r>
      <w:r>
        <w:t xml:space="preserve"> </w:t>
      </w:r>
      <m:oMath>
        <m:r>
          <m:t>κ</m:t>
        </m:r>
      </m:oMath>
      <w:r>
        <w:t xml:space="preserve"> </w:t>
      </w:r>
      <w:r>
        <w:t xml:space="preserve">times the event price. Three event scenarios are studied (Table 1):</w:t>
      </w:r>
      <w:r>
        <w:t xml:space="preserve"> </w:t>
      </w:r>
      <w:r>
        <w:rPr>
          <w:bCs/>
          <w:b/>
        </w:rPr>
        <w:t xml:space="preserve">S1</w:t>
      </w:r>
      <w:r>
        <w:t xml:space="preserve">, two agreed one-hour events at 17:00 and 19:00 (the rule-compliant base case);</w:t>
      </w:r>
      <w:r>
        <w:t xml:space="preserve"> </w:t>
      </w:r>
      <w:r>
        <w:rPr>
          <w:bCs/>
          <w:b/>
        </w:rPr>
        <w:t xml:space="preserve">S2</w:t>
      </w:r>
      <w:r>
        <w:t xml:space="preserve">, the same two events with the interval shortened to 30 min; and</w:t>
      </w:r>
      <w:r>
        <w:t xml:space="preserve"> </w:t>
      </w:r>
      <w:r>
        <w:rPr>
          <w:bCs/>
          <w:b/>
        </w:rPr>
        <w:t xml:space="preserve">S3</w:t>
      </w:r>
      <w:r>
        <w:t xml:space="preserve">, a high-stress extension with a third, rapid peak-shaving event at 21:00 announced 3 h ahead.</w:t>
      </w:r>
    </w:p>
    <w:p>
      <w:pPr>
        <w:pStyle w:val="TableCaption"/>
      </w:pPr>
      <w:r>
        <w:rPr>
          <w:bCs/>
          <w:b/>
        </w:rPr>
        <w:t xml:space="preserve">Table 1.</w:t>
      </w:r>
      <w:r>
        <w:t xml:space="preserve"> </w:t>
      </w:r>
      <w:r>
        <w:t xml:space="preserve">Event scenarios.</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940"/>
        <w:gridCol w:w="3489"/>
        <w:gridCol w:w="1395"/>
        <w:gridCol w:w="1183"/>
        <w:gridCol w:w="2063"/>
      </w:tblGrid>
      <w:tr>
        <w:trPr>
          <w:tblHeader w:val="true"/>
        </w:trPr>
        <w:tc>
          <w:tcPr>
            <w:tcW w:w="940" w:type="dxa"/>
            <w:tcBorders>
              <w:bottom w:val="single" w:sz="4" w:space="0" w:color="000000"/>
            </w:tcBorders>
          </w:tcPr>
          <w:p>
            <w:pPr>
              <w:pStyle w:val="TableText"/>
              <w:jc w:val="left"/>
            </w:pPr>
            <w:r>
              <w:t xml:space="preserve">Scenario</w:t>
            </w:r>
          </w:p>
        </w:tc>
        <w:tc>
          <w:tcPr>
            <w:tcW w:w="3489" w:type="dxa"/>
            <w:tcBorders>
              <w:bottom w:val="single" w:sz="4" w:space="0" w:color="000000"/>
            </w:tcBorders>
          </w:tcPr>
          <w:p>
            <w:pPr>
              <w:pStyle w:val="TableText"/>
              <w:jc w:val="left"/>
            </w:pPr>
            <w:r>
              <w:t xml:space="preserve">Events (h)</w:t>
            </w:r>
          </w:p>
        </w:tc>
        <w:tc>
          <w:tcPr>
            <w:tcW w:w="1395" w:type="dxa"/>
            <w:tcBorders>
              <w:bottom w:val="single" w:sz="4" w:space="0" w:color="000000"/>
            </w:tcBorders>
          </w:tcPr>
          <w:p>
            <w:pPr>
              <w:pStyle w:val="TableText"/>
              <w:jc w:val="left"/>
            </w:pPr>
            <w:r>
              <w:t xml:space="preserve">Notice</w:t>
            </w:r>
          </w:p>
        </w:tc>
        <w:tc>
          <w:tcPr>
            <w:tcW w:w="1183" w:type="dxa"/>
            <w:tcBorders>
              <w:bottom w:val="single" w:sz="4" w:space="0" w:color="000000"/>
            </w:tcBorders>
          </w:tcPr>
          <w:p>
            <w:pPr>
              <w:pStyle w:val="TableText"/>
              <w:jc w:val="left"/>
            </w:pPr>
            <w:r>
              <w:t xml:space="preserve">Price coefficient</w:t>
            </w:r>
          </w:p>
        </w:tc>
        <w:tc>
          <w:tcPr>
            <w:tcW w:w="2063" w:type="dxa"/>
            <w:tcBorders>
              <w:bottom w:val="single" w:sz="4" w:space="0" w:color="000000"/>
            </w:tcBorders>
          </w:tcPr>
          <w:p>
            <w:pPr>
              <w:pStyle w:val="TableText"/>
              <w:jc w:val="left"/>
            </w:pPr>
            <w:r>
              <w:t xml:space="preserve">Purpose</w:t>
            </w:r>
          </w:p>
        </w:tc>
      </w:tr>
      <w:tr>
        <w:tc>
          <w:tcPr>
            <w:tcW w:w="940" w:type="dxa"/>
          </w:tcPr>
          <w:p>
            <w:pPr>
              <w:pStyle w:val="TableText"/>
              <w:jc w:val="left"/>
            </w:pPr>
            <w:r>
              <w:t xml:space="preserve">S1</w:t>
            </w:r>
          </w:p>
        </w:tc>
        <w:tc>
          <w:tcPr>
            <w:tcW w:w="3489" w:type="dxa"/>
          </w:tcPr>
          <w:p>
            <w:pPr>
              <w:pStyle w:val="TableText"/>
              <w:jc w:val="left"/>
            </w:pPr>
            <w:r>
              <w:t xml:space="preserve">17–18, 19–20</w:t>
            </w:r>
          </w:p>
        </w:tc>
        <w:tc>
          <w:tcPr>
            <w:tcW w:w="1395" w:type="dxa"/>
          </w:tcPr>
          <w:p>
            <w:pPr>
              <w:pStyle w:val="TableText"/>
              <w:jc w:val="left"/>
            </w:pPr>
            <w:r>
              <w:t xml:space="preserve">day-ahead</w:t>
            </w:r>
          </w:p>
        </w:tc>
        <w:tc>
          <w:tcPr>
            <w:tcW w:w="1183" w:type="dxa"/>
          </w:tcPr>
          <w:p>
            <w:pPr>
              <w:pStyle w:val="TableText"/>
              <w:jc w:val="left"/>
            </w:pPr>
            <w:r>
              <w:t xml:space="preserve">1.0</w:t>
            </w:r>
          </w:p>
        </w:tc>
        <w:tc>
          <w:tcPr>
            <w:tcW w:w="2063" w:type="dxa"/>
          </w:tcPr>
          <w:p>
            <w:pPr>
              <w:pStyle w:val="TableText"/>
              <w:jc w:val="left"/>
            </w:pPr>
            <w:r>
              <w:t xml:space="preserve">base case (Jiangsu: ≤ 2 agreed events, ≤ 2 h per day)</w:t>
            </w:r>
          </w:p>
        </w:tc>
      </w:tr>
      <w:tr>
        <w:tc>
          <w:tcPr>
            <w:tcW w:w="940" w:type="dxa"/>
          </w:tcPr>
          <w:p>
            <w:pPr>
              <w:pStyle w:val="TableText"/>
              <w:jc w:val="left"/>
            </w:pPr>
            <w:r>
              <w:t xml:space="preserve">S2</w:t>
            </w:r>
          </w:p>
        </w:tc>
        <w:tc>
          <w:tcPr>
            <w:tcW w:w="3489" w:type="dxa"/>
          </w:tcPr>
          <w:p>
            <w:pPr>
              <w:pStyle w:val="TableText"/>
              <w:jc w:val="left"/>
            </w:pPr>
            <w:r>
              <w:t xml:space="preserve">17–18, 18.5–19.5</w:t>
            </w:r>
          </w:p>
        </w:tc>
        <w:tc>
          <w:tcPr>
            <w:tcW w:w="1395" w:type="dxa"/>
          </w:tcPr>
          <w:p>
            <w:pPr>
              <w:pStyle w:val="TableText"/>
              <w:jc w:val="left"/>
            </w:pPr>
            <w:r>
              <w:t xml:space="preserve">day-ahead</w:t>
            </w:r>
          </w:p>
        </w:tc>
        <w:tc>
          <w:tcPr>
            <w:tcW w:w="1183" w:type="dxa"/>
          </w:tcPr>
          <w:p>
            <w:pPr>
              <w:pStyle w:val="TableText"/>
              <w:jc w:val="left"/>
            </w:pPr>
            <w:r>
              <w:t xml:space="preserve">1.0</w:t>
            </w:r>
          </w:p>
        </w:tc>
        <w:tc>
          <w:tcPr>
            <w:tcW w:w="2063" w:type="dxa"/>
          </w:tcPr>
          <w:p>
            <w:pPr>
              <w:pStyle w:val="TableText"/>
              <w:jc w:val="left"/>
            </w:pPr>
            <w:r>
              <w:t xml:space="preserve">short interval τ = 30 min (15 min–3 h in Section 5.4)</w:t>
            </w:r>
          </w:p>
        </w:tc>
      </w:tr>
      <w:tr>
        <w:tc>
          <w:tcPr>
            <w:tcW w:w="940" w:type="dxa"/>
          </w:tcPr>
          <w:p>
            <w:pPr>
              <w:pStyle w:val="TableText"/>
              <w:jc w:val="left"/>
            </w:pPr>
            <w:r>
              <w:t xml:space="preserve">S3</w:t>
            </w:r>
          </w:p>
        </w:tc>
        <w:tc>
          <w:tcPr>
            <w:tcW w:w="3489" w:type="dxa"/>
          </w:tcPr>
          <w:p>
            <w:pPr>
              <w:pStyle w:val="TableText"/>
              <w:jc w:val="left"/>
            </w:pPr>
            <w:r>
              <w:t xml:space="preserve">17–18, 19–20, 21–22</w:t>
            </w:r>
          </w:p>
        </w:tc>
        <w:tc>
          <w:tcPr>
            <w:tcW w:w="1395" w:type="dxa"/>
          </w:tcPr>
          <w:p>
            <w:pPr>
              <w:pStyle w:val="TableText"/>
              <w:jc w:val="left"/>
            </w:pPr>
            <w:r>
              <w:t xml:space="preserve">day-ahead, day-ahead, 3 h</w:t>
            </w:r>
          </w:p>
        </w:tc>
        <w:tc>
          <w:tcPr>
            <w:tcW w:w="1183" w:type="dxa"/>
          </w:tcPr>
          <w:p>
            <w:pPr>
              <w:pStyle w:val="TableText"/>
              <w:jc w:val="left"/>
            </w:pPr>
            <w:r>
              <w:t xml:space="preserve">1.0, 1.0, 1.4</w:t>
            </w:r>
          </w:p>
        </w:tc>
        <w:tc>
          <w:tcPr>
            <w:tcW w:w="2063" w:type="dxa"/>
          </w:tcPr>
          <w:p>
            <w:pPr>
              <w:pStyle w:val="TableText"/>
              <w:jc w:val="left"/>
            </w:pPr>
            <w:r>
              <w:t xml:space="preserve">high stress: additional rapid peak-shaving call</w:t>
            </w:r>
          </w:p>
        </w:tc>
      </w:tr>
      <w:tr>
        <w:tc>
          <w:tcPr>
            <w:tcW w:w="940" w:type="dxa"/>
          </w:tcPr>
          <w:p>
            <w:pPr>
              <w:pStyle w:val="TableText"/>
              <w:jc w:val="left"/>
            </w:pPr>
            <w:r>
              <w:t xml:space="preserve">S4</w:t>
            </w:r>
          </w:p>
        </w:tc>
        <w:tc>
          <w:tcPr>
            <w:tcW w:w="3489" w:type="dxa"/>
          </w:tcPr>
          <w:p>
            <w:pPr>
              <w:pStyle w:val="TableText"/>
              <w:jc w:val="left"/>
            </w:pPr>
            <w:r>
              <w:t xml:space="preserve">S1–S3 on the 26 operating days; in S4-U the third event of S3 is called with probability 0.6 and confirmed 1 h ahead (coefficient 1.6)</w:t>
            </w:r>
          </w:p>
        </w:tc>
        <w:tc>
          <w:tcPr>
            <w:tcW w:w="1395" w:type="dxa"/>
          </w:tcPr>
          <w:p>
            <w:pPr>
              <w:pStyle w:val="TableText"/>
            </w:pPr>
          </w:p>
        </w:tc>
        <w:tc>
          <w:tcPr>
            <w:tcW w:w="1183" w:type="dxa"/>
          </w:tcPr>
          <w:p>
            <w:pPr>
              <w:pStyle w:val="TableText"/>
            </w:pPr>
          </w:p>
        </w:tc>
        <w:tc>
          <w:tcPr>
            <w:tcW w:w="2063" w:type="dxa"/>
          </w:tcPr>
          <w:p>
            <w:pPr>
              <w:pStyle w:val="TableText"/>
              <w:jc w:val="left"/>
            </w:pPr>
            <w:r>
              <w:t xml:space="preserve">statistics, economics, event-call uncertainty</w:t>
            </w:r>
          </w:p>
        </w:tc>
      </w:tr>
    </w:tbl>
    <w:p>
      <w:pPr>
        <w:pStyle w:val="BodyText"/>
      </w:pPr>
      <w:r>
        <w:t xml:space="preserve">During event</w:t>
      </w:r>
      <w:r>
        <w:t xml:space="preserve"> </w:t>
      </w:r>
      <m:oMath>
        <m:r>
          <m:t>k</m:t>
        </m:r>
      </m:oMath>
      <w:r>
        <w:t xml:space="preserve"> </w:t>
      </w:r>
      <w:r>
        <w:t xml:space="preserve">the AIDC defers class-</w:t>
      </w:r>
      <m:oMath>
        <m:r>
          <m:t>c</m:t>
        </m:r>
      </m:oMath>
      <w:r>
        <w:t xml:space="preserve"> </w:t>
      </w:r>
      <w:r>
        <w:t xml:space="preserve">work and discharges storage. At the end of the event it holds the recovery state</w:t>
      </w:r>
      <w:r>
        <w:t xml:space="preserve"> </w:t>
      </w:r>
      <m:oMath>
        <m:sSub>
          <m:e>
            <m:r>
              <m:rPr>
                <m:sty m:val="b"/>
              </m:rPr>
              <m:t>x</m:t>
            </m:r>
          </m:e>
          <m:sub>
            <m:sSub>
              <m:e>
                <m:r>
                  <m:t>e</m:t>
                </m:r>
              </m:e>
              <m:sub>
                <m:r>
                  <m:t>k</m:t>
                </m:r>
              </m:sub>
            </m:sSub>
          </m:sub>
        </m:sSub>
        <m:r>
          <m:rPr>
            <m:sty m:val="p"/>
          </m:rPr>
          <m:t>=</m:t>
        </m:r>
        <m:d>
          <m:dPr>
            <m:begChr m:val="("/>
            <m:sepChr m:val=""/>
            <m:endChr m:val=")"/>
            <m:grow/>
          </m:dPr>
          <m:e>
            <m:sSub>
              <m:e>
                <m:r>
                  <m:t>B</m:t>
                </m:r>
              </m:e>
              <m:sub>
                <m:r>
                  <m:t>1</m:t>
                </m:r>
              </m:sub>
            </m:sSub>
            <m:r>
              <m:rPr>
                <m:sty m:val="p"/>
              </m:rPr>
              <m:t>,</m:t>
            </m:r>
            <m:sSub>
              <m:e>
                <m:r>
                  <m:t>B</m:t>
                </m:r>
              </m:e>
              <m:sub>
                <m:r>
                  <m:t>2</m:t>
                </m:r>
              </m:sub>
            </m:sSub>
            <m:r>
              <m:rPr>
                <m:sty m:val="p"/>
              </m:rPr>
              <m:t>,</m:t>
            </m:r>
            <m:sSub>
              <m:e>
                <m:r>
                  <m:t>B</m:t>
                </m:r>
              </m:e>
              <m:sub>
                <m:r>
                  <m:t>3</m:t>
                </m:r>
              </m:sub>
            </m:sSub>
            <m:r>
              <m:rPr>
                <m:sty m:val="p"/>
              </m:rPr>
              <m:t>,</m:t>
            </m:r>
            <m:r>
              <m:t>E</m:t>
            </m:r>
            <m:r>
              <m:rPr>
                <m:sty m:val="p"/>
              </m:rPr>
              <m:t>,</m:t>
            </m:r>
            <m:r>
              <m:t>S</m:t>
            </m:r>
          </m:e>
        </m:d>
      </m:oMath>
      <w:r>
        <w:t xml:space="preserve">: the backlogs are deadline-bound computing debts, and the deficits</w:t>
      </w:r>
      <w:r>
        <w:t xml:space="preserve"> </w:t>
      </w:r>
      <m:oMath>
        <m:acc>
          <m:accPr>
            <m:chr m:val="‾"/>
          </m:accPr>
          <m:e>
            <m:r>
              <m:t>E</m:t>
            </m:r>
          </m:e>
        </m:acc>
        <m:r>
          <m:rPr>
            <m:sty m:val="p"/>
          </m:rPr>
          <m:t>−</m:t>
        </m:r>
        <m:r>
          <m:t>E</m:t>
        </m:r>
      </m:oMath>
      <w:r>
        <w:t xml:space="preserve"> </w:t>
      </w:r>
      <w:r>
        <w:t xml:space="preserve">and</w:t>
      </w:r>
      <w:r>
        <w:t xml:space="preserve"> </w:t>
      </w:r>
      <m:oMath>
        <m:acc>
          <m:accPr>
            <m:chr m:val="‾"/>
          </m:accPr>
          <m:e>
            <m:r>
              <m:t>S</m:t>
            </m:r>
          </m:e>
        </m:acc>
        <m:r>
          <m:rPr>
            <m:sty m:val="p"/>
          </m:rPr>
          <m:t>−</m:t>
        </m:r>
        <m:r>
          <m:t>S</m:t>
        </m:r>
      </m:oMath>
      <w:r>
        <w:t xml:space="preserve"> </w:t>
      </w:r>
      <w:r>
        <w:t xml:space="preserve">are lossy storage debts. Both are repaid between events by importing power above the baseline, so both compete for the recovery channel</w:t>
      </w:r>
    </w:p>
    <w:p>
      <w:pPr>
        <w:pStyle w:val="Equation"/>
      </w:pPr>
      <w:r>
        <w:tab/>
      </w:r>
      <m:oMath>
        <m:sSub>
          <m:e>
            <m:r>
              <m:t>H</m:t>
            </m:r>
          </m:e>
          <m:sub>
            <m:r>
              <m:t>k</m:t>
            </m:r>
          </m:sub>
        </m:sSub>
        <m:r>
          <m:rPr>
            <m:sty m:val="p"/>
          </m:rPr>
          <m:t>=</m:t>
        </m:r>
        <m:nary>
          <m:naryPr>
            <m:chr m:val="∑"/>
            <m:limLoc m:val="undOvr"/>
            <m:subHide m:val="off"/>
            <m:supHide m:val="off"/>
          </m:naryPr>
          <m:sub>
            <m:r>
              <m:t>t</m:t>
            </m:r>
            <m:r>
              <m:rPr>
                <m:sty m:val="p"/>
              </m:rPr>
              <m:t>=</m:t>
            </m:r>
            <m:sSub>
              <m:e>
                <m:r>
                  <m:t>e</m:t>
                </m:r>
              </m:e>
              <m:sub>
                <m:r>
                  <m:t>k</m:t>
                </m:r>
              </m:sub>
            </m:sSub>
            <m:r>
              <m:rPr>
                <m:sty m:val="p"/>
              </m:rPr>
              <m:t>+</m:t>
            </m:r>
            <m:r>
              <m:t>1</m:t>
            </m:r>
          </m:sub>
          <m:sup>
            <m:sSub>
              <m:e>
                <m:r>
                  <m:t>s</m:t>
                </m:r>
              </m:e>
              <m:sub>
                <m:r>
                  <m:t>k</m:t>
                </m:r>
                <m:r>
                  <m:rPr>
                    <m:sty m:val="p"/>
                  </m:rPr>
                  <m:t>+</m:t>
                </m:r>
                <m:r>
                  <m:t>1</m:t>
                </m:r>
              </m:sub>
            </m:sSub>
            <m:r>
              <m:rPr>
                <m:sty m:val="p"/>
              </m:rPr>
              <m:t>−</m:t>
            </m:r>
            <m:r>
              <m:t>1</m:t>
            </m:r>
          </m:sup>
          <m:e>
            <m:r>
              <m:rPr>
                <m:sty m:val="p"/>
              </m:rPr>
              <m:t>(</m:t>
            </m:r>
          </m:e>
        </m:nary>
        <m:sSup>
          <m:e>
            <m:r>
              <m:t>P</m:t>
            </m:r>
          </m:e>
          <m:sup>
            <m:r>
              <m:t>c</m:t>
            </m:r>
            <m:r>
              <m:t>a</m:t>
            </m:r>
            <m:r>
              <m:t>p</m:t>
            </m:r>
          </m:sup>
        </m:sSup>
        <m:r>
          <m:rPr>
            <m:sty m:val="p"/>
          </m:rPr>
          <m:t>−</m:t>
        </m:r>
        <m:sSubSup>
          <m:e>
            <m:r>
              <m:t>P</m:t>
            </m:r>
          </m:e>
          <m:sub>
            <m:r>
              <m:t>t</m:t>
            </m:r>
          </m:sub>
          <m:sup>
            <m:r>
              <m:t>b</m:t>
            </m:r>
            <m:r>
              <m:t>a</m:t>
            </m:r>
            <m:r>
              <m:t>s</m:t>
            </m:r>
            <m:r>
              <m:t>e</m:t>
            </m:r>
          </m:sup>
        </m:sSubSup>
        <m:sSup>
          <m:e>
            <m:r>
              <m:rPr>
                <m:sty m:val="p"/>
              </m:rPr>
              <m:t>)</m:t>
            </m:r>
          </m:e>
          <m:sup>
            <m:r>
              <m:rPr>
                <m:sty m:val="p"/>
              </m:rPr>
              <m:t>+</m:t>
            </m:r>
          </m:sup>
        </m:sSup>
        <m:r>
          <m:t>Δ</m:t>
        </m:r>
        <m:r>
          <m:t>t</m:t>
        </m:r>
        <m:r>
          <m:rPr>
            <m:sty m:val="p"/>
          </m:rPr>
          <m:t>.</m:t>
        </m:r>
      </m:oMath>
      <w:r>
        <w:tab/>
      </w:r>
      <w:r>
        <w:t xml:space="preserve">(1)</w:t>
      </w:r>
    </w:p>
    <w:p>
      <w:pPr>
        <w:pStyle w:val="BodyText"/>
      </w:pPr>
      <w:r>
        <w:t xml:space="preserve">The research question is how the recovery state left by event</w:t>
      </w:r>
      <w:r>
        <w:t xml:space="preserve"> </w:t>
      </w:r>
      <m:oMath>
        <m:r>
          <m:t>k</m:t>
        </m:r>
      </m:oMath>
      <w:r>
        <w:t xml:space="preserve"> </w:t>
      </w:r>
      <w:r>
        <w:t xml:space="preserve">limits the reduction deliverable in event</w:t>
      </w:r>
      <w:r>
        <w:t xml:space="preserve"> </w:t>
      </w:r>
      <m:oMath>
        <m:r>
          <m:t>k</m:t>
        </m:r>
        <m:r>
          <m:rPr>
            <m:sty m:val="p"/>
          </m:rPr>
          <m:t>+</m:t>
        </m:r>
        <m:r>
          <m:t>1</m:t>
        </m:r>
      </m:oMath>
      <w:r>
        <w:t xml:space="preserve">, and how much firm consecutive capacity the AIDC can commit when recovery is coordinated across events.</w:t>
      </w:r>
    </w:p>
    <w:bookmarkEnd w:id="28"/>
    <w:bookmarkEnd w:id="29"/>
    <w:bookmarkStart w:id="36" w:name="X5c21f8e4ec8f771a223879ed01aa59ab0439803"/>
    <w:p>
      <w:pPr>
        <w:pStyle w:val="Heading1"/>
      </w:pPr>
      <w:r>
        <w:t xml:space="preserve">3. Cross-event recovery modelling and deliverable flexibility</w:t>
      </w:r>
    </w:p>
    <w:bookmarkStart w:id="30" w:name="computing-side-it-power-and-backlog"/>
    <w:p>
      <w:pPr>
        <w:pStyle w:val="Heading2"/>
      </w:pPr>
      <w:r>
        <w:t xml:space="preserve">3.1 Computing side: IT power and backlog</w:t>
      </w:r>
    </w:p>
    <w:p>
      <w:pPr>
        <w:pStyle w:val="FirstParagraph"/>
      </w:pPr>
      <w:r>
        <w:t xml:space="preserve">The IT power is</w:t>
      </w:r>
    </w:p>
    <w:p>
      <w:pPr>
        <w:pStyle w:val="Equation"/>
      </w:pPr>
      <w:r>
        <w:tab/>
      </w:r>
      <m:oMath>
        <m:sSubSup>
          <m:e>
            <m:r>
              <m:t>P</m:t>
            </m:r>
          </m:e>
          <m:sub>
            <m:r>
              <m:t>t</m:t>
            </m:r>
          </m:sub>
          <m:sup>
            <m:r>
              <m:t>I</m:t>
            </m:r>
            <m:r>
              <m:t>T</m:t>
            </m:r>
          </m:sup>
        </m:sSubSup>
        <m:r>
          <m:rPr>
            <m:sty m:val="p"/>
          </m:rPr>
          <m:t>=</m:t>
        </m:r>
        <m:sSup>
          <m:e>
            <m:r>
              <m:t>P</m:t>
            </m:r>
          </m:e>
          <m:sup>
            <m:r>
              <m:t>f</m:t>
            </m:r>
            <m:r>
              <m:t>i</m:t>
            </m:r>
            <m:r>
              <m:t>x</m:t>
            </m:r>
          </m:sup>
        </m:sSup>
        <m:r>
          <m:rPr>
            <m:sty m:val="p"/>
          </m:rPr>
          <m:t>+</m:t>
        </m:r>
        <m:sSup>
          <m:e>
            <m:r>
              <m:t>p</m:t>
            </m:r>
          </m:e>
          <m:sup>
            <m:r>
              <m:t>d</m:t>
            </m:r>
            <m:r>
              <m:t>y</m:t>
            </m:r>
            <m:r>
              <m:t>n</m:t>
            </m:r>
          </m:sup>
        </m:sSup>
        <m:d>
          <m:dPr>
            <m:begChr m:val="("/>
            <m:sepChr m:val=""/>
            <m:endChr m:val=")"/>
            <m:grow/>
          </m:dPr>
          <m:e>
            <m:sSup>
              <m:e>
                <m:r>
                  <m:t>κ</m:t>
                </m:r>
              </m:e>
              <m:sup>
                <m:r>
                  <m:t>i</m:t>
                </m:r>
                <m:r>
                  <m:t>n</m:t>
                </m:r>
                <m:r>
                  <m:t>f</m:t>
                </m:r>
              </m:sup>
            </m:sSup>
            <m:sSubSup>
              <m:e>
                <m:r>
                  <m:t>G</m:t>
                </m:r>
              </m:e>
              <m:sub>
                <m:r>
                  <m:t>t</m:t>
                </m:r>
              </m:sub>
              <m:sup>
                <m:r>
                  <m:t>i</m:t>
                </m:r>
                <m:r>
                  <m:t>n</m:t>
                </m:r>
                <m:r>
                  <m:t>f</m:t>
                </m:r>
              </m:sup>
            </m:sSubSup>
            <m:r>
              <m:rPr>
                <m:sty m:val="p"/>
              </m:rPr>
              <m:t>+</m:t>
            </m:r>
            <m:sSubSup>
              <m:e>
                <m:r>
                  <m:t>G</m:t>
                </m:r>
              </m:e>
              <m:sub>
                <m:r>
                  <m:t>t</m:t>
                </m:r>
              </m:sub>
              <m:sup>
                <m:r>
                  <m:t>f</m:t>
                </m:r>
                <m:r>
                  <m:t>i</m:t>
                </m:r>
                <m:r>
                  <m:t>x</m:t>
                </m:r>
              </m:sup>
            </m:sSubSup>
            <m:r>
              <m:rPr>
                <m:sty m:val="p"/>
              </m:rPr>
              <m:t>+</m:t>
            </m:r>
            <m:nary>
              <m:naryPr>
                <m:chr m:val="∑"/>
                <m:limLoc m:val="undOvr"/>
                <m:subHide m:val="off"/>
                <m:supHide m:val="on"/>
              </m:naryPr>
              <m:sub>
                <m:r>
                  <m:t>c</m:t>
                </m:r>
              </m:sub>
              <m:sup>
                <m:r>
                  <m:t>​</m:t>
                </m:r>
              </m:sup>
              <m:e>
                <m:sSub>
                  <m:e>
                    <m:r>
                      <m:t>y</m:t>
                    </m:r>
                  </m:e>
                  <m:sub>
                    <m:r>
                      <m:t>c</m:t>
                    </m:r>
                    <m:r>
                      <m:rPr>
                        <m:sty m:val="p"/>
                      </m:rPr>
                      <m:t>,</m:t>
                    </m:r>
                    <m:r>
                      <m:t>t</m:t>
                    </m:r>
                  </m:sub>
                </m:sSub>
              </m:e>
            </m:nary>
          </m:e>
        </m:d>
        <m:r>
          <m:rPr>
            <m:sty m:val="p"/>
          </m:rPr>
          <m:t>,</m:t>
        </m:r>
      </m:oMath>
      <w:r>
        <w:tab/>
      </w:r>
      <w:r>
        <w:t xml:space="preserve">(2)</w:t>
      </w:r>
    </w:p>
    <w:p>
      <w:pPr>
        <w:pStyle w:val="BodyText"/>
      </w:pPr>
      <w:r>
        <w:t xml:space="preserve">with</w:t>
      </w:r>
      <w:r>
        <w:t xml:space="preserve"> </w:t>
      </w:r>
      <m:oMath>
        <m:sSup>
          <m:e>
            <m:r>
              <m:t>P</m:t>
            </m:r>
          </m:e>
          <m:sup>
            <m:r>
              <m:t>f</m:t>
            </m:r>
            <m:r>
              <m:t>i</m:t>
            </m:r>
            <m:r>
              <m:t>x</m:t>
            </m:r>
          </m:sup>
        </m:sSup>
        <m:r>
          <m:rPr>
            <m:sty m:val="p"/>
          </m:rPr>
          <m:t>=</m:t>
        </m:r>
        <m:r>
          <m:t>N</m:t>
        </m:r>
        <m:sSup>
          <m:e>
            <m:r>
              <m:t>p</m:t>
            </m:r>
          </m:e>
          <m:sup>
            <m:r>
              <m:t>i</m:t>
            </m:r>
            <m:r>
              <m:t>d</m:t>
            </m:r>
            <m:r>
              <m:t>l</m:t>
            </m:r>
            <m:r>
              <m:t>e</m:t>
            </m:r>
          </m:sup>
        </m:sSup>
        <m:r>
          <m:rPr>
            <m:sty m:val="p"/>
          </m:rPr>
          <m:t>+</m:t>
        </m:r>
        <m:sSup>
          <m:e>
            <m:r>
              <m:t>P</m:t>
            </m:r>
          </m:e>
          <m:sup>
            <m:r>
              <m:t>o</m:t>
            </m:r>
            <m:r>
              <m:t>t</m:t>
            </m:r>
            <m:r>
              <m:t>h</m:t>
            </m:r>
          </m:sup>
        </m:sSup>
      </m:oMath>
      <w:r>
        <w:t xml:space="preserve">. Deferred work of class</w:t>
      </w:r>
      <w:r>
        <w:t xml:space="preserve"> </w:t>
      </w:r>
      <m:oMath>
        <m:r>
          <m:t>c</m:t>
        </m:r>
      </m:oMath>
      <w:r>
        <w:t xml:space="preserve"> </w:t>
      </w:r>
      <w:r>
        <w:t xml:space="preserve">accumulates in the backlog</w:t>
      </w:r>
    </w:p>
    <w:p>
      <w:pPr>
        <w:pStyle w:val="Equation"/>
      </w:pPr>
      <w:r>
        <w:tab/>
      </w:r>
      <m:oMath>
        <m:sSub>
          <m:e>
            <m:r>
              <m:t>B</m:t>
            </m:r>
          </m:e>
          <m:sub>
            <m:r>
              <m:t>c</m:t>
            </m:r>
            <m:r>
              <m:rPr>
                <m:sty m:val="p"/>
              </m:rPr>
              <m:t>,</m:t>
            </m:r>
            <m:r>
              <m:t>t</m:t>
            </m:r>
          </m:sub>
        </m:sSub>
        <m:r>
          <m:rPr>
            <m:sty m:val="p"/>
          </m:rPr>
          <m:t>=</m:t>
        </m:r>
        <m:sSub>
          <m:e>
            <m:r>
              <m:t>B</m:t>
            </m:r>
          </m:e>
          <m:sub>
            <m:r>
              <m:t>c</m:t>
            </m:r>
            <m:r>
              <m:rPr>
                <m:sty m:val="p"/>
              </m:rPr>
              <m:t>,</m:t>
            </m:r>
            <m:r>
              <m:t>t</m:t>
            </m:r>
            <m:r>
              <m:rPr>
                <m:sty m:val="p"/>
              </m:rPr>
              <m:t>−</m:t>
            </m:r>
            <m:r>
              <m:t>1</m:t>
            </m:r>
          </m:sub>
        </m:sSub>
        <m:r>
          <m:rPr>
            <m:sty m:val="p"/>
          </m:rPr>
          <m:t>+</m:t>
        </m:r>
        <m:d>
          <m:dPr>
            <m:begChr m:val="("/>
            <m:sepChr m:val=""/>
            <m:endChr m:val=")"/>
            <m:grow/>
          </m:dPr>
          <m:e>
            <m:sSub>
              <m:e>
                <m:r>
                  <m:t>a</m:t>
                </m:r>
              </m:e>
              <m:sub>
                <m:r>
                  <m:t>c</m:t>
                </m:r>
                <m:r>
                  <m:rPr>
                    <m:sty m:val="p"/>
                  </m:rPr>
                  <m:t>,</m:t>
                </m:r>
                <m:r>
                  <m:t>t</m:t>
                </m:r>
              </m:sub>
            </m:sSub>
            <m:r>
              <m:rPr>
                <m:sty m:val="p"/>
              </m:rPr>
              <m:t>−</m:t>
            </m:r>
            <m:sSub>
              <m:e>
                <m:r>
                  <m:t>y</m:t>
                </m:r>
              </m:e>
              <m:sub>
                <m:r>
                  <m:t>c</m:t>
                </m:r>
                <m:r>
                  <m:rPr>
                    <m:sty m:val="p"/>
                  </m:rPr>
                  <m:t>,</m:t>
                </m:r>
                <m:r>
                  <m:t>t</m:t>
                </m:r>
              </m:sub>
            </m:sSub>
          </m:e>
        </m:d>
        <m:r>
          <m:t>Δ</m:t>
        </m:r>
        <m:r>
          <m:t>t</m:t>
        </m:r>
        <m:r>
          <m:rPr>
            <m:sty m:val="p"/>
          </m:rPr>
          <m:t>,</m:t>
        </m:r>
        <m:r>
          <m:t>  </m:t>
        </m:r>
        <m:r>
          <m:t>0</m:t>
        </m:r>
        <m:r>
          <m:rPr>
            <m:sty m:val="p"/>
          </m:rPr>
          <m:t>≤</m:t>
        </m:r>
        <m:sSub>
          <m:e>
            <m:r>
              <m:t>B</m:t>
            </m:r>
          </m:e>
          <m:sub>
            <m:r>
              <m:t>c</m:t>
            </m:r>
            <m:r>
              <m:rPr>
                <m:sty m:val="p"/>
              </m:rPr>
              <m:t>,</m:t>
            </m:r>
            <m:r>
              <m:t>t</m:t>
            </m:r>
          </m:sub>
        </m:sSub>
        <m:r>
          <m:rPr>
            <m:sty m:val="p"/>
          </m:rPr>
          <m:t>≤</m:t>
        </m:r>
        <m:sSub>
          <m:e>
            <m:acc>
              <m:accPr>
                <m:chr m:val="‾"/>
              </m:accPr>
              <m:e>
                <m:r>
                  <m:t>B</m:t>
                </m:r>
              </m:e>
            </m:acc>
          </m:e>
          <m:sub>
            <m:r>
              <m:t>c</m:t>
            </m:r>
            <m:r>
              <m:rPr>
                <m:sty m:val="p"/>
              </m:rPr>
              <m:t>,</m:t>
            </m:r>
            <m:r>
              <m:t>t</m:t>
            </m:r>
          </m:sub>
        </m:sSub>
        <m:d>
          <m:dPr>
            <m:begChr m:val="("/>
            <m:sepChr m:val=""/>
            <m:endChr m:val=")"/>
            <m:grow/>
          </m:dPr>
          <m:e>
            <m:sSub>
              <m:e>
                <m:r>
                  <m:t>L</m:t>
                </m:r>
              </m:e>
              <m:sub>
                <m:r>
                  <m:t>c</m:t>
                </m:r>
              </m:sub>
            </m:sSub>
          </m:e>
        </m:d>
        <m:r>
          <m:rPr>
            <m:sty m:val="p"/>
          </m:rPr>
          <m:t>+</m:t>
        </m:r>
        <m:sSub>
          <m:e>
            <m:r>
              <m:t>v</m:t>
            </m:r>
          </m:e>
          <m:sub>
            <m:r>
              <m:t>c</m:t>
            </m:r>
            <m:r>
              <m:rPr>
                <m:sty m:val="p"/>
              </m:rPr>
              <m:t>,</m:t>
            </m:r>
            <m:r>
              <m:t>t</m:t>
            </m:r>
          </m:sub>
        </m:sSub>
        <m:r>
          <m:rPr>
            <m:sty m:val="p"/>
          </m:rPr>
          <m:t>,</m:t>
        </m:r>
      </m:oMath>
      <w:r>
        <w:tab/>
      </w:r>
      <w:r>
        <w:t xml:space="preserve">(3)</w:t>
      </w:r>
    </w:p>
    <w:p>
      <w:pPr>
        <w:pStyle w:val="BodyText"/>
      </w:pPr>
      <w:r>
        <w:t xml:space="preserve">where</w:t>
      </w:r>
      <w:r>
        <w:t xml:space="preserve"> </w:t>
      </w:r>
      <m:oMath>
        <m:sSub>
          <m:e>
            <m:acc>
              <m:accPr>
                <m:chr m:val="‾"/>
              </m:accPr>
              <m:e>
                <m:r>
                  <m:t>B</m:t>
                </m:r>
              </m:e>
            </m:acc>
          </m:e>
          <m:sub>
            <m:r>
              <m:t>c</m:t>
            </m:r>
            <m:r>
              <m:rPr>
                <m:sty m:val="p"/>
              </m:rPr>
              <m:t>,</m:t>
            </m:r>
            <m:r>
              <m:t>t</m:t>
            </m:r>
          </m:sub>
        </m:sSub>
        <m:d>
          <m:dPr>
            <m:begChr m:val="("/>
            <m:sepChr m:val=""/>
            <m:endChr m:val=")"/>
            <m:grow/>
          </m:dPr>
          <m:e>
            <m:sSub>
              <m:e>
                <m:r>
                  <m:t>L</m:t>
                </m:r>
              </m:e>
              <m:sub>
                <m:r>
                  <m:t>c</m:t>
                </m:r>
              </m:sub>
            </m:sSub>
          </m:e>
        </m:d>
      </m:oMath>
      <w:r>
        <w:t xml:space="preserve"> </w:t>
      </w:r>
      <w:r>
        <w:t xml:space="preserve">is the work that arrived within the last</w:t>
      </w:r>
      <w:r>
        <w:t xml:space="preserve"> </w:t>
      </w:r>
      <m:oMath>
        <m:sSub>
          <m:e>
            <m:r>
              <m:t>L</m:t>
            </m:r>
          </m:e>
          <m:sub>
            <m:r>
              <m:t>c</m:t>
            </m:r>
          </m:sub>
        </m:sSub>
      </m:oMath>
      <w:r>
        <w:t xml:space="preserve"> </w:t>
      </w:r>
      <w:r>
        <w:t xml:space="preserve">hours and is therefore not yet due, and</w:t>
      </w:r>
      <w:r>
        <w:t xml:space="preserve"> </w:t>
      </w:r>
      <m:oMath>
        <m:sSub>
          <m:e>
            <m:r>
              <m:t>v</m:t>
            </m:r>
          </m:e>
          <m:sub>
            <m:r>
              <m:t>c</m:t>
            </m:r>
            <m:r>
              <m:rPr>
                <m:sty m:val="p"/>
              </m:rPr>
              <m:t>,</m:t>
            </m:r>
            <m:r>
              <m:t>t</m:t>
            </m:r>
          </m:sub>
        </m:sSub>
        <m:r>
          <m:rPr>
            <m:sty m:val="p"/>
          </m:rPr>
          <m:t>≥</m:t>
        </m:r>
        <m:r>
          <m:t>0</m:t>
        </m:r>
      </m:oMath>
      <w:r>
        <w:t xml:space="preserve"> </w:t>
      </w:r>
      <w:r>
        <w:t xml:space="preserve">is overdue work priced at</w:t>
      </w:r>
      <w:r>
        <w:t xml:space="preserve"> </w:t>
      </w:r>
      <m:oMath>
        <m:sSup>
          <m:e>
            <m:r>
              <m:t>c</m:t>
            </m:r>
          </m:e>
          <m:sup>
            <m:r>
              <m:t>l</m:t>
            </m:r>
            <m:r>
              <m:t>a</m:t>
            </m:r>
            <m:r>
              <m:t>t</m:t>
            </m:r>
            <m:r>
              <m:t>e</m:t>
            </m:r>
          </m:sup>
        </m:sSup>
      </m:oMath>
      <w:r>
        <w:t xml:space="preserve">. The schedulable GPUs are limited by</w:t>
      </w:r>
    </w:p>
    <w:p>
      <w:pPr>
        <w:pStyle w:val="Equation"/>
      </w:pPr>
      <w:r>
        <w:tab/>
      </w:r>
      <m:oMath>
        <m:nary>
          <m:naryPr>
            <m:chr m:val="∑"/>
            <m:limLoc m:val="undOvr"/>
            <m:subHide m:val="off"/>
            <m:supHide m:val="on"/>
          </m:naryPr>
          <m:sub>
            <m:r>
              <m:t>c</m:t>
            </m:r>
          </m:sub>
          <m:sup>
            <m:r>
              <m:t>​</m:t>
            </m:r>
          </m:sup>
          <m:e>
            <m:sSub>
              <m:e>
                <m:r>
                  <m:t>y</m:t>
                </m:r>
              </m:e>
              <m:sub>
                <m:r>
                  <m:t>c</m:t>
                </m:r>
                <m:r>
                  <m:rPr>
                    <m:sty m:val="p"/>
                  </m:rPr>
                  <m:t>,</m:t>
                </m:r>
                <m:r>
                  <m:t>t</m:t>
                </m:r>
              </m:sub>
            </m:sSub>
          </m:e>
        </m:nary>
        <m:r>
          <m:rPr>
            <m:sty m:val="p"/>
          </m:rPr>
          <m:t>≤</m:t>
        </m:r>
        <m:sSup>
          <m:e>
            <m:r>
              <m:t>u</m:t>
            </m:r>
          </m:e>
          <m:sup>
            <m:r>
              <m:t>m</m:t>
            </m:r>
            <m:r>
              <m:t>a</m:t>
            </m:r>
            <m:r>
              <m:t>x</m:t>
            </m:r>
          </m:sup>
        </m:sSup>
        <m:r>
          <m:t>N</m:t>
        </m:r>
        <m:r>
          <m:rPr>
            <m:sty m:val="p"/>
          </m:rPr>
          <m:t>−</m:t>
        </m:r>
        <m:sSubSup>
          <m:e>
            <m:r>
              <m:t>G</m:t>
            </m:r>
          </m:e>
          <m:sub>
            <m:r>
              <m:t>t</m:t>
            </m:r>
          </m:sub>
          <m:sup>
            <m:r>
              <m:t>i</m:t>
            </m:r>
            <m:r>
              <m:t>n</m:t>
            </m:r>
            <m:r>
              <m:t>f</m:t>
            </m:r>
          </m:sup>
        </m:sSubSup>
        <m:r>
          <m:rPr>
            <m:sty m:val="p"/>
          </m:rPr>
          <m:t>−</m:t>
        </m:r>
        <m:sSubSup>
          <m:e>
            <m:r>
              <m:t>G</m:t>
            </m:r>
          </m:e>
          <m:sub>
            <m:r>
              <m:t>t</m:t>
            </m:r>
          </m:sub>
          <m:sup>
            <m:r>
              <m:t>f</m:t>
            </m:r>
            <m:r>
              <m:t>i</m:t>
            </m:r>
            <m:r>
              <m:t>x</m:t>
            </m:r>
          </m:sup>
        </m:sSubSup>
        <m:r>
          <m:rPr>
            <m:sty m:val="p"/>
          </m:rPr>
          <m:t>.</m:t>
        </m:r>
      </m:oMath>
      <w:r>
        <w:tab/>
      </w:r>
      <w:r>
        <w:t xml:space="preserve">(4)</w:t>
      </w:r>
    </w:p>
    <w:p>
      <w:pPr>
        <w:pStyle w:val="BodyText"/>
      </w:pPr>
      <w:r>
        <w:t xml:space="preserve">Each GPU·h of backlog requires</w:t>
      </w:r>
      <w:r>
        <w:t xml:space="preserve"> </w:t>
      </w:r>
      <m:oMath>
        <m:sSub>
          <m:e>
            <m:r>
              <m:t>ε</m:t>
            </m:r>
          </m:e>
          <m:sub>
            <m:r>
              <m:t>t</m:t>
            </m:r>
          </m:sub>
        </m:sSub>
        <m:r>
          <m:rPr>
            <m:sty m:val="p"/>
          </m:rPr>
          <m:t>=</m:t>
        </m:r>
        <m:d>
          <m:dPr>
            <m:begChr m:val="("/>
            <m:sepChr m:val=""/>
            <m:endChr m:val=")"/>
            <m:grow/>
          </m:dPr>
          <m:e>
            <m:r>
              <m:t>1</m:t>
            </m:r>
            <m:r>
              <m:rPr>
                <m:sty m:val="p"/>
              </m:rPr>
              <m:t>+</m:t>
            </m:r>
            <m:r>
              <m:t>a</m:t>
            </m:r>
            <m:r>
              <m:rPr>
                <m:sty m:val="p"/>
              </m:rPr>
              <m:t>+</m:t>
            </m:r>
            <m:r>
              <m:t>θ</m:t>
            </m:r>
            <m:r>
              <m:rPr>
                <m:sty m:val="p"/>
              </m:rPr>
              <m:t>/</m:t>
            </m:r>
            <m:sSub>
              <m:e>
                <m:r>
                  <m:rPr>
                    <m:sty m:val="p"/>
                  </m:rPr>
                  <m:t>C</m:t>
                </m:r>
                <m:r>
                  <m:rPr>
                    <m:sty m:val="p"/>
                  </m:rPr>
                  <m:t>O</m:t>
                </m:r>
                <m:r>
                  <m:rPr>
                    <m:sty m:val="p"/>
                  </m:rPr>
                  <m:t>P</m:t>
                </m:r>
              </m:e>
              <m:sub>
                <m:r>
                  <m:t>t</m:t>
                </m:r>
              </m:sub>
            </m:sSub>
          </m:e>
        </m:d>
        <m:r>
          <m:t> </m:t>
        </m:r>
        <m:sSup>
          <m:e>
            <m:r>
              <m:t>p</m:t>
            </m:r>
          </m:e>
          <m:sup>
            <m:r>
              <m:t>d</m:t>
            </m:r>
            <m:r>
              <m:t>y</m:t>
            </m:r>
            <m:r>
              <m:t>n</m:t>
            </m:r>
          </m:sup>
        </m:sSup>
      </m:oMath>
      <w:r>
        <w:t xml:space="preserve"> </w:t>
      </w:r>
      <w:r>
        <w:t xml:space="preserve">MWh of facility energy when it is caught up, so the computing debt</w:t>
      </w:r>
      <w:r>
        <w:t xml:space="preserve"> </w:t>
      </w:r>
      <m:oMath>
        <m:sSub>
          <m:e>
            <m:r>
              <m:t>X</m:t>
            </m:r>
          </m:e>
          <m:sub>
            <m:r>
              <m:t>t</m:t>
            </m:r>
          </m:sub>
        </m:sSub>
        <m:r>
          <m:rPr>
            <m:sty m:val="p"/>
          </m:rPr>
          <m:t>=</m:t>
        </m:r>
        <m:sSub>
          <m:e>
            <m:r>
              <m:t>ε</m:t>
            </m:r>
          </m:e>
          <m:sub>
            <m:r>
              <m:t>t</m:t>
            </m:r>
          </m:sub>
        </m:sSub>
        <m:nary>
          <m:naryPr>
            <m:chr m:val="∑"/>
            <m:limLoc m:val="undOvr"/>
            <m:subHide m:val="off"/>
            <m:supHide m:val="on"/>
          </m:naryPr>
          <m:sub>
            <m:r>
              <m:t>c</m:t>
            </m:r>
          </m:sub>
          <m:sup>
            <m:r>
              <m:t>​</m:t>
            </m:r>
          </m:sup>
          <m:e>
            <m:sSub>
              <m:e>
                <m:r>
                  <m:t>B</m:t>
                </m:r>
              </m:e>
              <m:sub>
                <m:r>
                  <m:t>c</m:t>
                </m:r>
                <m:r>
                  <m:rPr>
                    <m:sty m:val="p"/>
                  </m:rPr>
                  <m:t>,</m:t>
                </m:r>
                <m:r>
                  <m:t>t</m:t>
                </m:r>
              </m:sub>
            </m:sSub>
          </m:e>
        </m:nary>
      </m:oMath>
      <w:r>
        <w:t xml:space="preserve"> </w:t>
      </w:r>
      <w:r>
        <w:t xml:space="preserve">behaves like the discharge of a lossless virtual storage whose recharge has deadlines.</w:t>
      </w:r>
    </w:p>
    <w:bookmarkEnd w:id="30"/>
    <w:bookmarkStart w:id="31" w:name="X396f15a05869b49774495c2756a8cee0c6517a9"/>
    <w:p>
      <w:pPr>
        <w:pStyle w:val="Heading2"/>
      </w:pPr>
      <w:r>
        <w:t xml:space="preserve">3.2 Storage side and integrated energy system</w:t>
      </w:r>
    </w:p>
    <w:p>
      <w:pPr>
        <w:pStyle w:val="FirstParagraph"/>
      </w:pPr>
      <w:r>
        <w:t xml:space="preserve">The BESS and TES evolve as</w:t>
      </w:r>
    </w:p>
    <w:p>
      <w:pPr>
        <w:pStyle w:val="Equation"/>
      </w:pPr>
      <w:r>
        <w:tab/>
      </w: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b>
              <m:e>
                <m:r>
                  <m:t>η</m:t>
                </m:r>
              </m:e>
              <m:sub>
                <m:r>
                  <m:t>c</m:t>
                </m:r>
              </m:sub>
            </m:sSub>
            <m:sSubSup>
              <m:e>
                <m:r>
                  <m:t>P</m:t>
                </m:r>
              </m:e>
              <m:sub>
                <m:r>
                  <m:t>t</m:t>
                </m:r>
              </m:sub>
              <m:sup>
                <m:r>
                  <m:t>c</m:t>
                </m:r>
                <m:r>
                  <m:t>h</m:t>
                </m:r>
              </m:sup>
            </m:sSubSup>
            <m:r>
              <m:rPr>
                <m:sty m:val="p"/>
              </m:rPr>
              <m:t>−</m:t>
            </m:r>
            <m:f>
              <m:fPr>
                <m:type m:val="bar"/>
              </m:fPr>
              <m:num>
                <m:sSubSup>
                  <m:e>
                    <m:r>
                      <m:t>P</m:t>
                    </m:r>
                  </m:e>
                  <m:sub>
                    <m:r>
                      <m:t>t</m:t>
                    </m:r>
                  </m:sub>
                  <m:sup>
                    <m:r>
                      <m:t>d</m:t>
                    </m:r>
                    <m:r>
                      <m:t>i</m:t>
                    </m:r>
                    <m:r>
                      <m:t>s</m:t>
                    </m:r>
                  </m:sup>
                </m:sSubSup>
              </m:num>
              <m:den>
                <m:sSub>
                  <m:e>
                    <m:r>
                      <m:t>η</m:t>
                    </m:r>
                  </m:e>
                  <m:sub>
                    <m:r>
                      <m:t>d</m:t>
                    </m:r>
                  </m:sub>
                </m:sSub>
              </m:den>
            </m:f>
          </m:e>
        </m:d>
        <m:r>
          <m:t>Δ</m:t>
        </m:r>
        <m:r>
          <m:t>t</m:t>
        </m:r>
        <m:r>
          <m:rPr>
            <m:sty m:val="p"/>
          </m:rPr>
          <m:t>,</m:t>
        </m:r>
        <m:r>
          <m:t> </m:t>
        </m:r>
        <m:bar>
          <m:barPr>
            <m:pos m:val="bot"/>
          </m:barPr>
          <m:e>
            <m:r>
              <m:t>E</m:t>
            </m:r>
          </m:e>
        </m:bar>
        <m:r>
          <m:rPr>
            <m:sty m:val="p"/>
          </m:rPr>
          <m:t>≤</m:t>
        </m:r>
        <m:sSub>
          <m:e>
            <m:r>
              <m:t>E</m:t>
            </m:r>
          </m:e>
          <m:sub>
            <m:r>
              <m:t>t</m:t>
            </m:r>
          </m:sub>
        </m:sSub>
        <m:r>
          <m:rPr>
            <m:sty m:val="p"/>
          </m:rPr>
          <m:t>≤</m:t>
        </m:r>
        <m:acc>
          <m:accPr>
            <m:chr m:val="‾"/>
          </m:accPr>
          <m:e>
            <m:r>
              <m:t>E</m:t>
            </m:r>
          </m:e>
        </m:acc>
        <m:r>
          <m:rPr>
            <m:sty m:val="p"/>
          </m:rPr>
          <m:t>,</m:t>
        </m:r>
        <m:r>
          <m:t> </m:t>
        </m:r>
        <m:r>
          <m:t>0</m:t>
        </m:r>
        <m:r>
          <m:rPr>
            <m:sty m:val="p"/>
          </m:rPr>
          <m:t>≤</m:t>
        </m:r>
        <m:sSubSup>
          <m:e>
            <m:r>
              <m:t>P</m:t>
            </m:r>
          </m:e>
          <m:sub>
            <m:r>
              <m:t>t</m:t>
            </m:r>
          </m:sub>
          <m:sup>
            <m:r>
              <m:t>c</m:t>
            </m:r>
            <m:r>
              <m:t>h</m:t>
            </m:r>
          </m:sup>
        </m:sSubSup>
        <m:r>
          <m:rPr>
            <m:sty m:val="p"/>
          </m:rPr>
          <m:t>,</m:t>
        </m:r>
        <m:sSubSup>
          <m:e>
            <m:r>
              <m:t>P</m:t>
            </m:r>
          </m:e>
          <m:sub>
            <m:r>
              <m:t>t</m:t>
            </m:r>
          </m:sub>
          <m:sup>
            <m:r>
              <m:t>d</m:t>
            </m:r>
            <m:r>
              <m:t>i</m:t>
            </m:r>
            <m:r>
              <m:t>s</m:t>
            </m:r>
          </m:sup>
        </m:sSubSup>
        <m:r>
          <m:rPr>
            <m:sty m:val="p"/>
          </m:rPr>
          <m:t>≤</m:t>
        </m:r>
        <m:sSup>
          <m:e>
            <m:acc>
              <m:accPr>
                <m:chr m:val="‾"/>
              </m:accPr>
              <m:e>
                <m:r>
                  <m:t>P</m:t>
                </m:r>
              </m:e>
            </m:acc>
          </m:e>
          <m:sup>
            <m:r>
              <m:t>B</m:t>
            </m:r>
          </m:sup>
        </m:sSup>
        <m:r>
          <m:rPr>
            <m:sty m:val="p"/>
          </m:rPr>
          <m:t>,</m:t>
        </m:r>
      </m:oMath>
      <w:r>
        <w:tab/>
      </w:r>
      <w:r>
        <w:t xml:space="preserve">(5)</w:t>
      </w:r>
    </w:p>
    <w:p>
      <w:pPr>
        <w:pStyle w:val="Equation"/>
      </w:pPr>
      <w:r>
        <w:tab/>
      </w:r>
      <m:oMath>
        <m:sSub>
          <m:e>
            <m:r>
              <m:t>S</m:t>
            </m:r>
          </m:e>
          <m:sub>
            <m:r>
              <m:t>t</m:t>
            </m:r>
          </m:sub>
        </m:sSub>
        <m:r>
          <m:rPr>
            <m:sty m:val="p"/>
          </m:rPr>
          <m:t>=</m:t>
        </m:r>
        <m:d>
          <m:dPr>
            <m:begChr m:val="("/>
            <m:sepChr m:val=""/>
            <m:endChr m:val=")"/>
            <m:grow/>
          </m:dPr>
          <m:e>
            <m:r>
              <m:t>1</m:t>
            </m:r>
            <m:r>
              <m:rPr>
                <m:sty m:val="p"/>
              </m:rPr>
              <m:t>−</m:t>
            </m:r>
            <m:r>
              <m:t>σ</m:t>
            </m:r>
            <m:r>
              <m:t>Δ</m:t>
            </m:r>
            <m:r>
              <m:t>t</m:t>
            </m:r>
          </m:e>
        </m:d>
        <m:sSub>
          <m:e>
            <m:r>
              <m:t>S</m:t>
            </m:r>
          </m:e>
          <m:sub>
            <m:r>
              <m:t>t</m:t>
            </m:r>
            <m:r>
              <m:rPr>
                <m:sty m:val="p"/>
              </m:rPr>
              <m:t>−</m:t>
            </m:r>
            <m:r>
              <m:t>1</m:t>
            </m:r>
          </m:sub>
        </m:sSub>
        <m:r>
          <m:rPr>
            <m:sty m:val="p"/>
          </m:rPr>
          <m:t>+</m:t>
        </m:r>
        <m:d>
          <m:dPr>
            <m:begChr m:val="("/>
            <m:sepChr m:val=""/>
            <m:endChr m:val=")"/>
            <m:grow/>
          </m:dPr>
          <m:e>
            <m:sSubSup>
              <m:e>
                <m:r>
                  <m:t>η</m:t>
                </m:r>
              </m:e>
              <m:sub>
                <m:r>
                  <m:t>c</m:t>
                </m:r>
              </m:sub>
              <m:sup>
                <m:r>
                  <m:t>T</m:t>
                </m:r>
              </m:sup>
            </m:sSubSup>
            <m:sSubSup>
              <m:e>
                <m:r>
                  <m:t>Q</m:t>
                </m:r>
              </m:e>
              <m:sub>
                <m:r>
                  <m:t>t</m:t>
                </m:r>
              </m:sub>
              <m:sup>
                <m:r>
                  <m:t>T</m:t>
                </m:r>
                <m:r>
                  <m:t>C</m:t>
                </m:r>
              </m:sup>
            </m:sSubSup>
            <m:r>
              <m:rPr>
                <m:sty m:val="p"/>
              </m:rPr>
              <m:t>−</m:t>
            </m:r>
            <m:f>
              <m:fPr>
                <m:type m:val="bar"/>
              </m:fPr>
              <m:num>
                <m:sSubSup>
                  <m:e>
                    <m:r>
                      <m:t>Q</m:t>
                    </m:r>
                  </m:e>
                  <m:sub>
                    <m:r>
                      <m:t>t</m:t>
                    </m:r>
                  </m:sub>
                  <m:sup>
                    <m:r>
                      <m:t>T</m:t>
                    </m:r>
                    <m:r>
                      <m:t>D</m:t>
                    </m:r>
                  </m:sup>
                </m:sSubSup>
              </m:num>
              <m:den>
                <m:sSubSup>
                  <m:e>
                    <m:r>
                      <m:t>η</m:t>
                    </m:r>
                  </m:e>
                  <m:sub>
                    <m:r>
                      <m:t>d</m:t>
                    </m:r>
                  </m:sub>
                  <m:sup>
                    <m:r>
                      <m:t>T</m:t>
                    </m:r>
                  </m:sup>
                </m:sSubSup>
              </m:den>
            </m:f>
          </m:e>
        </m:d>
        <m:r>
          <m:t>Δ</m:t>
        </m:r>
        <m:r>
          <m:t>t</m:t>
        </m:r>
        <m:r>
          <m:rPr>
            <m:sty m:val="p"/>
          </m:rPr>
          <m:t>,</m:t>
        </m:r>
        <m:r>
          <m:t> </m:t>
        </m:r>
        <m:bar>
          <m:barPr>
            <m:pos m:val="bot"/>
          </m:barPr>
          <m:e>
            <m:r>
              <m:t>S</m:t>
            </m:r>
          </m:e>
        </m:bar>
        <m:r>
          <m:rPr>
            <m:sty m:val="p"/>
          </m:rPr>
          <m:t>≤</m:t>
        </m:r>
        <m:sSub>
          <m:e>
            <m:r>
              <m:t>S</m:t>
            </m:r>
          </m:e>
          <m:sub>
            <m:r>
              <m:t>t</m:t>
            </m:r>
          </m:sub>
        </m:sSub>
        <m:r>
          <m:rPr>
            <m:sty m:val="p"/>
          </m:rPr>
          <m:t>≤</m:t>
        </m:r>
        <m:acc>
          <m:accPr>
            <m:chr m:val="‾"/>
          </m:accPr>
          <m:e>
            <m:r>
              <m:t>S</m:t>
            </m:r>
          </m:e>
        </m:acc>
        <m:r>
          <m:rPr>
            <m:sty m:val="p"/>
          </m:rPr>
          <m:t>.</m:t>
        </m:r>
      </m:oMath>
      <w:r>
        <w:tab/>
      </w:r>
      <w:r>
        <w:t xml:space="preserve">(6)</w:t>
      </w:r>
    </w:p>
    <w:p>
      <w:pPr>
        <w:pStyle w:val="BodyText"/>
      </w:pPr>
      <w:r>
        <w:t xml:space="preserve">The cooling and electric balances are</w:t>
      </w:r>
    </w:p>
    <w:p>
      <w:pPr>
        <w:pStyle w:val="Equation"/>
      </w:pPr>
      <w:r>
        <w:tab/>
      </w:r>
      <m:oMath>
        <m:sSubSup>
          <m:e>
            <m:r>
              <m:t>Q</m:t>
            </m:r>
          </m:e>
          <m:sub>
            <m:r>
              <m:t>t</m:t>
            </m:r>
          </m:sub>
          <m:sup>
            <m:r>
              <m:t>E</m:t>
            </m:r>
            <m:r>
              <m:t>C</m:t>
            </m:r>
          </m:sup>
        </m:sSubSup>
        <m:r>
          <m:rPr>
            <m:sty m:val="p"/>
          </m:rPr>
          <m:t>+</m:t>
        </m:r>
        <m:sSup>
          <m:e>
            <m:r>
              <m:rPr>
                <m:sty m:val="p"/>
              </m:rPr>
              <m:t>C</m:t>
            </m:r>
            <m:r>
              <m:rPr>
                <m:sty m:val="p"/>
              </m:rPr>
              <m:t>O</m:t>
            </m:r>
            <m:r>
              <m:rPr>
                <m:sty m:val="p"/>
              </m:rPr>
              <m:t>P</m:t>
            </m:r>
          </m:e>
          <m:sup>
            <m:r>
              <m:t>A</m:t>
            </m:r>
            <m:r>
              <m:t>C</m:t>
            </m:r>
          </m:sup>
        </m:sSup>
        <m:sSubSup>
          <m:e>
            <m:r>
              <m:t>H</m:t>
            </m:r>
          </m:e>
          <m:sub>
            <m:r>
              <m:t>t</m:t>
            </m:r>
          </m:sub>
          <m:sup>
            <m:r>
              <m:t>A</m:t>
            </m:r>
            <m:r>
              <m:t>C</m:t>
            </m:r>
          </m:sup>
        </m:sSubSup>
        <m:r>
          <m:rPr>
            <m:sty m:val="p"/>
          </m:rPr>
          <m:t>+</m:t>
        </m:r>
        <m:sSubSup>
          <m:e>
            <m:r>
              <m:t>Q</m:t>
            </m:r>
          </m:e>
          <m:sub>
            <m:r>
              <m:t>t</m:t>
            </m:r>
          </m:sub>
          <m:sup>
            <m:r>
              <m:t>T</m:t>
            </m:r>
            <m:r>
              <m:t>D</m:t>
            </m:r>
          </m:sup>
        </m:sSubSup>
        <m:r>
          <m:rPr>
            <m:sty m:val="p"/>
          </m:rPr>
          <m:t>−</m:t>
        </m:r>
        <m:sSubSup>
          <m:e>
            <m:r>
              <m:t>Q</m:t>
            </m:r>
          </m:e>
          <m:sub>
            <m:r>
              <m:t>t</m:t>
            </m:r>
          </m:sub>
          <m:sup>
            <m:r>
              <m:t>T</m:t>
            </m:r>
            <m:r>
              <m:t>C</m:t>
            </m:r>
          </m:sup>
        </m:sSubSup>
        <m:r>
          <m:rPr>
            <m:sty m:val="p"/>
          </m:rPr>
          <m:t>=</m:t>
        </m:r>
        <m:r>
          <m:t>θ</m:t>
        </m:r>
        <m:sSubSup>
          <m:e>
            <m:r>
              <m:t>P</m:t>
            </m:r>
          </m:e>
          <m:sub>
            <m:r>
              <m:t>t</m:t>
            </m:r>
          </m:sub>
          <m:sup>
            <m:r>
              <m:t>I</m:t>
            </m:r>
            <m:r>
              <m:t>T</m:t>
            </m:r>
          </m:sup>
        </m:sSubSup>
        <m:r>
          <m:rPr>
            <m:sty m:val="p"/>
          </m:rPr>
          <m:t>+</m:t>
        </m:r>
        <m:sSub>
          <m:e>
            <m:r>
              <m:t>Q</m:t>
            </m:r>
          </m:e>
          <m:sub>
            <m:r>
              <m:t>0</m:t>
            </m:r>
          </m:sub>
        </m:sSub>
        <m:r>
          <m:rPr>
            <m:sty m:val="p"/>
          </m:rPr>
          <m:t>,</m:t>
        </m:r>
        <m:r>
          <m:t>  </m:t>
        </m:r>
        <m:sSubSup>
          <m:e>
            <m:r>
              <m:t>H</m:t>
            </m:r>
          </m:e>
          <m:sub>
            <m:r>
              <m:t>t</m:t>
            </m:r>
          </m:sub>
          <m:sup>
            <m:r>
              <m:t>A</m:t>
            </m:r>
            <m:r>
              <m:t>C</m:t>
            </m:r>
          </m:sup>
        </m:sSubSup>
        <m:r>
          <m:rPr>
            <m:sty m:val="p"/>
          </m:rPr>
          <m:t>≤</m:t>
        </m:r>
        <m:sSup>
          <m:e>
            <m:r>
              <m:t>k</m:t>
            </m:r>
          </m:e>
          <m:sup>
            <m:r>
              <m:t>h</m:t>
            </m:r>
          </m:sup>
        </m:sSup>
        <m:sSubSup>
          <m:e>
            <m:r>
              <m:t>P</m:t>
            </m:r>
          </m:e>
          <m:sub>
            <m:r>
              <m:t>t</m:t>
            </m:r>
          </m:sub>
          <m:sup>
            <m:r>
              <m:t>G</m:t>
            </m:r>
            <m:r>
              <m:t>T</m:t>
            </m:r>
          </m:sup>
        </m:sSubSup>
        <m:r>
          <m:rPr>
            <m:sty m:val="p"/>
          </m:rPr>
          <m:t>,</m:t>
        </m:r>
      </m:oMath>
      <w:r>
        <w:tab/>
      </w:r>
      <w:r>
        <w:t xml:space="preserve">(7)</w:t>
      </w:r>
    </w:p>
    <w:p>
      <w:pPr>
        <w:pStyle w:val="Equation"/>
      </w:pPr>
      <w:r>
        <w:tab/>
      </w:r>
      <m:oMath>
        <m:sSubSup>
          <m:e>
            <m:r>
              <m:t>P</m:t>
            </m:r>
          </m:e>
          <m:sub>
            <m:r>
              <m:t>t</m:t>
            </m:r>
          </m:sub>
          <m:sup>
            <m:r>
              <m:t>g</m:t>
            </m:r>
            <m:r>
              <m:t>r</m:t>
            </m:r>
            <m:r>
              <m:t>i</m:t>
            </m:r>
            <m:r>
              <m:t>d</m:t>
            </m:r>
          </m:sup>
        </m:sSubSup>
        <m:r>
          <m:rPr>
            <m:sty m:val="p"/>
          </m:rPr>
          <m:t>+</m:t>
        </m:r>
        <m:sSubSup>
          <m:e>
            <m:r>
              <m:t>P</m:t>
            </m:r>
          </m:e>
          <m:sub>
            <m:r>
              <m:t>t</m:t>
            </m:r>
          </m:sub>
          <m:sup>
            <m:r>
              <m:t>P</m:t>
            </m:r>
            <m:r>
              <m:t>V</m:t>
            </m:r>
          </m:sup>
        </m:sSubSup>
        <m:r>
          <m:rPr>
            <m:sty m:val="p"/>
          </m:rPr>
          <m:t>+</m:t>
        </m:r>
        <m:sSubSup>
          <m:e>
            <m:r>
              <m:t>P</m:t>
            </m:r>
          </m:e>
          <m:sub>
            <m:r>
              <m:t>t</m:t>
            </m:r>
          </m:sub>
          <m:sup>
            <m:r>
              <m:t>G</m:t>
            </m:r>
            <m:r>
              <m:t>T</m:t>
            </m:r>
          </m:sup>
        </m:sSubSup>
        <m:r>
          <m:rPr>
            <m:sty m:val="p"/>
          </m:rPr>
          <m:t>+</m:t>
        </m:r>
        <m:sSubSup>
          <m:e>
            <m:r>
              <m:t>P</m:t>
            </m:r>
          </m:e>
          <m:sub>
            <m:r>
              <m:t>t</m:t>
            </m:r>
          </m:sub>
          <m:sup>
            <m:r>
              <m:t>d</m:t>
            </m:r>
            <m:r>
              <m:t>i</m:t>
            </m:r>
            <m:r>
              <m:t>s</m:t>
            </m:r>
          </m:sup>
        </m:sSubSup>
        <m:r>
          <m:rPr>
            <m:sty m:val="p"/>
          </m:rPr>
          <m:t>−</m:t>
        </m:r>
        <m:sSubSup>
          <m:e>
            <m:r>
              <m:t>P</m:t>
            </m:r>
          </m:e>
          <m:sub>
            <m:r>
              <m:t>t</m:t>
            </m:r>
          </m:sub>
          <m:sup>
            <m:r>
              <m:t>c</m:t>
            </m:r>
            <m:r>
              <m:t>h</m:t>
            </m:r>
          </m:sup>
        </m:sSubSup>
        <m:r>
          <m:rPr>
            <m:sty m:val="p"/>
          </m:rPr>
          <m:t>=</m:t>
        </m:r>
        <m:d>
          <m:dPr>
            <m:begChr m:val="("/>
            <m:sepChr m:val=""/>
            <m:endChr m:val=")"/>
            <m:grow/>
          </m:dPr>
          <m:e>
            <m:r>
              <m:t>1</m:t>
            </m:r>
            <m:r>
              <m:rPr>
                <m:sty m:val="p"/>
              </m:rPr>
              <m:t>+</m:t>
            </m:r>
            <m:r>
              <m:t>a</m:t>
            </m:r>
          </m:e>
        </m:d>
        <m:sSubSup>
          <m:e>
            <m:r>
              <m:t>P</m:t>
            </m:r>
          </m:e>
          <m:sub>
            <m:r>
              <m:t>t</m:t>
            </m:r>
          </m:sub>
          <m:sup>
            <m:r>
              <m:t>I</m:t>
            </m:r>
            <m:r>
              <m:t>T</m:t>
            </m:r>
          </m:sup>
        </m:sSubSup>
        <m:r>
          <m:rPr>
            <m:sty m:val="p"/>
          </m:rPr>
          <m:t>+</m:t>
        </m:r>
        <m:sSup>
          <m:e>
            <m:r>
              <m:t>P</m:t>
            </m:r>
          </m:e>
          <m:sup>
            <m:r>
              <m:t>a</m:t>
            </m:r>
            <m:r>
              <m:t>u</m:t>
            </m:r>
            <m:r>
              <m:t>x</m:t>
            </m:r>
          </m:sup>
        </m:sSup>
        <m:r>
          <m:rPr>
            <m:sty m:val="p"/>
          </m:rPr>
          <m:t>+</m:t>
        </m:r>
        <m:f>
          <m:fPr>
            <m:type m:val="bar"/>
          </m:fPr>
          <m:num>
            <m:sSubSup>
              <m:e>
                <m:r>
                  <m:t>Q</m:t>
                </m:r>
              </m:e>
              <m:sub>
                <m:r>
                  <m:t>t</m:t>
                </m:r>
              </m:sub>
              <m:sup>
                <m:r>
                  <m:t>E</m:t>
                </m:r>
                <m:r>
                  <m:t>C</m:t>
                </m:r>
              </m:sup>
            </m:sSubSup>
          </m:num>
          <m:den>
            <m:sSub>
              <m:e>
                <m:r>
                  <m:rPr>
                    <m:sty m:val="p"/>
                  </m:rPr>
                  <m:t>C</m:t>
                </m:r>
                <m:r>
                  <m:rPr>
                    <m:sty m:val="p"/>
                  </m:rPr>
                  <m:t>O</m:t>
                </m:r>
                <m:r>
                  <m:rPr>
                    <m:sty m:val="p"/>
                  </m:rPr>
                  <m:t>P</m:t>
                </m:r>
              </m:e>
              <m:sub>
                <m:r>
                  <m:t>t</m:t>
                </m:r>
              </m:sub>
            </m:sSub>
          </m:den>
        </m:f>
        <m:r>
          <m:rPr>
            <m:sty m:val="p"/>
          </m:rPr>
          <m:t>,</m:t>
        </m:r>
      </m:oMath>
      <w:r>
        <w:tab/>
      </w:r>
      <w:r>
        <w:t xml:space="preserve">(8)</w:t>
      </w:r>
    </w:p>
    <w:p>
      <w:pPr>
        <w:pStyle w:val="Equation"/>
      </w:pPr>
      <w:r>
        <w:tab/>
      </w:r>
      <m:oMath>
        <m:sSup>
          <m:e>
            <m:r>
              <m:t>P</m:t>
            </m:r>
          </m:e>
          <m:sup>
            <m:r>
              <m:t>m</m:t>
            </m:r>
            <m:r>
              <m:t>i</m:t>
            </m:r>
            <m:r>
              <m:t>n</m:t>
            </m:r>
          </m:sup>
        </m:sSup>
        <m:r>
          <m:rPr>
            <m:sty m:val="p"/>
          </m:rPr>
          <m:t>≤</m:t>
        </m:r>
        <m:sSubSup>
          <m:e>
            <m:r>
              <m:t>P</m:t>
            </m:r>
          </m:e>
          <m:sub>
            <m:r>
              <m:t>t</m:t>
            </m:r>
          </m:sub>
          <m:sup>
            <m:r>
              <m:t>g</m:t>
            </m:r>
            <m:r>
              <m:t>r</m:t>
            </m:r>
            <m:r>
              <m:t>i</m:t>
            </m:r>
            <m:r>
              <m:t>d</m:t>
            </m:r>
          </m:sup>
        </m:sSubSup>
        <m:r>
          <m:rPr>
            <m:sty m:val="p"/>
          </m:rPr>
          <m:t>≤</m:t>
        </m:r>
        <m:sSup>
          <m:e>
            <m:r>
              <m:t>P</m:t>
            </m:r>
          </m:e>
          <m:sup>
            <m:r>
              <m:t>c</m:t>
            </m:r>
            <m:r>
              <m:t>a</m:t>
            </m:r>
            <m:r>
              <m:t>p</m:t>
            </m:r>
          </m:sup>
        </m:sSup>
        <m:r>
          <m:rPr>
            <m:sty m:val="p"/>
          </m:rPr>
          <m:t>,</m:t>
        </m:r>
      </m:oMath>
      <w:r>
        <w:tab/>
      </w:r>
      <w:r>
        <w:t xml:space="preserve">(9)</w:t>
      </w:r>
    </w:p>
    <w:p>
      <w:pPr>
        <w:pStyle w:val="BodyText"/>
      </w:pPr>
      <w:r>
        <w:t xml:space="preserve">with gas-engine ramp limits and PV curtailment</w:t>
      </w:r>
      <w:r>
        <w:t xml:space="preserve"> </w:t>
      </w:r>
      <m:oMath>
        <m:r>
          <m:t>0</m:t>
        </m:r>
        <m:r>
          <m:rPr>
            <m:sty m:val="p"/>
          </m:rPr>
          <m:t>≤</m:t>
        </m:r>
        <m:sSubSup>
          <m:e>
            <m:r>
              <m:t>P</m:t>
            </m:r>
          </m:e>
          <m:sub>
            <m:r>
              <m:t>t</m:t>
            </m:r>
          </m:sub>
          <m:sup>
            <m:r>
              <m:t>P</m:t>
            </m:r>
            <m:r>
              <m:t>V</m:t>
            </m:r>
          </m:sup>
        </m:sSubSup>
        <m:r>
          <m:rPr>
            <m:sty m:val="p"/>
          </m:rPr>
          <m:t>≤</m:t>
        </m:r>
        <m:sSubSup>
          <m:e>
            <m:acc>
              <m:accPr>
                <m:chr m:val="‾"/>
              </m:accPr>
              <m:e>
                <m:r>
                  <m:t>P</m:t>
                </m:r>
              </m:e>
            </m:acc>
          </m:e>
          <m:sub>
            <m:r>
              <m:t>t</m:t>
            </m:r>
          </m:sub>
          <m:sup>
            <m:r>
              <m:t>P</m:t>
            </m:r>
            <m:r>
              <m:t>V</m:t>
            </m:r>
          </m:sup>
        </m:sSubSup>
      </m:oMath>
      <w:r>
        <w:t xml:space="preserve">.</w:t>
      </w:r>
    </w:p>
    <w:bookmarkEnd w:id="31"/>
    <w:bookmarkStart w:id="32" w:name="settlement-of-consecutive-events"/>
    <w:p>
      <w:pPr>
        <w:pStyle w:val="Heading2"/>
      </w:pPr>
      <w:r>
        <w:t xml:space="preserve">3.3 Settlement of consecutive events</w:t>
      </w:r>
    </w:p>
    <w:p>
      <w:pPr>
        <w:pStyle w:val="FirstParagraph"/>
      </w:pPr>
      <w:r>
        <w:t xml:space="preserve">The average reduction of event</w:t>
      </w:r>
      <w:r>
        <w:t xml:space="preserve"> </w:t>
      </w:r>
      <m:oMath>
        <m:r>
          <m:t>k</m:t>
        </m:r>
      </m:oMath>
      <w:r>
        <w:t xml:space="preserve"> </w:t>
      </w:r>
      <w:r>
        <w:t xml:space="preserve">is</w:t>
      </w:r>
      <w:r>
        <w:t xml:space="preserve"> </w:t>
      </w:r>
      <m:oMath>
        <m:sSub>
          <m:e>
            <m:acc>
              <m:accPr>
                <m:chr m:val="‾"/>
              </m:accPr>
              <m:e>
                <m:r>
                  <m:t>r</m:t>
                </m:r>
              </m:e>
            </m:acc>
          </m:e>
          <m:sub>
            <m:r>
              <m:t>k</m:t>
            </m:r>
          </m:sub>
        </m:sSub>
        <m:r>
          <m:rPr>
            <m:sty m:val="p"/>
          </m:rPr>
          <m:t>=</m:t>
        </m:r>
        <m:f>
          <m:fPr>
            <m:type m:val="bar"/>
          </m:fPr>
          <m:num>
            <m:r>
              <m:t>1</m:t>
            </m:r>
          </m:num>
          <m:den>
            <m:sSub>
              <m:e>
                <m:r>
                  <m:t>D</m:t>
                </m:r>
              </m:e>
              <m:sub>
                <m:r>
                  <m:t>k</m:t>
                </m:r>
              </m:sub>
            </m:sSub>
          </m:den>
        </m:f>
        <m:nary>
          <m:naryPr>
            <m:chr m:val="∑"/>
            <m:limLoc m:val="undOvr"/>
            <m:subHide m:val="off"/>
            <m:supHide m:val="on"/>
          </m:naryPr>
          <m:sub>
            <m:r>
              <m:t>t</m:t>
            </m:r>
            <m:r>
              <m:rPr>
                <m:sty m:val="p"/>
              </m:rPr>
              <m:t>∈</m:t>
            </m:r>
            <m:sSub>
              <m:e>
                <m:r>
                  <m:rPr>
                    <m:scr m:val="script"/>
                    <m:sty m:val="p"/>
                  </m:rPr>
                  <m:t>T</m:t>
                </m:r>
              </m:e>
              <m:sub>
                <m:r>
                  <m:t>k</m:t>
                </m:r>
              </m:sub>
            </m:sSub>
          </m:sub>
          <m:sup>
            <m:r>
              <m:t>​</m:t>
            </m:r>
          </m:sup>
          <m:e>
            <m:d>
              <m:dPr>
                <m:begChr m:val="("/>
                <m:sepChr m:val=""/>
                <m:endChr m:val=")"/>
                <m:grow/>
              </m:dPr>
              <m:e>
                <m:sSubSup>
                  <m:e>
                    <m:r>
                      <m:t>P</m:t>
                    </m:r>
                  </m:e>
                  <m:sub>
                    <m:r>
                      <m:t>t</m:t>
                    </m:r>
                  </m:sub>
                  <m:sup>
                    <m:r>
                      <m:t>b</m:t>
                    </m:r>
                    <m:r>
                      <m:t>a</m:t>
                    </m:r>
                    <m:r>
                      <m:t>s</m:t>
                    </m:r>
                    <m:r>
                      <m:t>e</m:t>
                    </m:r>
                  </m:sup>
                </m:sSubSup>
                <m:r>
                  <m:rPr>
                    <m:sty m:val="p"/>
                  </m:rPr>
                  <m:t>−</m:t>
                </m:r>
                <m:sSubSup>
                  <m:e>
                    <m:r>
                      <m:t>P</m:t>
                    </m:r>
                  </m:e>
                  <m:sub>
                    <m:r>
                      <m:t>t</m:t>
                    </m:r>
                  </m:sub>
                  <m:sup>
                    <m:r>
                      <m:t>g</m:t>
                    </m:r>
                    <m:r>
                      <m:t>r</m:t>
                    </m:r>
                    <m:r>
                      <m:t>i</m:t>
                    </m:r>
                    <m:r>
                      <m:t>d</m:t>
                    </m:r>
                  </m:sup>
                </m:sSubSup>
              </m:e>
            </m:d>
          </m:e>
        </m:nary>
        <m:r>
          <m:t>Δ</m:t>
        </m:r>
        <m:r>
          <m:t>t</m:t>
        </m:r>
      </m:oMath>
      <w:r>
        <w:t xml:space="preserve">. With the validity indicator</w:t>
      </w:r>
      <w:r>
        <w:t xml:space="preserve"> </w:t>
      </w:r>
      <m:oMath>
        <m:sSub>
          <m:e>
            <m:r>
              <m:t>z</m:t>
            </m:r>
          </m:e>
          <m:sub>
            <m:r>
              <m:t>k</m:t>
            </m:r>
          </m:sub>
        </m:sSub>
        <m:r>
          <m:rPr>
            <m:sty m:val="p"/>
          </m:rPr>
          <m:t>∈</m:t>
        </m:r>
        <m:r>
          <m:rPr>
            <m:sty m:val="p"/>
          </m:rPr>
          <m:t>{</m:t>
        </m:r>
        <m:r>
          <m:t>0</m:t>
        </m:r>
        <m:r>
          <m:rPr>
            <m:sty m:val="p"/>
          </m:rPr>
          <m:t>,</m:t>
        </m:r>
        <m:r>
          <m:t>1</m:t>
        </m:r>
        <m:r>
          <m:rPr>
            <m:sty m:val="p"/>
          </m:rPr>
          <m:t>}</m:t>
        </m:r>
      </m:oMath>
      <w:r>
        <w:t xml:space="preserve">, the paid reduction</w:t>
      </w:r>
      <w:r>
        <w:t xml:space="preserve"> </w:t>
      </w:r>
      <m:oMath>
        <m:sSub>
          <m:e>
            <m:r>
              <m:t>R</m:t>
            </m:r>
          </m:e>
          <m:sub>
            <m:r>
              <m:t>k</m:t>
            </m:r>
          </m:sub>
        </m:sSub>
      </m:oMath>
      <w:r>
        <w:t xml:space="preserve"> </w:t>
      </w:r>
      <w:r>
        <w:t xml:space="preserve">and the shortfall</w:t>
      </w:r>
      <w:r>
        <w:t xml:space="preserve"> </w:t>
      </w:r>
      <m:oMath>
        <m:sSub>
          <m:e>
            <m:r>
              <m:t>s</m:t>
            </m:r>
          </m:e>
          <m:sub>
            <m:r>
              <m:t>k</m:t>
            </m:r>
          </m:sub>
        </m:sSub>
      </m:oMath>
      <w:r>
        <w:t xml:space="preserve">,</w:t>
      </w:r>
    </w:p>
    <w:p>
      <w:pPr>
        <w:pStyle w:val="Equation"/>
      </w:pPr>
      <w:r>
        <w:tab/>
      </w:r>
      <m:oMath>
        <m:sSub>
          <m:e>
            <m:acc>
              <m:accPr>
                <m:chr m:val="‾"/>
              </m:accPr>
              <m:e>
                <m:r>
                  <m:t>r</m:t>
                </m:r>
              </m:e>
            </m:acc>
          </m:e>
          <m:sub>
            <m:r>
              <m:t>k</m:t>
            </m:r>
          </m:sub>
        </m:sSub>
        <m:r>
          <m:rPr>
            <m:sty m:val="p"/>
          </m:rPr>
          <m:t>≥</m:t>
        </m:r>
        <m:sSub>
          <m:e>
            <m:r>
              <m:t>z</m:t>
            </m:r>
          </m:e>
          <m:sub>
            <m:r>
              <m:t>k</m:t>
            </m:r>
          </m:sub>
        </m:sSub>
        <m:r>
          <m:t> </m:t>
        </m:r>
        <m:d>
          <m:dPr>
            <m:begChr m:val="("/>
            <m:sepChr m:val=""/>
            <m:endChr m:val=")"/>
            <m:grow/>
          </m:dPr>
          <m:e>
            <m:r>
              <m:t>0.8</m:t>
            </m:r>
            <m:sSub>
              <m:e>
                <m:r>
                  <m:t>C</m:t>
                </m:r>
              </m:e>
              <m:sub>
                <m:r>
                  <m:t>k</m:t>
                </m:r>
              </m:sub>
            </m:sSub>
            <m:r>
              <m:rPr>
                <m:sty m:val="p"/>
              </m:rPr>
              <m:t>+</m:t>
            </m:r>
            <m:r>
              <m:t>δ</m:t>
            </m:r>
          </m:e>
        </m:d>
        <m:r>
          <m:rPr>
            <m:sty m:val="p"/>
          </m:rPr>
          <m:t>−</m:t>
        </m:r>
        <m:r>
          <m:t>M</m:t>
        </m:r>
        <m:d>
          <m:dPr>
            <m:begChr m:val="("/>
            <m:sepChr m:val=""/>
            <m:endChr m:val=")"/>
            <m:grow/>
          </m:dPr>
          <m:e>
            <m:r>
              <m:t>1</m:t>
            </m:r>
            <m:r>
              <m:rPr>
                <m:sty m:val="p"/>
              </m:rPr>
              <m:t>−</m:t>
            </m:r>
            <m:sSub>
              <m:e>
                <m:r>
                  <m:t>z</m:t>
                </m:r>
              </m:e>
              <m:sub>
                <m:r>
                  <m:t>k</m:t>
                </m:r>
              </m:sub>
            </m:sSub>
          </m:e>
        </m:d>
        <m:r>
          <m:rPr>
            <m:sty m:val="p"/>
          </m:rPr>
          <m:t>,</m:t>
        </m:r>
        <m:r>
          <m:t>  </m:t>
        </m:r>
        <m:sSub>
          <m:e>
            <m:r>
              <m:t>R</m:t>
            </m:r>
          </m:e>
          <m:sub>
            <m:r>
              <m:t>k</m:t>
            </m:r>
          </m:sub>
        </m:sSub>
        <m:r>
          <m:rPr>
            <m:sty m:val="p"/>
          </m:rPr>
          <m:t>≤</m:t>
        </m:r>
        <m:r>
          <m:t>1.2</m:t>
        </m:r>
        <m:sSub>
          <m:e>
            <m:r>
              <m:t>C</m:t>
            </m:r>
          </m:e>
          <m:sub>
            <m:r>
              <m:t>k</m:t>
            </m:r>
          </m:sub>
        </m:sSub>
        <m:sSub>
          <m:e>
            <m:r>
              <m:t>z</m:t>
            </m:r>
          </m:e>
          <m:sub>
            <m:r>
              <m:t>k</m:t>
            </m:r>
          </m:sub>
        </m:sSub>
        <m:r>
          <m:rPr>
            <m:sty m:val="p"/>
          </m:rPr>
          <m:t>,</m:t>
        </m:r>
        <m:r>
          <m:t>  </m:t>
        </m:r>
        <m:sSub>
          <m:e>
            <m:r>
              <m:t>R</m:t>
            </m:r>
          </m:e>
          <m:sub>
            <m:r>
              <m:t>k</m:t>
            </m:r>
          </m:sub>
        </m:sSub>
        <m:r>
          <m:rPr>
            <m:sty m:val="p"/>
          </m:rPr>
          <m:t>≤</m:t>
        </m:r>
        <m:sSub>
          <m:e>
            <m:acc>
              <m:accPr>
                <m:chr m:val="‾"/>
              </m:accPr>
              <m:e>
                <m:r>
                  <m:t>r</m:t>
                </m:r>
              </m:e>
            </m:acc>
          </m:e>
          <m:sub>
            <m:r>
              <m:t>k</m:t>
            </m:r>
          </m:sub>
        </m:sSub>
        <m:r>
          <m:rPr>
            <m:sty m:val="p"/>
          </m:rPr>
          <m:t>+</m:t>
        </m:r>
        <m:r>
          <m:t>M</m:t>
        </m:r>
        <m:d>
          <m:dPr>
            <m:begChr m:val="("/>
            <m:sepChr m:val=""/>
            <m:endChr m:val=")"/>
            <m:grow/>
          </m:dPr>
          <m:e>
            <m:r>
              <m:t>1</m:t>
            </m:r>
            <m:r>
              <m:rPr>
                <m:sty m:val="p"/>
              </m:rPr>
              <m:t>−</m:t>
            </m:r>
            <m:sSub>
              <m:e>
                <m:r>
                  <m:t>z</m:t>
                </m:r>
              </m:e>
              <m:sub>
                <m:r>
                  <m:t>k</m:t>
                </m:r>
              </m:sub>
            </m:sSub>
          </m:e>
        </m:d>
        <m:r>
          <m:rPr>
            <m:sty m:val="p"/>
          </m:rPr>
          <m:t>,</m:t>
        </m:r>
        <m:r>
          <m:t>  </m:t>
        </m:r>
        <m:sSub>
          <m:e>
            <m:r>
              <m:t>s</m:t>
            </m:r>
          </m:e>
          <m:sub>
            <m:r>
              <m:t>k</m:t>
            </m:r>
          </m:sub>
        </m:sSub>
        <m:r>
          <m:rPr>
            <m:sty m:val="p"/>
          </m:rPr>
          <m:t>≥</m:t>
        </m:r>
        <m:sSub>
          <m:e>
            <m:r>
              <m:t>C</m:t>
            </m:r>
          </m:e>
          <m:sub>
            <m:r>
              <m:t>k</m:t>
            </m:r>
          </m:sub>
        </m:sSub>
        <m:r>
          <m:rPr>
            <m:sty m:val="p"/>
          </m:rPr>
          <m:t>−</m:t>
        </m:r>
        <m:sSub>
          <m:e>
            <m:acc>
              <m:accPr>
                <m:chr m:val="‾"/>
              </m:accPr>
              <m:e>
                <m:r>
                  <m:t>r</m:t>
                </m:r>
              </m:e>
            </m:acc>
          </m:e>
          <m:sub>
            <m:r>
              <m:t>k</m:t>
            </m:r>
          </m:sub>
        </m:sSub>
        <m:r>
          <m:rPr>
            <m:sty m:val="p"/>
          </m:rPr>
          <m:t>,</m:t>
        </m:r>
      </m:oMath>
      <w:r>
        <w:tab/>
      </w:r>
      <w:r>
        <w:t xml:space="preserve">(10)</w:t>
      </w:r>
    </w:p>
    <w:p>
      <w:pPr>
        <w:pStyle w:val="BodyText"/>
      </w:pPr>
      <w:r>
        <w:t xml:space="preserve">where</w:t>
      </w:r>
      <w:r>
        <w:t xml:space="preserve"> </w:t>
      </w:r>
      <m:oMath>
        <m:r>
          <m:t>δ</m:t>
        </m:r>
      </m:oMath>
      <w:r>
        <w:t xml:space="preserve"> </w:t>
      </w:r>
      <w:r>
        <w:t xml:space="preserve">is a planning margin above the 80 % threshold and the big-M terms deactivate the payment constraints of an invalid event. The rule that the load during an event may not exceed the baseline maximum is enforced as a soft constraint. A post-event rebound assessment is not part of the Jiangsu rules; it is treated as a policy parameter in the supplementary material.</w:t>
      </w:r>
    </w:p>
    <w:bookmarkEnd w:id="32"/>
    <w:bookmarkStart w:id="33" w:name="objective"/>
    <w:p>
      <w:pPr>
        <w:pStyle w:val="Heading2"/>
      </w:pPr>
      <w:r>
        <w:t xml:space="preserve">3.4 Objective</w:t>
      </w:r>
    </w:p>
    <w:p>
      <w:pPr>
        <w:pStyle w:val="FirstParagraph"/>
      </w:pPr>
      <w:r>
        <w:t xml:space="preserve">The operator minimises the comprehensive cost</w:t>
      </w:r>
    </w:p>
    <w:p>
      <w:pPr>
        <w:pStyle w:val="Equation"/>
      </w:pPr>
      <w:r>
        <w:tab/>
      </w:r>
      <m:oMath>
        <m:m>
          <m:mPr>
            <m:baseJc m:val="center"/>
            <m:plcHide m:val="on"/>
            <m:mcs>
              <m:mc>
                <m:mcPr>
                  <m:count m:val="1"/>
                  <m:mcJc m:val="right"/>
                </m:mcPr>
              </m:mc>
              <m:mc>
                <m:mcPr>
                  <m:count m:val="1"/>
                  <m:mcJc m:val="left"/>
                </m:mcPr>
              </m:mc>
            </m:mcs>
          </m:mPr>
          <m:mr>
            <m:e>
              <m:r>
                <m:t>J</m:t>
              </m:r>
              <m:r>
                <m:rPr>
                  <m:sty m:val="p"/>
                </m:rPr>
                <m:t>=</m:t>
              </m:r>
            </m:e>
            <m:e>
              <m:nary>
                <m:naryPr>
                  <m:chr m:val="∑"/>
                  <m:limLoc m:val="undOvr"/>
                  <m:subHide m:val="off"/>
                  <m:supHide m:val="on"/>
                </m:naryPr>
                <m:sub>
                  <m:r>
                    <m:t>t</m:t>
                  </m:r>
                </m:sub>
                <m:sup>
                  <m:r>
                    <m:t>​</m:t>
                  </m:r>
                </m:sup>
                <m:e>
                  <m:d>
                    <m:dPr>
                      <m:begChr m:val="["/>
                      <m:sepChr m:val=""/>
                      <m:endChr m:val="]"/>
                      <m:grow/>
                    </m:dPr>
                    <m:e>
                      <m:sSub>
                        <m:e>
                          <m:r>
                            <m:t>π</m:t>
                          </m:r>
                        </m:e>
                        <m:sub>
                          <m:r>
                            <m:t>t</m:t>
                          </m:r>
                        </m:sub>
                      </m:sSub>
                      <m:sSubSup>
                        <m:e>
                          <m:r>
                            <m:t>P</m:t>
                          </m:r>
                        </m:e>
                        <m:sub>
                          <m:r>
                            <m:t>t</m:t>
                          </m:r>
                        </m:sub>
                        <m:sup>
                          <m:r>
                            <m:t>g</m:t>
                          </m:r>
                          <m:r>
                            <m:t>r</m:t>
                          </m:r>
                          <m:r>
                            <m:t>i</m:t>
                          </m:r>
                          <m:r>
                            <m:t>d</m:t>
                          </m:r>
                        </m:sup>
                      </m:sSubSup>
                      <m:r>
                        <m:rPr>
                          <m:sty m:val="p"/>
                        </m:rPr>
                        <m:t>+</m:t>
                      </m:r>
                      <m:f>
                        <m:fPr>
                          <m:type m:val="bar"/>
                        </m:fPr>
                        <m:num>
                          <m:sSup>
                            <m:e>
                              <m:r>
                                <m:t>c</m:t>
                              </m:r>
                            </m:e>
                            <m:sup>
                              <m:r>
                                <m:t>g</m:t>
                              </m:r>
                              <m:r>
                                <m:t>a</m:t>
                              </m:r>
                              <m:r>
                                <m:t>s</m:t>
                              </m:r>
                            </m:sup>
                          </m:sSup>
                        </m:num>
                        <m:den>
                          <m:sSup>
                            <m:e>
                              <m:r>
                                <m:t>η</m:t>
                              </m:r>
                            </m:e>
                            <m:sup>
                              <m:r>
                                <m:t>G</m:t>
                              </m:r>
                              <m:r>
                                <m:t>T</m:t>
                              </m:r>
                            </m:sup>
                          </m:sSup>
                        </m:den>
                      </m:f>
                      <m:sSubSup>
                        <m:e>
                          <m:r>
                            <m:t>P</m:t>
                          </m:r>
                        </m:e>
                        <m:sub>
                          <m:r>
                            <m:t>t</m:t>
                          </m:r>
                        </m:sub>
                        <m:sup>
                          <m:r>
                            <m:t>G</m:t>
                          </m:r>
                          <m:r>
                            <m:t>T</m:t>
                          </m:r>
                        </m:sup>
                      </m:sSubSup>
                      <m:r>
                        <m:rPr>
                          <m:sty m:val="p"/>
                        </m:rPr>
                        <m:t>+</m:t>
                      </m:r>
                      <m:sSup>
                        <m:e>
                          <m:r>
                            <m:t>c</m:t>
                          </m:r>
                        </m:e>
                        <m:sup>
                          <m:r>
                            <m:t>d</m:t>
                          </m:r>
                          <m:r>
                            <m:t>e</m:t>
                          </m:r>
                          <m:r>
                            <m:t>g</m:t>
                          </m:r>
                        </m:sup>
                      </m:sSup>
                      <m:d>
                        <m:dPr>
                          <m:begChr m:val="("/>
                          <m:sepChr m:val=""/>
                          <m:endChr m:val=")"/>
                          <m:grow/>
                        </m:dPr>
                        <m:e>
                          <m:sSubSup>
                            <m:e>
                              <m:r>
                                <m:t>P</m:t>
                              </m:r>
                            </m:e>
                            <m:sub>
                              <m:r>
                                <m:t>t</m:t>
                              </m:r>
                            </m:sub>
                            <m:sup>
                              <m:r>
                                <m:t>c</m:t>
                              </m:r>
                              <m:r>
                                <m:t>h</m:t>
                              </m:r>
                            </m:sup>
                          </m:sSubSup>
                          <m:r>
                            <m:rPr>
                              <m:sty m:val="p"/>
                            </m:rPr>
                            <m:t>+</m:t>
                          </m:r>
                          <m:sSubSup>
                            <m:e>
                              <m:r>
                                <m:t>P</m:t>
                              </m:r>
                            </m:e>
                            <m:sub>
                              <m:r>
                                <m:t>t</m:t>
                              </m:r>
                            </m:sub>
                            <m:sup>
                              <m:r>
                                <m:t>d</m:t>
                              </m:r>
                              <m:r>
                                <m:t>i</m:t>
                              </m:r>
                              <m:r>
                                <m:t>s</m:t>
                              </m:r>
                            </m:sup>
                          </m:sSubSup>
                        </m:e>
                      </m:d>
                      <m:r>
                        <m:rPr>
                          <m:sty m:val="p"/>
                        </m:rPr>
                        <m:t>+</m:t>
                      </m:r>
                      <m:sSup>
                        <m:e>
                          <m:r>
                            <m:t>c</m:t>
                          </m:r>
                        </m:e>
                        <m:sup>
                          <m:r>
                            <m:t>j</m:t>
                          </m:r>
                          <m:r>
                            <m:t>c</m:t>
                          </m:r>
                          <m:r>
                            <m:t>t</m:t>
                          </m:r>
                        </m:sup>
                      </m:sSup>
                      <m:nary>
                        <m:naryPr>
                          <m:chr m:val="∑"/>
                          <m:limLoc m:val="undOvr"/>
                          <m:subHide m:val="off"/>
                          <m:supHide m:val="on"/>
                        </m:naryPr>
                        <m:sub>
                          <m:r>
                            <m:t>c</m:t>
                          </m:r>
                        </m:sub>
                        <m:sup>
                          <m:r>
                            <m:t>​</m:t>
                          </m:r>
                        </m:sup>
                        <m:e>
                          <m:sSub>
                            <m:e>
                              <m:r>
                                <m:t>B</m:t>
                              </m:r>
                            </m:e>
                            <m:sub>
                              <m:r>
                                <m:t>c</m:t>
                              </m:r>
                              <m:r>
                                <m:rPr>
                                  <m:sty m:val="p"/>
                                </m:rPr>
                                <m:t>,</m:t>
                              </m:r>
                              <m:r>
                                <m:t>t</m:t>
                              </m:r>
                            </m:sub>
                          </m:sSub>
                        </m:e>
                      </m:nary>
                      <m:r>
                        <m:rPr>
                          <m:sty m:val="p"/>
                        </m:rPr>
                        <m:t>+</m:t>
                      </m:r>
                      <m:sSup>
                        <m:e>
                          <m:r>
                            <m:t>c</m:t>
                          </m:r>
                        </m:e>
                        <m:sup>
                          <m:r>
                            <m:t>l</m:t>
                          </m:r>
                          <m:r>
                            <m:t>a</m:t>
                          </m:r>
                          <m:r>
                            <m:t>t</m:t>
                          </m:r>
                          <m:r>
                            <m:t>e</m:t>
                          </m:r>
                        </m:sup>
                      </m:sSup>
                      <m:nary>
                        <m:naryPr>
                          <m:chr m:val="∑"/>
                          <m:limLoc m:val="undOvr"/>
                          <m:subHide m:val="off"/>
                          <m:supHide m:val="on"/>
                        </m:naryPr>
                        <m:sub>
                          <m:r>
                            <m:t>c</m:t>
                          </m:r>
                        </m:sub>
                        <m:sup>
                          <m:r>
                            <m:t>​</m:t>
                          </m:r>
                        </m:sup>
                        <m:e>
                          <m:sSub>
                            <m:e>
                              <m:r>
                                <m:t>v</m:t>
                              </m:r>
                            </m:e>
                            <m:sub>
                              <m:r>
                                <m:t>c</m:t>
                              </m:r>
                              <m:r>
                                <m:rPr>
                                  <m:sty m:val="p"/>
                                </m:rPr>
                                <m:t>,</m:t>
                              </m:r>
                              <m:r>
                                <m:t>t</m:t>
                              </m:r>
                            </m:sub>
                          </m:sSub>
                        </m:e>
                      </m:nary>
                    </m:e>
                  </m:d>
                </m:e>
              </m:nary>
              <m:r>
                <m:t>Δ</m:t>
              </m:r>
              <m:r>
                <m:t>t</m:t>
              </m:r>
            </m:e>
          </m:mr>
          <m:mr>
            <m:e/>
            <m:e>
              <m:r>
                <m:rPr>
                  <m:sty m:val="p"/>
                </m:rPr>
                <m:t>−</m:t>
              </m:r>
              <m:nary>
                <m:naryPr>
                  <m:chr m:val="∑"/>
                  <m:limLoc m:val="undOvr"/>
                  <m:subHide m:val="off"/>
                  <m:supHide m:val="on"/>
                </m:naryPr>
                <m:sub>
                  <m:r>
                    <m:t>k</m:t>
                  </m:r>
                </m:sub>
                <m:sup>
                  <m:r>
                    <m:t>​</m:t>
                  </m:r>
                </m:sup>
                <m:e>
                  <m:sSub>
                    <m:e>
                      <m:r>
                        <m:t>π</m:t>
                      </m:r>
                    </m:e>
                    <m:sub>
                      <m:r>
                        <m:t>k</m:t>
                      </m:r>
                    </m:sub>
                  </m:sSub>
                </m:e>
              </m:nary>
              <m:sSub>
                <m:e>
                  <m:r>
                    <m:t>D</m:t>
                  </m:r>
                </m:e>
                <m:sub>
                  <m:r>
                    <m:t>k</m:t>
                  </m:r>
                </m:sub>
              </m:sSub>
              <m:sSub>
                <m:e>
                  <m:r>
                    <m:t>R</m:t>
                  </m:r>
                </m:e>
                <m:sub>
                  <m:r>
                    <m:t>k</m:t>
                  </m:r>
                </m:sub>
              </m:sSub>
              <m:r>
                <m:rPr>
                  <m:sty m:val="p"/>
                </m:rPr>
                <m:t>+</m:t>
              </m:r>
              <m:nary>
                <m:naryPr>
                  <m:chr m:val="∑"/>
                  <m:limLoc m:val="undOvr"/>
                  <m:subHide m:val="off"/>
                  <m:supHide m:val="on"/>
                </m:naryPr>
                <m:sub>
                  <m:r>
                    <m:t>k</m:t>
                  </m:r>
                </m:sub>
                <m:sup>
                  <m:r>
                    <m:t>​</m:t>
                  </m:r>
                </m:sup>
                <m:e>
                  <m:r>
                    <m:t>κ</m:t>
                  </m:r>
                </m:e>
              </m:nary>
              <m:sSub>
                <m:e>
                  <m:r>
                    <m:t>π</m:t>
                  </m:r>
                </m:e>
                <m:sub>
                  <m:r>
                    <m:t>k</m:t>
                  </m:r>
                </m:sub>
              </m:sSub>
              <m:sSub>
                <m:e>
                  <m:r>
                    <m:t>D</m:t>
                  </m:r>
                </m:e>
                <m:sub>
                  <m:r>
                    <m:t>k</m:t>
                  </m:r>
                </m:sub>
              </m:sSub>
              <m:sSub>
                <m:e>
                  <m:r>
                    <m:t>s</m:t>
                  </m:r>
                </m:e>
                <m:sub>
                  <m:r>
                    <m:t>k</m:t>
                  </m:r>
                </m:sub>
              </m:sSub>
              <m:r>
                <m:rPr>
                  <m:sty m:val="p"/>
                </m:rPr>
                <m:t>+</m:t>
              </m:r>
              <m:sSup>
                <m:e>
                  <m:r>
                    <m:t>J</m:t>
                  </m:r>
                </m:e>
                <m:sup>
                  <m:r>
                    <m:t>t</m:t>
                  </m:r>
                  <m:r>
                    <m:t>e</m:t>
                  </m:r>
                  <m:r>
                    <m:t>r</m:t>
                  </m:r>
                  <m:r>
                    <m:t>m</m:t>
                  </m:r>
                </m:sup>
              </m:sSup>
              <m:r>
                <m:rPr>
                  <m:sty m:val="p"/>
                </m:rPr>
                <m:t>,</m:t>
              </m:r>
            </m:e>
          </m:mr>
        </m:m>
      </m:oMath>
      <w:r>
        <w:tab/>
      </w:r>
      <w:r>
        <w:t xml:space="preserve">(11)</w:t>
      </w:r>
    </w:p>
    <w:p>
      <w:pPr>
        <w:pStyle w:val="BodyText"/>
      </w:pPr>
      <w:r>
        <w:t xml:space="preserve">i.e. electricity, gas, storage degradation, delay of deferred work, shortfall assessment minus DR revenue. The terminal term</w:t>
      </w:r>
      <w:r>
        <w:t xml:space="preserve"> </w:t>
      </w:r>
      <m:oMath>
        <m:sSup>
          <m:e>
            <m:r>
              <m:t>J</m:t>
            </m:r>
          </m:e>
          <m:sup>
            <m:r>
              <m:t>t</m:t>
            </m:r>
            <m:r>
              <m:t>e</m:t>
            </m:r>
            <m:r>
              <m:t>r</m:t>
            </m:r>
            <m:r>
              <m:t>m</m:t>
            </m:r>
          </m:sup>
        </m:sSup>
      </m:oMath>
      <w:r>
        <w:t xml:space="preserve"> </w:t>
      </w:r>
      <w:r>
        <w:t xml:space="preserve">values the backlog left at the end of the window at its energy cost and the storage deficit at its recharge cost, so that no strategy can move cost outside the evaluation window.</w:t>
      </w:r>
    </w:p>
    <w:bookmarkEnd w:id="33"/>
    <w:bookmarkStart w:id="34" w:name="firm-consecutive-dr-capacity"/>
    <w:p>
      <w:pPr>
        <w:pStyle w:val="Heading2"/>
      </w:pPr>
      <w:r>
        <w:t xml:space="preserve">3.5 Firm consecutive DR capacity</w:t>
      </w:r>
    </w:p>
    <w:p>
      <w:pPr>
        <w:pStyle w:val="FirstParagraph"/>
      </w:pPr>
      <w:r>
        <w:t xml:space="preserve">Let</w:t>
      </w:r>
      <w:r>
        <w:t xml:space="preserve"> </w:t>
      </w:r>
      <m:oMath>
        <m:r>
          <m:t>ω</m:t>
        </m:r>
        <m:r>
          <m:rPr>
            <m:sty m:val="p"/>
          </m:rPr>
          <m:t>∈</m:t>
        </m:r>
        <m:r>
          <m:t>Ω</m:t>
        </m:r>
      </m:oMath>
      <w:r>
        <w:t xml:space="preserve"> </w:t>
      </w:r>
      <w:r>
        <w:t xml:space="preserve">denote a realisation of computing arrivals, inference load, weather and event calls, and</w:t>
      </w:r>
      <w:r>
        <w:t xml:space="preserve"> </w:t>
      </w:r>
      <m:oMath>
        <m:sSub>
          <m:e>
            <m:acc>
              <m:accPr>
                <m:chr m:val="‾"/>
              </m:accPr>
              <m:e>
                <m:r>
                  <m:t>r</m:t>
                </m:r>
              </m:e>
            </m:acc>
          </m:e>
          <m:sub>
            <m:r>
              <m:t>k</m:t>
            </m:r>
            <m:r>
              <m:rPr>
                <m:sty m:val="p"/>
              </m:rPr>
              <m:t>,</m:t>
            </m:r>
            <m:r>
              <m:t>ω</m:t>
            </m:r>
          </m:sub>
        </m:sSub>
        <m:d>
          <m:dPr>
            <m:begChr m:val="("/>
            <m:sepChr m:val=""/>
            <m:endChr m:val=")"/>
            <m:grow/>
          </m:dPr>
          <m:e>
            <m:r>
              <m:t>C</m:t>
            </m:r>
          </m:e>
        </m:d>
      </m:oMath>
      <w:r>
        <w:t xml:space="preserve"> </w:t>
      </w:r>
      <w:r>
        <w:t xml:space="preserve">the reduction delivered in event</w:t>
      </w:r>
      <w:r>
        <w:t xml:space="preserve"> </w:t>
      </w:r>
      <m:oMath>
        <m:r>
          <m:t>k</m:t>
        </m:r>
      </m:oMath>
      <w:r>
        <w:t xml:space="preserve"> </w:t>
      </w:r>
      <w:r>
        <w:t xml:space="preserve">by a given operating strategy when the uniform commitment</w:t>
      </w:r>
      <w:r>
        <w:t xml:space="preserve"> </w:t>
      </w:r>
      <m:oMath>
        <m:r>
          <m:t>C</m:t>
        </m:r>
      </m:oMath>
      <w:r>
        <w:t xml:space="preserve"> </w:t>
      </w:r>
      <w:r>
        <w:t xml:space="preserve">is in force. The</w:t>
      </w:r>
      <w:r>
        <w:t xml:space="preserve"> </w:t>
      </w:r>
      <w:r>
        <w:rPr>
          <w:bCs/>
          <w:b/>
        </w:rPr>
        <w:t xml:space="preserve">firm consecutive DR capacity</w:t>
      </w:r>
      <w:r>
        <w:t xml:space="preserve"> </w:t>
      </w:r>
      <w:r>
        <w:t xml:space="preserve">at reliability</w:t>
      </w:r>
      <w:r>
        <w:t xml:space="preserve"> </w:t>
      </w:r>
      <m:oMath>
        <m:r>
          <m:t>ρ</m:t>
        </m:r>
      </m:oMath>
      <w:r>
        <w:t xml:space="preserve"> </w:t>
      </w:r>
      <w:r>
        <w:t xml:space="preserve">is</w:t>
      </w:r>
    </w:p>
    <w:p>
      <w:pPr>
        <w:pStyle w:val="Equation"/>
      </w:pPr>
      <w:r>
        <w:tab/>
      </w:r>
      <m:oMath>
        <m:sSubSup>
          <m:e>
            <m:r>
              <m:t>C</m:t>
            </m:r>
          </m:e>
          <m:sub>
            <m:r>
              <m:t>ρ</m:t>
            </m:r>
          </m:sub>
          <m:sup>
            <m:r>
              <m:t>f</m:t>
            </m:r>
            <m:r>
              <m:t>i</m:t>
            </m:r>
            <m:r>
              <m:t>r</m:t>
            </m:r>
            <m:r>
              <m:t>m</m:t>
            </m:r>
          </m:sup>
        </m:sSubSup>
        <m:r>
          <m:rPr>
            <m:sty m:val="p"/>
          </m:rPr>
          <m:t>=</m:t>
        </m:r>
        <m:r>
          <m:rPr>
            <m:sty m:val="p"/>
          </m:rPr>
          <m:t>max</m:t>
        </m:r>
        <m:d>
          <m:dPr>
            <m:begChr m:val="{"/>
            <m:sepChr m:val=""/>
            <m:endChr m:val="}"/>
            <m:grow/>
          </m:dPr>
          <m:e>
            <m:r>
              <m:t>C</m:t>
            </m:r>
            <m:r>
              <m:rPr>
                <m:sty m:val="p"/>
              </m:rPr>
              <m:t>:</m:t>
            </m:r>
            <m:r>
              <m:t> </m:t>
            </m:r>
            <m:sSub>
              <m:e>
                <m:r>
                  <m:rPr>
                    <m:sty m:val="p"/>
                  </m:rPr>
                  <m:t>Pr</m:t>
                </m:r>
              </m:e>
              <m:sub>
                <m:r>
                  <m:t>ω</m:t>
                </m:r>
              </m:sub>
            </m:sSub>
            <m:d>
              <m:dPr>
                <m:begChr m:val="["/>
                <m:sepChr m:val=""/>
                <m:endChr m:val="]"/>
                <m:grow/>
              </m:dPr>
              <m:e>
                <m:sSub>
                  <m:e>
                    <m:acc>
                      <m:accPr>
                        <m:chr m:val="‾"/>
                      </m:accPr>
                      <m:e>
                        <m:r>
                          <m:t>r</m:t>
                        </m:r>
                      </m:e>
                    </m:acc>
                  </m:e>
                  <m:sub>
                    <m:r>
                      <m:t>k</m:t>
                    </m:r>
                    <m:r>
                      <m:rPr>
                        <m:sty m:val="p"/>
                      </m:rPr>
                      <m:t>,</m:t>
                    </m:r>
                    <m:r>
                      <m:t>ω</m:t>
                    </m:r>
                  </m:sub>
                </m:sSub>
                <m:d>
                  <m:dPr>
                    <m:begChr m:val="("/>
                    <m:sepChr m:val=""/>
                    <m:endChr m:val=")"/>
                    <m:grow/>
                  </m:dPr>
                  <m:e>
                    <m:r>
                      <m:t>C</m:t>
                    </m:r>
                  </m:e>
                </m:d>
                <m:r>
                  <m:rPr>
                    <m:sty m:val="p"/>
                  </m:rPr>
                  <m:t>≥</m:t>
                </m:r>
                <m:d>
                  <m:dPr>
                    <m:begChr m:val="("/>
                    <m:sepChr m:val=""/>
                    <m:endChr m:val=")"/>
                    <m:grow/>
                  </m:dPr>
                  <m:e>
                    <m:r>
                      <m:t>1</m:t>
                    </m:r>
                    <m:r>
                      <m:rPr>
                        <m:sty m:val="p"/>
                      </m:rPr>
                      <m:t>−</m:t>
                    </m:r>
                    <m:sSub>
                      <m:e>
                        <m:r>
                          <m:t>ϵ</m:t>
                        </m:r>
                      </m:e>
                      <m:sub>
                        <m:r>
                          <m:t>f</m:t>
                        </m:r>
                      </m:sub>
                    </m:sSub>
                  </m:e>
                </m:d>
                <m:r>
                  <m:t>C</m:t>
                </m:r>
                <m:r>
                  <m:rPr>
                    <m:sty m:val="p"/>
                  </m:rPr>
                  <m:t>,</m:t>
                </m:r>
                <m:r>
                  <m:t> </m:t>
                </m:r>
                <m:r>
                  <m:rPr>
                    <m:sty m:val="p"/>
                  </m:rPr>
                  <m:t>∀</m:t>
                </m:r>
                <m:r>
                  <m:t>k</m:t>
                </m:r>
                <m:r>
                  <m:rPr>
                    <m:sty m:val="p"/>
                  </m:rPr>
                  <m:t>∈</m:t>
                </m:r>
                <m:r>
                  <m:rPr>
                    <m:scr m:val="script"/>
                    <m:sty m:val="p"/>
                  </m:rPr>
                  <m:t>K</m:t>
                </m:r>
              </m:e>
            </m:d>
            <m:r>
              <m:rPr>
                <m:sty m:val="p"/>
              </m:rPr>
              <m:t>≥</m:t>
            </m:r>
            <m:r>
              <m:t>ρ</m:t>
            </m:r>
          </m:e>
        </m:d>
        <m:r>
          <m:rPr>
            <m:sty m:val="p"/>
          </m:rPr>
          <m:t>,</m:t>
        </m:r>
      </m:oMath>
      <w:r>
        <w:tab/>
      </w:r>
      <w:r>
        <w:t xml:space="preserve">(12)</w:t>
      </w:r>
    </w:p>
    <w:p>
      <w:pPr>
        <w:pStyle w:val="BodyText"/>
      </w:pPr>
      <w:r>
        <w:t xml:space="preserve">with a metering tolerance</w:t>
      </w:r>
      <w:r>
        <w:t xml:space="preserve"> </w:t>
      </w:r>
      <m:oMath>
        <m:sSub>
          <m:e>
            <m:r>
              <m:t>ϵ</m:t>
            </m:r>
          </m:e>
          <m:sub>
            <m:r>
              <m:t>f</m:t>
            </m:r>
          </m:sub>
        </m:sSub>
      </m:oMath>
      <w:r>
        <w:t xml:space="preserve"> </w:t>
      </w:r>
      <w:r>
        <w:t xml:space="preserve">= 2 %. Its multi-event generalisation is the reliability region</w:t>
      </w:r>
      <w:r>
        <w:t xml:space="preserve"> </w:t>
      </w:r>
      <m:oMath>
        <m:sSub>
          <m:e>
            <m:r>
              <m:rPr>
                <m:scr m:val="script"/>
                <m:sty m:val="p"/>
              </m:rPr>
              <m:t>C</m:t>
            </m:r>
          </m:e>
          <m:sub>
            <m:r>
              <m:t>ρ</m:t>
            </m:r>
          </m:sub>
        </m:sSub>
        <m:r>
          <m:rPr>
            <m:sty m:val="p"/>
          </m:rPr>
          <m:t>=</m:t>
        </m:r>
        <m:r>
          <m:rPr>
            <m:sty m:val="p"/>
          </m:rPr>
          <m:t>{</m:t>
        </m:r>
        <m:d>
          <m:dPr>
            <m:begChr m:val="("/>
            <m:sepChr m:val=""/>
            <m:endChr m:val=")"/>
            <m:grow/>
          </m:dPr>
          <m:e>
            <m:sSub>
              <m:e>
                <m:r>
                  <m:t>C</m:t>
                </m:r>
              </m:e>
              <m:sub>
                <m:r>
                  <m:t>1</m:t>
                </m:r>
              </m:sub>
            </m:sSub>
            <m:r>
              <m:rPr>
                <m:sty m:val="p"/>
              </m:rPr>
              <m:t>,</m:t>
            </m:r>
            <m:r>
              <m:rPr>
                <m:sty m:val="p"/>
              </m:rPr>
              <m:t>…</m:t>
            </m:r>
            <m:r>
              <m:rPr>
                <m:sty m:val="p"/>
              </m:rPr>
              <m:t>,</m:t>
            </m:r>
            <m:sSub>
              <m:e>
                <m:r>
                  <m:t>C</m:t>
                </m:r>
              </m:e>
              <m:sub>
                <m:r>
                  <m:t>K</m:t>
                </m:r>
              </m:sub>
            </m:sSub>
          </m:e>
        </m:d>
        <m:r>
          <m:rPr>
            <m:sty m:val="p"/>
          </m:rPr>
          <m:t>:</m:t>
        </m:r>
        <m:r>
          <m:rPr>
            <m:sty m:val="p"/>
          </m:rPr>
          <m:t>Pr</m:t>
        </m:r>
        <m:d>
          <m:dPr>
            <m:begChr m:val="["/>
            <m:sepChr m:val=""/>
            <m:endChr m:val="]"/>
            <m:grow/>
          </m:dPr>
          <m:e>
            <m:sSub>
              <m:e>
                <m:acc>
                  <m:accPr>
                    <m:chr m:val="‾"/>
                  </m:accPr>
                  <m:e>
                    <m:r>
                      <m:t>r</m:t>
                    </m:r>
                  </m:e>
                </m:acc>
              </m:e>
              <m:sub>
                <m:r>
                  <m:t>k</m:t>
                </m:r>
                <m:r>
                  <m:rPr>
                    <m:sty m:val="p"/>
                  </m:rPr>
                  <m:t>,</m:t>
                </m:r>
                <m:r>
                  <m:t>ω</m:t>
                </m:r>
              </m:sub>
            </m:sSub>
            <m:r>
              <m:rPr>
                <m:sty m:val="p"/>
              </m:rPr>
              <m:t>≥</m:t>
            </m:r>
            <m:d>
              <m:dPr>
                <m:begChr m:val="("/>
                <m:sepChr m:val=""/>
                <m:endChr m:val=")"/>
                <m:grow/>
              </m:dPr>
              <m:e>
                <m:r>
                  <m:t>1</m:t>
                </m:r>
                <m:r>
                  <m:rPr>
                    <m:sty m:val="p"/>
                  </m:rPr>
                  <m:t>−</m:t>
                </m:r>
                <m:sSub>
                  <m:e>
                    <m:r>
                      <m:t>ϵ</m:t>
                    </m:r>
                  </m:e>
                  <m:sub>
                    <m:r>
                      <m:t>f</m:t>
                    </m:r>
                  </m:sub>
                </m:sSub>
              </m:e>
            </m:d>
            <m:sSub>
              <m:e>
                <m:r>
                  <m:t>C</m:t>
                </m:r>
              </m:e>
              <m:sub>
                <m:r>
                  <m:t>k</m:t>
                </m:r>
              </m:sub>
            </m:sSub>
            <m:r>
              <m:t> </m:t>
            </m:r>
            <m:r>
              <m:rPr>
                <m:sty m:val="p"/>
              </m:rPr>
              <m:t>∀</m:t>
            </m:r>
            <m:r>
              <m:t>k</m:t>
            </m:r>
          </m:e>
        </m:d>
        <m:r>
          <m:rPr>
            <m:sty m:val="p"/>
          </m:rPr>
          <m:t>≥</m:t>
        </m:r>
        <m:r>
          <m:t>ρ</m:t>
        </m:r>
        <m:r>
          <m:rPr>
            <m:sty m:val="p"/>
          </m:rPr>
          <m:t>}</m:t>
        </m:r>
      </m:oMath>
      <w:r>
        <w:t xml:space="preserve">, which shows how a higher commitment in one event compresses the deliverable space of the next.</w:t>
      </w:r>
      <w:r>
        <w:t xml:space="preserve"> </w:t>
      </w:r>
      <m:oMath>
        <m:sSubSup>
          <m:e>
            <m:r>
              <m:t>C</m:t>
            </m:r>
          </m:e>
          <m:sub>
            <m:r>
              <m:t>ρ</m:t>
            </m:r>
          </m:sub>
          <m:sup>
            <m:r>
              <m:t>f</m:t>
            </m:r>
            <m:r>
              <m:t>i</m:t>
            </m:r>
            <m:r>
              <m:t>r</m:t>
            </m:r>
            <m:r>
              <m:t>m</m:t>
            </m:r>
          </m:sup>
        </m:sSubSup>
      </m:oMath>
      <w:r>
        <w:t xml:space="preserve"> </w:t>
      </w:r>
      <w:r>
        <w:t xml:space="preserve">is a deliverability metric for the grid and is reported separately from the settlement validity (</w:t>
      </w:r>
      <m:oMath>
        <m:sSub>
          <m:e>
            <m:acc>
              <m:accPr>
                <m:chr m:val="‾"/>
              </m:accPr>
              <m:e>
                <m:r>
                  <m:t>r</m:t>
                </m:r>
              </m:e>
            </m:acc>
          </m:e>
          <m:sub>
            <m:r>
              <m:t>k</m:t>
            </m:r>
          </m:sub>
        </m:sSub>
        <m:r>
          <m:rPr>
            <m:sty m:val="p"/>
          </m:rPr>
          <m:t>≥</m:t>
        </m:r>
        <m:r>
          <m:t>0.8</m:t>
        </m:r>
        <m:sSub>
          <m:e>
            <m:r>
              <m:t>C</m:t>
            </m:r>
          </m:e>
          <m:sub>
            <m:r>
              <m:t>k</m:t>
            </m:r>
          </m:sub>
        </m:sSub>
      </m:oMath>
      <w:r>
        <w:t xml:space="preserve">).</w:t>
      </w:r>
    </w:p>
    <w:p>
      <w:pPr>
        <w:pStyle w:val="BodyText"/>
      </w:pPr>
      <w:r>
        <w:t xml:space="preserve">Because a larger commitment can only tighten the delivery requirement, the delivery indicator is monotone in</w:t>
      </w:r>
      <w:r>
        <w:t xml:space="preserve"> </w:t>
      </w:r>
      <m:oMath>
        <m:r>
          <m:t>C</m:t>
        </m:r>
      </m:oMath>
      <w:r>
        <w:t xml:space="preserve"> </w:t>
      </w:r>
      <w:r>
        <w:t xml:space="preserve">for a fixed realisation, and (12) is evaluated by sample average approximation: for every</w:t>
      </w:r>
      <w:r>
        <w:t xml:space="preserve"> </w:t>
      </w:r>
      <m:oMath>
        <m:r>
          <m:t>C</m:t>
        </m:r>
      </m:oMath>
      <w:r>
        <w:t xml:space="preserve"> </w:t>
      </w:r>
      <w:r>
        <w:t xml:space="preserve">on a grid</w:t>
      </w:r>
      <w:r>
        <w:t xml:space="preserve"> </w:t>
      </w:r>
      <m:oMath>
        <m:r>
          <m:rPr>
            <m:scr m:val="script"/>
            <m:sty m:val="p"/>
          </m:rPr>
          <m:t>G</m:t>
        </m:r>
      </m:oMath>
      <w:r>
        <w:t xml:space="preserve">, the strategy is simulated in closed loop on the realisations</w:t>
      </w:r>
      <w:r>
        <w:t xml:space="preserve"> </w:t>
      </w:r>
      <m:oMath>
        <m:r>
          <m:t>ω</m:t>
        </m:r>
        <m:r>
          <m:rPr>
            <m:sty m:val="p"/>
          </m:rPr>
          <m:t>∈</m:t>
        </m:r>
        <m:r>
          <m:t>Ω</m:t>
        </m:r>
      </m:oMath>
      <w:r>
        <w:t xml:space="preserve">, and</w:t>
      </w:r>
    </w:p>
    <w:p>
      <w:pPr>
        <w:pStyle w:val="Equation"/>
      </w:pPr>
      <w:r>
        <w:tab/>
      </w:r>
      <m:oMath>
        <m:sSubSup>
          <m:e>
            <m:acc>
              <m:accPr>
                <m:chr m:val="̂"/>
              </m:accPr>
              <m:e>
                <m:r>
                  <m:t>C</m:t>
                </m:r>
              </m:e>
            </m:acc>
          </m:e>
          <m:sub>
            <m:r>
              <m:t>ρ</m:t>
            </m:r>
          </m:sub>
          <m:sup>
            <m:r>
              <m:t>f</m:t>
            </m:r>
            <m:r>
              <m:t>i</m:t>
            </m:r>
            <m:r>
              <m:t>r</m:t>
            </m:r>
            <m:r>
              <m:t>m</m:t>
            </m:r>
          </m:sup>
        </m:sSubSup>
        <m:r>
          <m:rPr>
            <m:sty m:val="p"/>
          </m:rPr>
          <m:t>=</m:t>
        </m:r>
        <m:r>
          <m:rPr>
            <m:sty m:val="p"/>
          </m:rPr>
          <m:t>max</m:t>
        </m:r>
        <m:d>
          <m:dPr>
            <m:begChr m:val="{"/>
            <m:sepChr m:val=""/>
            <m:endChr m:val="}"/>
            <m:grow/>
          </m:dPr>
          <m:e>
            <m:r>
              <m:t>C</m:t>
            </m:r>
            <m:r>
              <m:rPr>
                <m:sty m:val="p"/>
              </m:rPr>
              <m:t>∈</m:t>
            </m:r>
            <m:r>
              <m:rPr>
                <m:scr m:val="script"/>
                <m:sty m:val="p"/>
              </m:rPr>
              <m:t>G</m:t>
            </m:r>
            <m:r>
              <m:rPr>
                <m:sty m:val="p"/>
              </m:rPr>
              <m:t>:</m:t>
            </m:r>
            <m:r>
              <m:t> </m:t>
            </m:r>
            <m:f>
              <m:fPr>
                <m:type m:val="bar"/>
              </m:fPr>
              <m:num>
                <m:r>
                  <m:t>1</m:t>
                </m:r>
              </m:num>
              <m:den>
                <m:d>
                  <m:dPr>
                    <m:begChr m:val="|"/>
                    <m:sepChr m:val=""/>
                    <m:endChr m:val="|"/>
                    <m:grow/>
                  </m:dPr>
                  <m:e>
                    <m:r>
                      <m:t>Ω</m:t>
                    </m:r>
                  </m:e>
                </m:d>
              </m:den>
            </m:f>
            <m:nary>
              <m:naryPr>
                <m:chr m:val="∑"/>
                <m:limLoc m:val="undOvr"/>
                <m:subHide m:val="off"/>
                <m:supHide m:val="on"/>
              </m:naryPr>
              <m:sub>
                <m:r>
                  <m:t>ω</m:t>
                </m:r>
              </m:sub>
              <m:sup>
                <m:r>
                  <m:t>​</m:t>
                </m:r>
              </m:sup>
              <m:e>
                <m:r>
                  <m:rPr>
                    <m:scr m:val="double-struck"/>
                    <m:sty m:val="p"/>
                  </m:rPr>
                  <m:t>1</m:t>
                </m:r>
              </m:e>
            </m:nary>
            <m:d>
              <m:dPr>
                <m:begChr m:val="["/>
                <m:sepChr m:val=""/>
                <m:endChr m:val="]"/>
                <m:grow/>
              </m:dPr>
              <m:e>
                <m:sSub>
                  <m:e>
                    <m:acc>
                      <m:accPr>
                        <m:chr m:val="‾"/>
                      </m:accPr>
                      <m:e>
                        <m:r>
                          <m:t>r</m:t>
                        </m:r>
                      </m:e>
                    </m:acc>
                  </m:e>
                  <m:sub>
                    <m:r>
                      <m:t>k</m:t>
                    </m:r>
                    <m:r>
                      <m:rPr>
                        <m:sty m:val="p"/>
                      </m:rPr>
                      <m:t>,</m:t>
                    </m:r>
                    <m:r>
                      <m:t>ω</m:t>
                    </m:r>
                  </m:sub>
                </m:sSub>
                <m:d>
                  <m:dPr>
                    <m:begChr m:val="("/>
                    <m:sepChr m:val=""/>
                    <m:endChr m:val=")"/>
                    <m:grow/>
                  </m:dPr>
                  <m:e>
                    <m:r>
                      <m:t>C</m:t>
                    </m:r>
                    <m:r>
                      <m:rPr>
                        <m:sty m:val="p"/>
                      </m:rPr>
                      <m:t>′</m:t>
                    </m:r>
                  </m:e>
                </m:d>
                <m:r>
                  <m:rPr>
                    <m:sty m:val="p"/>
                  </m:rPr>
                  <m:t>≥</m:t>
                </m:r>
                <m:d>
                  <m:dPr>
                    <m:begChr m:val="("/>
                    <m:sepChr m:val=""/>
                    <m:endChr m:val=")"/>
                    <m:grow/>
                  </m:dPr>
                  <m:e>
                    <m:r>
                      <m:t>1</m:t>
                    </m:r>
                    <m:r>
                      <m:rPr>
                        <m:sty m:val="p"/>
                      </m:rPr>
                      <m:t>−</m:t>
                    </m:r>
                    <m:sSub>
                      <m:e>
                        <m:r>
                          <m:t>ϵ</m:t>
                        </m:r>
                      </m:e>
                      <m:sub>
                        <m:r>
                          <m:t>f</m:t>
                        </m:r>
                      </m:sub>
                    </m:sSub>
                  </m:e>
                </m:d>
                <m:r>
                  <m:t>C</m:t>
                </m:r>
                <m:r>
                  <m:rPr>
                    <m:sty m:val="p"/>
                  </m:rPr>
                  <m:t>′</m:t>
                </m:r>
                <m:r>
                  <m:t> </m:t>
                </m:r>
                <m:r>
                  <m:rPr>
                    <m:sty m:val="p"/>
                  </m:rPr>
                  <m:t>∀</m:t>
                </m:r>
                <m:r>
                  <m:t>k</m:t>
                </m:r>
              </m:e>
            </m:d>
            <m:r>
              <m:rPr>
                <m:sty m:val="p"/>
              </m:rPr>
              <m:t>≥</m:t>
            </m:r>
            <m:r>
              <m:t>ρ</m:t>
            </m:r>
            <m:r>
              <m:t> </m:t>
            </m:r>
            <m:r>
              <m:t> </m:t>
            </m:r>
            <m:r>
              <m:rPr>
                <m:sty m:val="p"/>
              </m:rPr>
              <m:t>∀</m:t>
            </m:r>
            <m:r>
              <m:t>C</m:t>
            </m:r>
            <m:r>
              <m:rPr>
                <m:sty m:val="p"/>
              </m:rPr>
              <m:t>′</m:t>
            </m:r>
            <m:r>
              <m:rPr>
                <m:sty m:val="p"/>
              </m:rPr>
              <m:t>≤</m:t>
            </m:r>
            <m:r>
              <m:t>C</m:t>
            </m:r>
            <m:r>
              <m:rPr>
                <m:sty m:val="p"/>
              </m:rPr>
              <m:t>,</m:t>
            </m:r>
            <m:r>
              <m:t> </m:t>
            </m:r>
            <m:r>
              <m:t>C</m:t>
            </m:r>
            <m:r>
              <m:rPr>
                <m:sty m:val="p"/>
              </m:rPr>
              <m:t>′</m:t>
            </m:r>
            <m:r>
              <m:rPr>
                <m:sty m:val="p"/>
              </m:rPr>
              <m:t>∈</m:t>
            </m:r>
            <m:r>
              <m:rPr>
                <m:scr m:val="script"/>
                <m:sty m:val="p"/>
              </m:rPr>
              <m:t>G</m:t>
            </m:r>
          </m:e>
        </m:d>
        <m:r>
          <m:rPr>
            <m:sty m:val="p"/>
          </m:rPr>
          <m:t>.</m:t>
        </m:r>
      </m:oMath>
      <w:r>
        <w:tab/>
      </w:r>
      <w:r>
        <w:t xml:space="preserve">(13)</w:t>
      </w:r>
    </w:p>
    <w:p>
      <w:pPr>
        <w:pStyle w:val="BodyText"/>
      </w:pPr>
      <w:r>
        <w:t xml:space="preserve">Confidence intervals of</w:t>
      </w:r>
      <w:r>
        <w:t xml:space="preserve"> </w:t>
      </w:r>
      <m:oMath>
        <m:sSubSup>
          <m:e>
            <m:acc>
              <m:accPr>
                <m:chr m:val="̂"/>
              </m:accPr>
              <m:e>
                <m:r>
                  <m:t>C</m:t>
                </m:r>
              </m:e>
            </m:acc>
          </m:e>
          <m:sub>
            <m:r>
              <m:t>ρ</m:t>
            </m:r>
          </m:sub>
          <m:sup>
            <m:r>
              <m:t>f</m:t>
            </m:r>
            <m:r>
              <m:t>i</m:t>
            </m:r>
            <m:r>
              <m:t>r</m:t>
            </m:r>
            <m:r>
              <m:t>m</m:t>
            </m:r>
          </m:sup>
        </m:sSubSup>
      </m:oMath>
      <w:r>
        <w:t xml:space="preserve"> </w:t>
      </w:r>
      <w:r>
        <w:t xml:space="preserve">and of the capacity gain</w:t>
      </w:r>
      <w:r>
        <w:t xml:space="preserve"> </w:t>
      </w:r>
      <m:oMath>
        <m:r>
          <m:t>Δ</m:t>
        </m:r>
        <m:sSub>
          <m:e>
            <m:r>
              <m:t>C</m:t>
            </m:r>
          </m:e>
          <m:sub>
            <m:r>
              <m:t>ρ</m:t>
            </m:r>
          </m:sub>
        </m:sSub>
      </m:oMath>
      <w:r>
        <w:t xml:space="preserve"> </w:t>
      </w:r>
      <w:r>
        <w:t xml:space="preserve">between two strategies are obtained by a block bootstrap over operating days.</w:t>
      </w:r>
    </w:p>
    <w:bookmarkEnd w:id="34"/>
    <w:bookmarkStart w:id="35" w:name="theoretical-properties"/>
    <w:p>
      <w:pPr>
        <w:pStyle w:val="Heading2"/>
      </w:pPr>
      <w:r>
        <w:t xml:space="preserve">3.6 Theoretical properties</w:t>
      </w:r>
    </w:p>
    <w:p>
      <w:pPr>
        <w:pStyle w:val="FirstParagraph"/>
      </w:pPr>
      <w:r>
        <w:rPr>
          <w:bCs/>
          <w:b/>
        </w:rPr>
        <w:t xml:space="preserve">Proposition 1 (capability bound of the next event).</w:t>
      </w:r>
      <w:r>
        <w:t xml:space="preserve"> </w:t>
      </w:r>
      <w:r>
        <w:t xml:space="preserve">Let event A leave the computing debt</w:t>
      </w:r>
      <w:r>
        <w:t xml:space="preserve"> </w:t>
      </w:r>
      <m:oMath>
        <m:sSub>
          <m:e>
            <m:r>
              <m:t>X</m:t>
            </m:r>
          </m:e>
          <m:sub>
            <m:r>
              <m:t>A</m:t>
            </m:r>
          </m:sub>
        </m:sSub>
      </m:oMath>
      <w:r>
        <w:t xml:space="preserve"> </w:t>
      </w:r>
      <w:r>
        <w:t xml:space="preserve">and the storage state</w:t>
      </w:r>
      <w:r>
        <w:t xml:space="preserve"> </w:t>
      </w:r>
      <m:oMath>
        <m:sSub>
          <m:e>
            <m:r>
              <m:t>E</m:t>
            </m:r>
          </m:e>
          <m:sub>
            <m:r>
              <m:t>s</m:t>
            </m:r>
          </m:sub>
        </m:sSub>
      </m:oMath>
      <w:r>
        <w:t xml:space="preserve">, and let</w:t>
      </w:r>
      <w:r>
        <w:t xml:space="preserve"> </w:t>
      </w:r>
      <m:oMath>
        <m:r>
          <m:t>H</m:t>
        </m:r>
      </m:oMath>
      <w:r>
        <w:t xml:space="preserve"> </w:t>
      </w:r>
      <w:r>
        <w:t xml:space="preserve">be the recovery channel before event B of duration</w:t>
      </w:r>
      <w:r>
        <w:t xml:space="preserve"> </w:t>
      </w:r>
      <m:oMath>
        <m:sSub>
          <m:e>
            <m:r>
              <m:t>D</m:t>
            </m:r>
          </m:e>
          <m:sub>
            <m:r>
              <m:t>B</m:t>
            </m:r>
          </m:sub>
        </m:sSub>
      </m:oMath>
      <w:r>
        <w:t xml:space="preserve">. The reduction deliverable in B satisfies</w:t>
      </w:r>
      <w:r>
        <w:t xml:space="preserve"> </w:t>
      </w:r>
      <m:oMath>
        <m:sSub>
          <m:e>
            <m:r>
              <m:t>Γ</m:t>
            </m:r>
          </m:e>
          <m:sub>
            <m:r>
              <m:t>B</m:t>
            </m:r>
          </m:sub>
        </m:sSub>
        <m:r>
          <m:rPr>
            <m:sty m:val="p"/>
          </m:rPr>
          <m:t>≤</m:t>
        </m:r>
        <m:r>
          <m:rPr>
            <m:sty m:val="p"/>
          </m:rPr>
          <m:t>min</m:t>
        </m:r>
        <m:r>
          <m:rPr>
            <m:sty m:val="p"/>
          </m:rPr>
          <m:t>{</m:t>
        </m:r>
        <m:sSubSup>
          <m:e>
            <m:r>
              <m:t>Γ</m:t>
            </m:r>
          </m:e>
          <m:sub>
            <m:r>
              <m:t>B</m:t>
            </m:r>
          </m:sub>
          <m:sup>
            <m:r>
              <m:t>0</m:t>
            </m:r>
          </m:sup>
        </m:sSubSup>
        <m:r>
          <m:rPr>
            <m:sty m:val="p"/>
          </m:rPr>
          <m:t>,</m:t>
        </m:r>
        <m:sSup>
          <m:e>
            <m:r>
              <m:t>Γ</m:t>
            </m:r>
          </m:e>
          <m:sup>
            <m:r>
              <m:t>E</m:t>
            </m:r>
          </m:sup>
        </m:sSup>
        <m:r>
          <m:rPr>
            <m:sty m:val="p"/>
          </m:rPr>
          <m:t>,</m:t>
        </m:r>
        <m:sSup>
          <m:e>
            <m:r>
              <m:t>Γ</m:t>
            </m:r>
          </m:e>
          <m:sup>
            <m:r>
              <m:t>P</m:t>
            </m:r>
          </m:sup>
        </m:sSup>
        <m:r>
          <m:rPr>
            <m:sty m:val="p"/>
          </m:rPr>
          <m:t>}</m:t>
        </m:r>
      </m:oMath>
      <w:r>
        <w:t xml:space="preserve">, where</w:t>
      </w:r>
      <w:r>
        <w:t xml:space="preserve"> </w:t>
      </w:r>
      <m:oMath>
        <m:sSubSup>
          <m:e>
            <m:r>
              <m:t>Γ</m:t>
            </m:r>
          </m:e>
          <m:sub>
            <m:r>
              <m:t>B</m:t>
            </m:r>
          </m:sub>
          <m:sup>
            <m:r>
              <m:t>0</m:t>
            </m:r>
          </m:sup>
        </m:sSubSup>
      </m:oMath>
      <w:r>
        <w:t xml:space="preserve"> </w:t>
      </w:r>
      <w:r>
        <w:t xml:space="preserve">is the single-event capability, the energy bound is</w:t>
      </w:r>
      <w:r>
        <w:t xml:space="preserve"> </w:t>
      </w:r>
      <m:oMath>
        <m:sSup>
          <m:e>
            <m:r>
              <m:t>Γ</m:t>
            </m:r>
          </m:e>
          <m:sup>
            <m:r>
              <m:t>E</m:t>
            </m:r>
          </m:sup>
        </m:sSup>
        <m:r>
          <m:rPr>
            <m:sty m:val="p"/>
          </m:rPr>
          <m:t>=</m:t>
        </m:r>
        <m:d>
          <m:dPr>
            <m:begChr m:val="("/>
            <m:sepChr m:val=""/>
            <m:endChr m:val=")"/>
            <m:grow/>
          </m:dPr>
          <m:e>
            <m:sSub>
              <m:e>
                <m:acc>
                  <m:accPr>
                    <m:chr m:val="‾"/>
                  </m:accPr>
                  <m:e>
                    <m:r>
                      <m:t>X</m:t>
                    </m:r>
                  </m:e>
                </m:acc>
              </m:e>
              <m:sub>
                <m:r>
                  <m:t>B</m:t>
                </m:r>
              </m:sub>
            </m:sSub>
            <m:r>
              <m:rPr>
                <m:sty m:val="p"/>
              </m:rPr>
              <m:t>−</m:t>
            </m:r>
            <m:sSub>
              <m:e>
                <m:r>
                  <m:t>X</m:t>
                </m:r>
              </m:e>
              <m:sub>
                <m:r>
                  <m:t>A</m:t>
                </m:r>
              </m:sub>
            </m:sSub>
            <m:r>
              <m:rPr>
                <m:sty m:val="p"/>
              </m:rPr>
              <m:t>+</m:t>
            </m:r>
            <m:sSub>
              <m:e>
                <m:r>
                  <m:t>E</m:t>
                </m:r>
              </m:e>
              <m:sub>
                <m:r>
                  <m:t>s</m:t>
                </m:r>
              </m:sub>
            </m:sSub>
            <m:r>
              <m:rPr>
                <m:sty m:val="p"/>
              </m:rPr>
              <m:t>+</m:t>
            </m:r>
            <m:sSup>
              <m:e>
                <m:r>
                  <m:t>H</m:t>
                </m:r>
              </m:e>
              <m:sup>
                <m:r>
                  <m:t>e</m:t>
                </m:r>
                <m:r>
                  <m:t>f</m:t>
                </m:r>
                <m:r>
                  <m:t>f</m:t>
                </m:r>
              </m:sup>
            </m:sSup>
          </m:e>
        </m:d>
        <m:r>
          <m:rPr>
            <m:sty m:val="p"/>
          </m:rPr>
          <m:t>/</m:t>
        </m:r>
        <m:sSub>
          <m:e>
            <m:r>
              <m:t>D</m:t>
            </m:r>
          </m:e>
          <m:sub>
            <m:r>
              <m:t>B</m:t>
            </m:r>
          </m:sub>
        </m:sSub>
        <m:r>
          <m:rPr>
            <m:sty m:val="p"/>
          </m:rPr>
          <m:t>+</m:t>
        </m:r>
        <m:r>
          <m:t>g</m:t>
        </m:r>
      </m:oMath>
      <w:r>
        <w:t xml:space="preserve"> </w:t>
      </w:r>
      <w:r>
        <w:t xml:space="preserve">with</w:t>
      </w:r>
      <w:r>
        <w:t xml:space="preserve"> </w:t>
      </w:r>
      <m:oMath>
        <m:sSup>
          <m:e>
            <m:r>
              <m:t>H</m:t>
            </m:r>
          </m:e>
          <m:sup>
            <m:r>
              <m:t>e</m:t>
            </m:r>
            <m:r>
              <m:t>f</m:t>
            </m:r>
            <m:r>
              <m:t>f</m:t>
            </m:r>
          </m:sup>
        </m:sSup>
        <m:r>
          <m:rPr>
            <m:sty m:val="p"/>
          </m:rPr>
          <m:t>=</m:t>
        </m:r>
        <m:r>
          <m:t>H</m:t>
        </m:r>
      </m:oMath>
      <w:r>
        <w:t xml:space="preserve"> </w:t>
      </w:r>
      <w:r>
        <w:t xml:space="preserve">if</w:t>
      </w:r>
      <w:r>
        <w:t xml:space="preserve"> </w:t>
      </w:r>
      <m:oMath>
        <m:r>
          <m:t>H</m:t>
        </m:r>
        <m:r>
          <m:rPr>
            <m:sty m:val="p"/>
          </m:rPr>
          <m:t>≤</m:t>
        </m:r>
        <m:sSub>
          <m:e>
            <m:r>
              <m:t>X</m:t>
            </m:r>
          </m:e>
          <m:sub>
            <m:r>
              <m:t>A</m:t>
            </m:r>
          </m:sub>
        </m:sSub>
      </m:oMath>
      <w:r>
        <w:t xml:space="preserve"> </w:t>
      </w:r>
      <w:r>
        <w:t xml:space="preserve">and</w:t>
      </w:r>
      <w:r>
        <w:t xml:space="preserve"> </w:t>
      </w:r>
      <m:oMath>
        <m:sSub>
          <m:e>
            <m:r>
              <m:t>X</m:t>
            </m:r>
          </m:e>
          <m:sub>
            <m:r>
              <m:t>A</m:t>
            </m:r>
          </m:sub>
        </m:sSub>
        <m:r>
          <m:rPr>
            <m:sty m:val="p"/>
          </m:rPr>
          <m:t>+</m:t>
        </m:r>
        <m:r>
          <m:t>η</m:t>
        </m:r>
        <m:d>
          <m:dPr>
            <m:begChr m:val="("/>
            <m:sepChr m:val=""/>
            <m:endChr m:val=")"/>
            <m:grow/>
          </m:dPr>
          <m:e>
            <m:r>
              <m:t>H</m:t>
            </m:r>
            <m:r>
              <m:rPr>
                <m:sty m:val="p"/>
              </m:rPr>
              <m:t>−</m:t>
            </m:r>
            <m:sSub>
              <m:e>
                <m:r>
                  <m:t>X</m:t>
                </m:r>
              </m:e>
              <m:sub>
                <m:r>
                  <m:t>A</m:t>
                </m:r>
              </m:sub>
            </m:sSub>
          </m:e>
        </m:d>
      </m:oMath>
      <w:r>
        <w:t xml:space="preserve"> </w:t>
      </w:r>
      <w:r>
        <w:t xml:space="preserve">otherwise, and the power bound</w:t>
      </w:r>
      <w:r>
        <w:t xml:space="preserve"> </w:t>
      </w:r>
      <m:oMath>
        <m:sSup>
          <m:e>
            <m:r>
              <m:t>Γ</m:t>
            </m:r>
          </m:e>
          <m:sup>
            <m:r>
              <m:t>P</m:t>
            </m:r>
          </m:sup>
        </m:sSup>
      </m:oMath>
      <w:r>
        <w:t xml:space="preserve"> </w:t>
      </w:r>
      <w:r>
        <w:t xml:space="preserve">accounts for the backlog of A that falls due within B and for work that can be swapped past the end of B. The channel width, the task deadlines and the stored energy therefore jointly determine the next deliverable reduction.</w:t>
      </w:r>
    </w:p>
    <w:p>
      <w:pPr>
        <w:pStyle w:val="BodyText"/>
      </w:pPr>
      <w:r>
        <w:rPr>
          <w:bCs/>
          <w:b/>
        </w:rPr>
        <w:t xml:space="preserve">Proposition 2 (value of joint recovery).</w:t>
      </w:r>
      <w:r>
        <w:t xml:space="preserve"> </w:t>
      </w:r>
      <w:r>
        <w:t xml:space="preserve">In a single-class model with constant arrivals and a constant channel width</w:t>
      </w:r>
      <w:r>
        <w:t xml:space="preserve"> </w:t>
      </w:r>
      <m:oMath>
        <m:r>
          <m:t>h</m:t>
        </m:r>
      </m:oMath>
      <w:r>
        <w:t xml:space="preserve">, joint recovery repays only the computing debt</w:t>
      </w:r>
      <w:r>
        <w:t xml:space="preserve"> </w:t>
      </w:r>
      <m:oMath>
        <m:sSup>
          <m:e>
            <m:r>
              <m:t>c</m:t>
            </m:r>
          </m:e>
          <m:sup>
            <m:r>
              <m:rPr>
                <m:sty m:val="p"/>
              </m:rPr>
              <m:t>*</m:t>
            </m:r>
          </m:sup>
        </m:sSup>
        <m:r>
          <m:rPr>
            <m:sty m:val="p"/>
          </m:rPr>
          <m:t>=</m:t>
        </m:r>
        <m:sSup>
          <m:e>
            <m:d>
              <m:dPr>
                <m:begChr m:val="["/>
                <m:sepChr m:val=""/>
                <m:endChr m:val="]"/>
                <m:grow/>
              </m:dPr>
              <m:e>
                <m:r>
                  <m:t>X</m:t>
                </m:r>
                <m:r>
                  <m:rPr>
                    <m:sty m:val="p"/>
                  </m:rPr>
                  <m:t>−</m:t>
                </m:r>
                <m:sSub>
                  <m:e>
                    <m:r>
                      <m:t>p</m:t>
                    </m:r>
                  </m:e>
                  <m:sub>
                    <m:r>
                      <m:t>f</m:t>
                    </m:r>
                  </m:sub>
                </m:sSub>
                <m:d>
                  <m:dPr>
                    <m:begChr m:val="("/>
                    <m:sepChr m:val=""/>
                    <m:endChr m:val=")"/>
                    <m:grow/>
                  </m:dPr>
                  <m:e>
                    <m:r>
                      <m:t>L</m:t>
                    </m:r>
                    <m:r>
                      <m:rPr>
                        <m:sty m:val="p"/>
                      </m:rPr>
                      <m:t>−</m:t>
                    </m:r>
                    <m:sSub>
                      <m:e>
                        <m:r>
                          <m:t>D</m:t>
                        </m:r>
                      </m:e>
                      <m:sub>
                        <m:r>
                          <m:t>B</m:t>
                        </m:r>
                      </m:sub>
                    </m:sSub>
                  </m:e>
                </m:d>
              </m:e>
            </m:d>
          </m:e>
          <m:sup>
            <m:r>
              <m:rPr>
                <m:sty m:val="p"/>
              </m:rPr>
              <m:t>+</m:t>
            </m:r>
          </m:sup>
        </m:sSup>
      </m:oMath>
      <w:r>
        <w:t xml:space="preserve"> </w:t>
      </w:r>
      <w:r>
        <w:t xml:space="preserve">that would fall due before the end of the next event and uses the rest of the channel for recharge, whereas independent recovery repays the full debt</w:t>
      </w:r>
      <w:r>
        <w:t xml:space="preserve"> </w:t>
      </w:r>
      <m:oMath>
        <m:r>
          <m:t>X</m:t>
        </m:r>
      </m:oMath>
      <w:r>
        <w:t xml:space="preserve"> </w:t>
      </w:r>
      <w:r>
        <w:t xml:space="preserve">first. The minimum full-recovery intervals differ by</w:t>
      </w:r>
    </w:p>
    <w:p>
      <w:pPr>
        <w:pStyle w:val="Equation"/>
      </w:pPr>
      <w:r>
        <w:tab/>
      </w:r>
      <m:oMath>
        <m:sSubSup>
          <m:e>
            <m:r>
              <m:t>τ</m:t>
            </m:r>
          </m:e>
          <m:sub>
            <m:r>
              <m:t>I</m:t>
            </m:r>
            <m:r>
              <m:t>R</m:t>
            </m:r>
          </m:sub>
          <m:sup>
            <m:r>
              <m:rPr>
                <m:sty m:val="p"/>
              </m:rPr>
              <m:t>*</m:t>
            </m:r>
          </m:sup>
        </m:sSubSup>
        <m:r>
          <m:rPr>
            <m:sty m:val="p"/>
          </m:rPr>
          <m:t>−</m:t>
        </m:r>
        <m:sSubSup>
          <m:e>
            <m:r>
              <m:t>τ</m:t>
            </m:r>
          </m:e>
          <m:sub>
            <m:r>
              <m:t>J</m:t>
            </m:r>
            <m:r>
              <m:t>R</m:t>
            </m:r>
          </m:sub>
          <m:sup>
            <m:r>
              <m:rPr>
                <m:sty m:val="p"/>
              </m:rPr>
              <m:t>*</m:t>
            </m:r>
          </m:sup>
        </m:sSubSup>
        <m:r>
          <m:rPr>
            <m:sty m:val="p"/>
          </m:rPr>
          <m:t>=</m:t>
        </m:r>
        <m:f>
          <m:fPr>
            <m:type m:val="bar"/>
          </m:fPr>
          <m:num>
            <m:r>
              <m:rPr>
                <m:sty m:val="p"/>
              </m:rPr>
              <m:t>min</m:t>
            </m:r>
            <m:r>
              <m:rPr>
                <m:sty m:val="p"/>
              </m:rPr>
              <m:t>{</m:t>
            </m:r>
            <m:r>
              <m:t>X</m:t>
            </m:r>
            <m:r>
              <m:rPr>
                <m:sty m:val="p"/>
              </m:rPr>
              <m:t>,</m:t>
            </m:r>
            <m:r>
              <m:t> </m:t>
            </m:r>
            <m:sSub>
              <m:e>
                <m:r>
                  <m:t>p</m:t>
                </m:r>
              </m:e>
              <m:sub>
                <m:r>
                  <m:t>f</m:t>
                </m:r>
              </m:sub>
            </m:sSub>
            <m:d>
              <m:dPr>
                <m:begChr m:val="("/>
                <m:sepChr m:val=""/>
                <m:endChr m:val=")"/>
                <m:grow/>
              </m:dPr>
              <m:e>
                <m:r>
                  <m:t>L</m:t>
                </m:r>
                <m:r>
                  <m:rPr>
                    <m:sty m:val="p"/>
                  </m:rPr>
                  <m:t>−</m:t>
                </m:r>
                <m:sSub>
                  <m:e>
                    <m:r>
                      <m:t>D</m:t>
                    </m:r>
                  </m:e>
                  <m:sub>
                    <m:r>
                      <m:t>B</m:t>
                    </m:r>
                  </m:sub>
                </m:sSub>
              </m:e>
            </m:d>
            <m:r>
              <m:rPr>
                <m:sty m:val="p"/>
              </m:rPr>
              <m:t>}</m:t>
            </m:r>
          </m:num>
          <m:den>
            <m:r>
              <m:t>h</m:t>
            </m:r>
          </m:den>
        </m:f>
        <m:r>
          <m:rPr>
            <m:sty m:val="p"/>
          </m:rPr>
          <m:t>.</m:t>
        </m:r>
      </m:oMath>
      <w:r>
        <w:tab/>
      </w:r>
      <w:r>
        <w:t xml:space="preserve">(14)</w:t>
      </w:r>
    </w:p>
    <w:p>
      <w:pPr>
        <w:pStyle w:val="BodyText"/>
      </w:pPr>
      <w:r>
        <w:t xml:space="preserve">Joint recovery has no value when the deadline is not longer than the next event (</w:t>
      </w:r>
      <m:oMath>
        <m:r>
          <m:t>L</m:t>
        </m:r>
        <m:r>
          <m:rPr>
            <m:sty m:val="p"/>
          </m:rPr>
          <m:t>≤</m:t>
        </m:r>
        <m:sSub>
          <m:e>
            <m:r>
              <m:t>D</m:t>
            </m:r>
          </m:e>
          <m:sub>
            <m:r>
              <m:t>B</m:t>
            </m:r>
          </m:sub>
        </m:sSub>
      </m:oMath>
      <w:r>
        <w:t xml:space="preserve">), when storage does not need recharging, or when the channel is either too narrow or wide enough to repay both debts within the interval.</w:t>
      </w:r>
    </w:p>
    <w:p>
      <w:pPr>
        <w:pStyle w:val="BodyText"/>
      </w:pPr>
      <w:r>
        <w:t xml:space="preserve">The proofs are given in Appendix B. Proposition 2 explains the mechanism examined in Section 5.2: long-deadline work need not be caught up immediately, which frees the recovery channel for recharging the storage that the next event needs.</w:t>
      </w:r>
    </w:p>
    <w:bookmarkEnd w:id="35"/>
    <w:bookmarkEnd w:id="36"/>
    <w:bookmarkStart w:id="44" w:name="recovery-aware-coordinated-scheduling"/>
    <w:p>
      <w:pPr>
        <w:pStyle w:val="Heading1"/>
      </w:pPr>
      <w:r>
        <w:t xml:space="preserve">4. Recovery-aware coordinated scheduling</w:t>
      </w:r>
    </w:p>
    <w:p>
      <w:pPr>
        <w:pStyle w:val="FirstParagraph"/>
      </w:pPr>
      <w:r>
        <w:t xml:space="preserve">The framework has two layers (Fig. 2): a day-ahead layer that sets the commitments from the closed-loop capability of the intraday controller on historical days, and an intraday layer that operates the AIDC with cross-event joint recovery.</w:t>
      </w:r>
    </w:p>
    <w:p>
      <w:pPr>
        <w:pStyle w:val="Figure"/>
      </w:pPr>
      <w:r>
        <w:drawing>
          <wp:inline>
            <wp:extent cx="5338799" cy="2640434"/>
            <wp:effectExtent b="0" l="0" r="0" t="0"/>
            <wp:docPr descr="" title="" id="38" name="Picture"/>
            <a:graphic>
              <a:graphicData uri="http://schemas.openxmlformats.org/drawingml/2006/picture">
                <pic:pic>
                  <pic:nvPicPr>
                    <pic:cNvPr descr="/home/user/datacenter/paper/figures/Fig2_framework.png" id="39" name="Picture"/>
                    <pic:cNvPicPr>
                      <a:picLocks noChangeArrowheads="1" noChangeAspect="1"/>
                    </pic:cNvPicPr>
                  </pic:nvPicPr>
                  <pic:blipFill>
                    <a:blip r:embed="rId37"/>
                    <a:stretch>
                      <a:fillRect/>
                    </a:stretch>
                  </pic:blipFill>
                  <pic:spPr bwMode="auto">
                    <a:xfrm>
                      <a:off x="0" y="0"/>
                      <a:ext cx="5338799" cy="2640434"/>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Recovery-aware coordinated scheduling framework. Day-ahead layer: closed-loop back-test of the intraday controller on the historical days, capability per day, Wasserstein-robust capacity (Proposition 3) and cost-optimal commitment (19). Intraday layer: cross-event joint recovery MPC with a 15-min step and an 18-h horizon.</w:t>
      </w:r>
    </w:p>
    <w:bookmarkStart w:id="40" w:name="day-ahead-recovery-aware-commitment"/>
    <w:p>
      <w:pPr>
        <w:pStyle w:val="Heading2"/>
      </w:pPr>
      <w:r>
        <w:t xml:space="preserve">4.1 Day-ahead recovery-aware commitment</w:t>
      </w:r>
    </w:p>
    <w:p>
      <w:pPr>
        <w:pStyle w:val="FirstParagraph"/>
      </w:pPr>
      <w:r>
        <w:t xml:space="preserve">The commitment of every event must anticipate the recovery state that the preceding events will leave behind, as delivered by the controller that will actually operate the AIDC. The day-ahead layer therefore measures the capability of that controller in closed loop. For every historical day</w:t>
      </w:r>
      <w:r>
        <w:t xml:space="preserve"> </w:t>
      </w:r>
      <m:oMath>
        <m:r>
          <m:t>d</m:t>
        </m:r>
      </m:oMath>
      <w:r>
        <w:t xml:space="preserve"> </w:t>
      </w:r>
      <w:r>
        <w:t xml:space="preserve">of</w:t>
      </w:r>
      <w:r>
        <w:t xml:space="preserve"> </w:t>
      </w:r>
      <m:oMath>
        <m:sSup>
          <m:e>
            <m:r>
              <m:t>Ω</m:t>
            </m:r>
          </m:e>
          <m:sup>
            <m:r>
              <m:t>D</m:t>
            </m:r>
            <m:r>
              <m:t>A</m:t>
            </m:r>
          </m:sup>
        </m:sSup>
      </m:oMath>
      <w:r>
        <w:t xml:space="preserve"> </w:t>
      </w:r>
      <w:r>
        <w:t xml:space="preserve">and every candidate commitment</w:t>
      </w:r>
      <w:r>
        <w:t xml:space="preserve"> </w:t>
      </w:r>
      <m:oMath>
        <m:r>
          <m:t>C</m:t>
        </m:r>
      </m:oMath>
      <w:r>
        <w:t xml:space="preserve"> </w:t>
      </w:r>
      <w:r>
        <w:t xml:space="preserve">of the grid</w:t>
      </w:r>
      <w:r>
        <w:t xml:space="preserve"> </w:t>
      </w:r>
      <m:oMath>
        <m:r>
          <m:rPr>
            <m:scr m:val="script"/>
            <m:sty m:val="p"/>
          </m:rPr>
          <m:t>G</m:t>
        </m:r>
      </m:oMath>
      <w:r>
        <w:t xml:space="preserve">, the intraday controller of Section 4.2 is simulated with the realised data of day</w:t>
      </w:r>
      <w:r>
        <w:t xml:space="preserve"> </w:t>
      </w:r>
      <m:oMath>
        <m:r>
          <m:t>d</m:t>
        </m:r>
      </m:oMath>
      <w:r>
        <w:t xml:space="preserve">, which yields the comprehensive cost</w:t>
      </w:r>
      <w:r>
        <w:t xml:space="preserve"> </w:t>
      </w:r>
      <m:oMath>
        <m:sSub>
          <m:e>
            <m:r>
              <m:t>J</m:t>
            </m:r>
          </m:e>
          <m:sub>
            <m:r>
              <m:t>d</m:t>
            </m:r>
          </m:sub>
        </m:sSub>
        <m:d>
          <m:dPr>
            <m:begChr m:val="("/>
            <m:sepChr m:val=""/>
            <m:endChr m:val=")"/>
            <m:grow/>
          </m:dPr>
          <m:e>
            <m:r>
              <m:t>C</m:t>
            </m:r>
          </m:e>
        </m:d>
      </m:oMath>
      <w:r>
        <w:t xml:space="preserve"> </w:t>
      </w:r>
      <w:r>
        <w:t xml:space="preserve">and the capability</w:t>
      </w:r>
    </w:p>
    <w:p>
      <w:pPr>
        <w:pStyle w:val="Equation"/>
      </w:pPr>
      <w:r>
        <w:tab/>
      </w:r>
      <m:oMath>
        <m:sSub>
          <m:e>
            <m:r>
              <m:t>ξ</m:t>
            </m:r>
          </m:e>
          <m:sub>
            <m:r>
              <m:t>d</m:t>
            </m:r>
          </m:sub>
        </m:sSub>
        <m:r>
          <m:rPr>
            <m:sty m:val="p"/>
          </m:rPr>
          <m:t>=</m:t>
        </m:r>
        <m:r>
          <m:rPr>
            <m:sty m:val="p"/>
          </m:rPr>
          <m:t>max</m:t>
        </m:r>
        <m:d>
          <m:dPr>
            <m:begChr m:val="{"/>
            <m:sepChr m:val=""/>
            <m:endChr m:val="}"/>
            <m:grow/>
          </m:dPr>
          <m:e>
            <m:r>
              <m:t>C</m:t>
            </m:r>
            <m:r>
              <m:rPr>
                <m:sty m:val="p"/>
              </m:rPr>
              <m:t>∈</m:t>
            </m:r>
            <m:r>
              <m:rPr>
                <m:scr m:val="script"/>
                <m:sty m:val="p"/>
              </m:rPr>
              <m:t>G</m:t>
            </m:r>
            <m:r>
              <m:rPr>
                <m:sty m:val="p"/>
              </m:rPr>
              <m:t>:</m:t>
            </m:r>
            <m:r>
              <m:t> </m:t>
            </m:r>
            <m:sSub>
              <m:e>
                <m:acc>
                  <m:accPr>
                    <m:chr m:val="‾"/>
                  </m:accPr>
                  <m:e>
                    <m:r>
                      <m:t>r</m:t>
                    </m:r>
                  </m:e>
                </m:acc>
              </m:e>
              <m:sub>
                <m:r>
                  <m:t>k</m:t>
                </m:r>
                <m:r>
                  <m:rPr>
                    <m:sty m:val="p"/>
                  </m:rPr>
                  <m:t>,</m:t>
                </m:r>
                <m:r>
                  <m:t>d</m:t>
                </m:r>
              </m:sub>
            </m:sSub>
            <m:d>
              <m:dPr>
                <m:begChr m:val="("/>
                <m:sepChr m:val=""/>
                <m:endChr m:val=")"/>
                <m:grow/>
              </m:dPr>
              <m:e>
                <m:r>
                  <m:t>C</m:t>
                </m:r>
                <m:r>
                  <m:rPr>
                    <m:sty m:val="p"/>
                  </m:rPr>
                  <m:t>′</m:t>
                </m:r>
              </m:e>
            </m:d>
            <m:r>
              <m:rPr>
                <m:sty m:val="p"/>
              </m:rPr>
              <m:t>≥</m:t>
            </m:r>
            <m:d>
              <m:dPr>
                <m:begChr m:val="("/>
                <m:sepChr m:val=""/>
                <m:endChr m:val=")"/>
                <m:grow/>
              </m:dPr>
              <m:e>
                <m:r>
                  <m:t>1</m:t>
                </m:r>
                <m:r>
                  <m:rPr>
                    <m:sty m:val="p"/>
                  </m:rPr>
                  <m:t>−</m:t>
                </m:r>
                <m:sSub>
                  <m:e>
                    <m:r>
                      <m:t>ϵ</m:t>
                    </m:r>
                  </m:e>
                  <m:sub>
                    <m:r>
                      <m:t>f</m:t>
                    </m:r>
                  </m:sub>
                </m:sSub>
              </m:e>
            </m:d>
            <m:r>
              <m:t>C</m:t>
            </m:r>
            <m:r>
              <m:rPr>
                <m:sty m:val="p"/>
              </m:rPr>
              <m:t>′</m:t>
            </m:r>
            <m:r>
              <m:t> </m:t>
            </m:r>
            <m:r>
              <m:t> </m:t>
            </m:r>
            <m:r>
              <m:rPr>
                <m:sty m:val="p"/>
              </m:rPr>
              <m:t>∀</m:t>
            </m:r>
            <m:r>
              <m:t>k</m:t>
            </m:r>
            <m:r>
              <m:rPr>
                <m:sty m:val="p"/>
              </m:rPr>
              <m:t>,</m:t>
            </m:r>
            <m:r>
              <m:t> </m:t>
            </m:r>
            <m:r>
              <m:rPr>
                <m:sty m:val="p"/>
              </m:rPr>
              <m:t>∀</m:t>
            </m:r>
            <m:r>
              <m:t>C</m:t>
            </m:r>
            <m:r>
              <m:rPr>
                <m:sty m:val="p"/>
              </m:rPr>
              <m:t>′</m:t>
            </m:r>
            <m:r>
              <m:rPr>
                <m:sty m:val="p"/>
              </m:rPr>
              <m:t>≤</m:t>
            </m:r>
            <m:r>
              <m:t>C</m:t>
            </m:r>
            <m:r>
              <m:rPr>
                <m:sty m:val="p"/>
              </m:rPr>
              <m:t>,</m:t>
            </m:r>
            <m:r>
              <m:t> </m:t>
            </m:r>
            <m:r>
              <m:t>C</m:t>
            </m:r>
            <m:r>
              <m:rPr>
                <m:sty m:val="p"/>
              </m:rPr>
              <m:t>′</m:t>
            </m:r>
            <m:r>
              <m:rPr>
                <m:sty m:val="p"/>
              </m:rPr>
              <m:t>∈</m:t>
            </m:r>
            <m:r>
              <m:rPr>
                <m:scr m:val="script"/>
                <m:sty m:val="p"/>
              </m:rPr>
              <m:t>G</m:t>
            </m:r>
          </m:e>
        </m:d>
        <m:r>
          <m:rPr>
            <m:sty m:val="p"/>
          </m:rPr>
          <m:t>+</m:t>
        </m:r>
        <m:f>
          <m:fPr>
            <m:type m:val="lin"/>
          </m:fPr>
          <m:num>
            <m:r>
              <m:t>1</m:t>
            </m:r>
          </m:num>
          <m:den>
            <m:r>
              <m:t>2</m:t>
            </m:r>
          </m:den>
        </m:f>
        <m:sSub>
          <m:e>
            <m:r>
              <m:t>Δ</m:t>
            </m:r>
          </m:e>
          <m:sub>
            <m:r>
              <m:rPr>
                <m:scr m:val="script"/>
                <m:sty m:val="p"/>
              </m:rPr>
              <m:t>G</m:t>
            </m:r>
          </m:sub>
        </m:sSub>
        <m:r>
          <m:rPr>
            <m:sty m:val="p"/>
          </m:rPr>
          <m:t>,</m:t>
        </m:r>
      </m:oMath>
      <w:r>
        <w:tab/>
      </w:r>
      <w:r>
        <w:t xml:space="preserve">(15)</w:t>
      </w:r>
    </w:p>
    <w:p>
      <w:pPr>
        <w:pStyle w:val="BodyText"/>
      </w:pPr>
      <w:r>
        <w:t xml:space="preserve">the midpoint between the largest uniform commitment that the controller delivers in full on day</w:t>
      </w:r>
      <w:r>
        <w:t xml:space="preserve"> </w:t>
      </w:r>
      <m:oMath>
        <m:r>
          <m:t>d</m:t>
        </m:r>
      </m:oMath>
      <w:r>
        <w:t xml:space="preserve"> </w:t>
      </w:r>
      <w:r>
        <w:t xml:space="preserve">and the next commitment of the grid (step</w:t>
      </w:r>
      <w:r>
        <w:t xml:space="preserve"> </w:t>
      </w:r>
      <m:oMath>
        <m:sSub>
          <m:e>
            <m:r>
              <m:t>Δ</m:t>
            </m:r>
          </m:e>
          <m:sub>
            <m:r>
              <m:rPr>
                <m:scr m:val="script"/>
                <m:sty m:val="p"/>
              </m:rPr>
              <m:t>G</m:t>
            </m:r>
          </m:sub>
        </m:sSub>
      </m:oMath>
      <w:r>
        <w:t xml:space="preserve">), at which delivery first fails. The back-test visits the commitments in increasing order and stops simulating a day after its first failure; this yields every</w:t>
      </w:r>
      <w:r>
        <w:t xml:space="preserve"> </w:t>
      </w:r>
      <m:oMath>
        <m:sSub>
          <m:e>
            <m:r>
              <m:t>ξ</m:t>
            </m:r>
          </m:e>
          <m:sub>
            <m:r>
              <m:t>d</m:t>
            </m:r>
          </m:sub>
        </m:sSub>
      </m:oMath>
      <w:r>
        <w:t xml:space="preserve">, and every</w:t>
      </w:r>
      <w:r>
        <w:t xml:space="preserve"> </w:t>
      </w:r>
      <m:oMath>
        <m:sSub>
          <m:e>
            <m:r>
              <m:t>J</m:t>
            </m:r>
          </m:e>
          <m:sub>
            <m:r>
              <m:t>d</m:t>
            </m:r>
          </m:sub>
        </m:sSub>
        <m:d>
          <m:dPr>
            <m:begChr m:val="("/>
            <m:sepChr m:val=""/>
            <m:endChr m:val=")"/>
            <m:grow/>
          </m:dPr>
          <m:e>
            <m:r>
              <m:t>C</m:t>
            </m:r>
          </m:e>
        </m:d>
      </m:oMath>
      <w:r>
        <w:t xml:space="preserve"> </w:t>
      </w:r>
      <w:r>
        <w:t xml:space="preserve">for</w:t>
      </w:r>
      <w:r>
        <w:t xml:space="preserve"> </w:t>
      </w:r>
      <m:oMath>
        <m:r>
          <m:t>C</m:t>
        </m:r>
        <m:r>
          <m:rPr>
            <m:sty m:val="p"/>
          </m:rPr>
          <m:t>≤</m:t>
        </m:r>
        <m:sSub>
          <m:e>
            <m:r>
              <m:rPr>
                <m:sty m:val="p"/>
              </m:rPr>
              <m:t>min</m:t>
            </m:r>
          </m:e>
          <m:sub>
            <m:r>
              <m:t>d</m:t>
            </m:r>
          </m:sub>
        </m:sSub>
        <m:sSub>
          <m:e>
            <m:r>
              <m:t>ξ</m:t>
            </m:r>
          </m:e>
          <m:sub>
            <m:r>
              <m:t>d</m:t>
            </m:r>
          </m:sub>
        </m:sSub>
      </m:oMath>
      <w:r>
        <w:t xml:space="preserve">, with about half of the closed-loop runs of the full grid. The empirical distribution</w:t>
      </w:r>
      <w:r>
        <w:t xml:space="preserve"> </w:t>
      </w: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n"/>
          </m:naryPr>
          <m:sub>
            <m:r>
              <m:t>d</m:t>
            </m:r>
          </m:sub>
          <m:sup>
            <m:r>
              <m:t>​</m:t>
            </m:r>
          </m:sup>
          <m:e>
            <m:sSub>
              <m:e>
                <m:r>
                  <m:t>δ</m:t>
                </m:r>
              </m:e>
              <m:sub>
                <m:sSub>
                  <m:e>
                    <m:r>
                      <m:t>ξ</m:t>
                    </m:r>
                  </m:e>
                  <m:sub>
                    <m:r>
                      <m:t>d</m:t>
                    </m:r>
                  </m:sub>
                </m:sSub>
              </m:sub>
            </m:sSub>
          </m:e>
        </m:nary>
      </m:oMath>
      <w:r>
        <w:t xml:space="preserve"> </w:t>
      </w:r>
      <w:r>
        <w:t xml:space="preserve">summarises the deliverability of the controller, but the operating day can differ from the historical days (Section 5.1). The commitment is therefore protected against all distributions within the 1-Wasserstein ball</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r>
          <m:rPr>
            <m:sty m:val="p"/>
          </m:rPr>
          <m:t>=</m:t>
        </m:r>
        <m:r>
          <m:rPr>
            <m:sty m:val="p"/>
          </m:rPr>
          <m:t>{</m:t>
        </m:r>
        <m:r>
          <m:t>Q</m:t>
        </m:r>
        <m:r>
          <m:rPr>
            <m:sty m:val="p"/>
          </m:rPr>
          <m:t>:</m:t>
        </m:r>
        <m:r>
          <m:t> </m:t>
        </m:r>
        <m:sSub>
          <m:e>
            <m:r>
              <m:t>W</m:t>
            </m:r>
          </m:e>
          <m:sub>
            <m:r>
              <m:t>1</m:t>
            </m:r>
          </m:sub>
        </m:sSub>
        <m:d>
          <m:dPr>
            <m:begChr m:val="("/>
            <m:sepChr m:val=""/>
            <m:endChr m:val=")"/>
            <m:grow/>
          </m:dPr>
          <m:e>
            <m:r>
              <m:t>Q</m:t>
            </m:r>
            <m:r>
              <m:rPr>
                <m:sty m:val="p"/>
              </m:rPr>
              <m:t>,</m:t>
            </m:r>
            <m:sSub>
              <m:e>
                <m:acc>
                  <m:accPr>
                    <m:chr m:val="̂"/>
                  </m:accPr>
                  <m:e>
                    <m:r>
                      <m:t>P</m:t>
                    </m:r>
                  </m:e>
                </m:acc>
              </m:e>
              <m:sub>
                <m:r>
                  <m:t>N</m:t>
                </m:r>
              </m:sub>
            </m:sSub>
          </m:e>
        </m:d>
        <m:r>
          <m:rPr>
            <m:sty m:val="p"/>
          </m:rPr>
          <m:t>≤</m:t>
        </m:r>
        <m:r>
          <m:t>ε</m:t>
        </m:r>
        <m:r>
          <m:rPr>
            <m:sty m:val="p"/>
          </m:rPr>
          <m:t>}</m:t>
        </m:r>
      </m:oMath>
      <w:r>
        <w:t xml:space="preserve">:</w:t>
      </w:r>
    </w:p>
    <w:p>
      <w:pPr>
        <w:pStyle w:val="Equation"/>
      </w:pPr>
      <w:r>
        <w:tab/>
      </w:r>
      <m:oMath>
        <m:sSubSup>
          <m:e>
            <m:r>
              <m:t>C</m:t>
            </m:r>
          </m:e>
          <m:sub>
            <m:r>
              <m:t>ρ</m:t>
            </m:r>
          </m:sub>
          <m:sup>
            <m:r>
              <m:t>D</m:t>
            </m:r>
            <m:r>
              <m:t>R</m:t>
            </m:r>
            <m:r>
              <m:t>O</m:t>
            </m:r>
          </m:sup>
        </m:sSubSup>
        <m:d>
          <m:dPr>
            <m:begChr m:val="("/>
            <m:sepChr m:val=""/>
            <m:endChr m:val=")"/>
            <m:grow/>
          </m:dPr>
          <m:e>
            <m:r>
              <m:t>ε</m:t>
            </m:r>
          </m:e>
        </m:d>
        <m:r>
          <m:rPr>
            <m:sty m:val="p"/>
          </m:rPr>
          <m:t>=</m:t>
        </m:r>
        <m:r>
          <m:rPr>
            <m:sty m:val="p"/>
          </m:rPr>
          <m:t>max</m:t>
        </m:r>
        <m:d>
          <m:dPr>
            <m:begChr m:val="{"/>
            <m:sepChr m:val=""/>
            <m:endChr m:val="}"/>
            <m:grow/>
          </m:dPr>
          <m:e>
            <m:r>
              <m:t>C</m:t>
            </m:r>
            <m:r>
              <m:rPr>
                <m:sty m:val="p"/>
              </m:rPr>
              <m:t>∈</m:t>
            </m:r>
            <m:r>
              <m:rPr>
                <m:scr m:val="script"/>
                <m:sty m:val="p"/>
              </m:rPr>
              <m:t>G</m:t>
            </m:r>
            <m:r>
              <m:rPr>
                <m:sty m:val="p"/>
              </m:rPr>
              <m:t>:</m:t>
            </m:r>
            <m:r>
              <m:t> </m:t>
            </m:r>
            <m:sSub>
              <m:e>
                <m:r>
                  <m:rPr>
                    <m:sty m:val="p"/>
                  </m:rPr>
                  <m:t>inf</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m:t>
                </m:r>
                <m:r>
                  <m:t>C</m:t>
                </m:r>
              </m:e>
            </m:d>
            <m:r>
              <m:rPr>
                <m:sty m:val="p"/>
              </m:rPr>
              <m:t>≥</m:t>
            </m:r>
            <m:r>
              <m:t>ρ</m:t>
            </m:r>
          </m:e>
        </m:d>
        <m:r>
          <m:rPr>
            <m:sty m:val="p"/>
          </m:rPr>
          <m:t>,</m:t>
        </m:r>
      </m:oMath>
      <w:r>
        <w:tab/>
      </w:r>
      <w:r>
        <w:t xml:space="preserve">(16)</w:t>
      </w:r>
    </w:p>
    <w:p>
      <w:pPr>
        <w:pStyle w:val="BodyText"/>
      </w:pPr>
      <w:r>
        <w:t xml:space="preserve">the distributionally robust counterpart of (12). The radius</w:t>
      </w:r>
      <w:r>
        <w:t xml:space="preserve"> </w:t>
      </w:r>
      <m:oMath>
        <m:r>
          <m:t>ε</m:t>
        </m:r>
      </m:oMath>
      <w:r>
        <w:t xml:space="preserve"> </w:t>
      </w:r>
      <w:r>
        <w:t xml:space="preserve">(MW) is the largest average shift of the capability that the commitment must withstand.</w:t>
      </w:r>
    </w:p>
    <w:p>
      <w:pPr>
        <w:pStyle w:val="BodyText"/>
      </w:pPr>
      <w:r>
        <w:rPr>
          <w:bCs/>
          <w:b/>
        </w:rPr>
        <w:t xml:space="preserve">Proposition 3 (exact distributionally robust firm capacity).</w:t>
      </w:r>
      <w:r>
        <w:t xml:space="preserve"> </w:t>
      </w:r>
      <w:r>
        <w:t xml:space="preserve">For a commitment</w:t>
      </w:r>
      <w:r>
        <w:t xml:space="preserve"> </w:t>
      </w:r>
      <m:oMath>
        <m:r>
          <m:t>C</m:t>
        </m:r>
      </m:oMath>
      <w:r>
        <w:t xml:space="preserve">, let</w:t>
      </w:r>
      <w:r>
        <w:t xml:space="preserve"> </w:t>
      </w:r>
      <m:oMath>
        <m:r>
          <m:t>n</m:t>
        </m:r>
        <m:d>
          <m:dPr>
            <m:begChr m:val="("/>
            <m:sepChr m:val=""/>
            <m:endChr m:val=")"/>
            <m:grow/>
          </m:dPr>
          <m:e>
            <m:r>
              <m:t>C</m:t>
            </m:r>
          </m:e>
        </m:d>
        <m:r>
          <m:rPr>
            <m:sty m:val="p"/>
          </m:rPr>
          <m:t>=</m:t>
        </m:r>
        <m:d>
          <m:dPr>
            <m:begChr m:val="|"/>
            <m:sepChr m:val=""/>
            <m:endChr m:val="|"/>
            <m:grow/>
          </m:dPr>
          <m:e>
            <m:r>
              <m:rPr>
                <m:sty m:val="p"/>
              </m:rPr>
              <m:t>{</m:t>
            </m:r>
            <m:r>
              <m:t>d</m:t>
            </m:r>
            <m:r>
              <m:rPr>
                <m:sty m:val="p"/>
              </m:rPr>
              <m:t>:</m:t>
            </m:r>
            <m:sSub>
              <m:e>
                <m:r>
                  <m:t>ξ</m:t>
                </m:r>
              </m:e>
              <m:sub>
                <m:r>
                  <m:t>d</m:t>
                </m:r>
              </m:sub>
            </m:sSub>
            <m:r>
              <m:rPr>
                <m:sty m:val="p"/>
              </m:rPr>
              <m:t>≥</m:t>
            </m:r>
            <m:r>
              <m:t>C</m:t>
            </m:r>
            <m:r>
              <m:rPr>
                <m:sty m:val="p"/>
              </m:rPr>
              <m:t>}</m:t>
            </m:r>
          </m:e>
        </m:d>
      </m:oMath>
      <w:r>
        <w:t xml:space="preserve">, let</w:t>
      </w:r>
      <w:r>
        <w:t xml:space="preserve"> </w:t>
      </w:r>
      <m:oMath>
        <m:sSub>
          <m:e>
            <m:r>
              <m:t>δ</m:t>
            </m:r>
          </m:e>
          <m:sub>
            <m:d>
              <m:dPr>
                <m:begChr m:val="("/>
                <m:sepChr m:val=""/>
                <m:endChr m:val=")"/>
                <m:grow/>
              </m:dPr>
              <m:e>
                <m:r>
                  <m:t>1</m:t>
                </m:r>
              </m:e>
            </m:d>
          </m:sub>
        </m:sSub>
        <m:d>
          <m:dPr>
            <m:begChr m:val="("/>
            <m:sepChr m:val=""/>
            <m:endChr m:val=")"/>
            <m:grow/>
          </m:dPr>
          <m:e>
            <m:r>
              <m:t>C</m:t>
            </m:r>
          </m:e>
        </m:d>
        <m:r>
          <m:rPr>
            <m:sty m:val="p"/>
          </m:rPr>
          <m:t>≤</m:t>
        </m:r>
        <m:sSub>
          <m:e>
            <m:r>
              <m:t>δ</m:t>
            </m:r>
          </m:e>
          <m:sub>
            <m:d>
              <m:dPr>
                <m:begChr m:val="("/>
                <m:sepChr m:val=""/>
                <m:endChr m:val=")"/>
                <m:grow/>
              </m:dPr>
              <m:e>
                <m:r>
                  <m:t>2</m:t>
                </m:r>
              </m:e>
            </m:d>
          </m:sub>
        </m:sSub>
        <m:d>
          <m:dPr>
            <m:begChr m:val="("/>
            <m:sepChr m:val=""/>
            <m:endChr m:val=")"/>
            <m:grow/>
          </m:dPr>
          <m:e>
            <m:r>
              <m:t>C</m:t>
            </m:r>
          </m:e>
        </m:d>
        <m:r>
          <m:rPr>
            <m:sty m:val="p"/>
          </m:rPr>
          <m:t>≤</m:t>
        </m:r>
        <m:r>
          <m:rPr>
            <m:sty m:val="p"/>
          </m:rPr>
          <m:t>…</m:t>
        </m:r>
      </m:oMath>
      <w:r>
        <w:t xml:space="preserve"> </w:t>
      </w:r>
      <w:r>
        <w:t xml:space="preserve">be the sorted margins</w:t>
      </w:r>
      <w:r>
        <w:t xml:space="preserve"> </w:t>
      </w:r>
      <m:oMath>
        <m:sSub>
          <m:e>
            <m:r>
              <m:t>ξ</m:t>
            </m:r>
          </m:e>
          <m:sub>
            <m:r>
              <m:t>d</m:t>
            </m:r>
          </m:sub>
        </m:sSub>
        <m:r>
          <m:rPr>
            <m:sty m:val="p"/>
          </m:rPr>
          <m:t>−</m:t>
        </m:r>
        <m:r>
          <m:t>C</m:t>
        </m:r>
      </m:oMath>
      <w:r>
        <w:t xml:space="preserve"> </w:t>
      </w:r>
      <w:r>
        <w:t xml:space="preserve">of these days, and</w:t>
      </w:r>
      <w:r>
        <w:t xml:space="preserve"> </w:t>
      </w:r>
      <m:oMath>
        <m:r>
          <m:t>r</m:t>
        </m:r>
        <m:d>
          <m:dPr>
            <m:begChr m:val="("/>
            <m:sepChr m:val=""/>
            <m:endChr m:val=")"/>
            <m:grow/>
          </m:dPr>
          <m:e>
            <m:r>
              <m:t>C</m:t>
            </m:r>
          </m:e>
        </m:d>
        <m:r>
          <m:rPr>
            <m:sty m:val="p"/>
          </m:rPr>
          <m:t>=</m:t>
        </m:r>
        <m:r>
          <m:t>n</m:t>
        </m:r>
        <m:d>
          <m:dPr>
            <m:begChr m:val="("/>
            <m:sepChr m:val=""/>
            <m:endChr m:val=")"/>
            <m:grow/>
          </m:dPr>
          <m:e>
            <m:r>
              <m:t>C</m:t>
            </m:r>
          </m:e>
        </m:d>
        <m:r>
          <m:rPr>
            <m:sty m:val="p"/>
          </m:rPr>
          <m:t>−</m:t>
        </m:r>
        <m:r>
          <m:t>ρ</m:t>
        </m:r>
        <m:r>
          <m:t>N</m:t>
        </m:r>
      </m:oMath>
      <w:r>
        <w:t xml:space="preserve">. The robust constraint in (16) holds if and only if</w:t>
      </w:r>
      <w:r>
        <w:t xml:space="preserve"> </w:t>
      </w:r>
      <m:oMath>
        <m:r>
          <m:t>r</m:t>
        </m:r>
        <m:d>
          <m:dPr>
            <m:begChr m:val="("/>
            <m:sepChr m:val=""/>
            <m:endChr m:val=")"/>
            <m:grow/>
          </m:dPr>
          <m:e>
            <m:r>
              <m:t>C</m:t>
            </m:r>
          </m:e>
        </m:d>
        <m:r>
          <m:rPr>
            <m:sty m:val="p"/>
          </m:rPr>
          <m:t>≥</m:t>
        </m:r>
        <m:r>
          <m:t>0</m:t>
        </m:r>
      </m:oMath>
      <w:r>
        <w:t xml:space="preserve"> </w:t>
      </w:r>
      <w:r>
        <w:t xml:space="preserve">and</w:t>
      </w:r>
    </w:p>
    <w:p>
      <w:pPr>
        <w:pStyle w:val="Equation"/>
      </w:pPr>
      <w:r>
        <w:tab/>
      </w:r>
      <m:oMath>
        <m:sSub>
          <m:e>
            <m:r>
              <m:t>Φ</m:t>
            </m:r>
          </m:e>
          <m:sub>
            <m:r>
              <m:t>ρ</m:t>
            </m:r>
          </m:sub>
        </m:sSub>
        <m:d>
          <m:dPr>
            <m:begChr m:val="("/>
            <m:sepChr m:val=""/>
            <m:endChr m:val=")"/>
            <m:grow/>
          </m:dPr>
          <m:e>
            <m:r>
              <m:t>C</m:t>
            </m:r>
          </m:e>
        </m:d>
        <m:r>
          <m:rPr>
            <m:sty m:val="p"/>
          </m:rPr>
          <m:t>=</m:t>
        </m:r>
        <m:f>
          <m:fPr>
            <m:type m:val="bar"/>
          </m:fPr>
          <m:num>
            <m:r>
              <m:t>1</m:t>
            </m:r>
          </m:num>
          <m:den>
            <m:r>
              <m:t>N</m:t>
            </m:r>
          </m:den>
        </m:f>
        <m:d>
          <m:dPr>
            <m:begChr m:val="["/>
            <m:sepChr m:val=""/>
            <m:endChr m:val="]"/>
            <m:grow/>
          </m:dPr>
          <m:e>
            <m:nary>
              <m:naryPr>
                <m:chr m:val="∑"/>
                <m:limLoc m:val="undOvr"/>
                <m:subHide m:val="off"/>
                <m:supHide m:val="off"/>
              </m:naryPr>
              <m:sub>
                <m:r>
                  <m:t>j</m:t>
                </m:r>
                <m:r>
                  <m:rPr>
                    <m:sty m:val="p"/>
                  </m:rPr>
                  <m:t>=</m:t>
                </m:r>
                <m:r>
                  <m:t>1</m:t>
                </m:r>
              </m:sub>
              <m:sup>
                <m:r>
                  <m:rPr>
                    <m:sty m:val="p"/>
                  </m:rPr>
                  <m:t>⌊</m:t>
                </m:r>
                <m:r>
                  <m:t>r</m:t>
                </m:r>
                <m:r>
                  <m:rPr>
                    <m:sty m:val="p"/>
                  </m:rPr>
                  <m:t>⌋</m:t>
                </m:r>
              </m:sup>
              <m:e>
                <m:sSub>
                  <m:e>
                    <m:r>
                      <m:t>δ</m:t>
                    </m:r>
                  </m:e>
                  <m:sub>
                    <m:d>
                      <m:dPr>
                        <m:begChr m:val="("/>
                        <m:sepChr m:val=""/>
                        <m:endChr m:val=")"/>
                        <m:grow/>
                      </m:dPr>
                      <m:e>
                        <m:r>
                          <m:t>j</m:t>
                        </m:r>
                      </m:e>
                    </m:d>
                  </m:sub>
                </m:sSub>
              </m:e>
            </m:nary>
            <m:d>
              <m:dPr>
                <m:begChr m:val="("/>
                <m:sepChr m:val=""/>
                <m:endChr m:val=")"/>
                <m:grow/>
              </m:dPr>
              <m:e>
                <m:r>
                  <m:t>C</m:t>
                </m:r>
              </m:e>
            </m:d>
            <m:r>
              <m:rPr>
                <m:sty m:val="p"/>
              </m:rPr>
              <m:t>+</m:t>
            </m:r>
            <m:d>
              <m:dPr>
                <m:begChr m:val="("/>
                <m:sepChr m:val=""/>
                <m:endChr m:val=")"/>
                <m:grow/>
              </m:dPr>
              <m:e>
                <m:r>
                  <m:t>r</m:t>
                </m:r>
                <m:r>
                  <m:rPr>
                    <m:sty m:val="p"/>
                  </m:rPr>
                  <m:t>−</m:t>
                </m:r>
                <m:r>
                  <m:rPr>
                    <m:sty m:val="p"/>
                  </m:rPr>
                  <m:t>⌊</m:t>
                </m:r>
                <m:r>
                  <m:t>r</m:t>
                </m:r>
                <m:r>
                  <m:rPr>
                    <m:sty m:val="p"/>
                  </m:rPr>
                  <m:t>⌋</m:t>
                </m:r>
              </m:e>
            </m:d>
            <m:r>
              <m:t> </m:t>
            </m:r>
            <m:sSub>
              <m:e>
                <m:r>
                  <m:t>δ</m:t>
                </m:r>
              </m:e>
              <m:sub>
                <m:d>
                  <m:dPr>
                    <m:begChr m:val="("/>
                    <m:sepChr m:val=""/>
                    <m:endChr m:val=")"/>
                    <m:grow/>
                  </m:dPr>
                  <m:e>
                    <m:r>
                      <m:rPr>
                        <m:sty m:val="p"/>
                      </m:rPr>
                      <m:t>⌊</m:t>
                    </m:r>
                    <m:r>
                      <m:t>r</m:t>
                    </m:r>
                    <m:r>
                      <m:rPr>
                        <m:sty m:val="p"/>
                      </m:rPr>
                      <m:t>⌋</m:t>
                    </m:r>
                    <m:r>
                      <m:rPr>
                        <m:sty m:val="p"/>
                      </m:rPr>
                      <m:t>+</m:t>
                    </m:r>
                    <m:r>
                      <m:t>1</m:t>
                    </m:r>
                  </m:e>
                </m:d>
              </m:sub>
            </m:sSub>
            <m:d>
              <m:dPr>
                <m:begChr m:val="("/>
                <m:sepChr m:val=""/>
                <m:endChr m:val=")"/>
                <m:grow/>
              </m:dPr>
              <m:e>
                <m:r>
                  <m:t>C</m:t>
                </m:r>
              </m:e>
            </m:d>
          </m:e>
        </m:d>
        <m:r>
          <m:t> </m:t>
        </m:r>
        <m:r>
          <m:rPr>
            <m:sty m:val="p"/>
          </m:rPr>
          <m:t>≥</m:t>
        </m:r>
        <m:r>
          <m:t> </m:t>
        </m:r>
        <m:r>
          <m:t>ε</m:t>
        </m:r>
        <m:r>
          <m:rPr>
            <m:sty m:val="p"/>
          </m:rPr>
          <m:t>.</m:t>
        </m:r>
      </m:oMath>
      <w:r>
        <w:tab/>
      </w:r>
      <w:r>
        <w:t xml:space="preserve">(17)</w:t>
      </w:r>
    </w:p>
    <w:p>
      <w:pPr>
        <w:pStyle w:val="BodyText"/>
      </w:pPr>
      <w:r>
        <w:t xml:space="preserve">Hence (i)</w:t>
      </w:r>
      <w:r>
        <w:t xml:space="preserve"> </w:t>
      </w:r>
      <m:oMath>
        <m:sSubSup>
          <m:e>
            <m:r>
              <m:t>C</m:t>
            </m:r>
          </m:e>
          <m:sub>
            <m:r>
              <m:t>ρ</m:t>
            </m:r>
          </m:sub>
          <m:sup>
            <m:r>
              <m:t>D</m:t>
            </m:r>
            <m:r>
              <m:t>R</m:t>
            </m:r>
            <m:r>
              <m:t>O</m:t>
            </m:r>
          </m:sup>
        </m:sSubSup>
        <m:d>
          <m:dPr>
            <m:begChr m:val="("/>
            <m:sepChr m:val=""/>
            <m:endChr m:val=")"/>
            <m:grow/>
          </m:dPr>
          <m:e>
            <m:r>
              <m:t>ε</m:t>
            </m:r>
          </m:e>
        </m:d>
        <m:r>
          <m:rPr>
            <m:sty m:val="p"/>
          </m:rPr>
          <m:t>=</m:t>
        </m:r>
        <m:r>
          <m:rPr>
            <m:sty m:val="p"/>
          </m:rPr>
          <m:t>max</m:t>
        </m:r>
        <m:r>
          <m:rPr>
            <m:sty m:val="p"/>
          </m:rPr>
          <m:t>{</m:t>
        </m:r>
        <m:r>
          <m:t>C</m:t>
        </m:r>
        <m:r>
          <m:rPr>
            <m:sty m:val="p"/>
          </m:rPr>
          <m:t>∈</m:t>
        </m:r>
        <m:r>
          <m:rPr>
            <m:scr m:val="script"/>
            <m:sty m:val="p"/>
          </m:rPr>
          <m:t>G</m:t>
        </m:r>
        <m:r>
          <m:rPr>
            <m:sty m:val="p"/>
          </m:rPr>
          <m:t>:</m:t>
        </m:r>
        <m:r>
          <m:t> </m:t>
        </m:r>
        <m:r>
          <m:t>r</m:t>
        </m:r>
        <m:d>
          <m:dPr>
            <m:begChr m:val="("/>
            <m:sepChr m:val=""/>
            <m:endChr m:val=")"/>
            <m:grow/>
          </m:dPr>
          <m:e>
            <m:r>
              <m:t>C</m:t>
            </m:r>
          </m:e>
        </m:d>
        <m:r>
          <m:rPr>
            <m:sty m:val="p"/>
          </m:rPr>
          <m:t>≥</m:t>
        </m:r>
        <m:r>
          <m:t>0</m:t>
        </m:r>
        <m:r>
          <m:rPr>
            <m:sty m:val="p"/>
          </m:rPr>
          <m:t>,</m:t>
        </m:r>
        <m:r>
          <m:t> </m:t>
        </m:r>
        <m:sSub>
          <m:e>
            <m:r>
              <m:t>Φ</m:t>
            </m:r>
          </m:e>
          <m:sub>
            <m:r>
              <m:t>ρ</m:t>
            </m:r>
          </m:sub>
        </m:sSub>
        <m:d>
          <m:dPr>
            <m:begChr m:val="("/>
            <m:sepChr m:val=""/>
            <m:endChr m:val=")"/>
            <m:grow/>
          </m:dPr>
          <m:e>
            <m:r>
              <m:t>C</m:t>
            </m:r>
          </m:e>
        </m:d>
        <m:r>
          <m:rPr>
            <m:sty m:val="p"/>
          </m:rPr>
          <m:t>≥</m:t>
        </m:r>
        <m:r>
          <m:t>ε</m:t>
        </m:r>
        <m:r>
          <m:rPr>
            <m:sty m:val="p"/>
          </m:rPr>
          <m:t>}</m:t>
        </m:r>
      </m:oMath>
      <w:r>
        <w:t xml:space="preserve"> </w:t>
      </w:r>
      <w:r>
        <w:t xml:space="preserve">is obtained by sorting; (ii) for</w:t>
      </w:r>
      <w:r>
        <w:t xml:space="preserve"> </w:t>
      </w:r>
      <m:oMath>
        <m:r>
          <m:t>ε</m:t>
        </m:r>
        <m:r>
          <m:rPr>
            <m:sty m:val="p"/>
          </m:rPr>
          <m:t>=</m:t>
        </m:r>
        <m:r>
          <m:t>0</m:t>
        </m:r>
      </m:oMath>
      <w:r>
        <w:t xml:space="preserve"> </w:t>
      </w:r>
      <w:r>
        <w:t xml:space="preserve">it equals the sample-average capacity, the empirical</w:t>
      </w:r>
      <w:r>
        <w:t xml:space="preserve"> </w:t>
      </w:r>
      <m:oMath>
        <m:d>
          <m:dPr>
            <m:begChr m:val="("/>
            <m:sepChr m:val=""/>
            <m:endChr m:val=")"/>
            <m:grow/>
          </m:dPr>
          <m:e>
            <m:r>
              <m:t>1</m:t>
            </m:r>
            <m:r>
              <m:rPr>
                <m:sty m:val="p"/>
              </m:rPr>
              <m:t>−</m:t>
            </m:r>
            <m:r>
              <m:t>ρ</m:t>
            </m:r>
          </m:e>
        </m:d>
      </m:oMath>
      <w:r>
        <w:t xml:space="preserve">-quantile of</w:t>
      </w:r>
      <w:r>
        <w:t xml:space="preserve"> </w:t>
      </w:r>
      <m:oMath>
        <m:r>
          <m:t>ξ</m:t>
        </m:r>
      </m:oMath>
      <w:r>
        <w:t xml:space="preserve">; (iii) it is non-increasing in</w:t>
      </w:r>
      <w:r>
        <w:t xml:space="preserve"> </w:t>
      </w:r>
      <m:oMath>
        <m:r>
          <m:t>ε</m:t>
        </m:r>
      </m:oMath>
      <w:r>
        <w:t xml:space="preserve">, and it is insensitive to the radius when the days just above the commitment keep a large margin, i.e. when the capability distribution is concentrated.</w:t>
      </w:r>
      <w:r>
        <w:t xml:space="preserve"> </w:t>
      </w:r>
      <m:oMath>
        <m:sSub>
          <m:e>
            <m:r>
              <m:t>Φ</m:t>
            </m:r>
          </m:e>
          <m:sub>
            <m:r>
              <m:t>ρ</m:t>
            </m:r>
          </m:sub>
        </m:sSub>
        <m:d>
          <m:dPr>
            <m:begChr m:val="("/>
            <m:sepChr m:val=""/>
            <m:endChr m:val=")"/>
            <m:grow/>
          </m:dPr>
          <m:e>
            <m:r>
              <m:t>C</m:t>
            </m:r>
          </m:e>
        </m:d>
      </m:oMath>
      <w:r>
        <w:t xml:space="preserve"> </w:t>
      </w:r>
      <w:r>
        <w:t xml:space="preserve">is the smallest average capability loss (MW) that would push the full-delivery probability below</w:t>
      </w:r>
      <w:r>
        <w:t xml:space="preserve"> </w:t>
      </w:r>
      <m:oMath>
        <m:r>
          <m:t>ρ</m:t>
        </m:r>
      </m:oMath>
      <w:r>
        <w:t xml:space="preserve">; it is the certified reliability margin of the commitment. The proof is given in Appendix B.</w:t>
      </w:r>
    </w:p>
    <w:p>
      <w:pPr>
        <w:pStyle w:val="BodyText"/>
      </w:pPr>
      <w:r>
        <w:t xml:space="preserve">The radius is set to the expected 1-Wasserstein estimation error of the empirical distribution [29],</w:t>
      </w:r>
    </w:p>
    <w:p>
      <w:pPr>
        <w:pStyle w:val="Equation"/>
      </w:pPr>
      <w:r>
        <w:tab/>
      </w:r>
      <m:oMath>
        <m:sSub>
          <m:e>
            <m:r>
              <m:t>ε</m:t>
            </m:r>
          </m:e>
          <m:sub>
            <m:r>
              <m:t>N</m:t>
            </m:r>
          </m:sub>
        </m:sSub>
        <m:r>
          <m:rPr>
            <m:sty m:val="p"/>
          </m:rPr>
          <m:t>=</m:t>
        </m:r>
        <m:f>
          <m:fPr>
            <m:type m:val="bar"/>
          </m:fPr>
          <m:num>
            <m:r>
              <m:t>1</m:t>
            </m:r>
          </m:num>
          <m:den>
            <m:rad>
              <m:radPr>
                <m:degHide m:val="on"/>
              </m:radPr>
              <m:deg/>
              <m:e>
                <m:r>
                  <m:t>N</m:t>
                </m:r>
              </m:e>
            </m:rad>
          </m:den>
        </m:f>
        <m:r>
          <m:rPr>
            <m:sty m:val="p"/>
          </m:rPr>
          <m:t>∫</m:t>
        </m:r>
        <m:rad>
          <m:radPr>
            <m:degHide m:val="on"/>
          </m:radPr>
          <m:deg/>
          <m:e>
            <m:sSub>
              <m:e>
                <m:acc>
                  <m:accPr>
                    <m:chr m:val="̂"/>
                  </m:accPr>
                  <m:e>
                    <m:r>
                      <m:t>F</m:t>
                    </m:r>
                  </m:e>
                </m:acc>
              </m:e>
              <m:sub>
                <m:r>
                  <m:t>N</m:t>
                </m:r>
              </m:sub>
            </m:sSub>
            <m:d>
              <m:dPr>
                <m:begChr m:val="("/>
                <m:sepChr m:val=""/>
                <m:endChr m:val=")"/>
                <m:grow/>
              </m:dPr>
              <m:e>
                <m:r>
                  <m:t>ξ</m:t>
                </m:r>
              </m:e>
            </m:d>
            <m:d>
              <m:dPr>
                <m:begChr m:val="("/>
                <m:sepChr m:val=""/>
                <m:endChr m:val=")"/>
                <m:grow/>
              </m:dPr>
              <m:e>
                <m:r>
                  <m:t>1</m:t>
                </m:r>
                <m:r>
                  <m:rPr>
                    <m:sty m:val="p"/>
                  </m:rPr>
                  <m:t>−</m:t>
                </m:r>
                <m:sSub>
                  <m:e>
                    <m:acc>
                      <m:accPr>
                        <m:chr m:val="̂"/>
                      </m:accPr>
                      <m:e>
                        <m:r>
                          <m:t>F</m:t>
                        </m:r>
                      </m:e>
                    </m:acc>
                  </m:e>
                  <m:sub>
                    <m:r>
                      <m:t>N</m:t>
                    </m:r>
                  </m:sub>
                </m:sSub>
                <m:d>
                  <m:dPr>
                    <m:begChr m:val="("/>
                    <m:sepChr m:val=""/>
                    <m:endChr m:val=")"/>
                    <m:grow/>
                  </m:dPr>
                  <m:e>
                    <m:r>
                      <m:t>ξ</m:t>
                    </m:r>
                  </m:e>
                </m:d>
              </m:e>
            </m:d>
          </m:e>
        </m:rad>
        <m:r>
          <m:t> </m:t>
        </m:r>
        <m:r>
          <m:t>d</m:t>
        </m:r>
        <m:r>
          <m:t>ξ</m:t>
        </m:r>
        <m:r>
          <m:rPr>
            <m:sty m:val="p"/>
          </m:rPr>
          <m:t>,</m:t>
        </m:r>
      </m:oMath>
      <w:r>
        <w:tab/>
      </w:r>
      <w:r>
        <w:t xml:space="preserve">(18)</w:t>
      </w:r>
    </w:p>
    <w:p>
      <w:pPr>
        <w:pStyle w:val="BodyText"/>
      </w:pPr>
      <w:r>
        <w:t xml:space="preserve">which is small for a concentrated capability distribution and large for a dispersed one; a leave-one-out validation on</w:t>
      </w:r>
      <w:r>
        <w:t xml:space="preserve"> </w:t>
      </w:r>
      <m:oMath>
        <m:sSup>
          <m:e>
            <m:r>
              <m:t>Ω</m:t>
            </m:r>
          </m:e>
          <m:sup>
            <m:r>
              <m:t>D</m:t>
            </m:r>
            <m:r>
              <m:t>A</m:t>
            </m:r>
          </m:sup>
        </m:sSup>
      </m:oMath>
      <w:r>
        <w:t xml:space="preserve"> </w:t>
      </w:r>
      <w:r>
        <w:t xml:space="preserve">serves as a check (Section 5.6). Among the robustly deliverable commitments, the operator chooses the one with the lowest back-tested cost,</w:t>
      </w:r>
    </w:p>
    <w:p>
      <w:pPr>
        <w:pStyle w:val="Equation"/>
      </w:pPr>
      <w:r>
        <w:tab/>
      </w:r>
      <m:oMath>
        <m:sSup>
          <m:e>
            <m:r>
              <m:t>C</m:t>
            </m:r>
          </m:e>
          <m:sup>
            <m:r>
              <m:rPr>
                <m:sty m:val="p"/>
              </m:rPr>
              <m:t>*</m:t>
            </m:r>
          </m:sup>
        </m:sSup>
        <m:r>
          <m:rPr>
            <m:sty m:val="p"/>
          </m:rPr>
          <m:t>=</m:t>
        </m:r>
        <m:r>
          <m:rPr>
            <m:sty m:val="p"/>
          </m:rPr>
          <m:t>arg</m:t>
        </m:r>
        <m:r>
          <m:rPr>
            <m:sty m:val="p"/>
          </m:rPr>
          <m:t>min</m:t>
        </m:r>
        <m:d>
          <m:dPr>
            <m:begChr m:val="{"/>
            <m:sepChr m:val=""/>
            <m:endChr m:val="}"/>
            <m:grow/>
          </m:dPr>
          <m:e>
            <m:acc>
              <m:accPr>
                <m:chr m:val="‾"/>
              </m:accPr>
              <m:e>
                <m:r>
                  <m:t>J</m:t>
                </m:r>
              </m:e>
            </m:acc>
            <m:d>
              <m:dPr>
                <m:begChr m:val="("/>
                <m:sepChr m:val=""/>
                <m:endChr m:val=")"/>
                <m:grow/>
              </m:dPr>
              <m:e>
                <m:r>
                  <m:t>C</m:t>
                </m:r>
              </m:e>
            </m:d>
            <m:r>
              <m:rPr>
                <m:sty m:val="p"/>
              </m:rPr>
              <m:t>=</m:t>
            </m:r>
            <m:f>
              <m:fPr>
                <m:type m:val="lin"/>
              </m:fPr>
              <m:num>
                <m:r>
                  <m:t>1</m:t>
                </m:r>
              </m:num>
              <m:den>
                <m:r>
                  <m:t>N</m:t>
                </m:r>
              </m:den>
            </m:f>
            <m:nary>
              <m:naryPr>
                <m:chr m:val="∑"/>
                <m:limLoc m:val="undOvr"/>
                <m:subHide m:val="off"/>
                <m:supHide m:val="on"/>
              </m:naryPr>
              <m:sub>
                <m:r>
                  <m:t>d</m:t>
                </m:r>
              </m:sub>
              <m:sup>
                <m:r>
                  <m:t>​</m:t>
                </m:r>
              </m:sup>
              <m:e>
                <m:sSub>
                  <m:e>
                    <m:r>
                      <m:t>J</m:t>
                    </m:r>
                  </m:e>
                  <m:sub>
                    <m:r>
                      <m:t>d</m:t>
                    </m:r>
                  </m:sub>
                </m:sSub>
              </m:e>
            </m:nary>
            <m:d>
              <m:dPr>
                <m:begChr m:val="("/>
                <m:sepChr m:val=""/>
                <m:endChr m:val=")"/>
                <m:grow/>
              </m:dPr>
              <m:e>
                <m:r>
                  <m:t>C</m:t>
                </m:r>
              </m:e>
            </m:d>
            <m:r>
              <m:rPr>
                <m:sty m:val="p"/>
              </m:rPr>
              <m:t>:</m:t>
            </m:r>
            <m:r>
              <m:t> </m:t>
            </m:r>
            <m:r>
              <m:t>C</m:t>
            </m:r>
            <m:r>
              <m:rPr>
                <m:sty m:val="p"/>
              </m:rPr>
              <m:t>∈</m:t>
            </m:r>
            <m:r>
              <m:rPr>
                <m:scr m:val="script"/>
                <m:sty m:val="p"/>
              </m:rPr>
              <m:t>G</m:t>
            </m:r>
            <m:r>
              <m:rPr>
                <m:sty m:val="p"/>
              </m:rPr>
              <m:t>,</m:t>
            </m:r>
            <m:r>
              <m:t> </m:t>
            </m:r>
            <m:r>
              <m:t>C</m:t>
            </m:r>
            <m:r>
              <m:rPr>
                <m:sty m:val="p"/>
              </m:rPr>
              <m:t>≤</m:t>
            </m:r>
            <m:sSubSup>
              <m:e>
                <m:r>
                  <m:t>C</m:t>
                </m:r>
              </m:e>
              <m:sub>
                <m:r>
                  <m:t>ρ</m:t>
                </m:r>
              </m:sub>
              <m:sup>
                <m:r>
                  <m:t>D</m:t>
                </m:r>
                <m:r>
                  <m:t>R</m:t>
                </m:r>
                <m:r>
                  <m:t>O</m:t>
                </m:r>
              </m:sup>
            </m:sSubSup>
            <m:d>
              <m:dPr>
                <m:begChr m:val="("/>
                <m:sepChr m:val=""/>
                <m:endChr m:val=")"/>
                <m:grow/>
              </m:dPr>
              <m:e>
                <m:r>
                  <m:t>ε</m:t>
                </m:r>
              </m:e>
            </m:d>
          </m:e>
        </m:d>
        <m:r>
          <m:rPr>
            <m:sty m:val="p"/>
          </m:rPr>
          <m:t>.</m:t>
        </m:r>
      </m:oMath>
      <w:r>
        <w:tab/>
      </w:r>
      <w:r>
        <w:t xml:space="preserve">(19)</w:t>
      </w:r>
    </w:p>
    <w:p>
      <w:pPr>
        <w:pStyle w:val="BodyText"/>
      </w:pPr>
      <w:r>
        <w:t xml:space="preserve">Every strategy can be paired with this procedure, which makes the endogenous-commitment comparison of Section 5.6 fair: all strategies use the same days, the same objective and the same reliability target.</w:t>
      </w:r>
    </w:p>
    <w:p>
      <w:pPr>
        <w:pStyle w:val="BodyText"/>
      </w:pPr>
      <w:r>
        <w:t xml:space="preserve">For comparison, the commitments can also be obtained from a two-stage stochastic MILP with perfect recourse, in which</w:t>
      </w:r>
      <w:r>
        <w:t xml:space="preserve"> </w:t>
      </w:r>
      <m:oMath>
        <m:r>
          <m:rPr>
            <m:sty m:val="b"/>
          </m:rPr>
          <m:t>C</m:t>
        </m:r>
      </m:oMath>
      <w:r>
        <w:t xml:space="preserve"> </w:t>
      </w:r>
      <w:r>
        <w:t xml:space="preserve">is the first-stage decision and the joint recovery model (2)–(11) of every scenario is the second stage,</w:t>
      </w:r>
    </w:p>
    <w:p>
      <w:pPr>
        <w:pStyle w:val="Equation"/>
      </w:pPr>
      <w:r>
        <w:tab/>
      </w:r>
      <m:oMath>
        <m:sSub>
          <m:e>
            <m:r>
              <m:rPr>
                <m:sty m:val="p"/>
              </m:rPr>
              <m:t>min</m:t>
            </m:r>
          </m:e>
          <m:sub>
            <m:r>
              <m:rPr>
                <m:sty m:val="b"/>
              </m:rPr>
              <m:t>C</m:t>
            </m:r>
          </m:sub>
        </m:sSub>
        <m:r>
          <m:t> </m:t>
        </m:r>
        <m:r>
          <m:rPr>
            <m:sty m:val="p"/>
          </m:rPr>
          <m:t>−</m:t>
        </m:r>
        <m:sSup>
          <m:e>
            <m:r>
              <m:t>ϵ</m:t>
            </m:r>
          </m:e>
          <m:sup>
            <m:r>
              <m:t>C</m:t>
            </m:r>
          </m:sup>
        </m:sSup>
        <m:nary>
          <m:naryPr>
            <m:chr m:val="∑"/>
            <m:limLoc m:val="undOvr"/>
            <m:subHide m:val="off"/>
            <m:supHide m:val="on"/>
          </m:naryPr>
          <m:sub>
            <m:r>
              <m:t>k</m:t>
            </m:r>
          </m:sub>
          <m:sup>
            <m:r>
              <m:t>​</m:t>
            </m:r>
          </m:sup>
          <m:e>
            <m:sSub>
              <m:e>
                <m:r>
                  <m:t>C</m:t>
                </m:r>
              </m:e>
              <m:sub>
                <m:r>
                  <m:t>k</m:t>
                </m:r>
              </m:sub>
            </m:sSub>
          </m:e>
        </m:nary>
        <m:r>
          <m:rPr>
            <m:sty m:val="p"/>
          </m:rPr>
          <m:t>+</m:t>
        </m:r>
        <m:nary>
          <m:naryPr>
            <m:chr m:val="∑"/>
            <m:limLoc m:val="undOvr"/>
            <m:subHide m:val="off"/>
            <m:supHide m:val="on"/>
          </m:naryPr>
          <m:sub>
            <m:r>
              <m:t>ω</m:t>
            </m:r>
          </m:sub>
          <m:sup>
            <m:r>
              <m:t>​</m:t>
            </m:r>
          </m:sup>
          <m:e>
            <m:sSub>
              <m:e>
                <m:r>
                  <m:t>p</m:t>
                </m:r>
              </m:e>
              <m:sub>
                <m:r>
                  <m:t>ω</m:t>
                </m:r>
              </m:sub>
            </m:sSub>
          </m:e>
        </m:nary>
        <m:sSub>
          <m:e>
            <m:r>
              <m:t>J</m:t>
            </m:r>
          </m:e>
          <m:sub>
            <m:r>
              <m:t>ω</m:t>
            </m:r>
          </m:sub>
        </m:sSub>
        <m:d>
          <m:dPr>
            <m:begChr m:val="("/>
            <m:sepChr m:val=""/>
            <m:endChr m:val=")"/>
            <m:grow/>
          </m:dPr>
          <m:e>
            <m:r>
              <m:rPr>
                <m:sty m:val="b"/>
              </m:rPr>
              <m:t>C</m:t>
            </m:r>
          </m:e>
        </m:d>
        <m:r>
          <m:rPr>
            <m:sty m:val="p"/>
          </m:rPr>
          <m:t>,</m:t>
        </m:r>
        <m:r>
          <m:t>  </m:t>
        </m:r>
        <m:sSub>
          <m:e>
            <m:acc>
              <m:accPr>
                <m:chr m:val="‾"/>
              </m:accPr>
              <m:e>
                <m:r>
                  <m:t>r</m:t>
                </m:r>
              </m:e>
            </m:acc>
          </m:e>
          <m:sub>
            <m:r>
              <m:t>k</m:t>
            </m:r>
            <m:r>
              <m:rPr>
                <m:sty m:val="p"/>
              </m:rPr>
              <m:t>,</m:t>
            </m:r>
            <m:r>
              <m:t>ω</m:t>
            </m:r>
          </m:sub>
        </m:sSub>
        <m:r>
          <m:rPr>
            <m:sty m:val="p"/>
          </m:rPr>
          <m:t>≥</m:t>
        </m:r>
        <m:d>
          <m:dPr>
            <m:begChr m:val="("/>
            <m:sepChr m:val=""/>
            <m:endChr m:val=")"/>
            <m:grow/>
          </m:dPr>
          <m:e>
            <m:r>
              <m:t>1</m:t>
            </m:r>
            <m:r>
              <m:rPr>
                <m:sty m:val="p"/>
              </m:rPr>
              <m:t>−</m:t>
            </m:r>
            <m:sSub>
              <m:e>
                <m:r>
                  <m:t>ϵ</m:t>
                </m:r>
              </m:e>
              <m:sub>
                <m:r>
                  <m:t>f</m:t>
                </m:r>
              </m:sub>
            </m:sSub>
          </m:e>
        </m:d>
        <m:sSub>
          <m:e>
            <m:r>
              <m:t>C</m:t>
            </m:r>
          </m:e>
          <m:sub>
            <m:r>
              <m:t>k</m:t>
            </m:r>
          </m:sub>
        </m:sSub>
        <m:r>
          <m:rPr>
            <m:sty m:val="p"/>
          </m:rPr>
          <m:t>−</m:t>
        </m:r>
        <m:r>
          <m:t>M</m:t>
        </m:r>
        <m:d>
          <m:dPr>
            <m:begChr m:val="("/>
            <m:sepChr m:val=""/>
            <m:endChr m:val=")"/>
            <m:grow/>
          </m:dPr>
          <m:e>
            <m:r>
              <m:t>1</m:t>
            </m:r>
            <m:r>
              <m:rPr>
                <m:sty m:val="p"/>
              </m:rPr>
              <m:t>−</m:t>
            </m:r>
            <m:sSub>
              <m:e>
                <m:r>
                  <m:t>u</m:t>
                </m:r>
              </m:e>
              <m:sub>
                <m:r>
                  <m:t>ω</m:t>
                </m:r>
              </m:sub>
            </m:sSub>
          </m:e>
        </m:d>
        <m:r>
          <m:t> </m:t>
        </m:r>
        <m:r>
          <m:rPr>
            <m:sty m:val="p"/>
          </m:rPr>
          <m:t>∀</m:t>
        </m:r>
        <m:r>
          <m:t>k</m:t>
        </m:r>
        <m:r>
          <m:rPr>
            <m:sty m:val="p"/>
          </m:rPr>
          <m:t>,</m:t>
        </m:r>
        <m:r>
          <m:t> </m:t>
        </m:r>
        <m:nary>
          <m:naryPr>
            <m:chr m:val="∑"/>
            <m:limLoc m:val="undOvr"/>
            <m:subHide m:val="off"/>
            <m:supHide m:val="on"/>
          </m:naryPr>
          <m:sub>
            <m:r>
              <m:t>ω</m:t>
            </m:r>
          </m:sub>
          <m:sup>
            <m:r>
              <m:t>​</m:t>
            </m:r>
          </m:sup>
          <m:e>
            <m:sSub>
              <m:e>
                <m:r>
                  <m:t>p</m:t>
                </m:r>
              </m:e>
              <m:sub>
                <m:r>
                  <m:t>ω</m:t>
                </m:r>
              </m:sub>
            </m:sSub>
          </m:e>
        </m:nary>
        <m:sSub>
          <m:e>
            <m:r>
              <m:t>u</m:t>
            </m:r>
          </m:e>
          <m:sub>
            <m:r>
              <m:t>ω</m:t>
            </m:r>
          </m:sub>
        </m:sSub>
        <m:r>
          <m:rPr>
            <m:sty m:val="p"/>
          </m:rPr>
          <m:t>≥</m:t>
        </m:r>
        <m:r>
          <m:t>ρ</m:t>
        </m:r>
        <m:r>
          <m:rPr>
            <m:sty m:val="p"/>
          </m:rPr>
          <m:t>.</m:t>
        </m:r>
      </m:oMath>
      <w:r>
        <w:tab/>
      </w:r>
      <w:r>
        <w:t xml:space="preserve">(20)</w:t>
      </w:r>
    </w:p>
    <w:p>
      <w:pPr>
        <w:pStyle w:val="BodyText"/>
      </w:pPr>
      <w:r>
        <w:t xml:space="preserve">Because the recourse of (20) knows each scenario in advance, it measures the physical consecutive capability. In the case study it returns the single-event capabilities (8.18/7.98 MW in S1) and thus overstates the firm consecutive capacity that a real controller delivers. Two-stage distributionally robust models solved by column-and-constraint generation share this recourse structure; the closed-loop capability (15) avoids it.</w:t>
      </w:r>
    </w:p>
    <w:bookmarkEnd w:id="40"/>
    <w:bookmarkStart w:id="41" w:name="intraday-cross-event-joint-recovery-mpc"/>
    <w:p>
      <w:pPr>
        <w:pStyle w:val="Heading2"/>
      </w:pPr>
      <w:r>
        <w:t xml:space="preserve">4.2 Intraday cross-event joint recovery MPC</w:t>
      </w:r>
    </w:p>
    <w:p>
      <w:pPr>
        <w:pStyle w:val="FirstParagraph"/>
      </w:pPr>
      <w:r>
        <w:t xml:space="preserve">Every 15 min the controller solves (2)–(11) over an 18-h horizon with the measured state, forecasts corrected by the latest observed errors and the terminal state references of the day-ahead plan, and applies the first-step decisions (JR-D). Because all confirmed events are visible within the horizon, the controller decides at every step which debt to repay first: it carries long-deadline backlog across events when doing so frees the channel for the storage the next event needs, and it repays the debts that would otherwise fall due. The scenario variant JR-S replaces the forecast by a scenario tree with non-anticipative first-step decisions, in which an event that is not yet confirmed appears only in the scenarios in which it is called. The plant replay enforces the physical limits in the order storage, cold storage and deferrable computing, so that the grid import never exceeds</w:t>
      </w:r>
      <w:r>
        <w:t xml:space="preserve"> </w:t>
      </w:r>
      <m:oMath>
        <m:sSup>
          <m:e>
            <m:r>
              <m:t>P</m:t>
            </m:r>
          </m:e>
          <m:sup>
            <m:r>
              <m:t>c</m:t>
            </m:r>
            <m:r>
              <m:t>a</m:t>
            </m:r>
            <m:r>
              <m:t>p</m:t>
            </m:r>
          </m:sup>
        </m:sSup>
      </m:oMath>
      <w:r>
        <w:t xml:space="preserve">. Table 2 summarises both layers as Algorithm 1.</w:t>
      </w:r>
    </w:p>
    <w:p>
      <w:pPr>
        <w:pStyle w:val="TableCaption"/>
      </w:pPr>
      <w:r>
        <w:rPr>
          <w:bCs/>
          <w:b/>
        </w:rPr>
        <w:t xml:space="preserve">Table 2.</w:t>
      </w:r>
      <w:r>
        <w:t xml:space="preserve"> </w:t>
      </w:r>
      <w:r>
        <w:t xml:space="preserve">Recovery-aware commitment and cross-event joint recovery.</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454"/>
        <w:gridCol w:w="8616"/>
      </w:tblGrid>
      <w:tr>
        <w:trPr>
          <w:tblHeader w:val="true"/>
        </w:trPr>
        <w:tc>
          <w:tcPr>
            <w:tcW w:w="454" w:type="dxa"/>
            <w:tcBorders>
              <w:bottom w:val="single" w:sz="4" w:space="0" w:color="000000"/>
            </w:tcBorders>
          </w:tcPr>
          <w:p>
            <w:pPr>
              <w:pStyle w:val="TableText"/>
            </w:pPr>
          </w:p>
        </w:tc>
        <w:tc>
          <w:tcPr>
            <w:tcW w:w="8616" w:type="dxa"/>
            <w:tcBorders>
              <w:bottom w:val="single" w:sz="4" w:space="0" w:color="000000"/>
            </w:tcBorders>
          </w:tcPr>
          <w:p>
            <w:pPr>
              <w:pStyle w:val="TableText"/>
              <w:jc w:val="left"/>
            </w:pPr>
            <w:r>
              <w:rPr>
                <w:bCs/>
                <w:b/>
              </w:rPr>
              <w:t xml:space="preserve">Algorithm 1</w:t>
            </w:r>
          </w:p>
        </w:tc>
      </w:tr>
      <w:tr>
        <w:tc>
          <w:tcPr>
            <w:tcW w:w="454" w:type="dxa"/>
          </w:tcPr>
          <w:p>
            <w:pPr>
              <w:pStyle w:val="TableText"/>
            </w:pPr>
          </w:p>
        </w:tc>
        <w:tc>
          <w:tcPr>
            <w:tcW w:w="8616" w:type="dxa"/>
          </w:tcPr>
          <w:p>
            <w:pPr>
              <w:pStyle w:val="TableText"/>
              <w:jc w:val="left"/>
            </w:pPr>
            <w:r>
              <w:rPr>
                <w:bCs/>
                <w:b/>
              </w:rPr>
              <w:t xml:space="preserve">Input:</w:t>
            </w:r>
            <w:r>
              <w:t xml:space="preserve"> </w:t>
            </w:r>
            <w:r>
              <w:t xml:space="preserve">historical days</w:t>
            </w:r>
            <w:r>
              <w:t xml:space="preserve"> </w:t>
            </w:r>
            <m:oMath>
              <m:sSup>
                <m:e>
                  <m:r>
                    <m:t>Ω</m:t>
                  </m:r>
                </m:e>
                <m:sup>
                  <m:r>
                    <m:t>D</m:t>
                  </m:r>
                  <m:r>
                    <m:t>A</m:t>
                  </m:r>
                </m:sup>
              </m:sSup>
            </m:oMath>
            <w:r>
              <w:t xml:space="preserve">, operating days</w:t>
            </w:r>
            <w:r>
              <w:t xml:space="preserve"> </w:t>
            </w:r>
            <m:oMath>
              <m:r>
                <m:t>Ω</m:t>
              </m:r>
            </m:oMath>
            <w:r>
              <w:t xml:space="preserve">, commitment grid</w:t>
            </w:r>
            <w:r>
              <w:t xml:space="preserve"> </w:t>
            </w:r>
            <m:oMath>
              <m:r>
                <m:rPr>
                  <m:scr m:val="script"/>
                  <m:sty m:val="p"/>
                </m:rPr>
                <m:t>G</m:t>
              </m:r>
            </m:oMath>
            <w:r>
              <w:t xml:space="preserve">, reliability</w:t>
            </w:r>
            <w:r>
              <w:t xml:space="preserve"> </w:t>
            </w:r>
            <m:oMath>
              <m:r>
                <m:t>ρ</m:t>
              </m:r>
            </m:oMath>
            <w:r>
              <w:t xml:space="preserve">, event set</w:t>
            </w:r>
            <w:r>
              <w:t xml:space="preserve"> </w:t>
            </w:r>
            <m:oMath>
              <m:r>
                <m:rPr>
                  <m:scr m:val="script"/>
                  <m:sty m:val="p"/>
                </m:rPr>
                <m:t>K</m:t>
              </m:r>
            </m:oMath>
            <w:r>
              <w:t xml:space="preserve">, horizon</w:t>
            </w:r>
            <w:r>
              <w:t xml:space="preserve"> </w:t>
            </w:r>
            <m:oMath>
              <m:r>
                <m:t>H</m:t>
              </m:r>
            </m:oMath>
            <w:r>
              <w:t xml:space="preserve">, plant parameters</w:t>
            </w:r>
          </w:p>
        </w:tc>
      </w:tr>
      <w:tr>
        <w:tc>
          <w:tcPr>
            <w:tcW w:w="454" w:type="dxa"/>
          </w:tcPr>
          <w:p>
            <w:pPr>
              <w:pStyle w:val="TableText"/>
            </w:pPr>
          </w:p>
        </w:tc>
        <w:tc>
          <w:tcPr>
            <w:tcW w:w="8616" w:type="dxa"/>
          </w:tcPr>
          <w:p>
            <w:pPr>
              <w:pStyle w:val="TableText"/>
              <w:jc w:val="left"/>
            </w:pPr>
            <w:r>
              <w:rPr>
                <w:bCs/>
                <w:b/>
              </w:rPr>
              <w:t xml:space="preserve">Output:</w:t>
            </w:r>
            <w:r>
              <w:t xml:space="preserve"> </w:t>
            </w:r>
            <w:r>
              <w:t xml:space="preserve">commitment</w:t>
            </w:r>
            <w:r>
              <w:t xml:space="preserve"> </w:t>
            </w:r>
            <m:oMath>
              <m:sSup>
                <m:e>
                  <m:r>
                    <m:t>C</m:t>
                  </m:r>
                </m:e>
                <m:sup>
                  <m:r>
                    <m:rPr>
                      <m:sty m:val="p"/>
                    </m:rPr>
                    <m:t>*</m:t>
                  </m:r>
                </m:sup>
              </m:sSup>
            </m:oMath>
            <w:r>
              <w:t xml:space="preserve">, firm capacity</w:t>
            </w:r>
            <w:r>
              <w:t xml:space="preserve"> </w:t>
            </w:r>
            <m:oMath>
              <m:sSubSup>
                <m:e>
                  <m:acc>
                    <m:accPr>
                      <m:chr m:val="̂"/>
                    </m:accPr>
                    <m:e>
                      <m:r>
                        <m:t>C</m:t>
                      </m:r>
                    </m:e>
                  </m:acc>
                </m:e>
                <m:sub>
                  <m:r>
                    <m:t>ρ</m:t>
                  </m:r>
                </m:sub>
                <m:sup>
                  <m:r>
                    <m:t>f</m:t>
                  </m:r>
                  <m:r>
                    <m:t>i</m:t>
                  </m:r>
                  <m:r>
                    <m:t>r</m:t>
                  </m:r>
                  <m:r>
                    <m:t>m</m:t>
                  </m:r>
                </m:sup>
              </m:sSubSup>
            </m:oMath>
            <w:r>
              <w:t xml:space="preserve">, closed-loop trajectories</w:t>
            </w:r>
          </w:p>
        </w:tc>
      </w:tr>
      <w:tr>
        <w:tc>
          <w:tcPr>
            <w:tcW w:w="454" w:type="dxa"/>
          </w:tcPr>
          <w:p>
            <w:pPr>
              <w:pStyle w:val="TableText"/>
              <w:jc w:val="left"/>
            </w:pPr>
            <w:r>
              <w:t xml:space="preserve">1</w:t>
            </w:r>
          </w:p>
        </w:tc>
        <w:tc>
          <w:tcPr>
            <w:tcW w:w="8616" w:type="dxa"/>
          </w:tcPr>
          <w:p>
            <w:pPr>
              <w:pStyle w:val="TableText"/>
              <w:jc w:val="left"/>
            </w:pPr>
            <w:r>
              <w:rPr>
                <w:bCs/>
                <w:b/>
              </w:rPr>
              <w:t xml:space="preserve">Day-ahead recovery-aware commitment</w:t>
            </w:r>
            <w:r>
              <w:t xml:space="preserve"> </w:t>
            </w:r>
            <w:r>
              <w:t xml:space="preserve">(Eqs. (15)–(19))</w:t>
            </w:r>
          </w:p>
        </w:tc>
      </w:tr>
      <w:tr>
        <w:tc>
          <w:tcPr>
            <w:tcW w:w="454" w:type="dxa"/>
          </w:tcPr>
          <w:p>
            <w:pPr>
              <w:pStyle w:val="TableText"/>
              <w:jc w:val="left"/>
            </w:pPr>
            <w:r>
              <w:t xml:space="preserve">2</w:t>
            </w:r>
          </w:p>
        </w:tc>
        <w:tc>
          <w:tcPr>
            <w:tcW w:w="8616" w:type="dxa"/>
          </w:tcPr>
          <w:p>
            <w:pPr>
              <w:pStyle w:val="TableText"/>
              <w:jc w:val="left"/>
            </w:pPr>
            <w:r>
              <w:t xml:space="preserve"> for</w:t>
            </w:r>
            <w:r>
              <w:t xml:space="preserve"> </w:t>
            </w:r>
            <m:oMath>
              <m:r>
                <m:t>C</m:t>
              </m:r>
              <m:r>
                <m:rPr>
                  <m:sty m:val="p"/>
                </m:rPr>
                <m:t>∈</m:t>
              </m:r>
              <m:r>
                <m:rPr>
                  <m:scr m:val="script"/>
                  <m:sty m:val="p"/>
                </m:rPr>
                <m:t>G</m:t>
              </m:r>
            </m:oMath>
            <w:r>
              <w:t xml:space="preserve"> </w:t>
            </w:r>
            <w:r>
              <w:t xml:space="preserve">in increasing order and every day</w:t>
            </w:r>
            <w:r>
              <w:t xml:space="preserve"> </w:t>
            </w:r>
            <m:oMath>
              <m:r>
                <m:t>d</m:t>
              </m:r>
              <m:r>
                <m:rPr>
                  <m:sty m:val="p"/>
                </m:rPr>
                <m:t>∈</m:t>
              </m:r>
              <m:sSup>
                <m:e>
                  <m:r>
                    <m:t>Ω</m:t>
                  </m:r>
                </m:e>
                <m:sup>
                  <m:r>
                    <m:t>D</m:t>
                  </m:r>
                  <m:r>
                    <m:t>A</m:t>
                  </m:r>
                </m:sup>
              </m:sSup>
            </m:oMath>
            <w:r>
              <w:t xml:space="preserve"> </w:t>
            </w:r>
            <w:r>
              <w:t xml:space="preserve">that delivered all smaller</w:t>
            </w:r>
            <w:r>
              <w:t xml:space="preserve"> </w:t>
            </w:r>
            <m:oMath>
              <m:r>
                <m:t>C</m:t>
              </m:r>
            </m:oMath>
            <w:r>
              <w:t xml:space="preserve">: run the closed loop (steps 7–12) → cost</w:t>
            </w:r>
            <w:r>
              <w:t xml:space="preserve"> </w:t>
            </w:r>
            <m:oMath>
              <m:sSub>
                <m:e>
                  <m:r>
                    <m:t>J</m:t>
                  </m:r>
                </m:e>
                <m:sub>
                  <m:r>
                    <m:t>d</m:t>
                  </m:r>
                </m:sub>
              </m:sSub>
              <m:d>
                <m:dPr>
                  <m:begChr m:val="("/>
                  <m:sepChr m:val=""/>
                  <m:endChr m:val=")"/>
                  <m:grow/>
                </m:dPr>
                <m:e>
                  <m:r>
                    <m:t>C</m:t>
                  </m:r>
                </m:e>
              </m:d>
            </m:oMath>
            <w:r>
              <w:t xml:space="preserve"> </w:t>
            </w:r>
            <w:r>
              <w:t xml:space="preserve">and full delivery; capability</w:t>
            </w:r>
            <w:r>
              <w:t xml:space="preserve"> </w:t>
            </w:r>
            <m:oMath>
              <m:sSub>
                <m:e>
                  <m:r>
                    <m:t>ξ</m:t>
                  </m:r>
                </m:e>
                <m:sub>
                  <m:r>
                    <m:t>d</m:t>
                  </m:r>
                </m:sub>
              </m:sSub>
            </m:oMath>
            <w:r>
              <w:t xml:space="preserve"> </w:t>
            </w:r>
            <w:r>
              <w:t xml:space="preserve">(15)</w:t>
            </w:r>
          </w:p>
        </w:tc>
      </w:tr>
      <w:tr>
        <w:tc>
          <w:tcPr>
            <w:tcW w:w="454" w:type="dxa"/>
          </w:tcPr>
          <w:p>
            <w:pPr>
              <w:pStyle w:val="TableText"/>
              <w:jc w:val="left"/>
            </w:pPr>
            <w:r>
              <w:t xml:space="preserve">3</w:t>
            </w:r>
          </w:p>
        </w:tc>
        <w:tc>
          <w:tcPr>
            <w:tcW w:w="8616" w:type="dxa"/>
          </w:tcPr>
          <w:p>
            <w:pPr>
              <w:pStyle w:val="TableText"/>
              <w:jc w:val="left"/>
            </w:pPr>
            <w:r>
              <w:t xml:space="preserve"> </w:t>
            </w:r>
            <m:oMath>
              <m:r>
                <m:t>ε</m:t>
              </m:r>
              <m:r>
                <m:rPr>
                  <m:sty m:val="p"/>
                </m:rPr>
                <m:t>←</m:t>
              </m:r>
              <m:sSub>
                <m:e>
                  <m:r>
                    <m:t>ε</m:t>
                  </m:r>
                </m:e>
                <m:sub>
                  <m:r>
                    <m:t>N</m:t>
                  </m:r>
                </m:sub>
              </m:sSub>
            </m:oMath>
            <w:r>
              <w:t xml:space="preserve"> </w:t>
            </w:r>
            <w:r>
              <w:t xml:space="preserve">(18);</w:t>
            </w:r>
            <w:r>
              <w:t xml:space="preserve"> </w:t>
            </w:r>
            <m:oMath>
              <m:sSubSup>
                <m:e>
                  <m:r>
                    <m:t>C</m:t>
                  </m:r>
                </m:e>
                <m:sub>
                  <m:r>
                    <m:t>ρ</m:t>
                  </m:r>
                </m:sub>
                <m:sup>
                  <m:r>
                    <m:t>D</m:t>
                  </m:r>
                  <m:r>
                    <m:t>R</m:t>
                  </m:r>
                  <m:r>
                    <m:t>O</m:t>
                  </m:r>
                </m:sup>
              </m:sSubSup>
              <m:r>
                <m:rPr>
                  <m:sty m:val="p"/>
                </m:rPr>
                <m:t>←</m:t>
              </m:r>
              <m:r>
                <m:rPr>
                  <m:sty m:val="p"/>
                </m:rPr>
                <m:t>max</m:t>
              </m:r>
              <m:r>
                <m:rPr>
                  <m:sty m:val="p"/>
                </m:rPr>
                <m:t>{</m:t>
              </m:r>
              <m:r>
                <m:t>C</m:t>
              </m:r>
              <m:r>
                <m:rPr>
                  <m:sty m:val="p"/>
                </m:rPr>
                <m:t>:</m:t>
              </m:r>
              <m:r>
                <m:t> </m:t>
              </m:r>
              <m:sSub>
                <m:e>
                  <m:r>
                    <m:t>Φ</m:t>
                  </m:r>
                </m:e>
                <m:sub>
                  <m:r>
                    <m:t>ρ</m:t>
                  </m:r>
                </m:sub>
              </m:sSub>
              <m:d>
                <m:dPr>
                  <m:begChr m:val="("/>
                  <m:sepChr m:val=""/>
                  <m:endChr m:val=")"/>
                  <m:grow/>
                </m:dPr>
                <m:e>
                  <m:r>
                    <m:t>C</m:t>
                  </m:r>
                </m:e>
              </m:d>
              <m:r>
                <m:rPr>
                  <m:sty m:val="p"/>
                </m:rPr>
                <m:t>≥</m:t>
              </m:r>
              <m:r>
                <m:t>ε</m:t>
              </m:r>
              <m:r>
                <m:rPr>
                  <m:sty m:val="p"/>
                </m:rPr>
                <m:t>}</m:t>
              </m:r>
            </m:oMath>
            <w:r>
              <w:t xml:space="preserve"> </w:t>
            </w:r>
            <w:r>
              <w:t xml:space="preserve">(17);</w:t>
            </w:r>
            <w:r>
              <w:t xml:space="preserve"> </w:t>
            </w:r>
            <m:oMath>
              <m:sSup>
                <m:e>
                  <m:r>
                    <m:t>C</m:t>
                  </m:r>
                </m:e>
                <m:sup>
                  <m:r>
                    <m:rPr>
                      <m:sty m:val="p"/>
                    </m:rPr>
                    <m:t>*</m:t>
                  </m:r>
                </m:sup>
              </m:sSup>
              <m:r>
                <m:rPr>
                  <m:sty m:val="p"/>
                </m:rPr>
                <m:t>←</m:t>
              </m:r>
              <m:r>
                <m:rPr>
                  <m:sty m:val="p"/>
                </m:rPr>
                <m:t>arg</m:t>
              </m:r>
              <m:r>
                <m:rPr>
                  <m:sty m:val="p"/>
                </m:rPr>
                <m:t>min</m:t>
              </m:r>
              <m:r>
                <m:rPr>
                  <m:sty m:val="p"/>
                </m:rPr>
                <m:t>{</m:t>
              </m:r>
              <m:acc>
                <m:accPr>
                  <m:chr m:val="‾"/>
                </m:accPr>
                <m:e>
                  <m:r>
                    <m:t>J</m:t>
                  </m:r>
                </m:e>
              </m:acc>
              <m:d>
                <m:dPr>
                  <m:begChr m:val="("/>
                  <m:sepChr m:val=""/>
                  <m:endChr m:val=")"/>
                  <m:grow/>
                </m:dPr>
                <m:e>
                  <m:r>
                    <m:t>C</m:t>
                  </m:r>
                </m:e>
              </m:d>
              <m:r>
                <m:rPr>
                  <m:sty m:val="p"/>
                </m:rPr>
                <m:t>:</m:t>
              </m:r>
              <m:r>
                <m:t> </m:t>
              </m:r>
              <m:r>
                <m:t>C</m:t>
              </m:r>
              <m:r>
                <m:rPr>
                  <m:sty m:val="p"/>
                </m:rPr>
                <m:t>≤</m:t>
              </m:r>
              <m:sSubSup>
                <m:e>
                  <m:r>
                    <m:t>C</m:t>
                  </m:r>
                </m:e>
                <m:sub>
                  <m:r>
                    <m:t>ρ</m:t>
                  </m:r>
                </m:sub>
                <m:sup>
                  <m:r>
                    <m:t>D</m:t>
                  </m:r>
                  <m:r>
                    <m:t>R</m:t>
                  </m:r>
                  <m:r>
                    <m:t>O</m:t>
                  </m:r>
                </m:sup>
              </m:sSubSup>
              <m:r>
                <m:rPr>
                  <m:sty m:val="p"/>
                </m:rPr>
                <m:t>}</m:t>
              </m:r>
            </m:oMath>
            <w:r>
              <w:t xml:space="preserve"> </w:t>
            </w:r>
            <w:r>
              <w:t xml:space="preserve">(19)</w:t>
            </w:r>
          </w:p>
        </w:tc>
      </w:tr>
      <w:tr>
        <w:tc>
          <w:tcPr>
            <w:tcW w:w="454" w:type="dxa"/>
          </w:tcPr>
          <w:p>
            <w:pPr>
              <w:pStyle w:val="TableText"/>
              <w:jc w:val="left"/>
            </w:pPr>
            <w:r>
              <w:t xml:space="preserve">4</w:t>
            </w:r>
          </w:p>
        </w:tc>
        <w:tc>
          <w:tcPr>
            <w:tcW w:w="8616" w:type="dxa"/>
          </w:tcPr>
          <w:p>
            <w:pPr>
              <w:pStyle w:val="TableText"/>
              <w:jc w:val="left"/>
            </w:pPr>
            <w:r>
              <w:rPr>
                <w:bCs/>
                <w:b/>
              </w:rPr>
              <w:t xml:space="preserve">Firm capacity on the operating days</w:t>
            </w:r>
            <w:r>
              <w:t xml:space="preserve"> </w:t>
            </w:r>
            <w:r>
              <w:t xml:space="preserve">(SAA, Eq. (13))</w:t>
            </w:r>
          </w:p>
        </w:tc>
      </w:tr>
      <w:tr>
        <w:tc>
          <w:tcPr>
            <w:tcW w:w="454" w:type="dxa"/>
          </w:tcPr>
          <w:p>
            <w:pPr>
              <w:pStyle w:val="TableText"/>
              <w:jc w:val="left"/>
            </w:pPr>
            <w:r>
              <w:t xml:space="preserve">5</w:t>
            </w:r>
          </w:p>
        </w:tc>
        <w:tc>
          <w:tcPr>
            <w:tcW w:w="8616" w:type="dxa"/>
          </w:tcPr>
          <w:p>
            <w:pPr>
              <w:pStyle w:val="TableText"/>
              <w:jc w:val="left"/>
            </w:pPr>
            <w:r>
              <w:t xml:space="preserve"> for every</w:t>
            </w:r>
            <w:r>
              <w:t xml:space="preserve"> </w:t>
            </w:r>
            <m:oMath>
              <m:r>
                <m:t>C</m:t>
              </m:r>
              <m:r>
                <m:rPr>
                  <m:sty m:val="p"/>
                </m:rPr>
                <m:t>∈</m:t>
              </m:r>
              <m:r>
                <m:rPr>
                  <m:scr m:val="script"/>
                  <m:sty m:val="p"/>
                </m:rPr>
                <m:t>G</m:t>
              </m:r>
            </m:oMath>
            <w:r>
              <w:t xml:space="preserve"> </w:t>
            </w:r>
            <w:r>
              <w:t xml:space="preserve">and</w:t>
            </w:r>
            <w:r>
              <w:t xml:space="preserve"> </w:t>
            </w:r>
            <m:oMath>
              <m:r>
                <m:t>ω</m:t>
              </m:r>
              <m:r>
                <m:rPr>
                  <m:sty m:val="p"/>
                </m:rPr>
                <m:t>∈</m:t>
              </m:r>
              <m:r>
                <m:t>Ω</m:t>
              </m:r>
            </m:oMath>
            <w:r>
              <w:t xml:space="preserve">: run the closed loop (steps 7–12) with commitment</w:t>
            </w:r>
            <w:r>
              <w:t xml:space="preserve"> </w:t>
            </w:r>
            <m:oMath>
              <m:r>
                <m:t>C</m:t>
              </m:r>
            </m:oMath>
          </w:p>
        </w:tc>
      </w:tr>
      <w:tr>
        <w:tc>
          <w:tcPr>
            <w:tcW w:w="454" w:type="dxa"/>
          </w:tcPr>
          <w:p>
            <w:pPr>
              <w:pStyle w:val="TableText"/>
              <w:jc w:val="left"/>
            </w:pPr>
            <w:r>
              <w:t xml:space="preserve">6</w:t>
            </w:r>
          </w:p>
        </w:tc>
        <w:tc>
          <w:tcPr>
            <w:tcW w:w="8616" w:type="dxa"/>
          </w:tcPr>
          <w:p>
            <w:pPr>
              <w:pStyle w:val="TableText"/>
              <w:jc w:val="left"/>
            </w:pPr>
            <w:r>
              <w:t xml:space="preserve"> </w:t>
            </w:r>
            <m:oMath>
              <m:sSubSup>
                <m:e>
                  <m:acc>
                    <m:accPr>
                      <m:chr m:val="̂"/>
                    </m:accPr>
                    <m:e>
                      <m:r>
                        <m:t>C</m:t>
                      </m:r>
                    </m:e>
                  </m:acc>
                </m:e>
                <m:sub>
                  <m:r>
                    <m:t>ρ</m:t>
                  </m:r>
                </m:sub>
                <m:sup>
                  <m:r>
                    <m:t>f</m:t>
                  </m:r>
                  <m:r>
                    <m:t>i</m:t>
                  </m:r>
                  <m:r>
                    <m:t>r</m:t>
                  </m:r>
                  <m:r>
                    <m:t>m</m:t>
                  </m:r>
                </m:sup>
              </m:sSubSup>
              <m:r>
                <m:rPr>
                  <m:sty m:val="p"/>
                </m:rPr>
                <m:t>←</m:t>
              </m:r>
            </m:oMath>
            <w:r>
              <w:t xml:space="preserve"> </w:t>
            </w:r>
            <w:r>
              <w:t xml:space="preserve">largest</w:t>
            </w:r>
            <w:r>
              <w:t xml:space="preserve"> </w:t>
            </w:r>
            <m:oMath>
              <m:r>
                <m:t>C</m:t>
              </m:r>
            </m:oMath>
            <w:r>
              <w:t xml:space="preserve"> </w:t>
            </w:r>
            <w:r>
              <w:t xml:space="preserve">whose full-delivery share is at least</w:t>
            </w:r>
            <w:r>
              <w:t xml:space="preserve"> </w:t>
            </w:r>
            <m:oMath>
              <m:r>
                <m:t>ρ</m:t>
              </m:r>
            </m:oMath>
            <w:r>
              <w:t xml:space="preserve"> </w:t>
            </w:r>
            <w:r>
              <w:t xml:space="preserve">for all</w:t>
            </w:r>
            <w:r>
              <w:t xml:space="preserve"> </w:t>
            </w:r>
            <m:oMath>
              <m:r>
                <m:t>C</m:t>
              </m:r>
              <m:r>
                <m:rPr>
                  <m:sty m:val="p"/>
                </m:rPr>
                <m:t>′</m:t>
              </m:r>
              <m:r>
                <m:rPr>
                  <m:sty m:val="p"/>
                </m:rPr>
                <m:t>≤</m:t>
              </m:r>
              <m:r>
                <m:t>C</m:t>
              </m:r>
            </m:oMath>
            <w:r>
              <w:t xml:space="preserve">; bootstrap confidence intervals over days</w:t>
            </w:r>
          </w:p>
        </w:tc>
      </w:tr>
      <w:tr>
        <w:tc>
          <w:tcPr>
            <w:tcW w:w="454" w:type="dxa"/>
          </w:tcPr>
          <w:p>
            <w:pPr>
              <w:pStyle w:val="TableText"/>
              <w:jc w:val="left"/>
            </w:pPr>
            <w:r>
              <w:t xml:space="preserve">7</w:t>
            </w:r>
          </w:p>
        </w:tc>
        <w:tc>
          <w:tcPr>
            <w:tcW w:w="8616" w:type="dxa"/>
          </w:tcPr>
          <w:p>
            <w:pPr>
              <w:pStyle w:val="TableText"/>
              <w:jc w:val="left"/>
            </w:pPr>
            <w:r>
              <w:rPr>
                <w:bCs/>
                <w:b/>
              </w:rPr>
              <w:t xml:space="preserve">Intraday operation</w:t>
            </w:r>
            <w:r>
              <w:t xml:space="preserve"> </w:t>
            </w:r>
            <w:r>
              <w:t xml:space="preserve">(every</w:t>
            </w:r>
            <w:r>
              <w:t xml:space="preserve"> </w:t>
            </w:r>
            <m:oMath>
              <m:r>
                <m:t>Δ</m:t>
              </m:r>
              <m:r>
                <m:t>t</m:t>
              </m:r>
            </m:oMath>
            <w:r>
              <w:t xml:space="preserve"> </w:t>
            </w:r>
            <w:r>
              <w:t xml:space="preserve">= 15 min)</w:t>
            </w:r>
          </w:p>
        </w:tc>
      </w:tr>
      <w:tr>
        <w:tc>
          <w:tcPr>
            <w:tcW w:w="454" w:type="dxa"/>
          </w:tcPr>
          <w:p>
            <w:pPr>
              <w:pStyle w:val="TableText"/>
              <w:jc w:val="left"/>
            </w:pPr>
            <w:r>
              <w:t xml:space="preserve">8</w:t>
            </w:r>
          </w:p>
        </w:tc>
        <w:tc>
          <w:tcPr>
            <w:tcW w:w="8616" w:type="dxa"/>
          </w:tcPr>
          <w:p>
            <w:pPr>
              <w:pStyle w:val="TableText"/>
              <w:jc w:val="left"/>
            </w:pPr>
            <w:r>
              <w:t xml:space="preserve"> measure</w:t>
            </w:r>
            <w:r>
              <w:t xml:space="preserve"> </w:t>
            </w:r>
            <m:oMath>
              <m:sSub>
                <m:e>
                  <m:r>
                    <m:rPr>
                      <m:sty m:val="b"/>
                    </m:rPr>
                    <m:t>x</m:t>
                  </m:r>
                </m:e>
                <m:sub>
                  <m:r>
                    <m:t>t</m:t>
                  </m:r>
                </m:sub>
              </m:sSub>
              <m:r>
                <m:rPr>
                  <m:sty m:val="p"/>
                </m:rPr>
                <m:t>=</m:t>
              </m:r>
              <m:d>
                <m:dPr>
                  <m:begChr m:val="("/>
                  <m:sepChr m:val=""/>
                  <m:endChr m:val=")"/>
                  <m:grow/>
                </m:dPr>
                <m:e>
                  <m:sSub>
                    <m:e>
                      <m:r>
                        <m:t>B</m:t>
                      </m:r>
                    </m:e>
                    <m:sub>
                      <m:r>
                        <m:t>1</m:t>
                      </m:r>
                      <m:r>
                        <m:rPr>
                          <m:sty m:val="p"/>
                        </m:rPr>
                        <m:t>.</m:t>
                      </m:r>
                      <m:r>
                        <m:t>.3</m:t>
                      </m:r>
                      <m:r>
                        <m:rPr>
                          <m:sty m:val="p"/>
                        </m:rPr>
                        <m:t>,</m:t>
                      </m:r>
                      <m:r>
                        <m:t>t</m:t>
                      </m:r>
                    </m:sub>
                  </m:sSub>
                  <m:r>
                    <m:rPr>
                      <m:sty m:val="p"/>
                    </m:rPr>
                    <m:t>,</m:t>
                  </m:r>
                  <m:sSub>
                    <m:e>
                      <m:r>
                        <m:t>E</m:t>
                      </m:r>
                    </m:e>
                    <m:sub>
                      <m:r>
                        <m:t>t</m:t>
                      </m:r>
                    </m:sub>
                  </m:sSub>
                  <m:r>
                    <m:rPr>
                      <m:sty m:val="p"/>
                    </m:rPr>
                    <m:t>,</m:t>
                  </m:r>
                  <m:sSub>
                    <m:e>
                      <m:r>
                        <m:t>S</m:t>
                      </m:r>
                    </m:e>
                    <m:sub>
                      <m:r>
                        <m:t>t</m:t>
                      </m:r>
                    </m:sub>
                  </m:sSub>
                </m:e>
              </m:d>
            </m:oMath>
            <w:r>
              <w:t xml:space="preserve">, the gas-engine state, the event status and the loads</w:t>
            </w:r>
          </w:p>
        </w:tc>
      </w:tr>
      <w:tr>
        <w:tc>
          <w:tcPr>
            <w:tcW w:w="454" w:type="dxa"/>
          </w:tcPr>
          <w:p>
            <w:pPr>
              <w:pStyle w:val="TableText"/>
              <w:jc w:val="left"/>
            </w:pPr>
            <w:r>
              <w:t xml:space="preserve">9</w:t>
            </w:r>
          </w:p>
        </w:tc>
        <w:tc>
          <w:tcPr>
            <w:tcW w:w="8616" w:type="dxa"/>
          </w:tcPr>
          <w:p>
            <w:pPr>
              <w:pStyle w:val="TableText"/>
              <w:jc w:val="left"/>
            </w:pPr>
            <w:r>
              <w:t xml:space="preserve"> correct the forecasts with the latest observed errors (or build the scenario tree, JR-S)</w:t>
            </w:r>
          </w:p>
        </w:tc>
      </w:tr>
      <w:tr>
        <w:tc>
          <w:tcPr>
            <w:tcW w:w="454" w:type="dxa"/>
          </w:tcPr>
          <w:p>
            <w:pPr>
              <w:pStyle w:val="TableText"/>
              <w:jc w:val="left"/>
            </w:pPr>
            <w:r>
              <w:t xml:space="preserve">10</w:t>
            </w:r>
          </w:p>
        </w:tc>
        <w:tc>
          <w:tcPr>
            <w:tcW w:w="8616" w:type="dxa"/>
          </w:tcPr>
          <w:p>
            <w:pPr>
              <w:pStyle w:val="TableText"/>
              <w:jc w:val="left"/>
            </w:pPr>
            <w:r>
              <w:t xml:space="preserve"> solve the joint recovery MILP (2)–(11) over</w:t>
            </w:r>
            <w:r>
              <w:t xml:space="preserve"> </w:t>
            </w:r>
            <m:oMath>
              <m:r>
                <m:t>t</m:t>
              </m:r>
              <m:r>
                <m:rPr>
                  <m:sty m:val="p"/>
                </m:rPr>
                <m:t>,</m:t>
              </m:r>
              <m:r>
                <m:rPr>
                  <m:sty m:val="p"/>
                </m:rPr>
                <m:t>…</m:t>
              </m:r>
              <m:r>
                <m:rPr>
                  <m:sty m:val="p"/>
                </m:rPr>
                <m:t>,</m:t>
              </m:r>
              <m:r>
                <m:t>t</m:t>
              </m:r>
              <m:r>
                <m:rPr>
                  <m:sty m:val="p"/>
                </m:rPr>
                <m:t>+</m:t>
              </m:r>
              <m:r>
                <m:t>H</m:t>
              </m:r>
            </m:oMath>
            <w:r>
              <w:t xml:space="preserve"> </w:t>
            </w:r>
            <w:r>
              <w:t xml:space="preserve">with all confirmed events</w:t>
            </w:r>
          </w:p>
        </w:tc>
      </w:tr>
      <w:tr>
        <w:tc>
          <w:tcPr>
            <w:tcW w:w="454" w:type="dxa"/>
          </w:tcPr>
          <w:p>
            <w:pPr>
              <w:pStyle w:val="TableText"/>
              <w:jc w:val="left"/>
            </w:pPr>
            <w:r>
              <w:t xml:space="preserve">11</w:t>
            </w:r>
          </w:p>
        </w:tc>
        <w:tc>
          <w:tcPr>
            <w:tcW w:w="8616" w:type="dxa"/>
          </w:tcPr>
          <w:p>
            <w:pPr>
              <w:pStyle w:val="TableText"/>
              <w:jc w:val="left"/>
            </w:pPr>
            <w:r>
              <w:t xml:space="preserve"> apply the first-step decisions; replay the plant (storage → TES → compute throttling)</w:t>
            </w:r>
          </w:p>
        </w:tc>
      </w:tr>
      <w:tr>
        <w:tc>
          <w:tcPr>
            <w:tcW w:w="454" w:type="dxa"/>
          </w:tcPr>
          <w:p>
            <w:pPr>
              <w:pStyle w:val="TableText"/>
              <w:jc w:val="left"/>
            </w:pPr>
            <w:r>
              <w:t xml:space="preserve">12</w:t>
            </w:r>
          </w:p>
        </w:tc>
        <w:tc>
          <w:tcPr>
            <w:tcW w:w="8616" w:type="dxa"/>
          </w:tcPr>
          <w:p>
            <w:pPr>
              <w:pStyle w:val="TableText"/>
              <w:jc w:val="left"/>
            </w:pPr>
            <w:r>
              <w:t xml:space="preserve"> update the backlogs by earliest-deadline-first execution and the settlement records</w:t>
            </w:r>
          </w:p>
        </w:tc>
      </w:tr>
      <w:tr>
        <w:tc>
          <w:tcPr>
            <w:tcW w:w="454" w:type="dxa"/>
          </w:tcPr>
          <w:p>
            <w:pPr>
              <w:pStyle w:val="TableText"/>
              <w:jc w:val="left"/>
            </w:pPr>
            <w:r>
              <w:t xml:space="preserve">13</w:t>
            </w:r>
          </w:p>
        </w:tc>
        <w:tc>
          <w:tcPr>
            <w:tcW w:w="8616" w:type="dxa"/>
          </w:tcPr>
          <w:p>
            <w:pPr>
              <w:pStyle w:val="TableText"/>
              <w:jc w:val="left"/>
            </w:pPr>
            <w:r>
              <w:rPr>
                <w:bCs/>
                <w:b/>
              </w:rPr>
              <w:t xml:space="preserve">return</w:t>
            </w:r>
            <w:r>
              <w:t xml:space="preserve"> </w:t>
            </w:r>
            <m:oMath>
              <m:sSup>
                <m:e>
                  <m:r>
                    <m:t>C</m:t>
                  </m:r>
                </m:e>
                <m:sup>
                  <m:r>
                    <m:rPr>
                      <m:sty m:val="p"/>
                    </m:rPr>
                    <m:t>*</m:t>
                  </m:r>
                </m:sup>
              </m:sSup>
            </m:oMath>
            <w:r>
              <w:t xml:space="preserve">,</w:t>
            </w:r>
            <w:r>
              <w:t xml:space="preserve"> </w:t>
            </w:r>
            <m:oMath>
              <m:sSubSup>
                <m:e>
                  <m:acc>
                    <m:accPr>
                      <m:chr m:val="̂"/>
                    </m:accPr>
                    <m:e>
                      <m:r>
                        <m:t>C</m:t>
                      </m:r>
                    </m:e>
                  </m:acc>
                </m:e>
                <m:sub>
                  <m:r>
                    <m:t>ρ</m:t>
                  </m:r>
                </m:sub>
                <m:sup>
                  <m:r>
                    <m:t>f</m:t>
                  </m:r>
                  <m:r>
                    <m:t>i</m:t>
                  </m:r>
                  <m:r>
                    <m:t>r</m:t>
                  </m:r>
                  <m:r>
                    <m:t>m</m:t>
                  </m:r>
                </m:sup>
              </m:sSubSup>
            </m:oMath>
            <w:r>
              <w:t xml:space="preserve"> </w:t>
            </w:r>
            <w:r>
              <w:t xml:space="preserve">and the trajectories</w:t>
            </w:r>
          </w:p>
        </w:tc>
      </w:tr>
    </w:tbl>
    <w:bookmarkEnd w:id="41"/>
    <w:bookmarkStart w:id="42" w:name="benchmarks"/>
    <w:p>
      <w:pPr>
        <w:pStyle w:val="Heading2"/>
      </w:pPr>
      <w:r>
        <w:t xml:space="preserve">4.3 Benchmarks</w:t>
      </w:r>
    </w:p>
    <w:p>
      <w:pPr>
        <w:pStyle w:val="FirstParagraph"/>
      </w:pPr>
      <w:r>
        <w:t xml:space="preserve">All strategies face the same commitments, service deadlines, physical limits and settlement rules (Table 3).</w:t>
      </w:r>
    </w:p>
    <w:p>
      <w:pPr>
        <w:pStyle w:val="Compact"/>
        <w:numPr>
          <w:ilvl w:val="0"/>
          <w:numId w:val="1003"/>
        </w:numPr>
      </w:pPr>
      <w:r>
        <w:rPr>
          <w:bCs/>
          <w:b/>
        </w:rPr>
        <w:t xml:space="preserve">IR-O*</w:t>
      </w:r>
      <w:r>
        <w:t xml:space="preserve"> </w:t>
      </w:r>
      <w:r>
        <w:t xml:space="preserve">— independent recovery with an optimised static split. The IT scheduler plans its own share</w:t>
      </w:r>
      <w:r>
        <w:t xml:space="preserve"> </w:t>
      </w:r>
      <m:oMath>
        <m:r>
          <m:t>α</m:t>
        </m:r>
        <m:sSub>
          <m:e>
            <m:r>
              <m:t>C</m:t>
            </m:r>
          </m:e>
          <m:sub>
            <m:r>
              <m:t>k</m:t>
            </m:r>
          </m:sub>
        </m:sSub>
      </m:oMath>
      <w:r>
        <w:t xml:space="preserve"> </w:t>
      </w:r>
      <w:r>
        <w:t xml:space="preserve">of every event and its catch-up with priority on the connection headroom; the facility energy-management system then optimises storage and IES with the IT schedule fixed. The split</w:t>
      </w:r>
      <w:r>
        <w:t xml:space="preserve"> </w:t>
      </w:r>
      <m:oMath>
        <m:r>
          <m:t>α</m:t>
        </m:r>
      </m:oMath>
      <w:r>
        <w:t xml:space="preserve"> </w:t>
      </w:r>
      <w:r>
        <w:t xml:space="preserve">is tuned day-ahead on the historical scenarios over</w:t>
      </w:r>
      <w:r>
        <w:t xml:space="preserve"> </w:t>
      </w:r>
      <m:oMath>
        <m:r>
          <m:t>α</m:t>
        </m:r>
        <m:r>
          <m:rPr>
            <m:sty m:val="p"/>
          </m:rPr>
          <m:t>∈</m:t>
        </m:r>
        <m:d>
          <m:dPr>
            <m:begChr m:val="["/>
            <m:sepChr m:val=""/>
            <m:endChr m:val="]"/>
            <m:grow/>
          </m:dPr>
          <m:e>
            <m:r>
              <m:t>0.2</m:t>
            </m:r>
            <m:r>
              <m:rPr>
                <m:sty m:val="p"/>
              </m:rPr>
              <m:t>,</m:t>
            </m:r>
            <m:r>
              <m:t>1.0</m:t>
            </m:r>
          </m:e>
        </m:d>
      </m:oMath>
      <w:r>
        <w:t xml:space="preserve"> </w:t>
      </w:r>
      <w:r>
        <w:t xml:space="preserve">for every commitment level.</w:t>
      </w:r>
    </w:p>
    <w:p>
      <w:pPr>
        <w:pStyle w:val="Compact"/>
        <w:numPr>
          <w:ilvl w:val="0"/>
          <w:numId w:val="1003"/>
        </w:numPr>
      </w:pPr>
      <w:r>
        <w:rPr>
          <w:bCs/>
          <w:b/>
        </w:rPr>
        <w:t xml:space="preserve">IR-P</w:t>
      </w:r>
      <w:r>
        <w:t xml:space="preserve"> </w:t>
      </w:r>
      <w:r>
        <w:t xml:space="preserve">— price-coordinated independent recovery. Instead of a fixed share, the IT scheduler receives the channel shadow price of the day-ahead joint plan on top of the TOU price (a one-way, day-ahead price signal).</w:t>
      </w:r>
    </w:p>
    <w:p>
      <w:pPr>
        <w:pStyle w:val="Compact"/>
        <w:numPr>
          <w:ilvl w:val="0"/>
          <w:numId w:val="1003"/>
        </w:numPr>
      </w:pPr>
      <w:r>
        <w:rPr>
          <w:bCs/>
          <w:b/>
        </w:rPr>
        <w:t xml:space="preserve">JR-M</w:t>
      </w:r>
      <w:r>
        <w:t xml:space="preserve"> </w:t>
      </w:r>
      <w:r>
        <w:t xml:space="preserve">— event-by-event joint recovery. The joint model is used, but only the current or next event is visible, which represents single-event DR scheduling and isolates the value of cross-event foresight.</w:t>
      </w:r>
    </w:p>
    <w:p>
      <w:pPr>
        <w:pStyle w:val="Compact"/>
        <w:numPr>
          <w:ilvl w:val="0"/>
          <w:numId w:val="1003"/>
        </w:numPr>
      </w:pPr>
      <w:r>
        <w:rPr>
          <w:bCs/>
          <w:b/>
        </w:rPr>
        <w:t xml:space="preserve">JR-oracle</w:t>
      </w:r>
      <w:r>
        <w:t xml:space="preserve"> </w:t>
      </w:r>
      <w:r>
        <w:t xml:space="preserve">— joint recovery with perfect information (reference).</w:t>
      </w:r>
    </w:p>
    <w:p>
      <w:pPr>
        <w:pStyle w:val="TableCaption"/>
      </w:pPr>
      <w:r>
        <w:rPr>
          <w:bCs/>
          <w:b/>
        </w:rPr>
        <w:t xml:space="preserve">Table 3.</w:t>
      </w:r>
      <w:r>
        <w:t xml:space="preserve"> </w:t>
      </w:r>
      <w:r>
        <w:t xml:space="preserve">Controlled scenario matrix (✓ available, ✕ not available). The resource and device configurations are operated by the JR-D controller with the connection limit of the base case.</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2442"/>
        <w:gridCol w:w="1024"/>
        <w:gridCol w:w="723"/>
        <w:gridCol w:w="814"/>
        <w:gridCol w:w="784"/>
        <w:gridCol w:w="1145"/>
        <w:gridCol w:w="934"/>
        <w:gridCol w:w="1204"/>
      </w:tblGrid>
      <w:tr>
        <w:trPr>
          <w:tblHeader w:val="true"/>
        </w:trPr>
        <w:tc>
          <w:tcPr>
            <w:tcW w:w="2442" w:type="dxa"/>
            <w:tcBorders>
              <w:bottom w:val="single" w:sz="4" w:space="0" w:color="000000"/>
            </w:tcBorders>
          </w:tcPr>
          <w:p>
            <w:pPr>
              <w:pStyle w:val="TableText"/>
              <w:jc w:val="left"/>
            </w:pPr>
            <w:r>
              <w:t xml:space="preserve">Configuration</w:t>
            </w:r>
          </w:p>
        </w:tc>
        <w:tc>
          <w:tcPr>
            <w:tcW w:w="1024" w:type="dxa"/>
            <w:tcBorders>
              <w:bottom w:val="single" w:sz="4" w:space="0" w:color="000000"/>
            </w:tcBorders>
          </w:tcPr>
          <w:p>
            <w:pPr>
              <w:pStyle w:val="TableText"/>
              <w:jc w:val="left"/>
            </w:pPr>
            <w:r>
              <w:t xml:space="preserve">Compute flexibility</w:t>
            </w:r>
          </w:p>
        </w:tc>
        <w:tc>
          <w:tcPr>
            <w:tcW w:w="723" w:type="dxa"/>
            <w:tcBorders>
              <w:bottom w:val="single" w:sz="4" w:space="0" w:color="000000"/>
            </w:tcBorders>
          </w:tcPr>
          <w:p>
            <w:pPr>
              <w:pStyle w:val="TableText"/>
              <w:jc w:val="left"/>
            </w:pPr>
            <w:r>
              <w:t xml:space="preserve">BESS</w:t>
            </w:r>
          </w:p>
        </w:tc>
        <w:tc>
          <w:tcPr>
            <w:tcW w:w="814" w:type="dxa"/>
            <w:tcBorders>
              <w:bottom w:val="single" w:sz="4" w:space="0" w:color="000000"/>
            </w:tcBorders>
          </w:tcPr>
          <w:p>
            <w:pPr>
              <w:pStyle w:val="TableText"/>
              <w:jc w:val="left"/>
            </w:pPr>
            <w:r>
              <w:t xml:space="preserve">Cold storage</w:t>
            </w:r>
          </w:p>
        </w:tc>
        <w:tc>
          <w:tcPr>
            <w:tcW w:w="784" w:type="dxa"/>
            <w:tcBorders>
              <w:bottom w:val="single" w:sz="4" w:space="0" w:color="000000"/>
            </w:tcBorders>
          </w:tcPr>
          <w:p>
            <w:pPr>
              <w:pStyle w:val="TableText"/>
              <w:jc w:val="left"/>
            </w:pPr>
            <w:r>
              <w:t xml:space="preserve">Gas engine</w:t>
            </w:r>
          </w:p>
        </w:tc>
        <w:tc>
          <w:tcPr>
            <w:tcW w:w="1145" w:type="dxa"/>
            <w:tcBorders>
              <w:bottom w:val="single" w:sz="4" w:space="0" w:color="000000"/>
            </w:tcBorders>
          </w:tcPr>
          <w:p>
            <w:pPr>
              <w:pStyle w:val="TableText"/>
              <w:jc w:val="left"/>
            </w:pPr>
            <w:r>
              <w:t xml:space="preserve">Absorption chiller</w:t>
            </w:r>
          </w:p>
        </w:tc>
        <w:tc>
          <w:tcPr>
            <w:tcW w:w="934" w:type="dxa"/>
            <w:tcBorders>
              <w:bottom w:val="single" w:sz="4" w:space="0" w:color="000000"/>
            </w:tcBorders>
          </w:tcPr>
          <w:p>
            <w:pPr>
              <w:pStyle w:val="TableText"/>
              <w:jc w:val="left"/>
            </w:pPr>
            <w:r>
              <w:t xml:space="preserve">Joint recovery</w:t>
            </w:r>
          </w:p>
        </w:tc>
        <w:tc>
          <w:tcPr>
            <w:tcW w:w="1204" w:type="dxa"/>
            <w:tcBorders>
              <w:bottom w:val="single" w:sz="4" w:space="0" w:color="000000"/>
            </w:tcBorders>
          </w:tcPr>
          <w:p>
            <w:pPr>
              <w:pStyle w:val="TableText"/>
              <w:jc w:val="left"/>
            </w:pPr>
            <w:r>
              <w:t xml:space="preserve">Cross-event foresight</w:t>
            </w:r>
          </w:p>
        </w:tc>
      </w:tr>
      <w:tr>
        <w:tc>
          <w:tcPr>
            <w:tcW w:w="2442" w:type="dxa"/>
          </w:tcPr>
          <w:p>
            <w:pPr>
              <w:pStyle w:val="TableText"/>
              <w:jc w:val="left"/>
            </w:pPr>
            <w:r>
              <w:t xml:space="preserve">R1 BESS only</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R2 Compute only</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R3 Compute + BESS</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D1 w/o gas engine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 (no heat)</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D2 w/o absorption chiller</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D3 w/o cold storage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D4 w/o all three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IR-O* / IR-P</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JR-M</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JR-D (proposed)</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bl>
    <w:bookmarkEnd w:id="42"/>
    <w:bookmarkStart w:id="43" w:name="implementation"/>
    <w:p>
      <w:pPr>
        <w:pStyle w:val="Heading2"/>
      </w:pPr>
      <w:r>
        <w:t xml:space="preserve">4.4 Implementation</w:t>
      </w:r>
    </w:p>
    <w:p>
      <w:pPr>
        <w:pStyle w:val="FirstParagraph"/>
      </w:pPr>
      <w:r>
        <w:t xml:space="preserve">The models are implemented in MATLAB/GNU Octave and solved with GLPK (Gurobi and</w:t>
      </w:r>
      <w:r>
        <w:t xml:space="preserve"> </w:t>
      </w:r>
      <w:r>
        <w:rPr>
          <w:rStyle w:val="VerbatimChar"/>
        </w:rPr>
        <w:t xml:space="preserve">intlinprog</w:t>
      </w:r>
      <w:r>
        <w:t xml:space="preserve"> </w:t>
      </w:r>
      <w:r>
        <w:t xml:space="preserve">are supported). The intraday MILP has about</w:t>
      </w:r>
      <w:r>
        <w:t xml:space="preserve"> </w:t>
      </w:r>
      <m:oMath>
        <m:sSup>
          <m:e>
            <m:r>
              <m:t>10</m:t>
            </m:r>
          </m:e>
          <m:sup>
            <m:r>
              <m:t>4</m:t>
            </m:r>
          </m:sup>
        </m:sSup>
      </m:oMath>
      <w:r>
        <w:t xml:space="preserve"> </w:t>
      </w:r>
      <w:r>
        <w:t xml:space="preserve">variables and one binary per event; the MILP solves of a closed-loop day take about 5 s for JR-D and about 60 s for JR-S on one CPU core.</w:t>
      </w:r>
    </w:p>
    <w:bookmarkEnd w:id="43"/>
    <w:bookmarkEnd w:id="44"/>
    <w:bookmarkStart w:id="89" w:name="case-studies"/>
    <w:p>
      <w:pPr>
        <w:pStyle w:val="Heading1"/>
      </w:pPr>
      <w:r>
        <w:t xml:space="preserve">5. Case studies</w:t>
      </w:r>
    </w:p>
    <w:bookmarkStart w:id="45" w:name="case-settings"/>
    <w:p>
      <w:pPr>
        <w:pStyle w:val="Heading2"/>
      </w:pPr>
      <w:r>
        <w:t xml:space="preserve">5.1 Case settings</w:t>
      </w:r>
    </w:p>
    <w:p>
      <w:pPr>
        <w:pStyle w:val="FirstParagraph"/>
      </w:pPr>
      <w:r>
        <w:t xml:space="preserve">The AIDC of Section 2.1 operates under the Jiangsu two-part TOU tariff and DR rules; its parameters are listed in Table A1. All load and weather profiles are derived from public data: the deferrable training and batch work from the Alibaba PAI GPU cluster trace [30], split by task runtime into the classes C1–C3; the online inference load from the Azure LLM inference trace 2024 [31]; and the PV output and chiller COP from ERA5 reanalysis weather of Suzhou in the summer of 2024. The DR day is a hot weekday (5 August 2024, maximum temperature 38.3 °C). The DR baseline is the average of the five preceding workdays [6,32], and the connection limit is</w:t>
      </w:r>
      <w:r>
        <w:t xml:space="preserve"> </w:t>
      </w:r>
      <m:oMath>
        <m:sSup>
          <m:e>
            <m:r>
              <m:t>P</m:t>
            </m:r>
          </m:e>
          <m:sup>
            <m:r>
              <m:t>c</m:t>
            </m:r>
            <m:r>
              <m:t>a</m:t>
            </m:r>
            <m:r>
              <m:t>p</m:t>
            </m:r>
          </m:sup>
        </m:sSup>
      </m:oMath>
      <w:r>
        <w:t xml:space="preserve"> </w:t>
      </w:r>
      <w:r>
        <w:t xml:space="preserve">= 16.03 MW, 1.10 times the typical-day peak of 14.57 MW. Without DR the AIDC imports up to this limit when the BESS recharges in the valley hours (mean daily peak 15.82 MW over the operating days), whereas during the evening events the baseline is 9.4–9.8 MW. The recovery channel (1) is therefore about 6.4 MW wide: it repays both debts of a 7-MW event within a 3-h interval but only part of them within 30 min. The forecasts use the mean of the preceding weekdays for computing, of the available inference days for inference, and of the preceding three days for PV and temperature. The historical days</w:t>
      </w:r>
      <w:r>
        <w:t xml:space="preserve"> </w:t>
      </w:r>
      <m:oMath>
        <m:sSup>
          <m:e>
            <m:r>
              <m:t>Ω</m:t>
            </m:r>
          </m:e>
          <m:sup>
            <m:r>
              <m:t>D</m:t>
            </m:r>
            <m:r>
              <m:t>A</m:t>
            </m:r>
          </m:sup>
        </m:sSup>
      </m:oMath>
      <w:r>
        <w:t xml:space="preserve"> </w:t>
      </w:r>
      <w:r>
        <w:t xml:space="preserve">are the 14 weekdays of the trace before the DR day; the deterministic forecasts and the IR-O* split are tuned on five of them, selected at the 10–90 % quantiles of the daily deferrable load.</w:t>
      </w:r>
    </w:p>
    <w:p>
      <w:pPr>
        <w:pStyle w:val="BodyText"/>
      </w:pPr>
      <w:r>
        <w:t xml:space="preserve">The operating-day set</w:t>
      </w:r>
      <w:r>
        <w:t xml:space="preserve"> </w:t>
      </w:r>
      <m:oMath>
        <m:r>
          <m:t>Ω</m:t>
        </m:r>
      </m:oMath>
      <w:r>
        <w:t xml:space="preserve"> </w:t>
      </w:r>
      <w:r>
        <w:t xml:space="preserve">(scenario S4) contains 26 days, each combining a different PAI weekday after the DR day with a hot summer day and an Azure inference day. On 16 of the 26 days the load without DR deviates from the baseline by more than 1 MW during at least one event, on 14 of them upwards (range −1.45 to +3.30 MW), so the commitments must be delivered under realistic baseline errors. Every strategy is simulated in closed loop on every day, and all statistics are reported with 95 % block-bootstrap confidence intervals over days.</w:t>
      </w:r>
    </w:p>
    <w:p>
      <w:pPr>
        <w:pStyle w:val="BodyText"/>
      </w:pPr>
      <w:r>
        <w:t xml:space="preserve">The event scenarios are listed in Table 1. The commitment is uniform across events (</w:t>
      </w:r>
      <m:oMath>
        <m:sSub>
          <m:e>
            <m:r>
              <m:t>C</m:t>
            </m:r>
          </m:e>
          <m:sub>
            <m:r>
              <m:t>k</m:t>
            </m:r>
          </m:sub>
        </m:sSub>
        <m:r>
          <m:rPr>
            <m:sty m:val="p"/>
          </m:rPr>
          <m:t>=</m:t>
        </m:r>
        <m:r>
          <m:t>C</m:t>
        </m:r>
      </m:oMath>
      <w:r>
        <w:t xml:space="preserve">), which corresponds to the standard DR product; non-uniform commitments are examined through the reliability region in Section 5.3. All strategies of Section 4.3 use the same MPC settings (15-min step, 18-h horizon), the same commitments and the same settlement rules (Table 3). The static split of IR-O* is re-tuned on</w:t>
      </w:r>
      <w:r>
        <w:t xml:space="preserve"> </w:t>
      </w:r>
      <m:oMath>
        <m:sSup>
          <m:e>
            <m:r>
              <m:t>Ω</m:t>
            </m:r>
          </m:e>
          <m:sup>
            <m:r>
              <m:t>D</m:t>
            </m:r>
            <m:r>
              <m:t>A</m:t>
            </m:r>
          </m:sup>
        </m:sSup>
      </m:oMath>
      <w:r>
        <w:t xml:space="preserve"> </w:t>
      </w:r>
      <w:r>
        <w:t xml:space="preserve">for every commitment level (</w:t>
      </w:r>
      <m:oMath>
        <m:sSup>
          <m:e>
            <m:r>
              <m:t>α</m:t>
            </m:r>
          </m:e>
          <m:sup>
            <m:r>
              <m:rPr>
                <m:sty m:val="p"/>
              </m:rPr>
              <m:t>*</m:t>
            </m:r>
          </m:sup>
        </m:sSup>
      </m:oMath>
      <w:r>
        <w:t xml:space="preserve"> </w:t>
      </w:r>
      <w:r>
        <w:t xml:space="preserve">between 0.2 and 0.9), so that the benchmark always operates in its best day-ahead configuration.</w:t>
      </w:r>
    </w:p>
    <w:bookmarkEnd w:id="45"/>
    <w:bookmarkStart w:id="55" w:name="recovery-mechanism-on-a-typical-day"/>
    <w:p>
      <w:pPr>
        <w:pStyle w:val="Heading2"/>
      </w:pPr>
      <w:r>
        <w:t xml:space="preserve">5.2 Recovery mechanism on a typical day</w:t>
      </w:r>
    </w:p>
    <w:p>
      <w:pPr>
        <w:pStyle w:val="FirstParagraph"/>
      </w:pPr>
      <w:r>
        <w:t xml:space="preserve">Figs. 3, 4 and 5 trace the two events of S2 on a representative operating day with a uniform commitment of 7 MW, and contrast them with the same events 3 h apart. With the 30-min interval, JR-D delivers 8.18 MW in the first and 8.02 MW in the second event, IR-O* delivers 7.00 MW and 6.84 MW and misses full delivery in the second event, and JR-M collapses to 4.64 MW in the second event (Fig. 3a–b). With the 3-h interval all three strategies deliver both events in full (Fig. 4). On this day the shortfall of IR-O* is small (2 % of the commitment); on another operating day it reaches 17 %, and there too the 3-h interval restores full delivery. The difference therefore arises entirely from how the debts of the first event are incurred and repaid.</w:t>
      </w:r>
    </w:p>
    <w:p>
      <w:pPr>
        <w:pStyle w:val="Figure"/>
      </w:pPr>
      <w:r>
        <w:drawing>
          <wp:inline>
            <wp:extent cx="5723999" cy="4213749"/>
            <wp:effectExtent b="0" l="0" r="0" t="0"/>
            <wp:docPr descr="" title="" id="47" name="Picture"/>
            <a:graphic>
              <a:graphicData uri="http://schemas.openxmlformats.org/drawingml/2006/picture">
                <pic:pic>
                  <pic:nvPicPr>
                    <pic:cNvPr descr="/home/user/datacenter/paper/figures/Fig3_power_balance.png" id="48" name="Picture"/>
                    <pic:cNvPicPr>
                      <a:picLocks noChangeArrowheads="1" noChangeAspect="1"/>
                    </pic:cNvPicPr>
                  </pic:nvPicPr>
                  <pic:blipFill>
                    <a:blip r:embed="rId46"/>
                    <a:stretch>
                      <a:fillRect/>
                    </a:stretch>
                  </pic:blipFill>
                  <pic:spPr bwMode="auto">
                    <a:xfrm>
                      <a:off x="0" y="0"/>
                      <a:ext cx="5723999" cy="4213749"/>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Power balance on the typical day (S2, 30-min interval, 7 MW, operating day r21) under (a) IR-O* and (b) JR-D: supply (grid import, PV, gas engine, BESS discharge) above zero and demand below zero; events shaded. (c, d) Use of the recovery channel</w:t>
      </w:r>
      <w:r>
        <w:t xml:space="preserve"> </w:t>
      </w:r>
      <m:oMath>
        <m:sSup>
          <m:e>
            <m:r>
              <m:t>P</m:t>
            </m:r>
          </m:e>
          <m:sup>
            <m:r>
              <m:t>c</m:t>
            </m:r>
            <m:r>
              <m:t>a</m:t>
            </m:r>
            <m:r>
              <m:t>p</m:t>
            </m:r>
          </m:sup>
        </m:sSup>
        <m:r>
          <m:rPr>
            <m:sty m:val="p"/>
          </m:rPr>
          <m:t>−</m:t>
        </m:r>
        <m:sSup>
          <m:e>
            <m:r>
              <m:t>P</m:t>
            </m:r>
          </m:e>
          <m:sup>
            <m:r>
              <m:t>b</m:t>
            </m:r>
            <m:r>
              <m:t>a</m:t>
            </m:r>
            <m:r>
              <m:t>s</m:t>
            </m:r>
            <m:r>
              <m:t>e</m:t>
            </m:r>
          </m:sup>
        </m:sSup>
      </m:oMath>
      <w:r>
        <w:t xml:space="preserve"> </w:t>
      </w:r>
      <w:r>
        <w:t xml:space="preserve">for compute catch-up and storage recharge, with the energies drawn in the interval between the events.</w:t>
      </w:r>
    </w:p>
    <w:p>
      <w:pPr>
        <w:pStyle w:val="Figure"/>
      </w:pPr>
      <w:r>
        <w:drawing>
          <wp:inline>
            <wp:extent cx="5695199" cy="3717573"/>
            <wp:effectExtent b="0" l="0" r="0" t="0"/>
            <wp:docPr descr="" title="" id="50" name="Picture"/>
            <a:graphic>
              <a:graphicData uri="http://schemas.openxmlformats.org/drawingml/2006/picture">
                <pic:pic>
                  <pic:nvPicPr>
                    <pic:cNvPr descr="/home/user/datacenter/paper/figures/Fig4_backlog_storage.png" id="51" name="Picture"/>
                    <pic:cNvPicPr>
                      <a:picLocks noChangeArrowheads="1" noChangeAspect="1"/>
                    </pic:cNvPicPr>
                  </pic:nvPicPr>
                  <pic:blipFill>
                    <a:blip r:embed="rId49"/>
                    <a:stretch>
                      <a:fillRect/>
                    </a:stretch>
                  </pic:blipFill>
                  <pic:spPr bwMode="auto">
                    <a:xfrm>
                      <a:off x="0" y="0"/>
                      <a:ext cx="5695199" cy="3717573"/>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Recovery states on the typical day for the 30-min (a, c) and the 3-h interval (b, d): (a, b) backlog of the deferrable classes under JR-D and total backlog under IR-O* and JR-M; (c, d) energy in the BESS and the cold storage.</w:t>
      </w:r>
    </w:p>
    <w:p>
      <w:pPr>
        <w:pStyle w:val="Figure"/>
      </w:pPr>
      <w:r>
        <w:drawing>
          <wp:inline>
            <wp:extent cx="5428799" cy="2505599"/>
            <wp:effectExtent b="0" l="0" r="0" t="0"/>
            <wp:docPr descr="" title="" id="53" name="Picture"/>
            <a:graphic>
              <a:graphicData uri="http://schemas.openxmlformats.org/drawingml/2006/picture">
                <pic:pic>
                  <pic:nvPicPr>
                    <pic:cNvPr descr="/home/user/datacenter/paper/figures/Fig5_recovery_sankey.png" id="54" name="Picture"/>
                    <pic:cNvPicPr>
                      <a:picLocks noChangeArrowheads="1" noChangeAspect="1"/>
                    </pic:cNvPicPr>
                  </pic:nvPicPr>
                  <pic:blipFill>
                    <a:blip r:embed="rId52"/>
                    <a:stretch>
                      <a:fillRect/>
                    </a:stretch>
                  </pic:blipFill>
                  <pic:spPr bwMode="auto">
                    <a:xfrm>
                      <a:off x="0" y="0"/>
                      <a:ext cx="5428799" cy="2505599"/>
                    </a:xfrm>
                    <a:prstGeom prst="rect">
                      <a:avLst/>
                    </a:prstGeom>
                    <a:noFill/>
                    <a:ln w="9525">
                      <a:noFill/>
                      <a:headEnd/>
                      <a:tailEnd/>
                    </a:ln>
                  </pic:spPr>
                </pic:pic>
              </a:graphicData>
            </a:graphic>
          </wp:inline>
        </w:drawing>
      </w:r>
    </w:p>
    <w:p>
      <w:pPr>
        <w:pStyle w:val="FigureCaption"/>
      </w:pPr>
      <w:r>
        <w:rPr>
          <w:bCs/>
          <w:b/>
        </w:rPr>
        <w:t xml:space="preserve">Fig. 5.</w:t>
      </w:r>
      <w:r>
        <w:t xml:space="preserve"> </w:t>
      </w:r>
      <w:r>
        <w:t xml:space="preserve">Sources and uses of the recovery energy on the typical day (S2, 7 MW), relative to the no-DR operation of the same day, under (a) IR-O* and (b) JR-D: grid energy drawn through the channel is attributed to the connection margin, gas engine, absorption chiller, PV and cold storage; uses are catch-up and recharge in the interval and after the events.</w:t>
      </w:r>
    </w:p>
    <w:p>
      <w:pPr>
        <w:pStyle w:val="BodyText"/>
      </w:pPr>
      <w:r>
        <w:rPr>
          <w:bCs/>
          <w:b/>
        </w:rPr>
        <w:t xml:space="preserve">Which debt to incur.</w:t>
      </w:r>
      <w:r>
        <w:t xml:space="preserve"> </w:t>
      </w:r>
      <w:r>
        <w:t xml:space="preserve">JR-D defers the long-deadline class C3 during the first event: at its end, 3.0×10³ GPU·h of C3 work are deferred, against 2.0×10³ GPU·h under IR-O* (Fig. 4a). Because C3 does not fall due before the end of the second event, this debt can be carried across it, which is the mechanism of Proposition 2: the necessary catch-up</w:t>
      </w:r>
      <w:r>
        <w:t xml:space="preserve"> </w:t>
      </w:r>
      <m:oMath>
        <m:sSup>
          <m:e>
            <m:r>
              <m:t>c</m:t>
            </m:r>
          </m:e>
          <m:sup>
            <m:r>
              <m:rPr>
                <m:sty m:val="p"/>
              </m:rPr>
              <m:t>*</m:t>
            </m:r>
          </m:sup>
        </m:sSup>
      </m:oMath>
      <w:r>
        <w:t xml:space="preserve"> </w:t>
      </w:r>
      <w:r>
        <w:t xml:space="preserve">is limited to the work that would fall due in the next event.</w:t>
      </w:r>
    </w:p>
    <w:p>
      <w:pPr>
        <w:pStyle w:val="BodyText"/>
      </w:pPr>
      <w:r>
        <w:rPr>
          <w:bCs/>
          <w:b/>
        </w:rPr>
        <w:t xml:space="preserve">How to use the channel.</w:t>
      </w:r>
      <w:r>
        <w:t xml:space="preserve"> </w:t>
      </w:r>
      <w:r>
        <w:t xml:space="preserve">In the 30-min interval the grid import of all strategies reaches the connection limit. IR-O* spends the channel on catch-up and recharges the BESS by only 0.16 MWh, whereas JR-D recharges it by 0.73 MWh and starts the second event with 6.22 MWh instead of 5.91 MWh (Fig. 3c–d). Measured against the no-DR operation, in which the BESS discharges to shave the evening peak, JR-D devotes 57 % of the recovery energy drawn in the interval to the BESS instead of 32 % (Fig. 5). JR-M, which plans each event alone, over-delivers the first event to collect the 120 % payment and empties the BESS to 1.27 MWh; the backlog it leaves cannot be deferred again and the second event fails.</w:t>
      </w:r>
    </w:p>
    <w:p>
      <w:pPr>
        <w:pStyle w:val="BodyText"/>
      </w:pPr>
      <w:r>
        <w:rPr>
          <w:bCs/>
          <w:b/>
        </w:rPr>
        <w:t xml:space="preserve">Who provides the channel.</w:t>
      </w:r>
      <w:r>
        <w:t xml:space="preserve"> </w:t>
      </w:r>
      <w:r>
        <w:t xml:space="preserve">The gas engine and the absorption chiller provide 85 % of the energy that recovery draws through the channel (Fig. 5). The gas engine runs at full output with and without DR, so it adds no energy during recovery but lowers the import by 3 MW and thereby widens the headroom</w:t>
      </w:r>
      <w:r>
        <w:t xml:space="preserve"> </w:t>
      </w:r>
      <m:oMath>
        <m:sSup>
          <m:e>
            <m:r>
              <m:t>P</m:t>
            </m:r>
          </m:e>
          <m:sup>
            <m:r>
              <m:t>c</m:t>
            </m:r>
            <m:r>
              <m:t>a</m:t>
            </m:r>
            <m:r>
              <m:t>p</m:t>
            </m:r>
          </m:sup>
        </m:sSup>
        <m:r>
          <m:rPr>
            <m:sty m:val="p"/>
          </m:rPr>
          <m:t>−</m:t>
        </m:r>
        <m:sSup>
          <m:e>
            <m:r>
              <m:t>P</m:t>
            </m:r>
          </m:e>
          <m:sup>
            <m:r>
              <m:t>b</m:t>
            </m:r>
            <m:r>
              <m:t>a</m:t>
            </m:r>
            <m:r>
              <m:t>s</m:t>
            </m:r>
            <m:r>
              <m:t>e</m:t>
            </m:r>
          </m:sup>
        </m:sSup>
      </m:oMath>
      <w:r>
        <w:t xml:space="preserve">; Section 5.7 quantifies these roles.</w:t>
      </w:r>
    </w:p>
    <w:p>
      <w:pPr>
        <w:pStyle w:val="BodyText"/>
      </w:pPr>
      <w:r>
        <w:t xml:space="preserve">These results confirm that the deliverable reduction of the second event is decided by the recovery state that the first event leaves behind, and that joint recovery shapes this state through both the choice of deferred work and the allocation of the channel.</w:t>
      </w:r>
    </w:p>
    <w:bookmarkEnd w:id="55"/>
    <w:bookmarkStart w:id="62" w:name="firm-consecutive-dr-capacity-1"/>
    <w:p>
      <w:pPr>
        <w:pStyle w:val="Heading2"/>
      </w:pPr>
      <w:r>
        <w:t xml:space="preserve">5.3 Firm consecutive DR capacity</w:t>
      </w:r>
    </w:p>
    <w:p>
      <w:pPr>
        <w:pStyle w:val="FirstParagraph"/>
      </w:pPr>
      <w:r>
        <w:t xml:space="preserve">Fig. 6 shows the share of the 26 operating days on which every event is delivered in full, as a function of the uniform commitment, and Table 4 lists the firm capacities. JR-D firmly delivers 7.5 MW in S1 and in S2 (95 % CI 7.5–8 MW), 94 % of the single-event capability of the second event (7.98 MW). Above this level its share drops to 81 % at 8 MW and to zero at 8.5 MW, where the commitment exceeds what the AIDC can reduce below the baseline at the minimum import of 1.5 MW; this limit is physical, not a recovery limit. JR-M firmly delivers 6.5 MW in S1 but only 4.5 MW in S2, so cross-event foresight adds 1.0 MW (95 % CI 0.5–1.5) with the 1-h interval and 3.0 MW (2.5–3.0) with the 30-min interval. The third, rapid event of S3 makes the evening more demanding: JR-D firmly delivers 6.5 MW per event (4.5–7.0) and JR-M 4.5 MW (1.5–5.0), so foresight adds 2.0 MW (2.0–3.0), while the independent benchmarks deliver all three events in full on at most 77 % of the days at any commitment.</w:t>
      </w:r>
    </w:p>
    <w:p>
      <w:pPr>
        <w:pStyle w:val="Figure"/>
      </w:pPr>
      <w:r>
        <w:drawing>
          <wp:inline>
            <wp:extent cx="5716799" cy="3988961"/>
            <wp:effectExtent b="0" l="0" r="0" t="0"/>
            <wp:docPr descr="" title="" id="57" name="Picture"/>
            <a:graphic>
              <a:graphicData uri="http://schemas.openxmlformats.org/drawingml/2006/picture">
                <pic:pic>
                  <pic:nvPicPr>
                    <pic:cNvPr descr="/home/user/datacenter/paper/figures/Fig6_reliable_capacity.png" id="58" name="Picture"/>
                    <pic:cNvPicPr>
                      <a:picLocks noChangeArrowheads="1" noChangeAspect="1"/>
                    </pic:cNvPicPr>
                  </pic:nvPicPr>
                  <pic:blipFill>
                    <a:blip r:embed="rId56"/>
                    <a:stretch>
                      <a:fillRect/>
                    </a:stretch>
                  </pic:blipFill>
                  <pic:spPr bwMode="auto">
                    <a:xfrm>
                      <a:off x="0" y="0"/>
                      <a:ext cx="5716799" cy="3988961"/>
                    </a:xfrm>
                    <a:prstGeom prst="rect">
                      <a:avLst/>
                    </a:prstGeom>
                    <a:noFill/>
                    <a:ln w="9525">
                      <a:noFill/>
                      <a:headEnd/>
                      <a:tailEnd/>
                    </a:ln>
                  </pic:spPr>
                </pic:pic>
              </a:graphicData>
            </a:graphic>
          </wp:inline>
        </w:drawing>
      </w:r>
    </w:p>
    <w:p>
      <w:pPr>
        <w:pStyle w:val="FigureCaption"/>
      </w:pPr>
      <w:r>
        <w:rPr>
          <w:bCs/>
          <w:b/>
        </w:rPr>
        <w:t xml:space="preserve">Fig. 6.</w:t>
      </w:r>
      <w:r>
        <w:t xml:space="preserve"> </w:t>
      </w:r>
      <w:r>
        <w:t xml:space="preserve">Share of the 26 operating days on which every event is delivered in full (a–c) and on which every event is valid under the 80 % rule (d–f) versus the uniform commitment, for S1, S2 and S3; bands: 95 % block-bootstrap intervals; ticks: firm capacities at 95 %; arrows: gain of JR-D over the best independent benchmark, a lower bound because neither independent benchmark is firm at 1 MW.</w:t>
      </w:r>
    </w:p>
    <w:p>
      <w:pPr>
        <w:pStyle w:val="TableCaption"/>
      </w:pPr>
      <w:r>
        <w:rPr>
          <w:bCs/>
          <w:b/>
        </w:rPr>
        <w:t xml:space="preserve">Table 4.</w:t>
      </w:r>
      <w:r>
        <w:t xml:space="preserve"> </w:t>
      </w:r>
      <w:r>
        <w:t xml:space="preserve">Firm consecutive DR capacity</w:t>
      </w:r>
      <w:r>
        <w:t xml:space="preserve"> </w:t>
      </w:r>
      <m:oMath>
        <m:sSubSup>
          <m:e>
            <m:r>
              <m:t>C</m:t>
            </m:r>
          </m:e>
          <m:sub>
            <m:r>
              <m:t>0.95</m:t>
            </m:r>
          </m:sub>
          <m:sup>
            <m:r>
              <m:t>f</m:t>
            </m:r>
            <m:r>
              <m:t>i</m:t>
            </m:r>
            <m:r>
              <m:t>r</m:t>
            </m:r>
            <m:r>
              <m:t>m</m:t>
            </m:r>
          </m:sup>
        </m:sSubSup>
      </m:oMath>
      <w:r>
        <w:t xml:space="preserve"> </w:t>
      </w:r>
      <w:r>
        <w:t xml:space="preserve">(MW) on the 26 operating days, with 95 % block-bootstrap confidence intervals;</w:t>
      </w:r>
      <w:r>
        <w:t xml:space="preserve"> </w:t>
      </w:r>
      <w:r>
        <w:t xml:space="preserve">“</w:t>
      </w:r>
      <w:r>
        <w:t xml:space="preserve">&lt; 1</w:t>
      </w:r>
      <w:r>
        <w:t xml:space="preserve">”</w:t>
      </w:r>
      <w:r>
        <w:t xml:space="preserve"> </w:t>
      </w:r>
      <w:r>
        <w:t xml:space="preserve">means that full delivery on 95 % of the days is not reached even at 1 MW.</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1326"/>
        <w:gridCol w:w="1054"/>
        <w:gridCol w:w="874"/>
        <w:gridCol w:w="1778"/>
        <w:gridCol w:w="1778"/>
        <w:gridCol w:w="2260"/>
      </w:tblGrid>
      <w:tr>
        <w:trPr>
          <w:tblHeader w:val="true"/>
        </w:trPr>
        <w:tc>
          <w:tcPr>
            <w:tcW w:w="1326" w:type="dxa"/>
            <w:tcBorders>
              <w:bottom w:val="single" w:sz="4" w:space="0" w:color="000000"/>
            </w:tcBorders>
          </w:tcPr>
          <w:p>
            <w:pPr>
              <w:pStyle w:val="TableText"/>
              <w:jc w:val="left"/>
            </w:pPr>
            <w:r>
              <w:t xml:space="preserve">Scenario</w:t>
            </w:r>
          </w:p>
        </w:tc>
        <w:tc>
          <w:tcPr>
            <w:tcW w:w="1054" w:type="dxa"/>
            <w:tcBorders>
              <w:bottom w:val="single" w:sz="4" w:space="0" w:color="000000"/>
            </w:tcBorders>
          </w:tcPr>
          <w:p>
            <w:pPr>
              <w:pStyle w:val="TableText"/>
              <w:jc w:val="left"/>
            </w:pPr>
            <w:r>
              <w:t xml:space="preserve">IR-O*</w:t>
            </w:r>
          </w:p>
        </w:tc>
        <w:tc>
          <w:tcPr>
            <w:tcW w:w="874" w:type="dxa"/>
            <w:tcBorders>
              <w:bottom w:val="single" w:sz="4" w:space="0" w:color="000000"/>
            </w:tcBorders>
          </w:tcPr>
          <w:p>
            <w:pPr>
              <w:pStyle w:val="TableText"/>
              <w:jc w:val="left"/>
            </w:pPr>
            <w:r>
              <w:t xml:space="preserve">IR-P</w:t>
            </w:r>
          </w:p>
        </w:tc>
        <w:tc>
          <w:tcPr>
            <w:tcW w:w="1778" w:type="dxa"/>
            <w:tcBorders>
              <w:bottom w:val="single" w:sz="4" w:space="0" w:color="000000"/>
            </w:tcBorders>
          </w:tcPr>
          <w:p>
            <w:pPr>
              <w:pStyle w:val="TableText"/>
              <w:jc w:val="left"/>
            </w:pPr>
            <w:r>
              <w:t xml:space="preserve">JR-M</w:t>
            </w:r>
          </w:p>
        </w:tc>
        <w:tc>
          <w:tcPr>
            <w:tcW w:w="1778" w:type="dxa"/>
            <w:tcBorders>
              <w:bottom w:val="single" w:sz="4" w:space="0" w:color="000000"/>
            </w:tcBorders>
          </w:tcPr>
          <w:p>
            <w:pPr>
              <w:pStyle w:val="TableText"/>
              <w:jc w:val="left"/>
            </w:pPr>
            <w:r>
              <w:t xml:space="preserve">JR-D</w:t>
            </w:r>
          </w:p>
        </w:tc>
        <w:tc>
          <w:tcPr>
            <w:tcW w:w="2260" w:type="dxa"/>
            <w:tcBorders>
              <w:bottom w:val="single" w:sz="4" w:space="0" w:color="000000"/>
            </w:tcBorders>
          </w:tcPr>
          <w:p>
            <w:pPr>
              <w:pStyle w:val="TableText"/>
              <w:jc w:val="left"/>
            </w:pPr>
            <w:r>
              <w:t xml:space="preserve">Foresight gain JR-D − JR-M</w:t>
            </w:r>
          </w:p>
        </w:tc>
      </w:tr>
      <w:tr>
        <w:tc>
          <w:tcPr>
            <w:tcW w:w="1326" w:type="dxa"/>
          </w:tcPr>
          <w:p>
            <w:pPr>
              <w:pStyle w:val="TableText"/>
              <w:jc w:val="left"/>
            </w:pPr>
            <w:r>
              <w:t xml:space="preserve">S1</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6.5 [6.0, 7.0]</w:t>
            </w:r>
          </w:p>
        </w:tc>
        <w:tc>
          <w:tcPr>
            <w:tcW w:w="1778" w:type="dxa"/>
          </w:tcPr>
          <w:p>
            <w:pPr>
              <w:pStyle w:val="TableText"/>
              <w:jc w:val="left"/>
            </w:pPr>
            <w:r>
              <w:t xml:space="preserve">7.5 [7.5, 8.0]</w:t>
            </w:r>
          </w:p>
        </w:tc>
        <w:tc>
          <w:tcPr>
            <w:tcW w:w="2260" w:type="dxa"/>
          </w:tcPr>
          <w:p>
            <w:pPr>
              <w:pStyle w:val="TableText"/>
              <w:jc w:val="left"/>
            </w:pPr>
            <w:r>
              <w:t xml:space="preserve">+1.0 [+0.5, +1.5]</w:t>
            </w:r>
          </w:p>
        </w:tc>
      </w:tr>
      <w:tr>
        <w:tc>
          <w:tcPr>
            <w:tcW w:w="1326" w:type="dxa"/>
          </w:tcPr>
          <w:p>
            <w:pPr>
              <w:pStyle w:val="TableText"/>
              <w:jc w:val="left"/>
            </w:pPr>
            <w:r>
              <w:t xml:space="preserve">S2</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4.5 [4.5, 5.0]</w:t>
            </w:r>
          </w:p>
        </w:tc>
        <w:tc>
          <w:tcPr>
            <w:tcW w:w="1778" w:type="dxa"/>
          </w:tcPr>
          <w:p>
            <w:pPr>
              <w:pStyle w:val="TableText"/>
              <w:jc w:val="left"/>
            </w:pPr>
            <w:r>
              <w:t xml:space="preserve">7.5 [7.5, 8.0]</w:t>
            </w:r>
          </w:p>
        </w:tc>
        <w:tc>
          <w:tcPr>
            <w:tcW w:w="2260" w:type="dxa"/>
          </w:tcPr>
          <w:p>
            <w:pPr>
              <w:pStyle w:val="TableText"/>
              <w:jc w:val="left"/>
            </w:pPr>
            <w:r>
              <w:t xml:space="preserve">+3.0 [+2.5, +3.0]</w:t>
            </w:r>
          </w:p>
        </w:tc>
      </w:tr>
      <w:tr>
        <w:tc>
          <w:tcPr>
            <w:tcW w:w="1326" w:type="dxa"/>
          </w:tcPr>
          <w:p>
            <w:pPr>
              <w:pStyle w:val="TableText"/>
              <w:jc w:val="left"/>
            </w:pPr>
            <w:r>
              <w:t xml:space="preserve">S3</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4.5 [1.5, 5.0]</w:t>
            </w:r>
          </w:p>
        </w:tc>
        <w:tc>
          <w:tcPr>
            <w:tcW w:w="1778" w:type="dxa"/>
          </w:tcPr>
          <w:p>
            <w:pPr>
              <w:pStyle w:val="TableText"/>
              <w:jc w:val="left"/>
            </w:pPr>
            <w:r>
              <w:t xml:space="preserve">6.5 [4.5, 7.0]</w:t>
            </w:r>
          </w:p>
        </w:tc>
        <w:tc>
          <w:tcPr>
            <w:tcW w:w="2260" w:type="dxa"/>
          </w:tcPr>
          <w:p>
            <w:pPr>
              <w:pStyle w:val="TableText"/>
              <w:jc w:val="left"/>
            </w:pPr>
            <w:r>
              <w:t xml:space="preserve">+2.0 [+2.0, +3.0]</w:t>
            </w:r>
          </w:p>
        </w:tc>
      </w:tr>
    </w:tbl>
    <w:p>
      <w:pPr>
        <w:pStyle w:val="BodyText"/>
      </w:pPr>
      <w:r>
        <w:t xml:space="preserve">The independent benchmarks do not reach 95 % at any commitment, not even at 1 MW, where IR-O* and IR-P deliver in full on 69 % of the days in S1 and 73 % in S2. Their failures concentrate on the days on which the load without DR exceeds the baseline, by more than 1 MW on 14 of the 26 days and by up to 3.3 MW (Section 5.1); a reduction measured against the baseline then requires a correspondingly larger true reduction. The IT scheduler of independent recovery defers only its planned share of the commitment, so the whole deviation falls on the storage, which must also serve the second event. On the day with the largest deviation, IR-O* defers 4.9×10³ GPU·h at 3 MW in S2, less than on an average day, and delivers 1.26 MW and 2.35 MW instead of 3 MW; JR-D defers 9.5×10³ GPU·h, 2.8 times its average, and delivers both events in full. In S1 the facility controller of IR-O* also charges the BESS only for its own share (7.6 MWh on average at the start of the first event at 3 MW, against 11.3 MWh under JR-D). The firm capacity of independent recovery is therefore limited by baseline uncertainty long before the recovery channel binds, and Section 5.8 shows that no static split, not even the best one in hindsight, removes this limit. Under the 80 % settlement rule the ordering is the same: on at least 95 % of the days JR-D is valid up to 9 MW, the top of the grid, in S1 and S2 and up to 7.5 MW in S3, JR-M up to 8.5, 5.5 and 5.0 MW, and the independent benchmarks not even at 1 MW. Even the payment validity of independent recovery cannot be guaranteed.</w:t>
      </w:r>
    </w:p>
    <w:p>
      <w:pPr>
        <w:pStyle w:val="BodyText"/>
      </w:pPr>
      <w:r>
        <w:t xml:space="preserve">Fig. 7 extends the uniform commitment to the two-event region of S2: for a fixed first-event commitment</w:t>
      </w:r>
      <w:r>
        <w:t xml:space="preserve"> </w:t>
      </w:r>
      <m:oMath>
        <m:sSub>
          <m:e>
            <m:r>
              <m:t>C</m:t>
            </m:r>
          </m:e>
          <m:sub>
            <m:r>
              <m:t>1</m:t>
            </m:r>
          </m:sub>
        </m:sSub>
      </m:oMath>
      <w:r>
        <w:t xml:space="preserve">, it shows the largest second-event commitment that is delivered in full in both events on at least 95 % of the days. The boundary of JR-D is almost flat: JR-D firmly delivers 8.0 MW in the second event after a first event of 2 or 4 MW and still 7.75 MW after 6–8 MW, so a large first event costs the second one almost nothing. The boundary of JR-M falls from 5.5 MW at</w:t>
      </w:r>
      <w:r>
        <w:t xml:space="preserve"> </w:t>
      </w:r>
      <m:oMath>
        <m:sSub>
          <m:e>
            <m:r>
              <m:t>C</m:t>
            </m:r>
          </m:e>
          <m:sub>
            <m:r>
              <m:t>1</m:t>
            </m:r>
          </m:sub>
        </m:sSub>
      </m:oMath>
      <w:r>
        <w:t xml:space="preserve"> </w:t>
      </w:r>
      <w:r>
        <w:t xml:space="preserve">= 2 MW to 3.75 MW at</w:t>
      </w:r>
      <w:r>
        <w:t xml:space="preserve"> </w:t>
      </w:r>
      <m:oMath>
        <m:sSub>
          <m:e>
            <m:r>
              <m:t>C</m:t>
            </m:r>
          </m:e>
          <m:sub>
            <m:r>
              <m:t>1</m:t>
            </m:r>
          </m:sub>
        </m:sSub>
      </m:oMath>
      <w:r>
        <w:t xml:space="preserve"> </w:t>
      </w:r>
      <w:r>
        <w:t xml:space="preserve">= 8 MW. Even a small first event limits JR-M, because an event-by-event plan prepares the storage only for the event at hand: with</w:t>
      </w:r>
      <w:r>
        <w:t xml:space="preserve"> </w:t>
      </w:r>
      <m:oMath>
        <m:sSub>
          <m:e>
            <m:r>
              <m:t>C</m:t>
            </m:r>
          </m:e>
          <m:sub>
            <m:r>
              <m:t>1</m:t>
            </m:r>
          </m:sub>
        </m:sSub>
      </m:oMath>
      <w:r>
        <w:t xml:space="preserve"> </w:t>
      </w:r>
      <w:r>
        <w:t xml:space="preserve">= 2 MW and</w:t>
      </w:r>
      <w:r>
        <w:t xml:space="preserve"> </w:t>
      </w:r>
      <m:oMath>
        <m:sSub>
          <m:e>
            <m:r>
              <m:t>C</m:t>
            </m:r>
          </m:e>
          <m:sub>
            <m:r>
              <m:t>2</m:t>
            </m:r>
          </m:sub>
        </m:sSub>
      </m:oMath>
      <w:r>
        <w:t xml:space="preserve"> </w:t>
      </w:r>
      <w:r>
        <w:t xml:space="preserve">= 6 MW (five sampled operating days), JR-M starts the first event with 4.4–5.9 MWh in the BESS, against 11.4 MWh under JR-D, and the second event with 4.1 MWh and up to 2.4×10³ GPU·h of backlog, whereas JR-D starts it with 7.4–7.7 MWh and no backlog. The independent benchmarks have no firm pair at all, since they are not firm even at (1, 1) MW. With perfect information on the DR day (dashed in Fig. 7, supplementary Fig. S1), the second event can deliver 8.1 MW, expressed as a commitment delivered in full, whatever the first commitment, and this physical capability is the same for joint, event-by-event and independent recovery with the best static split. Physical capability therefore does not distinguish the controllers; firm capacity does. JR-D comes within 0.1–0.3 MW of the physical boundary, whereas JR-M stays 2.6–4.3 MW below it: the gap is created by operating in closed loop under forecast and baseline errors, which is exactly what a perfect-recourse assessment leaves out.</w:t>
      </w:r>
    </w:p>
    <w:p>
      <w:pPr>
        <w:pStyle w:val="Figure"/>
      </w:pPr>
      <w:r>
        <w:drawing>
          <wp:inline>
            <wp:extent cx="2786399" cy="2612631"/>
            <wp:effectExtent b="0" l="0" r="0" t="0"/>
            <wp:docPr descr="" title="" id="60" name="Picture"/>
            <a:graphic>
              <a:graphicData uri="http://schemas.openxmlformats.org/drawingml/2006/picture">
                <pic:pic>
                  <pic:nvPicPr>
                    <pic:cNvPr descr="/home/user/datacenter/paper/figures/Fig7_two_event_region.png" id="61" name="Picture"/>
                    <pic:cNvPicPr>
                      <a:picLocks noChangeArrowheads="1" noChangeAspect="1"/>
                    </pic:cNvPicPr>
                  </pic:nvPicPr>
                  <pic:blipFill>
                    <a:blip r:embed="rId59"/>
                    <a:stretch>
                      <a:fillRect/>
                    </a:stretch>
                  </pic:blipFill>
                  <pic:spPr bwMode="auto">
                    <a:xfrm>
                      <a:off x="0" y="0"/>
                      <a:ext cx="2786399" cy="2612631"/>
                    </a:xfrm>
                    <a:prstGeom prst="rect">
                      <a:avLst/>
                    </a:prstGeom>
                    <a:noFill/>
                    <a:ln w="9525">
                      <a:noFill/>
                      <a:headEnd/>
                      <a:tailEnd/>
                    </a:ln>
                  </pic:spPr>
                </pic:pic>
              </a:graphicData>
            </a:graphic>
          </wp:inline>
        </w:drawing>
      </w:r>
    </w:p>
    <w:p>
      <w:pPr>
        <w:pStyle w:val="FigureCaption"/>
      </w:pPr>
      <w:r>
        <w:rPr>
          <w:bCs/>
          <w:b/>
        </w:rPr>
        <w:t xml:space="preserve">Fig. 7.</w:t>
      </w:r>
      <w:r>
        <w:t xml:space="preserve"> </w:t>
      </w:r>
      <w:r>
        <w:t xml:space="preserve">Two-event firm region in S2 (30-min interval, reliability 95 %): largest second-event commitment delivered in full for a fixed first-event commitment, for JR-D and JR-M (bisection on the 26 operating days), and the physical capability with perfect information on the DR day (dashed), which is the same for joint, event-by-event and independent recovery.</w:t>
      </w:r>
    </w:p>
    <w:bookmarkEnd w:id="62"/>
    <w:bookmarkStart w:id="69" w:name="Xc9cf37570c09f371c6bdd92e7126aba47a6d02c"/>
    <w:p>
      <w:pPr>
        <w:pStyle w:val="Heading2"/>
      </w:pPr>
      <w:r>
        <w:t xml:space="preserve">5.4 Where the gain comes from: coordination, foresight and their conditions</w:t>
      </w:r>
    </w:p>
    <w:p>
      <w:pPr>
        <w:pStyle w:val="FirstParagraph"/>
      </w:pPr>
      <w:r>
        <w:t xml:space="preserve">Fig. 8 decomposes the firm capacity over the event interval τ, from 15 min to 3 h (two one-hour events, base system, bisection on the 26 operating days). JR-D firmly delivers 7.50–8.00 MW at every interval: with cross-event foresight the firm capacity hardly depends on how soon the next event follows. Without foresight it does. The firm capacity of JR-M rises from 3.50 MW at 15 min to 4.75 MW at 30 min, 6.75 MW at 1 h and 7.75 MW at 2 h and 3 h, so the foresight value, the gain of JR-D over JR-M, is 4.0, 3.0, 1.0, 0.25 and 0 MW. It vanishes once the interval is long enough to repay both debts, the condition of Proposition 2. IR-O* stays below 1 MW at every interval, so the coordination value, the gain of JR-M over IR-O*, is at least 2.5 MW at 15 min and grows to at least 6.75 MW at 2 h and 3 h. Coordination is therefore valuable at every interval, because it lets one controller re-plan all resources on the measured state, while foresight adds its value precisely where coordination alone falls short, at short intervals.</w:t>
      </w:r>
    </w:p>
    <w:p>
      <w:pPr>
        <w:pStyle w:val="Figure"/>
      </w:pPr>
      <w:r>
        <w:drawing>
          <wp:inline>
            <wp:extent cx="5641199" cy="2578311"/>
            <wp:effectExtent b="0" l="0" r="0" t="0"/>
            <wp:docPr descr="" title="" id="64" name="Picture"/>
            <a:graphic>
              <a:graphicData uri="http://schemas.openxmlformats.org/drawingml/2006/picture">
                <pic:pic>
                  <pic:nvPicPr>
                    <pic:cNvPr descr="/home/user/datacenter/paper/figures/Fig8_value_decomposition.png" id="65" name="Picture"/>
                    <pic:cNvPicPr>
                      <a:picLocks noChangeArrowheads="1" noChangeAspect="1"/>
                    </pic:cNvPicPr>
                  </pic:nvPicPr>
                  <pic:blipFill>
                    <a:blip r:embed="rId63"/>
                    <a:stretch>
                      <a:fillRect/>
                    </a:stretch>
                  </pic:blipFill>
                  <pic:spPr bwMode="auto">
                    <a:xfrm>
                      <a:off x="0" y="0"/>
                      <a:ext cx="5641199" cy="2578311"/>
                    </a:xfrm>
                    <a:prstGeom prst="rect">
                      <a:avLst/>
                    </a:prstGeom>
                    <a:noFill/>
                    <a:ln w="9525">
                      <a:noFill/>
                      <a:headEnd/>
                      <a:tailEnd/>
                    </a:ln>
                  </pic:spPr>
                </pic:pic>
              </a:graphicData>
            </a:graphic>
          </wp:inline>
        </w:drawing>
      </w:r>
    </w:p>
    <w:p>
      <w:pPr>
        <w:pStyle w:val="FigureCaption"/>
      </w:pPr>
      <w:r>
        <w:rPr>
          <w:bCs/>
          <w:b/>
        </w:rPr>
        <w:t xml:space="preserve">Fig. 8.</w:t>
      </w:r>
      <w:r>
        <w:t xml:space="preserve"> </w:t>
      </w:r>
      <w:r>
        <w:t xml:space="preserve">Firm capacity versus the event interval (two one-hour events, base system): (a) firm capacity of IR-O*, JR-M and JR-D with the coordination and foresight values shaded; (b) decomposition into the coordination value (JR-M − IR-O*, a lower bound where IR-O* stays below 1 MW, hatched) and the cross-event foresight value (JR-D − JR-M).</w:t>
      </w:r>
    </w:p>
    <w:p>
      <w:pPr>
        <w:pStyle w:val="BodyText"/>
      </w:pPr>
      <w:r>
        <w:t xml:space="preserve">At a fixed commitment of 7 MW, the interval–margin map (Fig. 9a–c) confirms the conditions of Proposition 2. JR-D delivers in full on 96–100 % of the days in all 20 combinations of τ and γ. JR-M delivers in full on 0–31 % of the days when the interval is 15 or 30 min and on 88–100 % from 1 h on, whatever the connection margin, so the foresight gain is 69–100 percentage points for τ ≤ 0.5 h, 0–12 points at 1 h and 0–4 points for τ ≥ 2 h (Fig. 9c). A wider connection does not rescue JR-M at short intervals: JR-M enters the interval with the battery that it emptied in the first event, and within 30 min the battery can take back at most 3 MWh at its 6-MW rating, whatever the connection (Section 5.5). Once the interval is long enough to repay both debts, the order of repayment no longer matters, and joint recovery loses its edge, exactly as Proposition 2 predicts. The gain of JR-D over the best independent benchmark (12–54 points, Fig. 9b) shows no trend in τ, consistent with independent recovery failing on baseline deviations rather than on the channel.</w:t>
      </w:r>
    </w:p>
    <w:p>
      <w:pPr>
        <w:pStyle w:val="Figure"/>
      </w:pPr>
      <w:r>
        <w:drawing>
          <wp:inline>
            <wp:extent cx="5709599" cy="2511858"/>
            <wp:effectExtent b="0" l="0" r="0" t="0"/>
            <wp:docPr descr="" title="" id="67" name="Picture"/>
            <a:graphic>
              <a:graphicData uri="http://schemas.openxmlformats.org/drawingml/2006/picture">
                <pic:pic>
                  <pic:nvPicPr>
                    <pic:cNvPr descr="/home/user/datacenter/paper/figures/Fig9_sensitivity.png" id="68" name="Picture"/>
                    <pic:cNvPicPr>
                      <a:picLocks noChangeArrowheads="1" noChangeAspect="1"/>
                    </pic:cNvPicPr>
                  </pic:nvPicPr>
                  <pic:blipFill>
                    <a:blip r:embed="rId66"/>
                    <a:stretch>
                      <a:fillRect/>
                    </a:stretch>
                  </pic:blipFill>
                  <pic:spPr bwMode="auto">
                    <a:xfrm>
                      <a:off x="0" y="0"/>
                      <a:ext cx="5709599" cy="2511858"/>
                    </a:xfrm>
                    <a:prstGeom prst="rect">
                      <a:avLst/>
                    </a:prstGeom>
                    <a:noFill/>
                    <a:ln w="9525">
                      <a:noFill/>
                      <a:headEnd/>
                      <a:tailEnd/>
                    </a:ln>
                  </pic:spPr>
                </pic:pic>
              </a:graphicData>
            </a:graphic>
          </wp:inline>
        </w:drawing>
      </w:r>
    </w:p>
    <w:p>
      <w:pPr>
        <w:pStyle w:val="FigureCaption"/>
      </w:pPr>
      <w:r>
        <w:rPr>
          <w:bCs/>
          <w:b/>
        </w:rPr>
        <w:t xml:space="preserve">Fig. 9.</w:t>
      </w:r>
      <w:r>
        <w:t xml:space="preserve"> </w:t>
      </w:r>
      <w:r>
        <w:t xml:space="preserve">Sensitivity at a commitment of 7 MW: (a) full-delivery share of JR-D over the event interval and the connection margin; (b) gain of JR-D over the best independent benchmark; (c) gain over JR-M (percentage points); (d) full-delivery share versus the scale of the lag bounds (S1).</w:t>
      </w:r>
    </w:p>
    <w:p>
      <w:pPr>
        <w:pStyle w:val="BodyText"/>
      </w:pPr>
      <w:r>
        <w:t xml:space="preserve">The lag bounds of the deferrable work decide how much debt can be carried (Fig. 9d; S1, 7 MW, connection kept). With all lag bounds scaled by 0.5, 0.75, 1, 1.25 and 1.5, JR-D delivers both events in full on 96–100 % of the days, whereas JR-M does so on 19, 46, 92, 100 and 100 %. Shorter deadlines shrink the debt that may be carried,</w:t>
      </w:r>
      <w:r>
        <w:t xml:space="preserve"> </w:t>
      </w:r>
      <m:oMath>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w:t>
      </w:r>
      <w:r>
        <w:t xml:space="preserve">in Proposition 2, so event-by-event recovery runs out of room, while cross-event foresight still finds a feasible order of repayment; longer deadlines let even an event-by-event plan wait. Independent recovery is unaffected (85 % for IR-O*, 12 % for IR-P at every scale), consistent with its failures stemming from baseline deviations rather than from deadlines.</w:t>
      </w:r>
    </w:p>
    <w:bookmarkEnd w:id="69"/>
    <w:bookmarkStart w:id="73" w:name="X932eb82e25346fdf8cdf0792d5956aafb309bc4"/>
    <w:p>
      <w:pPr>
        <w:pStyle w:val="Heading2"/>
      </w:pPr>
      <w:r>
        <w:t xml:space="preserve">5.5 System-level value: equivalent battery and connection capacity</w:t>
      </w:r>
    </w:p>
    <w:p>
      <w:pPr>
        <w:pStyle w:val="FirstParagraph"/>
      </w:pPr>
      <w:r>
        <w:t xml:space="preserve">Fig. 10 translates the capacity gain into the battery energy and the connection capacity that it substitutes. The firm capacities are found by bisection on the 26 operating days of S2 (resolution 0.25 MW). With the connection limit kept at its base value, the firm capacity of JR-D rises from 3.75 MW without a BESS to 6.00 MW with 6 MWh and 7.75 MW with the base 12 MWh (Fig. 10a). JR-M gains much less from the same battery (3.75, 4.50 and 4.75 MW) and never exceeds 5.25 MW, and IR-O* stays below 1 MW at every size: a battery reserved for a fixed share of the reduction cannot absorb the baseline deviations that make independent recovery fail. Cross-event foresight therefore substitutes battery energy. JR-D needs 2.7 MWh to firmly deliver the 4.75 MW that JR-M reaches with 12 MWh, a saving of 9.3 MWh, or about 5.6 million CNY at a system cost of 0.6 CNY/Wh, and no battery size lets JR-M reach the firm capacity of JR-D. Beyond 12 MWh the firm capacity of JR-D declines (7.50 MW at 18 MWh and 6.75 MW at 24 MWh). This decline stems from the baseline rule, not from recovery: a larger battery shaves the evening peak in normal operation, which lowers the five-day baseline and with it the reduction that can be shown against it.</w:t>
      </w:r>
    </w:p>
    <w:p>
      <w:pPr>
        <w:pStyle w:val="Figure"/>
      </w:pPr>
      <w:r>
        <w:drawing>
          <wp:inline>
            <wp:extent cx="5641199" cy="2639264"/>
            <wp:effectExtent b="0" l="0" r="0" t="0"/>
            <wp:docPr descr="" title="" id="71" name="Picture"/>
            <a:graphic>
              <a:graphicData uri="http://schemas.openxmlformats.org/drawingml/2006/picture">
                <pic:pic>
                  <pic:nvPicPr>
                    <pic:cNvPr descr="/home/user/datacenter/paper/figures/Fig10_substitution.png" id="72" name="Picture"/>
                    <pic:cNvPicPr>
                      <a:picLocks noChangeArrowheads="1" noChangeAspect="1"/>
                    </pic:cNvPicPr>
                  </pic:nvPicPr>
                  <pic:blipFill>
                    <a:blip r:embed="rId70"/>
                    <a:stretch>
                      <a:fillRect/>
                    </a:stretch>
                  </pic:blipFill>
                  <pic:spPr bwMode="auto">
                    <a:xfrm>
                      <a:off x="0" y="0"/>
                      <a:ext cx="5641199" cy="2639264"/>
                    </a:xfrm>
                    <a:prstGeom prst="rect">
                      <a:avLst/>
                    </a:prstGeom>
                    <a:noFill/>
                    <a:ln w="9525">
                      <a:noFill/>
                      <a:headEnd/>
                      <a:tailEnd/>
                    </a:ln>
                  </pic:spPr>
                </pic:pic>
              </a:graphicData>
            </a:graphic>
          </wp:inline>
        </w:drawing>
      </w:r>
    </w:p>
    <w:p>
      <w:pPr>
        <w:pStyle w:val="FigureCaption"/>
      </w:pPr>
      <w:r>
        <w:rPr>
          <w:bCs/>
          <w:b/>
        </w:rPr>
        <w:t xml:space="preserve">Fig. 10.</w:t>
      </w:r>
      <w:r>
        <w:t xml:space="preserve"> </w:t>
      </w:r>
      <w:r>
        <w:t xml:space="preserve">System-level value of joint recovery in S2 (firm capacity by bisection, resolution 0.25 MW): (a) firm capacity versus BESS energy (2-h rating, connection fixed); (b) versus the connection limit; (c) battery energy and connection capacity saved by cross-event foresight at the firm capacity of JR-M (hatched: lower bound).</w:t>
      </w:r>
    </w:p>
    <w:p>
      <w:pPr>
        <w:pStyle w:val="BodyText"/>
      </w:pPr>
      <w:r>
        <w:t xml:space="preserve">The connection margin matters much less (Fig. 10b). Raising the connection limit from 14.57 MW (</w:t>
      </w:r>
      <m:oMath>
        <m:r>
          <m:t>γ</m:t>
        </m:r>
      </m:oMath>
      <w:r>
        <w:t xml:space="preserve"> </w:t>
      </w:r>
      <w:r>
        <w:t xml:space="preserve">= 1.00) to 18.94 MW (</w:t>
      </w:r>
      <m:oMath>
        <m:r>
          <m:t>γ</m:t>
        </m:r>
      </m:oMath>
      <w:r>
        <w:t xml:space="preserve"> </w:t>
      </w:r>
      <w:r>
        <w:t xml:space="preserve">= 1.30) adds only 0.5 MW to the firm capacity of JR-D (7.50 → 8.00 MW) and of JR-M (4.50 → 5.00 MW), and IR-O* stays below 1 MW. Event-by-event recovery cannot buy its way out with connection capacity: with 4.4 MW more connection than JR-D at</w:t>
      </w:r>
      <w:r>
        <w:t xml:space="preserve"> </w:t>
      </w:r>
      <m:oMath>
        <m:r>
          <m:t>γ</m:t>
        </m:r>
      </m:oMath>
      <w:r>
        <w:t xml:space="preserve"> </w:t>
      </w:r>
      <w:r>
        <w:t xml:space="preserve">= 1.00, JR-M still firmly delivers 2.5 MW less. Conversely, JR-D firmly delivers what JR-M delivers at the base connection already at the smallest margin tested, i.e. with at least 1.46 MW less connection (Fig. 10c). At a 30-min interval the binding limit is the recharge rate of the battery (6 MW, at most 3 MWh within the interval), not the width of the channel: JR-M empties the battery in the first event and cannot restore it whatever the connection, whereas JR-D keeps the energy that the second event needs.</w:t>
      </w:r>
    </w:p>
    <w:bookmarkEnd w:id="73"/>
    <w:bookmarkStart w:id="77" w:name="distributionally-robust-commitment"/>
    <w:p>
      <w:pPr>
        <w:pStyle w:val="Heading2"/>
      </w:pPr>
      <w:r>
        <w:t xml:space="preserve">5.6 Distributionally robust commitment</w:t>
      </w:r>
    </w:p>
    <w:p>
      <w:pPr>
        <w:pStyle w:val="FirstParagraph"/>
      </w:pPr>
      <w:r>
        <w:rPr>
          <w:bCs/>
          <w:b/>
        </w:rPr>
        <w:t xml:space="preserve">Capabilities.</w:t>
      </w:r>
      <w:r>
        <w:t xml:space="preserve"> </w:t>
      </w:r>
      <w:r>
        <w:t xml:space="preserve">Fig. 11a and d show the closed-loop capability</w:t>
      </w:r>
      <w:r>
        <w:t xml:space="preserve"> </w:t>
      </w:r>
      <m:oMath>
        <m:sSub>
          <m:e>
            <m:r>
              <m:t>ξ</m:t>
            </m:r>
          </m:e>
          <m:sub>
            <m:r>
              <m:t>d</m:t>
            </m:r>
          </m:sub>
        </m:sSub>
      </m:oMath>
      <w:r>
        <w:t xml:space="preserve"> </w:t>
      </w:r>
      <w:r>
        <w:t xml:space="preserve">(15) of every controller on the 14 historical days and on the 26 operating days. In S1, independent recovery has a dispersed, bimodal capability: IR-O* fails already at 1 MW on 4 of the 14 historical days and reaches 7.75–8.25 MW on the others, and the same pattern recurs on the operating days (8 of 26 below 1 MW). The capability of JR-M lies at 7.75–8.25 MW on the historical days and spreads down to 6.25 MW on the operating days. JR-D reaches 8.25 MW, the midpoint between the last delivered and the first failed commitment at its physical limit, on every historical day and on 21 of the 26 operating days.</w:t>
      </w:r>
    </w:p>
    <w:p>
      <w:pPr>
        <w:pStyle w:val="Figure"/>
      </w:pPr>
      <w:r>
        <w:drawing>
          <wp:inline>
            <wp:extent cx="5723999" cy="4470171"/>
            <wp:effectExtent b="0" l="0" r="0" t="0"/>
            <wp:docPr descr="" title="" id="75" name="Picture"/>
            <a:graphic>
              <a:graphicData uri="http://schemas.openxmlformats.org/drawingml/2006/picture">
                <pic:pic>
                  <pic:nvPicPr>
                    <pic:cNvPr descr="/home/user/datacenter/paper/figures/Fig11_dro_calibration.png" id="76" name="Picture"/>
                    <pic:cNvPicPr>
                      <a:picLocks noChangeArrowheads="1" noChangeAspect="1"/>
                    </pic:cNvPicPr>
                  </pic:nvPicPr>
                  <pic:blipFill>
                    <a:blip r:embed="rId74"/>
                    <a:stretch>
                      <a:fillRect/>
                    </a:stretch>
                  </pic:blipFill>
                  <pic:spPr bwMode="auto">
                    <a:xfrm>
                      <a:off x="0" y="0"/>
                      <a:ext cx="5723999" cy="4470171"/>
                    </a:xfrm>
                    <a:prstGeom prst="rect">
                      <a:avLst/>
                    </a:prstGeom>
                    <a:noFill/>
                    <a:ln w="9525">
                      <a:noFill/>
                      <a:headEnd/>
                      <a:tailEnd/>
                    </a:ln>
                  </pic:spPr>
                </pic:pic>
              </a:graphicData>
            </a:graphic>
          </wp:inline>
        </w:drawing>
      </w:r>
    </w:p>
    <w:p>
      <w:pPr>
        <w:pStyle w:val="FigureCaption"/>
      </w:pPr>
      <w:r>
        <w:rPr>
          <w:bCs/>
          <w:b/>
        </w:rPr>
        <w:t xml:space="preserve">Fig. 11.</w:t>
      </w:r>
      <w:r>
        <w:t xml:space="preserve"> </w:t>
      </w:r>
      <w:r>
        <w:t xml:space="preserve">Distributionally robust commitment in S1 (a–c) and S2 (d–f): (a, d) closed-loop capability per day on the 14 historical days (filled) and the 26 operating days (hollow); (b, e) robust firm capacity versus the Wasserstein radius, star at the radius</w:t>
      </w:r>
      <w:r>
        <w:t xml:space="preserve"> </w:t>
      </w:r>
      <m:oMath>
        <m:sSub>
          <m:e>
            <m:r>
              <m:t>ε</m:t>
            </m:r>
          </m:e>
          <m:sub>
            <m:r>
              <m:t>N</m:t>
            </m:r>
          </m:sub>
        </m:sSub>
      </m:oMath>
      <w:r>
        <w:t xml:space="preserve"> </w:t>
      </w:r>
      <w:r>
        <w:t xml:space="preserve">(18); (c, f) predicted versus realised full-delivery probability for every commitment of the grid, sample average (hollow) and robust (filled).</w:t>
      </w:r>
    </w:p>
    <w:p>
      <w:pPr>
        <w:pStyle w:val="BodyText"/>
      </w:pPr>
      <w:r>
        <w:rPr>
          <w:bCs/>
          <w:b/>
        </w:rPr>
        <w:t xml:space="preserve">Robust capacity.</w:t>
      </w:r>
      <w:r>
        <w:t xml:space="preserve"> </w:t>
      </w:r>
      <w:r>
        <w:t xml:space="preserve">With</w:t>
      </w:r>
      <w:r>
        <w:t xml:space="preserve"> </w:t>
      </w:r>
      <m:oMath>
        <m:r>
          <m:t>ρ</m:t>
        </m:r>
      </m:oMath>
      <w:r>
        <w:t xml:space="preserve"> </w:t>
      </w:r>
      <w:r>
        <w:t xml:space="preserve">= 0.95 and</w:t>
      </w:r>
      <w:r>
        <w:t xml:space="preserve"> </w:t>
      </w:r>
      <m:oMath>
        <m:r>
          <m:t>N</m:t>
        </m:r>
      </m:oMath>
      <w:r>
        <w:t xml:space="preserve"> </w:t>
      </w:r>
      <w:r>
        <w:t xml:space="preserve">= 14, the sample-average capacity is the smallest historical capability rounded down to the grid (Table 5). The robust capacity (16) lowers it by the certified margin (17): because a 5 % share of the days may lose its whole margin, every 0.025 MW of radius costs 0.5 MW of commitment when all days lie above it (Fig. 11b, e). In S1 the radius (18) is 0.91 MW for IR-O*, 0.066 MW for JR-M and zero for JR-D, whose capability does not vary. For JR-M it lowers the commitment from 7.5 to 6.0 MW and corrects the over-confidence of the sample average: out of sample, 7.5 MW is delivered in full on 77 % of the days and 6.0 MW on all of them, and the worst-case probabilities within the ball, 0.74, 0.91 and 0.95 at 7.5, 7.0 and 6.5 MW, match the realised shares of 0.77, 0.92 and 0.96 (Fig. 11c). For IR-O* the radius even exceeds the actual distance between the historical and the operating capabilities (</w:t>
      </w:r>
      <m:oMath>
        <m:sSub>
          <m:e>
            <m:r>
              <m:t>W</m:t>
            </m:r>
          </m:e>
          <m:sub>
            <m:r>
              <m:t>1</m:t>
            </m:r>
          </m:sub>
        </m:sSub>
      </m:oMath>
      <w:r>
        <w:t xml:space="preserve"> </w:t>
      </w:r>
      <w:r>
        <w:t xml:space="preserve">= 0.81 MW), and no commitment of 1 MW or more is robust. For JR-D the robust capacity equals the sample-average 8.0 MW, which is delivered in full on 81 % of the operating days. The operating days are more loaded than the historical ones: during the first event the load without DR exceeds the baseline by 0.78 MW on average, against −0.16 MW on the historical days. JR-D misses 8 MW on five operating days, each time in the second event and each time with the load above the baseline in both events (by 0.9–1.9 MW in the first and 0.8–2.8 MW in the second). A radius estimated from the historical days covers the sampling error of the capability, not such a systematic shift; it is covered by the margin that the cost-optimal commitment keeps below the limit.</w:t>
      </w:r>
    </w:p>
    <w:p>
      <w:pPr>
        <w:pStyle w:val="BodyText"/>
      </w:pPr>
      <w:r>
        <w:t xml:space="preserve">In S2 the capability of JR-D varies slightly (one historical day at 7.75 MW, the others at 8.25 MW). The radius is 0.034 MW and the robust capacity of 7.0 MW is delivered in full on every operating day; at 8 MW the robust probability of full delivery, 0.79, matches the realised share of 0.81, where the sample average predicts 0.93 (Fig. 11f). The capability of JR-M is dispersed between 5.25 and 7.75 MW, and its radius of 0.25 MW leaves no robust commitment of 1 MW or more. This is conservative, since 4.5 MW would have been delivered on every operating day, but the sample average errs the other way: its 5.0 MW is delivered in full on only 92 % of the days. Robustness is therefore cheap for a concentrated capability and expensive for a dispersed one, which is a second reason, besides the larger capability itself, why cross-event joint recovery can commit more.</w:t>
      </w:r>
    </w:p>
    <w:p>
      <w:pPr>
        <w:pStyle w:val="BodyText"/>
      </w:pPr>
      <w:r>
        <w:rPr>
          <w:bCs/>
          <w:b/>
        </w:rPr>
        <w:t xml:space="preserve">Commitment.</w:t>
      </w:r>
      <w:r>
        <w:t xml:space="preserve"> </w:t>
      </w:r>
      <w:r>
        <w:t xml:space="preserve">The commitment (19) minimises the back-tested cost below the robust capacity. It selects 7 MW for JR-D in both scenarios and 6 MW for JR-M in S1, which are delivered in full on all 26 operating days, with benefits of 44.8 (S1) and 43.1 k CNY/day (S2) for JR-D and 35.8 k CNY/day for JR-M (Table 5). For JR-D the cost minimum lies below the capability limit, because the payment is capped at 120 % of the commitment while the delay cost keeps growing with it; in S1 the certified margin at 7 MW is 0.063 MW, five times the margin at 8.0 MW. Independent recovery receives no robust commitment in either scenario, which is the right decision: at 1 MW it delivers in full on only 69–73 % of the operating days. Commitments derived from physical capability are not deliverable. The perfect-recourse model (20) commits the single-event capabilities of 8.18/7.98 MW in S1, which JR-D delivers in full on 85 % of the days; operated by independent recovery, as in conventional single-event practice, the share falls to 27 % (IR-O*) and 0 % (IR-P); supplementary Fig. S2 places all commitment methods in the plane of out-of-sample reliability and benefit.</w:t>
      </w:r>
    </w:p>
    <w:p>
      <w:pPr>
        <w:pStyle w:val="TableCaption"/>
      </w:pPr>
      <w:r>
        <w:rPr>
          <w:bCs/>
          <w:b/>
        </w:rPr>
        <w:t xml:space="preserve">Table 5.</w:t>
      </w:r>
      <w:r>
        <w:t xml:space="preserve"> </w:t>
      </w:r>
      <w:r>
        <w:t xml:space="preserve">Day-ahead commitment from the 14 historical days and its out-of-sample performance on the 26 operating days (</w:t>
      </w:r>
      <m:oMath>
        <m:r>
          <m:t>ρ</m:t>
        </m:r>
      </m:oMath>
      <w:r>
        <w:t xml:space="preserve"> </w:t>
      </w:r>
      <w:r>
        <w:t xml:space="preserve">= 0.95).</w:t>
      </w:r>
      <w:r>
        <w:t xml:space="preserve"> </w:t>
      </w:r>
      <m:oMath>
        <m:r>
          <m:t>ε</m:t>
        </m:r>
      </m:oMath>
      <w:r>
        <w:t xml:space="preserve">: radius (MW);</w:t>
      </w:r>
      <w:r>
        <w:t xml:space="preserve"> </w:t>
      </w:r>
      <m:oMath>
        <m:r>
          <m:t>Φ</m:t>
        </m:r>
      </m:oMath>
      <w:r>
        <w:t xml:space="preserve">: certified reliability margin (17) at the commitment (MW).</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941"/>
        <w:gridCol w:w="1790"/>
        <w:gridCol w:w="1274"/>
        <w:gridCol w:w="1304"/>
        <w:gridCol w:w="1092"/>
        <w:gridCol w:w="698"/>
        <w:gridCol w:w="910"/>
        <w:gridCol w:w="1061"/>
      </w:tblGrid>
      <w:tr>
        <w:trPr>
          <w:tblHeader w:val="true"/>
        </w:trPr>
        <w:tc>
          <w:tcPr>
            <w:tcW w:w="941" w:type="dxa"/>
            <w:tcBorders>
              <w:bottom w:val="single" w:sz="4" w:space="0" w:color="000000"/>
            </w:tcBorders>
          </w:tcPr>
          <w:p>
            <w:pPr>
              <w:pStyle w:val="TableText"/>
              <w:jc w:val="left"/>
            </w:pPr>
            <w:r>
              <w:t xml:space="preserve">Scenario</w:t>
            </w:r>
          </w:p>
        </w:tc>
        <w:tc>
          <w:tcPr>
            <w:tcW w:w="1790" w:type="dxa"/>
            <w:tcBorders>
              <w:bottom w:val="single" w:sz="4" w:space="0" w:color="000000"/>
            </w:tcBorders>
          </w:tcPr>
          <w:p>
            <w:pPr>
              <w:pStyle w:val="TableText"/>
              <w:jc w:val="left"/>
            </w:pPr>
            <w:r>
              <w:t xml:space="preserve">Commitment method</w:t>
            </w:r>
          </w:p>
        </w:tc>
        <w:tc>
          <w:tcPr>
            <w:tcW w:w="1274" w:type="dxa"/>
            <w:tcBorders>
              <w:bottom w:val="single" w:sz="4" w:space="0" w:color="000000"/>
            </w:tcBorders>
          </w:tcPr>
          <w:p>
            <w:pPr>
              <w:pStyle w:val="TableText"/>
              <w:jc w:val="left"/>
            </w:pPr>
            <w:r>
              <w:t xml:space="preserve">Operated by</w:t>
            </w:r>
          </w:p>
        </w:tc>
        <w:tc>
          <w:tcPr>
            <w:tcW w:w="1304" w:type="dxa"/>
            <w:tcBorders>
              <w:bottom w:val="single" w:sz="4" w:space="0" w:color="000000"/>
            </w:tcBorders>
          </w:tcPr>
          <w:p>
            <w:pPr>
              <w:pStyle w:val="TableText"/>
              <w:jc w:val="left"/>
            </w:pPr>
            <w:r>
              <w:t xml:space="preserve">Commitment (MW)</w:t>
            </w:r>
          </w:p>
        </w:tc>
        <w:tc>
          <w:tcPr>
            <w:tcW w:w="1092" w:type="dxa"/>
            <w:tcBorders>
              <w:bottom w:val="single" w:sz="4" w:space="0" w:color="000000"/>
            </w:tcBorders>
          </w:tcPr>
          <w:p>
            <w:pPr>
              <w:pStyle w:val="TableText"/>
              <w:jc w:val="left"/>
            </w:pPr>
            <m:oMath>
              <m:r>
                <m:t>ε</m:t>
              </m:r>
            </m:oMath>
          </w:p>
        </w:tc>
        <w:tc>
          <w:tcPr>
            <w:tcW w:w="698" w:type="dxa"/>
            <w:tcBorders>
              <w:bottom w:val="single" w:sz="4" w:space="0" w:color="000000"/>
            </w:tcBorders>
          </w:tcPr>
          <w:p>
            <w:pPr>
              <w:pStyle w:val="TableText"/>
              <w:jc w:val="left"/>
            </w:pPr>
            <m:oMath>
              <m:r>
                <m:t>Φ</m:t>
              </m:r>
            </m:oMath>
          </w:p>
        </w:tc>
        <w:tc>
          <w:tcPr>
            <w:tcW w:w="910" w:type="dxa"/>
            <w:tcBorders>
              <w:bottom w:val="single" w:sz="4" w:space="0" w:color="000000"/>
            </w:tcBorders>
          </w:tcPr>
          <w:p>
            <w:pPr>
              <w:pStyle w:val="TableText"/>
              <w:jc w:val="left"/>
            </w:pPr>
            <w:r>
              <w:t xml:space="preserve">Days with full delivery (%)</w:t>
            </w:r>
          </w:p>
        </w:tc>
        <w:tc>
          <w:tcPr>
            <w:tcW w:w="1061" w:type="dxa"/>
            <w:tcBorders>
              <w:bottom w:val="single" w:sz="4" w:space="0" w:color="000000"/>
            </w:tcBorders>
          </w:tcPr>
          <w:p>
            <w:pPr>
              <w:pStyle w:val="TableText"/>
              <w:jc w:val="left"/>
            </w:pPr>
            <w:r>
              <w:t xml:space="preserve">Benefit vs no DR (k CNY/day)</w:t>
            </w:r>
          </w:p>
        </w:tc>
      </w:tr>
      <w:tr>
        <w:tc>
          <w:tcPr>
            <w:tcW w:w="941" w:type="dxa"/>
          </w:tcPr>
          <w:p>
            <w:pPr>
              <w:pStyle w:val="TableText"/>
              <w:jc w:val="left"/>
            </w:pPr>
            <w:r>
              <w:t xml:space="preserve">S1</w:t>
            </w:r>
          </w:p>
        </w:tc>
        <w:tc>
          <w:tcPr>
            <w:tcW w:w="1790" w:type="dxa"/>
          </w:tcPr>
          <w:p>
            <w:pPr>
              <w:pStyle w:val="TableText"/>
              <w:jc w:val="left"/>
            </w:pPr>
            <w:r>
              <w:t xml:space="preserve">Perfect-recourse MILP (20)</w:t>
            </w:r>
          </w:p>
        </w:tc>
        <w:tc>
          <w:tcPr>
            <w:tcW w:w="1274" w:type="dxa"/>
          </w:tcPr>
          <w:p>
            <w:pPr>
              <w:pStyle w:val="TableText"/>
              <w:jc w:val="left"/>
            </w:pPr>
            <w:r>
              <w:t xml:space="preserve">JR-D</w:t>
            </w:r>
          </w:p>
        </w:tc>
        <w:tc>
          <w:tcPr>
            <w:tcW w:w="1304" w:type="dxa"/>
          </w:tcPr>
          <w:p>
            <w:pPr>
              <w:pStyle w:val="TableText"/>
              <w:jc w:val="left"/>
            </w:pPr>
            <w:r>
              <w:t xml:space="preserve">8.18 / 7.98</w:t>
            </w:r>
          </w:p>
        </w:tc>
        <w:tc>
          <w:tcPr>
            <w:tcW w:w="1092" w:type="dxa"/>
          </w:tcPr>
          <w:p>
            <w:pPr>
              <w:pStyle w:val="TableText"/>
              <w:jc w:val="left"/>
            </w:pPr>
            <w:r>
              <w:t xml:space="preserve">–</w:t>
            </w:r>
          </w:p>
        </w:tc>
        <w:tc>
          <w:tcPr>
            <w:tcW w:w="698" w:type="dxa"/>
          </w:tcPr>
          <w:p>
            <w:pPr>
              <w:pStyle w:val="TableText"/>
              <w:jc w:val="left"/>
            </w:pPr>
            <w:r>
              <w:t xml:space="preserve">–</w:t>
            </w:r>
          </w:p>
        </w:tc>
        <w:tc>
          <w:tcPr>
            <w:tcW w:w="910" w:type="dxa"/>
          </w:tcPr>
          <w:p>
            <w:pPr>
              <w:pStyle w:val="TableText"/>
              <w:jc w:val="left"/>
            </w:pPr>
            <w:r>
              <w:t xml:space="preserve">85</w:t>
            </w:r>
          </w:p>
        </w:tc>
        <w:tc>
          <w:tcPr>
            <w:tcW w:w="1061" w:type="dxa"/>
          </w:tcPr>
          <w:p>
            <w:pPr>
              <w:pStyle w:val="TableText"/>
              <w:jc w:val="left"/>
            </w:pPr>
            <w:r>
              <w:t xml:space="preserve">44.7</w:t>
            </w:r>
          </w:p>
        </w:tc>
      </w:tr>
      <w:tr>
        <w:tc>
          <w:tcPr>
            <w:tcW w:w="941" w:type="dxa"/>
          </w:tcPr>
          <w:p>
            <w:pPr>
              <w:pStyle w:val="TableText"/>
            </w:pPr>
          </w:p>
        </w:tc>
        <w:tc>
          <w:tcPr>
            <w:tcW w:w="1790" w:type="dxa"/>
          </w:tcPr>
          <w:p>
            <w:pPr>
              <w:pStyle w:val="TableText"/>
              <w:jc w:val="left"/>
            </w:pPr>
            <w:r>
              <w:t xml:space="preserve">Single-event capability</w:t>
            </w:r>
          </w:p>
        </w:tc>
        <w:tc>
          <w:tcPr>
            <w:tcW w:w="1274" w:type="dxa"/>
          </w:tcPr>
          <w:p>
            <w:pPr>
              <w:pStyle w:val="TableText"/>
              <w:jc w:val="left"/>
            </w:pPr>
            <w:r>
              <w:t xml:space="preserve">IR-O* / IR-P</w:t>
            </w:r>
          </w:p>
        </w:tc>
        <w:tc>
          <w:tcPr>
            <w:tcW w:w="1304" w:type="dxa"/>
          </w:tcPr>
          <w:p>
            <w:pPr>
              <w:pStyle w:val="TableText"/>
              <w:jc w:val="left"/>
            </w:pPr>
            <w:r>
              <w:t xml:space="preserve">8.18 / 7.98</w:t>
            </w:r>
          </w:p>
        </w:tc>
        <w:tc>
          <w:tcPr>
            <w:tcW w:w="1092" w:type="dxa"/>
          </w:tcPr>
          <w:p>
            <w:pPr>
              <w:pStyle w:val="TableText"/>
              <w:jc w:val="left"/>
            </w:pPr>
            <w:r>
              <w:t xml:space="preserve">–</w:t>
            </w:r>
          </w:p>
        </w:tc>
        <w:tc>
          <w:tcPr>
            <w:tcW w:w="698" w:type="dxa"/>
          </w:tcPr>
          <w:p>
            <w:pPr>
              <w:pStyle w:val="TableText"/>
              <w:jc w:val="left"/>
            </w:pPr>
            <w:r>
              <w:t xml:space="preserve">–</w:t>
            </w:r>
          </w:p>
        </w:tc>
        <w:tc>
          <w:tcPr>
            <w:tcW w:w="910" w:type="dxa"/>
          </w:tcPr>
          <w:p>
            <w:pPr>
              <w:pStyle w:val="TableText"/>
              <w:jc w:val="left"/>
            </w:pPr>
            <w:r>
              <w:t xml:space="preserve">27 / 0</w:t>
            </w:r>
          </w:p>
        </w:tc>
        <w:tc>
          <w:tcPr>
            <w:tcW w:w="1061" w:type="dxa"/>
          </w:tcPr>
          <w:p>
            <w:pPr>
              <w:pStyle w:val="TableText"/>
              <w:jc w:val="left"/>
            </w:pPr>
            <w:r>
              <w:t xml:space="preserve">37.2 / 1.8</w:t>
            </w:r>
          </w:p>
        </w:tc>
      </w:tr>
      <w:tr>
        <w:tc>
          <w:tcPr>
            <w:tcW w:w="941" w:type="dxa"/>
          </w:tcPr>
          <w:p>
            <w:pPr>
              <w:pStyle w:val="TableText"/>
            </w:pPr>
          </w:p>
        </w:tc>
        <w:tc>
          <w:tcPr>
            <w:tcW w:w="1790" w:type="dxa"/>
          </w:tcPr>
          <w:p>
            <w:pPr>
              <w:pStyle w:val="TableText"/>
              <w:jc w:val="left"/>
            </w:pPr>
            <w:r>
              <w:t xml:space="preserve">Sample average</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7.5</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77</w:t>
            </w:r>
          </w:p>
        </w:tc>
        <w:tc>
          <w:tcPr>
            <w:tcW w:w="1061" w:type="dxa"/>
          </w:tcPr>
          <w:p>
            <w:pPr>
              <w:pStyle w:val="TableText"/>
              <w:jc w:val="left"/>
            </w:pPr>
            <w:r>
              <w:t xml:space="preserve">36.9</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8.0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81</w:t>
            </w:r>
          </w:p>
        </w:tc>
        <w:tc>
          <w:tcPr>
            <w:tcW w:w="1061" w:type="dxa"/>
          </w:tcPr>
          <w:p>
            <w:pPr>
              <w:pStyle w:val="TableText"/>
              <w:jc w:val="left"/>
            </w:pPr>
            <w:r>
              <w:t xml:space="preserve">44.6</w:t>
            </w:r>
          </w:p>
        </w:tc>
      </w:tr>
      <w:tr>
        <w:tc>
          <w:tcPr>
            <w:tcW w:w="941" w:type="dxa"/>
          </w:tcPr>
          <w:p>
            <w:pPr>
              <w:pStyle w:val="TableText"/>
            </w:pPr>
          </w:p>
        </w:tc>
        <w:tc>
          <w:tcPr>
            <w:tcW w:w="1790" w:type="dxa"/>
          </w:tcPr>
          <w:p>
            <w:pPr>
              <w:pStyle w:val="TableText"/>
              <w:jc w:val="left"/>
            </w:pPr>
            <w:r>
              <w:t xml:space="preserve">Robust (16)</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0.91 / 0.90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6.0</w:t>
            </w:r>
          </w:p>
        </w:tc>
        <w:tc>
          <w:tcPr>
            <w:tcW w:w="1092" w:type="dxa"/>
          </w:tcPr>
          <w:p>
            <w:pPr>
              <w:pStyle w:val="TableText"/>
              <w:jc w:val="left"/>
            </w:pPr>
            <w:r>
              <w:t xml:space="preserve">0.066</w:t>
            </w:r>
          </w:p>
        </w:tc>
        <w:tc>
          <w:tcPr>
            <w:tcW w:w="698" w:type="dxa"/>
          </w:tcPr>
          <w:p>
            <w:pPr>
              <w:pStyle w:val="TableText"/>
              <w:jc w:val="left"/>
            </w:pPr>
            <w:r>
              <w:t xml:space="preserve">0.088</w:t>
            </w:r>
          </w:p>
        </w:tc>
        <w:tc>
          <w:tcPr>
            <w:tcW w:w="910" w:type="dxa"/>
          </w:tcPr>
          <w:p>
            <w:pPr>
              <w:pStyle w:val="TableText"/>
              <w:jc w:val="left"/>
            </w:pPr>
            <w:r>
              <w:t xml:space="preserve">100</w:t>
            </w:r>
          </w:p>
        </w:tc>
        <w:tc>
          <w:tcPr>
            <w:tcW w:w="1061" w:type="dxa"/>
          </w:tcPr>
          <w:p>
            <w:pPr>
              <w:pStyle w:val="TableText"/>
              <w:jc w:val="left"/>
            </w:pPr>
            <w:r>
              <w:t xml:space="preserve">35.8</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8.0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81</w:t>
            </w:r>
          </w:p>
        </w:tc>
        <w:tc>
          <w:tcPr>
            <w:tcW w:w="1061" w:type="dxa"/>
          </w:tcPr>
          <w:p>
            <w:pPr>
              <w:pStyle w:val="TableText"/>
              <w:jc w:val="left"/>
            </w:pPr>
            <w:r>
              <w:t xml:space="preserve">44.6</w:t>
            </w:r>
          </w:p>
        </w:tc>
      </w:tr>
      <w:tr>
        <w:tc>
          <w:tcPr>
            <w:tcW w:w="941" w:type="dxa"/>
          </w:tcPr>
          <w:p>
            <w:pPr>
              <w:pStyle w:val="TableText"/>
            </w:pPr>
          </w:p>
        </w:tc>
        <w:tc>
          <w:tcPr>
            <w:tcW w:w="1790" w:type="dxa"/>
          </w:tcPr>
          <w:p>
            <w:pPr>
              <w:pStyle w:val="TableText"/>
              <w:jc w:val="left"/>
            </w:pPr>
            <w:r>
              <w:t xml:space="preserve">Cost-optimal (19)</w:t>
            </w:r>
          </w:p>
        </w:tc>
        <w:tc>
          <w:tcPr>
            <w:tcW w:w="1274" w:type="dxa"/>
          </w:tcPr>
          <w:p>
            <w:pPr>
              <w:pStyle w:val="TableText"/>
              <w:jc w:val="left"/>
            </w:pPr>
            <w:r>
              <w:t xml:space="preserve">JR-M</w:t>
            </w:r>
          </w:p>
        </w:tc>
        <w:tc>
          <w:tcPr>
            <w:tcW w:w="1304" w:type="dxa"/>
          </w:tcPr>
          <w:p>
            <w:pPr>
              <w:pStyle w:val="TableText"/>
              <w:jc w:val="left"/>
            </w:pPr>
            <w:r>
              <w:t xml:space="preserve">6.0</w:t>
            </w:r>
          </w:p>
        </w:tc>
        <w:tc>
          <w:tcPr>
            <w:tcW w:w="1092" w:type="dxa"/>
          </w:tcPr>
          <w:p>
            <w:pPr>
              <w:pStyle w:val="TableText"/>
              <w:jc w:val="left"/>
            </w:pPr>
            <w:r>
              <w:t xml:space="preserve">0.066</w:t>
            </w:r>
          </w:p>
        </w:tc>
        <w:tc>
          <w:tcPr>
            <w:tcW w:w="698" w:type="dxa"/>
          </w:tcPr>
          <w:p>
            <w:pPr>
              <w:pStyle w:val="TableText"/>
              <w:jc w:val="left"/>
            </w:pPr>
            <w:r>
              <w:t xml:space="preserve">0.088</w:t>
            </w:r>
          </w:p>
        </w:tc>
        <w:tc>
          <w:tcPr>
            <w:tcW w:w="910" w:type="dxa"/>
          </w:tcPr>
          <w:p>
            <w:pPr>
              <w:pStyle w:val="TableText"/>
              <w:jc w:val="left"/>
            </w:pPr>
            <w:r>
              <w:t xml:space="preserve">100</w:t>
            </w:r>
          </w:p>
        </w:tc>
        <w:tc>
          <w:tcPr>
            <w:tcW w:w="1061" w:type="dxa"/>
          </w:tcPr>
          <w:p>
            <w:pPr>
              <w:pStyle w:val="TableText"/>
              <w:jc w:val="left"/>
            </w:pPr>
            <w:r>
              <w:t xml:space="preserve">35.8</w:t>
            </w:r>
          </w:p>
        </w:tc>
      </w:tr>
      <w:tr>
        <w:tc>
          <w:tcPr>
            <w:tcW w:w="941" w:type="dxa"/>
          </w:tcPr>
          <w:p>
            <w:pPr>
              <w:pStyle w:val="TableText"/>
            </w:pPr>
          </w:p>
        </w:tc>
        <w:tc>
          <w:tcPr>
            <w:tcW w:w="1790" w:type="dxa"/>
          </w:tcPr>
          <w:p>
            <w:pPr>
              <w:pStyle w:val="TableText"/>
            </w:pPr>
          </w:p>
        </w:tc>
        <w:tc>
          <w:tcPr>
            <w:tcW w:w="1274" w:type="dxa"/>
          </w:tcPr>
          <w:p>
            <w:pPr>
              <w:pStyle w:val="TableText"/>
              <w:jc w:val="left"/>
            </w:pPr>
            <w:r>
              <w:rPr>
                <w:bCs/>
                <w:b/>
              </w:rPr>
              <w:t xml:space="preserve">JR-D</w:t>
            </w:r>
          </w:p>
        </w:tc>
        <w:tc>
          <w:tcPr>
            <w:tcW w:w="1304" w:type="dxa"/>
          </w:tcPr>
          <w:p>
            <w:pPr>
              <w:pStyle w:val="TableText"/>
              <w:jc w:val="left"/>
            </w:pPr>
            <w:r>
              <w:rPr>
                <w:bCs/>
                <w:b/>
              </w:rPr>
              <w:t xml:space="preserve">7.0</w:t>
            </w:r>
          </w:p>
        </w:tc>
        <w:tc>
          <w:tcPr>
            <w:tcW w:w="1092" w:type="dxa"/>
          </w:tcPr>
          <w:p>
            <w:pPr>
              <w:pStyle w:val="TableText"/>
              <w:jc w:val="left"/>
            </w:pPr>
            <w:r>
              <w:rPr>
                <w:bCs/>
                <w:b/>
              </w:rPr>
              <w:t xml:space="preserve">0</w:t>
            </w:r>
          </w:p>
        </w:tc>
        <w:tc>
          <w:tcPr>
            <w:tcW w:w="698" w:type="dxa"/>
          </w:tcPr>
          <w:p>
            <w:pPr>
              <w:pStyle w:val="TableText"/>
              <w:jc w:val="left"/>
            </w:pPr>
            <w:r>
              <w:rPr>
                <w:bCs/>
                <w:b/>
              </w:rPr>
              <w:t xml:space="preserve">0.063</w:t>
            </w:r>
          </w:p>
        </w:tc>
        <w:tc>
          <w:tcPr>
            <w:tcW w:w="910" w:type="dxa"/>
          </w:tcPr>
          <w:p>
            <w:pPr>
              <w:pStyle w:val="TableText"/>
              <w:jc w:val="left"/>
            </w:pPr>
            <w:r>
              <w:rPr>
                <w:bCs/>
                <w:b/>
              </w:rPr>
              <w:t xml:space="preserve">100</w:t>
            </w:r>
          </w:p>
        </w:tc>
        <w:tc>
          <w:tcPr>
            <w:tcW w:w="1061" w:type="dxa"/>
          </w:tcPr>
          <w:p>
            <w:pPr>
              <w:pStyle w:val="TableText"/>
              <w:jc w:val="left"/>
            </w:pPr>
            <w:r>
              <w:rPr>
                <w:bCs/>
                <w:b/>
              </w:rPr>
              <w:t xml:space="preserve">44.8</w:t>
            </w:r>
          </w:p>
        </w:tc>
      </w:tr>
      <w:tr>
        <w:tc>
          <w:tcPr>
            <w:tcW w:w="941" w:type="dxa"/>
          </w:tcPr>
          <w:p>
            <w:pPr>
              <w:pStyle w:val="TableText"/>
              <w:jc w:val="left"/>
            </w:pPr>
            <w:r>
              <w:t xml:space="preserve">S2</w:t>
            </w:r>
          </w:p>
        </w:tc>
        <w:tc>
          <w:tcPr>
            <w:tcW w:w="1790" w:type="dxa"/>
          </w:tcPr>
          <w:p>
            <w:pPr>
              <w:pStyle w:val="TableText"/>
              <w:jc w:val="left"/>
            </w:pPr>
            <w:r>
              <w:t xml:space="preserve">Sample average</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5.0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92</w:t>
            </w:r>
          </w:p>
        </w:tc>
        <w:tc>
          <w:tcPr>
            <w:tcW w:w="1061" w:type="dxa"/>
          </w:tcPr>
          <w:p>
            <w:pPr>
              <w:pStyle w:val="TableText"/>
              <w:jc w:val="left"/>
            </w:pPr>
            <w:r>
              <w:t xml:space="preserve">29.3</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7.5</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100</w:t>
            </w:r>
          </w:p>
        </w:tc>
        <w:tc>
          <w:tcPr>
            <w:tcW w:w="1061" w:type="dxa"/>
          </w:tcPr>
          <w:p>
            <w:pPr>
              <w:pStyle w:val="TableText"/>
              <w:jc w:val="left"/>
            </w:pPr>
            <w:r>
              <w:t xml:space="preserve">43.1</w:t>
            </w:r>
          </w:p>
        </w:tc>
      </w:tr>
      <w:tr>
        <w:tc>
          <w:tcPr>
            <w:tcW w:w="941" w:type="dxa"/>
          </w:tcPr>
          <w:p>
            <w:pPr>
              <w:pStyle w:val="TableText"/>
            </w:pPr>
          </w:p>
        </w:tc>
        <w:tc>
          <w:tcPr>
            <w:tcW w:w="1790" w:type="dxa"/>
          </w:tcPr>
          <w:p>
            <w:pPr>
              <w:pStyle w:val="TableText"/>
              <w:jc w:val="left"/>
            </w:pPr>
            <w:r>
              <w:t xml:space="preserve">Robust (16)</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0.73 / 0.83</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none ≥ 1</w:t>
            </w:r>
          </w:p>
        </w:tc>
        <w:tc>
          <w:tcPr>
            <w:tcW w:w="1092" w:type="dxa"/>
          </w:tcPr>
          <w:p>
            <w:pPr>
              <w:pStyle w:val="TableText"/>
              <w:jc w:val="left"/>
            </w:pPr>
            <w:r>
              <w:t xml:space="preserve">0.25</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7.0</w:t>
            </w:r>
          </w:p>
        </w:tc>
        <w:tc>
          <w:tcPr>
            <w:tcW w:w="1092" w:type="dxa"/>
          </w:tcPr>
          <w:p>
            <w:pPr>
              <w:pStyle w:val="TableText"/>
              <w:jc w:val="left"/>
            </w:pPr>
            <w:r>
              <w:t xml:space="preserve">0.034</w:t>
            </w:r>
          </w:p>
        </w:tc>
        <w:tc>
          <w:tcPr>
            <w:tcW w:w="698" w:type="dxa"/>
          </w:tcPr>
          <w:p>
            <w:pPr>
              <w:pStyle w:val="TableText"/>
              <w:jc w:val="left"/>
            </w:pPr>
            <w:r>
              <w:t xml:space="preserve">0.038</w:t>
            </w:r>
          </w:p>
        </w:tc>
        <w:tc>
          <w:tcPr>
            <w:tcW w:w="910" w:type="dxa"/>
          </w:tcPr>
          <w:p>
            <w:pPr>
              <w:pStyle w:val="TableText"/>
              <w:jc w:val="left"/>
            </w:pPr>
            <w:r>
              <w:t xml:space="preserve">100</w:t>
            </w:r>
          </w:p>
        </w:tc>
        <w:tc>
          <w:tcPr>
            <w:tcW w:w="1061" w:type="dxa"/>
          </w:tcPr>
          <w:p>
            <w:pPr>
              <w:pStyle w:val="TableText"/>
              <w:jc w:val="left"/>
            </w:pPr>
            <w:r>
              <w:t xml:space="preserve">43.1</w:t>
            </w:r>
          </w:p>
        </w:tc>
      </w:tr>
      <w:tr>
        <w:tc>
          <w:tcPr>
            <w:tcW w:w="941" w:type="dxa"/>
          </w:tcPr>
          <w:p>
            <w:pPr>
              <w:pStyle w:val="TableText"/>
            </w:pPr>
          </w:p>
        </w:tc>
        <w:tc>
          <w:tcPr>
            <w:tcW w:w="1790" w:type="dxa"/>
          </w:tcPr>
          <w:p>
            <w:pPr>
              <w:pStyle w:val="TableText"/>
              <w:jc w:val="left"/>
            </w:pPr>
            <w:r>
              <w:t xml:space="preserve">Cost-optimal (19)</w:t>
            </w:r>
          </w:p>
        </w:tc>
        <w:tc>
          <w:tcPr>
            <w:tcW w:w="1274" w:type="dxa"/>
          </w:tcPr>
          <w:p>
            <w:pPr>
              <w:pStyle w:val="TableText"/>
              <w:jc w:val="left"/>
            </w:pPr>
            <w:r>
              <w:rPr>
                <w:bCs/>
                <w:b/>
              </w:rPr>
              <w:t xml:space="preserve">JR-D</w:t>
            </w:r>
          </w:p>
        </w:tc>
        <w:tc>
          <w:tcPr>
            <w:tcW w:w="1304" w:type="dxa"/>
          </w:tcPr>
          <w:p>
            <w:pPr>
              <w:pStyle w:val="TableText"/>
              <w:jc w:val="left"/>
            </w:pPr>
            <w:r>
              <w:rPr>
                <w:bCs/>
                <w:b/>
              </w:rPr>
              <w:t xml:space="preserve">7.0</w:t>
            </w:r>
          </w:p>
        </w:tc>
        <w:tc>
          <w:tcPr>
            <w:tcW w:w="1092" w:type="dxa"/>
          </w:tcPr>
          <w:p>
            <w:pPr>
              <w:pStyle w:val="TableText"/>
              <w:jc w:val="left"/>
            </w:pPr>
            <w:r>
              <w:rPr>
                <w:bCs/>
                <w:b/>
              </w:rPr>
              <w:t xml:space="preserve">0.034</w:t>
            </w:r>
          </w:p>
        </w:tc>
        <w:tc>
          <w:tcPr>
            <w:tcW w:w="698" w:type="dxa"/>
          </w:tcPr>
          <w:p>
            <w:pPr>
              <w:pStyle w:val="TableText"/>
              <w:jc w:val="left"/>
            </w:pPr>
            <w:r>
              <w:rPr>
                <w:bCs/>
                <w:b/>
              </w:rPr>
              <w:t xml:space="preserve">0.038</w:t>
            </w:r>
          </w:p>
        </w:tc>
        <w:tc>
          <w:tcPr>
            <w:tcW w:w="910" w:type="dxa"/>
          </w:tcPr>
          <w:p>
            <w:pPr>
              <w:pStyle w:val="TableText"/>
              <w:jc w:val="left"/>
            </w:pPr>
            <w:r>
              <w:rPr>
                <w:bCs/>
                <w:b/>
              </w:rPr>
              <w:t xml:space="preserve">100</w:t>
            </w:r>
          </w:p>
        </w:tc>
        <w:tc>
          <w:tcPr>
            <w:tcW w:w="1061" w:type="dxa"/>
          </w:tcPr>
          <w:p>
            <w:pPr>
              <w:pStyle w:val="TableText"/>
              <w:jc w:val="left"/>
            </w:pPr>
            <w:r>
              <w:rPr>
                <w:bCs/>
                <w:b/>
              </w:rPr>
              <w:t xml:space="preserve">43.1</w:t>
            </w:r>
          </w:p>
        </w:tc>
      </w:tr>
    </w:tbl>
    <w:bookmarkEnd w:id="77"/>
    <w:bookmarkStart w:id="81" w:name="role-of-the-integrated-energy-system"/>
    <w:p>
      <w:pPr>
        <w:pStyle w:val="Heading2"/>
      </w:pPr>
      <w:r>
        <w:t xml:space="preserve">5.7 Role of the integrated energy system</w:t>
      </w:r>
    </w:p>
    <w:p>
      <w:pPr>
        <w:pStyle w:val="FirstParagraph"/>
      </w:pPr>
      <w:r>
        <w:t xml:space="preserve">The integrated energy system provides the recovery channel. In the two recovery windows of the typical day, the 30-min interval and the two hours after the second event, the no-DR import lies on average 4.8 and 5.3 MW below the connection limit (Fig. 12b). The gas engine, which runs at full output from 14:00 to 22:00 with and without DR, accounts for 3.0 MW of this channel, the absorption chiller, which moves part of the cooling load off the electric chillers, for 0.5 MW, and the cold storage for 0.2 MW; the BESS adds 1.2 MW by shaving the evening peak in normal operation, but under DR it serves the events instead. A grid-only AIDC with the same connection would have almost no channel left (on average −0.3 and +0.4 MW in the two windows). Of the energy that recovery draws through the channel, the gas engine and the absorption chiller provide 85 % (Fig. 5). The cold storage is pre-charged before the events, covers part of the cooling load during both events and is recharged at night, so its own debt never enters the channel.</w:t>
      </w:r>
    </w:p>
    <w:p>
      <w:pPr>
        <w:pStyle w:val="Figure"/>
      </w:pPr>
      <w:r>
        <w:drawing>
          <wp:inline>
            <wp:extent cx="5723999" cy="2181425"/>
            <wp:effectExtent b="0" l="0" r="0" t="0"/>
            <wp:docPr descr="" title="" id="79" name="Picture"/>
            <a:graphic>
              <a:graphicData uri="http://schemas.openxmlformats.org/drawingml/2006/picture">
                <pic:pic>
                  <pic:nvPicPr>
                    <pic:cNvPr descr="/home/user/datacenter/paper/figures/Fig12_ies_contribution.png" id="80" name="Picture"/>
                    <pic:cNvPicPr>
                      <a:picLocks noChangeArrowheads="1" noChangeAspect="1"/>
                    </pic:cNvPicPr>
                  </pic:nvPicPr>
                  <pic:blipFill>
                    <a:blip r:embed="rId78"/>
                    <a:stretch>
                      <a:fillRect/>
                    </a:stretch>
                  </pic:blipFill>
                  <pic:spPr bwMode="auto">
                    <a:xfrm>
                      <a:off x="0" y="0"/>
                      <a:ext cx="5723999" cy="2181425"/>
                    </a:xfrm>
                    <a:prstGeom prst="rect">
                      <a:avLst/>
                    </a:prstGeom>
                    <a:noFill/>
                    <a:ln w="9525">
                      <a:noFill/>
                      <a:headEnd/>
                      <a:tailEnd/>
                    </a:ln>
                  </pic:spPr>
                </pic:pic>
              </a:graphicData>
            </a:graphic>
          </wp:inline>
        </w:drawing>
      </w:r>
    </w:p>
    <w:p>
      <w:pPr>
        <w:pStyle w:val="FigureCaption"/>
      </w:pPr>
      <w:r>
        <w:rPr>
          <w:bCs/>
          <w:b/>
        </w:rPr>
        <w:t xml:space="preserve">Fig. 12.</w:t>
      </w:r>
      <w:r>
        <w:t xml:space="preserve"> </w:t>
      </w:r>
      <w:r>
        <w:t xml:space="preserve">Role of the integrated energy system (S2, connection limit of the base case): (a) firm capacity of JR-D without the gas engine, the absorption chiller, the cold storage or all three, and for the resource ablation; (b) composition of the evening recovery channel</w:t>
      </w:r>
      <w:r>
        <w:t xml:space="preserve"> </w:t>
      </w:r>
      <m:oMath>
        <m:sSup>
          <m:e>
            <m:r>
              <m:t>P</m:t>
            </m:r>
          </m:e>
          <m:sup>
            <m:r>
              <m:t>c</m:t>
            </m:r>
            <m:r>
              <m:t>a</m:t>
            </m:r>
            <m:r>
              <m:t>p</m:t>
            </m:r>
          </m:sup>
        </m:sSup>
        <m:r>
          <m:rPr>
            <m:sty m:val="p"/>
          </m:rPr>
          <m:t>−</m:t>
        </m:r>
        <m:sSubSup>
          <m:e>
            <m:r>
              <m:t>P</m:t>
            </m:r>
          </m:e>
          <m:sub>
            <m:r>
              <m:t>n</m:t>
            </m:r>
            <m:r>
              <m:t>o</m:t>
            </m:r>
            <m:r>
              <m:t>D</m:t>
            </m:r>
            <m:r>
              <m:t>R</m:t>
            </m:r>
          </m:sub>
          <m:sup>
            <m:r>
              <m:t>g</m:t>
            </m:r>
            <m:r>
              <m:t>r</m:t>
            </m:r>
            <m:r>
              <m:t>i</m:t>
            </m:r>
            <m:r>
              <m:t>d</m:t>
            </m:r>
          </m:sup>
        </m:sSubSup>
      </m:oMath>
      <w:r>
        <w:t xml:space="preserve"> </w:t>
      </w:r>
      <w:r>
        <w:t xml:space="preserve">on the typical day.</w:t>
      </w:r>
    </w:p>
    <w:p>
      <w:pPr>
        <w:pStyle w:val="BodyText"/>
      </w:pPr>
      <w:r>
        <w:t xml:space="preserve">Fig. 12a quantifies these roles as firm capacities of JR-D in S2 with the connection limit of the base case. Without the gas engine, and therefore without heat for the absorption chiller, the evening baseline rises by 3.5 MW. This would allow a deeper reduction, but the channel narrows by the same amount and binds first: the firm capacity falls from 7.75 to 5.75 MW. Without the cold storage it falls to 7.50 MW. Without the absorption chiller alone it rises slightly, to 8.00 MW, because the 0.5 MW higher baseline allows a deeper reduction while the channel remains wide enough. Without all three devices the firm capacity is 4.75 MW, 3.0 MW below the full system and as much as cross-event foresight adds at this interval. The resource ablation shows that computing flexibility and storage are complements rather than substitutes. With the BESS alone (no computing flexibility, no cold storage), no commitment of 1 MW or more is firm; with computing flexibility alone the firm capacity is 3.00 MW; with both, still without the cold storage, it is 7.50 MW, nearly twice what the two resources achieve separately (less than 4 MW together). Joint recovery is what turns the two resources into firm capacity: the battery covers the events while the deferred work waits, and the deferred work frees the channel to recharge the battery.</w:t>
      </w:r>
    </w:p>
    <w:bookmarkEnd w:id="81"/>
    <w:bookmarkStart w:id="88" w:name="service-quality-economics-and-robustness"/>
    <w:p>
      <w:pPr>
        <w:pStyle w:val="Heading2"/>
      </w:pPr>
      <w:r>
        <w:t xml:space="preserve">5.8 Service quality, economics and robustness</w:t>
      </w:r>
    </w:p>
    <w:p>
      <w:pPr>
        <w:pStyle w:val="FirstParagraph"/>
      </w:pPr>
      <w:r>
        <w:rPr>
          <w:bCs/>
          <w:b/>
        </w:rPr>
        <w:t xml:space="preserve">Service quality.</w:t>
      </w:r>
      <w:r>
        <w:t xml:space="preserve"> </w:t>
      </w:r>
      <w:r>
        <w:t xml:space="preserve">No strategy leaves work overdue: the deadline constraints (3) and earliest-deadline-first execution keep every deferred task within its lag bound on all days and at all commitments. What DR costs the computing users is the extra completion time of the deferred work (Fig. 13). At every commitment JR-D defers work for less time than the other controllers that deliver: at 7 MW the mean extra completion time is 0.68 h in S1 and 0.90 h in S2, against 0.85 h and 1.12 h for IR-O* and 1.35 h and 1.26 h for JR-M, and JR-D uses 36 % and 46 % of the SLA slack against 60–75 % for IR-O* and 60–64 % for JR-M. JR-D defers the long-deadline class, which has slack to spare, whereas IR-O* catches up its own share at once and JR-M over-delivers the first event and must defer more in the second. IR-P defers least (0.52 h in S1) because it delivers least. The firm operating points of JR-D therefore form the capacity–service front in both scenarios: a larger firm commitment does not come at the expense of the computing users.</w:t>
      </w:r>
    </w:p>
    <w:p>
      <w:pPr>
        <w:pStyle w:val="Figure"/>
      </w:pPr>
      <w:r>
        <w:drawing>
          <wp:inline>
            <wp:extent cx="5669999" cy="4340903"/>
            <wp:effectExtent b="0" l="0" r="0" t="0"/>
            <wp:docPr descr="" title="" id="83" name="Picture"/>
            <a:graphic>
              <a:graphicData uri="http://schemas.openxmlformats.org/drawingml/2006/picture">
                <pic:pic>
                  <pic:nvPicPr>
                    <pic:cNvPr descr="/home/user/datacenter/paper/figures/Fig13_capacity_service_pareto.png" id="84" name="Picture"/>
                    <pic:cNvPicPr>
                      <a:picLocks noChangeArrowheads="1" noChangeAspect="1"/>
                    </pic:cNvPicPr>
                  </pic:nvPicPr>
                  <pic:blipFill>
                    <a:blip r:embed="rId82"/>
                    <a:stretch>
                      <a:fillRect/>
                    </a:stretch>
                  </pic:blipFill>
                  <pic:spPr bwMode="auto">
                    <a:xfrm>
                      <a:off x="0" y="0"/>
                      <a:ext cx="5669999" cy="4340903"/>
                    </a:xfrm>
                    <a:prstGeom prst="rect">
                      <a:avLst/>
                    </a:prstGeom>
                    <a:noFill/>
                    <a:ln w="9525">
                      <a:noFill/>
                      <a:headEnd/>
                      <a:tailEnd/>
                    </a:ln>
                  </pic:spPr>
                </pic:pic>
              </a:graphicData>
            </a:graphic>
          </wp:inline>
        </w:drawing>
      </w:r>
    </w:p>
    <w:p>
      <w:pPr>
        <w:pStyle w:val="FigureCaption"/>
      </w:pPr>
      <w:r>
        <w:rPr>
          <w:bCs/>
          <w:b/>
        </w:rPr>
        <w:t xml:space="preserve">Fig. 13.</w:t>
      </w:r>
      <w:r>
        <w:t xml:space="preserve"> </w:t>
      </w:r>
      <w:r>
        <w:t xml:space="preserve">Capacity–service trade-off in S1 (a, b) and S2 (c, d): uniform commitment versus the mean extra completion time of deferred work (a, c) and the SLA slack used (b, d); filled markers: firm operating points (full delivery on ≥ 95 % of the days); dashed: front of the firm points.</w:t>
      </w:r>
    </w:p>
    <w:p>
      <w:pPr>
        <w:pStyle w:val="BodyText"/>
      </w:pPr>
      <w:r>
        <w:rPr>
          <w:bCs/>
          <w:b/>
        </w:rPr>
        <w:t xml:space="preserve">Economics.</w:t>
      </w:r>
      <w:r>
        <w:t xml:space="preserve"> </w:t>
      </w:r>
      <w:r>
        <w:t xml:space="preserve">Fig. 14 compares the daily costs at 7 MW, a commitment that all strategies can attempt and the cost-optimal commitment of JR-D (Section 5.6). JR-D yields the largest benefit relative to no DR participation, 44.8 k CNY/day in S1 and 43.1 k CNY/day in S2. Its DR revenue of 48.3 k CNY reaches 96 % of the payment cap of the two events and is offset mainly by the delay cost of the deferred work (4.4–6.4 k CNY/day); the electricity and gas costs fall slightly because consumption is shifted out of the evening peak. IR-O* gains 40.3 and 38.5 k CNY/day with a higher delay cost (5.9–7.6 k CNY/day). JR-M gains 37.3 k CNY/day in S1 but only 19.1 k CNY/day in S2: there the second event finds the AIDC with 4.1×10³ GPU·h of backlog and 3.4 MWh of stored energy (JR-D: 2.2×10³ GPU·h and 6.0 MWh), so its revenue drops to 32.2 k CNY and a shortfall assessment of 4.7 k CNY is levied. IR-P gains 17.8 and 29.8 k CNY/day. On a paired basis JR-D is cheaper than every benchmark on all 26 days in both scenarios; its mean advantage is 4.5 k CNY/day over IR-O* (95 % CI 2.5–7.6) and 7.6 k CNY/day over JR-M (6.4–8.8) in S1, and 4.6 k CNY/day (2.7–7.4) and 24.1 k CNY/day (19.6–28.5) in S2. The worst-event delivery ratio (Fig. 14c) shows why: the delivery of JR-D is concentrated just above full delivery, whereas the benchmarks spread down to the validity threshold and below it.</w:t>
      </w:r>
    </w:p>
    <w:p>
      <w:pPr>
        <w:pStyle w:val="Figure"/>
      </w:pPr>
      <w:r>
        <w:drawing>
          <wp:inline>
            <wp:extent cx="5723999" cy="4705601"/>
            <wp:effectExtent b="0" l="0" r="0" t="0"/>
            <wp:docPr descr="" title="" id="86" name="Picture"/>
            <a:graphic>
              <a:graphicData uri="http://schemas.openxmlformats.org/drawingml/2006/picture">
                <pic:pic>
                  <pic:nvPicPr>
                    <pic:cNvPr descr="/home/user/datacenter/paper/figures/Fig14_economics.png" id="87" name="Picture"/>
                    <pic:cNvPicPr>
                      <a:picLocks noChangeArrowheads="1" noChangeAspect="1"/>
                    </pic:cNvPicPr>
                  </pic:nvPicPr>
                  <pic:blipFill>
                    <a:blip r:embed="rId85"/>
                    <a:stretch>
                      <a:fillRect/>
                    </a:stretch>
                  </pic:blipFill>
                  <pic:spPr bwMode="auto">
                    <a:xfrm>
                      <a:off x="0" y="0"/>
                      <a:ext cx="5723999" cy="4705601"/>
                    </a:xfrm>
                    <a:prstGeom prst="rect">
                      <a:avLst/>
                    </a:prstGeom>
                    <a:noFill/>
                    <a:ln w="9525">
                      <a:noFill/>
                      <a:headEnd/>
                      <a:tailEnd/>
                    </a:ln>
                  </pic:spPr>
                </pic:pic>
              </a:graphicData>
            </a:graphic>
          </wp:inline>
        </w:drawing>
      </w:r>
    </w:p>
    <w:p>
      <w:pPr>
        <w:pStyle w:val="FigureCaption"/>
      </w:pPr>
      <w:r>
        <w:rPr>
          <w:bCs/>
          <w:b/>
        </w:rPr>
        <w:t xml:space="preserve">Fig. 14.</w:t>
      </w:r>
      <w:r>
        <w:t xml:space="preserve"> </w:t>
      </w:r>
      <w:r>
        <w:t xml:space="preserve">Economics at a fixed commitment of 7 MW: (a) daily cost components relative to no DR, labelled with the share of days with full delivery; (b) paired daily cost differences between JR-D and each benchmark over the 26 operating days; (c) distribution of the worst-event delivery ratio in S2.</w:t>
      </w:r>
    </w:p>
    <w:p>
      <w:pPr>
        <w:pStyle w:val="BodyText"/>
      </w:pPr>
      <w:r>
        <w:rPr>
          <w:bCs/>
          <w:b/>
        </w:rPr>
        <w:t xml:space="preserve">Robustness.</w:t>
      </w:r>
      <w:r>
        <w:t xml:space="preserve"> </w:t>
      </w:r>
      <w:r>
        <w:t xml:space="preserve">Three checks confirm that the ranking does not depend on the design of the benchmarks or on idealised computing. (i)</w:t>
      </w:r>
      <w:r>
        <w:t xml:space="preserve"> </w:t>
      </w:r>
      <w:r>
        <w:rPr>
          <w:iCs/>
          <w:i/>
        </w:rPr>
        <w:t xml:space="preserve">Static split in hindsight.</w:t>
      </w:r>
      <w:r>
        <w:t xml:space="preserve"> </w:t>
      </w:r>
      <w:r>
        <w:t xml:space="preserve">Choosing, for every operating day, the best static split after the fact bounds every independent recovery with a static split from above. At 1 MW this bound delivers in full on 69 % (S1) and 73 % (S2) of the days, exactly as the split tuned day-ahead: on the other days no split covers the baseline deviation, because independent recovery prepares the storage only for its share of a small commitment. The bound rises with the commitment (92 % and 88 % at 5 MW) and covers all days at 7 MW, but the successful split differs from day to day and cannot be chosen in advance; the split tuned day-ahead delivers in full on 85 % and 81 % of the days. Even with hindsight, independent recovery is therefore not firm at any commitment in the sense of (13), which requires full delivery at every smaller commitment as well. (ii)</w:t>
      </w:r>
      <w:r>
        <w:t xml:space="preserve"> </w:t>
      </w:r>
      <w:r>
        <w:rPr>
          <w:iCs/>
          <w:i/>
        </w:rPr>
        <w:t xml:space="preserve">Pause/resume overhead.</w:t>
      </w:r>
      <w:r>
        <w:t xml:space="preserve"> </w:t>
      </w:r>
      <w:r>
        <w:t xml:space="preserve">If every deferred GPU·h requires 2 % or 5 % of additional work when it is resumed, an effect the controllers see only through the measured backlog, the firm capacity of JR-D in S2 is 7.75 and 7.50 MW (7.75 MW without overhead), that of JR-M 4.75 MW in both cases, and IR-O* stays below 1 MW: the foresight gain of 2.75–3.0 MW is unchanged. (iii)</w:t>
      </w:r>
      <w:r>
        <w:t xml:space="preserve"> </w:t>
      </w:r>
      <w:r>
        <w:rPr>
          <w:iCs/>
          <w:i/>
        </w:rPr>
        <w:t xml:space="preserve">Event-call uncertainty.</w:t>
      </w:r>
      <w:r>
        <w:t xml:space="preserve"> </w:t>
      </w:r>
      <w:r>
        <w:t xml:space="preserve">When the third event of S3 is called only with probability 0.6 and confirmed 1 h ahead (S4-U, 6 MW per event, called on 15 of the 26 days), JR-D and its scenario-based variant JR-S deliver every called event in full on all days, at a daily cost within 0.9 k CNY of the perfect-information oracle (supplementary Fig. S3). JR-S saves only 0.3 k CNY/day over JR-D, so the deterministic controller with feedback suffices. IR-O*, JR-M and IR-P deliver in full on 81 %, 69 % and 27 % of the days and cost 10.8–21.5 k CNY/day more.</w:t>
      </w:r>
    </w:p>
    <w:p>
      <w:pPr>
        <w:pStyle w:val="BodyText"/>
      </w:pPr>
      <w:r>
        <w:rPr>
          <w:bCs/>
          <w:b/>
        </w:rPr>
        <w:t xml:space="preserve">Post-event rebound.</w:t>
      </w:r>
      <w:r>
        <w:t xml:space="preserve"> </w:t>
      </w:r>
      <w:r>
        <w:t xml:space="preserve">Recovery draws power above the baseline after the events. Under the Jiangsu rules alone, the peak rebound after the events of the DR day is 6.4–6.6 MW for every strategy (S1, 6 MW per event). A rebound assessment lets the grid operator trade it off (supplementary Fig. S4): at 3 CNY/kW per event, JR-D cuts the peak rebound to 0.17 MW and still delivers both events in full, by holding deferred work longer (delay cost +17.9 k CNY) and over-delivering less (DR revenue −4.4 k CNY), whereas IR-O* keeps a rebound of 6.4 MW while its fulfilment falls to 91 %. Joint recovery thus also gives the grid a controllable recovery profile, at a price that the assessment can set.</w:t>
      </w:r>
    </w:p>
    <w:bookmarkEnd w:id="88"/>
    <w:bookmarkEnd w:id="89"/>
    <w:bookmarkStart w:id="90" w:name="conclusions"/>
    <w:p>
      <w:pPr>
        <w:pStyle w:val="Heading1"/>
      </w:pPr>
      <w:r>
        <w:t xml:space="preserve">6. Conclusions</w:t>
      </w:r>
    </w:p>
    <w:p>
      <w:pPr>
        <w:pStyle w:val="FirstParagraph"/>
      </w:pPr>
      <w:r>
        <w:t xml:space="preserve">This paper examined how the recovery debts left by one demand-response event limit the next one in an AI data-center integrated energy system, and how much consecutive DR capacity such a data center can firmly commit. A cross-event heterogeneous recovery model, the firm consecutive DR capacity with its distributionally robust commitment, and a recovery-aware coordinated scheduling framework were developed and tested on a 16 000-GPU data center under the Jiangsu rules, with 26 operating days built from public computing traces. The main conclusions are as follows.</w:t>
      </w:r>
    </w:p>
    <w:p>
      <w:pPr>
        <w:pStyle w:val="Compact"/>
        <w:numPr>
          <w:ilvl w:val="0"/>
          <w:numId w:val="1004"/>
        </w:numPr>
      </w:pPr>
      <w:r>
        <w:rPr>
          <w:bCs/>
          <w:b/>
        </w:rPr>
        <w:t xml:space="preserve">Deliverability is decided during recovery.</w:t>
      </w:r>
      <w:r>
        <w:t xml:space="preserve"> </w:t>
      </w:r>
      <w:r>
        <w:t xml:space="preserve">Computing backlog and storage deficit compete for one recovery channel. Joint recovery carries the long-deadline backlog across the next event and spends the channel on recharging: with a 30-min interval it devotes 57 % of the recovery energy to storage instead of 32 % under independent recovery, and it delivers both 7 MW events in full where independent and event-by-event recovery fall short.</w:t>
      </w:r>
    </w:p>
    <w:p>
      <w:pPr>
        <w:pStyle w:val="Compact"/>
        <w:numPr>
          <w:ilvl w:val="0"/>
          <w:numId w:val="1004"/>
        </w:numPr>
      </w:pPr>
      <w:r>
        <w:rPr>
          <w:bCs/>
          <w:b/>
        </w:rPr>
        <w:t xml:space="preserve">Firm capacity requires joint recovery.</w:t>
      </w:r>
      <w:r>
        <w:t xml:space="preserve"> </w:t>
      </w:r>
      <w:r>
        <w:t xml:space="preserve">Cross-event joint recovery firmly delivers 7.5 MW in the two-event scenarios, 94 % of the physical capability of the second event, and 6.5 MW with a third, rapid event. Independent recovery, with a day-ahead tuned split or with price coordination, is not firm at any commitment down to 1 MW, because baseline deviations of up to 3.3 MW fall on storage that serves a fixed share of the reduction.</w:t>
      </w:r>
    </w:p>
    <w:p>
      <w:pPr>
        <w:pStyle w:val="Compact"/>
        <w:numPr>
          <w:ilvl w:val="0"/>
          <w:numId w:val="1004"/>
        </w:numPr>
      </w:pPr>
      <w:r>
        <w:rPr>
          <w:bCs/>
          <w:b/>
        </w:rPr>
        <w:t xml:space="preserve">Foresight pays off at short intervals; coordination pays off always.</w:t>
      </w:r>
      <w:r>
        <w:t xml:space="preserve"> </w:t>
      </w:r>
      <w:r>
        <w:t xml:space="preserve">Cross-event foresight adds 4.0 MW at a 15-min, 3.0 MW at a 30-min and 1.0 MW at a 1-h interval (2.0 MW with three events) and vanishes at 2–3 h, as Proposition 2 predicts; joint recovery with foresight keeps its firm capacity at 7.5–8.0 MW at every interval. Coordinating computing and storage in one controller adds at least 2.5–6.75 MW at every interval, because independent recovery is not firm at any of them.</w:t>
      </w:r>
    </w:p>
    <w:p>
      <w:pPr>
        <w:pStyle w:val="Compact"/>
        <w:numPr>
          <w:ilvl w:val="0"/>
          <w:numId w:val="1004"/>
        </w:numPr>
      </w:pPr>
      <w:r>
        <w:rPr>
          <w:bCs/>
          <w:b/>
        </w:rPr>
        <w:t xml:space="preserve">Joint recovery substitutes hardware.</w:t>
      </w:r>
      <w:r>
        <w:t xml:space="preserve"> </w:t>
      </w:r>
      <w:r>
        <w:t xml:space="preserve">With cross-event foresight, 2.7 MWh of battery firmly deliver what event-by-event joint recovery needs 12 MWh for, a saving of 9.3 MWh or about 5.6 million CNY. Neither a larger battery nor 4.4 MW more connection lets event-by-event recovery reach the firm capacity of cross-event recovery: it empties the battery in the first event, and at short intervals the recharge rate, not the connection, limits how much can be restored. No battery size makes independent recovery firm, and batteries beyond 12 MWh erode the baseline and lower the firm capacity.</w:t>
      </w:r>
    </w:p>
    <w:p>
      <w:pPr>
        <w:pStyle w:val="Compact"/>
        <w:numPr>
          <w:ilvl w:val="0"/>
          <w:numId w:val="1004"/>
        </w:numPr>
      </w:pPr>
      <w:r>
        <w:rPr>
          <w:bCs/>
          <w:b/>
        </w:rPr>
        <w:t xml:space="preserve">Commit what the controller can deliver.</w:t>
      </w:r>
      <w:r>
        <w:t xml:space="preserve"> </w:t>
      </w:r>
      <w:r>
        <w:t xml:space="preserve">A closed-loop back-test on 14 historical days refuses to commit independent recovery, which fails at 1 MW on 2–4 of them, and its Wasserstein-robust version corrects over-confident sample-average commitments (event-by-event recovery in S1: 7.5 → 6.0 MW, full delivery out of sample 77 → 100 %). Robustness is cheap for the concentrated capability of cross-event joint recovery and expensive for dispersed ones. The cost-optimal commitment of cross-event joint recovery, 7 MW, is delivered on every operating day, whereas a perfect-recourse two-stage model commits the single-event capabilities (8.18/7.98 MW), which are delivered in full on only 85 % of the days. The radius covers the sampling error of the capability; a systematic shift of the operating conditions is absorbed by the margin that the cost-optimal commitment keeps below the capability limit.</w:t>
      </w:r>
    </w:p>
    <w:p>
      <w:pPr>
        <w:pStyle w:val="Compact"/>
        <w:numPr>
          <w:ilvl w:val="0"/>
          <w:numId w:val="1004"/>
        </w:numPr>
      </w:pPr>
      <w:r>
        <w:rPr>
          <w:bCs/>
          <w:b/>
        </w:rPr>
        <w:t xml:space="preserve">The integrated energy system provides the channel.</w:t>
      </w:r>
      <w:r>
        <w:t xml:space="preserve"> </w:t>
      </w:r>
      <w:r>
        <w:t xml:space="preserve">The gas engine and the absorption chiller supply 85 % of the energy drawn through the recovery channel; without the gas engine the firm capacity falls by 2.0 MW and without all IES devices by 3.0 MW, as much as cross-event foresight adds. Computing flexibility and storage are complements: 3.0 MW and below 1 MW alone, 7.5 MW together.</w:t>
      </w:r>
    </w:p>
    <w:p>
      <w:pPr>
        <w:pStyle w:val="FirstParagraph"/>
      </w:pPr>
      <w:r>
        <w:t xml:space="preserve">For DR practice, these results suggest that consecutive-event contracts for AI data centers should be sized by the firm capacity of the controller that will operate them, not by physical capability, and that grid operators can accept larger firm commitments from data centers that coordinate computing and storage recovery across events. The study considers a single site in summer, two or three events per day and the Jiangsu settlement rules; the deferrable share and the lag bounds are assumptions informed by industrial programs. Future work will extend the framework to geographically distributed data centers that shift work between sites, to the thermal inertia of the server halls as a further recovery debt, and to the co-planning of batteries, connection capacity and DR contracts over the life of the data center.</w:t>
      </w:r>
    </w:p>
    <w:bookmarkEnd w:id="90"/>
    <w:bookmarkStart w:id="91" w:name="credit-authorship-contribution-statement"/>
    <w:p>
      <w:pPr>
        <w:pStyle w:val="Heading1"/>
      </w:pPr>
      <w:r>
        <w:t xml:space="preserve">CRediT authorship contribution statement</w:t>
      </w:r>
    </w:p>
    <w:p>
      <w:pPr>
        <w:pStyle w:val="FirstParagraph"/>
      </w:pPr>
      <w:r>
        <w:rPr>
          <w:rStyle w:val="Placeholder"/>
        </w:rPr>
        <w:t xml:space="preserve">Contribution of each author in the CRediT roles, e.g. Conceptualization, Methodology, Software, Formal analysis, Writing – original draft, Writing – review &amp; editing, Supervision, Funding acquisition.</w:t>
      </w:r>
    </w:p>
    <w:bookmarkEnd w:id="91"/>
    <w:bookmarkStart w:id="92" w:name="declaration-of-competing-interest"/>
    <w:p>
      <w:pPr>
        <w:pStyle w:val="Heading1"/>
      </w:pPr>
      <w:r>
        <w:t xml:space="preserve">Declaration of competing interest</w:t>
      </w:r>
    </w:p>
    <w:p>
      <w:pPr>
        <w:pStyle w:val="FirstParagraph"/>
      </w:pPr>
      <w:r>
        <w:rPr>
          <w:rStyle w:val="Placeholder"/>
        </w:rPr>
        <w:t xml:space="preserve">Competing interests of the authors. If there are none, Elsevier’s standard wording is:</w:t>
      </w:r>
      <w:r>
        <w:rPr>
          <w:rStyle w:val="Placeholder"/>
        </w:rPr>
        <w:t xml:space="preserve"> </w:t>
      </w:r>
      <w:r>
        <w:rPr>
          <w:rStyle w:val="Placeholder"/>
        </w:rPr>
        <w:t xml:space="preserve">“</w:t>
      </w:r>
      <w:r>
        <w:rPr>
          <w:rStyle w:val="Placeholder"/>
        </w:rPr>
        <w:t xml:space="preserve">The authors declare that they have no known competing financial interests or personal relationships that could have appeared to influence the work reported in this paper.</w:t>
      </w:r>
      <w:r>
        <w:rPr>
          <w:rStyle w:val="Placeholder"/>
        </w:rPr>
        <w:t xml:space="preserve">”</w:t>
      </w:r>
    </w:p>
    <w:bookmarkEnd w:id="92"/>
    <w:bookmarkStart w:id="93" w:name="X071796dd6bc546c91e96cca1cf5ff96599de61f"/>
    <w:p>
      <w:pPr>
        <w:pStyle w:val="Heading1"/>
      </w:pPr>
      <w:r>
        <w:t xml:space="preserve">Declaration of generative AI and AI-assisted technologies in the writing process</w:t>
      </w:r>
    </w:p>
    <w:p>
      <w:pPr>
        <w:pStyle w:val="FirstParagraph"/>
      </w:pPr>
      <w:r>
        <w:rPr>
          <w:rStyle w:val="Placeholder"/>
        </w:rPr>
        <w:t xml:space="preserve">Required by Elsevier when generative AI was used in preparing the manuscript, e.g. </w:t>
      </w:r>
      <w:r>
        <w:rPr>
          <w:rStyle w:val="Placeholder"/>
        </w:rPr>
        <w:t xml:space="preserve">“</w:t>
      </w:r>
      <w:r>
        <w:rPr>
          <w:rStyle w:val="Placeholder"/>
        </w:rPr>
        <w:t xml:space="preserve">During the preparation of this work the author(s) used</w:t>
      </w:r>
      <w:r>
        <w:rPr>
          <w:rStyle w:val="Placeholder"/>
        </w:rPr>
        <w:t xml:space="preserve"> </w:t>
      </w:r>
      <w:r>
        <w:rPr>
          <w:rStyle w:val="Placeholder"/>
          <w:iCs/>
          <w:i/>
        </w:rPr>
        <w:t xml:space="preserve">name of tool or service</w:t>
      </w:r>
      <w:r>
        <w:rPr>
          <w:rStyle w:val="Placeholder"/>
        </w:rPr>
        <w:t xml:space="preserve"> </w:t>
      </w:r>
      <w:r>
        <w:rPr>
          <w:rStyle w:val="Placeholder"/>
        </w:rPr>
        <w:t xml:space="preserve">in order to</w:t>
      </w:r>
      <w:r>
        <w:rPr>
          <w:rStyle w:val="Placeholder"/>
        </w:rPr>
        <w:t xml:space="preserve"> </w:t>
      </w:r>
      <w:r>
        <w:rPr>
          <w:rStyle w:val="Placeholder"/>
          <w:iCs/>
          <w:i/>
        </w:rPr>
        <w:t xml:space="preserve">reason</w:t>
      </w:r>
      <w:r>
        <w:rPr>
          <w:rStyle w:val="Placeholder"/>
        </w:rPr>
        <w:t xml:space="preserve">. After using this tool or service, the author(s) reviewed and edited the content as needed and take(s) full responsibility for the content of the published article.</w:t>
      </w:r>
      <w:r>
        <w:rPr>
          <w:rStyle w:val="Placeholder"/>
        </w:rPr>
        <w:t xml:space="preserve">”</w:t>
      </w:r>
    </w:p>
    <w:bookmarkEnd w:id="93"/>
    <w:bookmarkStart w:id="94" w:name="acknowledgements"/>
    <w:p>
      <w:pPr>
        <w:pStyle w:val="Heading1"/>
      </w:pPr>
      <w:r>
        <w:t xml:space="preserve">Acknowledgements</w:t>
      </w:r>
    </w:p>
    <w:p>
      <w:pPr>
        <w:pStyle w:val="FirstParagraph"/>
      </w:pPr>
      <w:r>
        <w:rPr>
          <w:rStyle w:val="Placeholder"/>
        </w:rPr>
        <w:t xml:space="preserve">Funding sources with grant numbers.</w:t>
      </w:r>
    </w:p>
    <w:bookmarkEnd w:id="94"/>
    <w:bookmarkStart w:id="95" w:name="data-availability"/>
    <w:p>
      <w:pPr>
        <w:pStyle w:val="Heading1"/>
      </w:pPr>
      <w:r>
        <w:t xml:space="preserve">Data availability</w:t>
      </w:r>
    </w:p>
    <w:p>
      <w:pPr>
        <w:pStyle w:val="FirstParagraph"/>
      </w:pPr>
      <w:r>
        <w:rPr>
          <w:rStyle w:val="Placeholder"/>
        </w:rPr>
        <w:t xml:space="preserve">Where the code and data can be obtained, e.g. a public repository, or</w:t>
      </w:r>
      <w:r>
        <w:rPr>
          <w:rStyle w:val="Placeholder"/>
        </w:rPr>
        <w:t xml:space="preserve"> </w:t>
      </w:r>
      <w:r>
        <w:rPr>
          <w:rStyle w:val="Placeholder"/>
        </w:rPr>
        <w:t xml:space="preserve">“</w:t>
      </w:r>
      <w:r>
        <w:rPr>
          <w:rStyle w:val="Placeholder"/>
        </w:rPr>
        <w:t xml:space="preserve">Data will be made available on request.</w:t>
      </w:r>
      <w:r>
        <w:rPr>
          <w:rStyle w:val="Placeholder"/>
        </w:rPr>
        <w:t xml:space="preserve">”</w:t>
      </w:r>
    </w:p>
    <w:bookmarkEnd w:id="95"/>
    <w:bookmarkStart w:id="96" w:name="X7a93262262cf2153410ed77390956f6788b11c2"/>
    <w:p>
      <w:pPr>
        <w:pStyle w:val="Heading1"/>
      </w:pPr>
      <w:r>
        <w:t xml:space="preserve">Appendix A. Case-study parameters and data</w:t>
      </w:r>
    </w:p>
    <w:p>
      <w:pPr>
        <w:pStyle w:val="TableCaption"/>
      </w:pPr>
      <w:r>
        <w:rPr>
          <w:bCs/>
          <w:b/>
        </w:rPr>
        <w:t xml:space="preserve">Table A1.</w:t>
      </w:r>
      <w:r>
        <w:t xml:space="preserve"> </w:t>
      </w:r>
      <w:r>
        <w:t xml:space="preserve">Main parameters ([S] source, [D] derived from public data, [A] assumption).</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1995"/>
        <w:gridCol w:w="7075"/>
      </w:tblGrid>
      <w:tr>
        <w:trPr>
          <w:tblHeader w:val="true"/>
        </w:trPr>
        <w:tc>
          <w:tcPr>
            <w:tcW w:w="1995" w:type="dxa"/>
            <w:tcBorders>
              <w:bottom w:val="single" w:sz="4" w:space="0" w:color="000000"/>
            </w:tcBorders>
          </w:tcPr>
          <w:p>
            <w:pPr>
              <w:pStyle w:val="TableText"/>
              <w:jc w:val="left"/>
            </w:pPr>
            <w:r>
              <w:t xml:space="preserve">Item</w:t>
            </w:r>
          </w:p>
        </w:tc>
        <w:tc>
          <w:tcPr>
            <w:tcW w:w="7075" w:type="dxa"/>
            <w:tcBorders>
              <w:bottom w:val="single" w:sz="4" w:space="0" w:color="000000"/>
            </w:tcBorders>
          </w:tcPr>
          <w:p>
            <w:pPr>
              <w:pStyle w:val="TableText"/>
              <w:jc w:val="left"/>
            </w:pPr>
            <w:r>
              <w:t xml:space="preserve">Value</w:t>
            </w:r>
          </w:p>
        </w:tc>
      </w:tr>
      <w:tr>
        <w:tc>
          <w:tcPr>
            <w:tcW w:w="1995" w:type="dxa"/>
          </w:tcPr>
          <w:p>
            <w:pPr>
              <w:pStyle w:val="TableText"/>
              <w:jc w:val="left"/>
            </w:pPr>
            <w:r>
              <w:t xml:space="preserve">GPUs; node peak power</w:t>
            </w:r>
          </w:p>
        </w:tc>
        <w:tc>
          <w:tcPr>
            <w:tcW w:w="7075" w:type="dxa"/>
          </w:tcPr>
          <w:p>
            <w:pPr>
              <w:pStyle w:val="TableText"/>
              <w:jc w:val="left"/>
            </w:pPr>
            <w:r>
              <w:t xml:space="preserve">16 000 H100-class; 8.4 kW per 8-GPU node [33] [S]; idle 25 % [34] [A]</w:t>
            </w:r>
          </w:p>
        </w:tc>
      </w:tr>
      <w:tr>
        <w:tc>
          <w:tcPr>
            <w:tcW w:w="1995" w:type="dxa"/>
          </w:tcPr>
          <w:p>
            <w:pPr>
              <w:pStyle w:val="TableText"/>
              <w:jc w:val="left"/>
            </w:pPr>
            <w:r>
              <w:t xml:space="preserve">Inference dynamic-power factor</w:t>
            </w:r>
          </w:p>
        </w:tc>
        <w:tc>
          <w:tcPr>
            <w:tcW w:w="7075" w:type="dxa"/>
          </w:tcPr>
          <w:p>
            <w:pPr>
              <w:pStyle w:val="TableText"/>
              <w:jc w:val="left"/>
            </w:pPr>
            <w:r>
              <w:t xml:space="preserve">0.65 [35]</w:t>
            </w:r>
          </w:p>
        </w:tc>
      </w:tr>
      <w:tr>
        <w:tc>
          <w:tcPr>
            <w:tcW w:w="1995" w:type="dxa"/>
          </w:tcPr>
          <w:p>
            <w:pPr>
              <w:pStyle w:val="TableText"/>
              <w:jc w:val="left"/>
            </w:pPr>
            <w:r>
              <w:t xml:space="preserve">Deferrable share; classes; lag bounds</w:t>
            </w:r>
          </w:p>
        </w:tc>
        <w:tc>
          <w:tcPr>
            <w:tcW w:w="7075" w:type="dxa"/>
          </w:tcPr>
          <w:p>
            <w:pPr>
              <w:pStyle w:val="TableText"/>
              <w:jc w:val="left"/>
            </w:pPr>
            <w:r>
              <w:t xml:space="preserve">40 % of GPUs busy with training/batch, 75 % of it deferrable; C1/C2/C3 by PAI runtime ≤1 h, 1–12 h, &gt;12 h [30] [D];</w:t>
            </w:r>
            <w:r>
              <w:t xml:space="preserve"> </w:t>
            </w:r>
            <m:oMath>
              <m:sSub>
                <m:e>
                  <m:r>
                    <m:t>L</m:t>
                  </m:r>
                </m:e>
                <m:sub>
                  <m:r>
                    <m:t>c</m:t>
                  </m:r>
                </m:sub>
              </m:sSub>
            </m:oMath>
            <w:r>
              <w:t xml:space="preserve"> </w:t>
            </w:r>
            <w:r>
              <w:t xml:space="preserve">= 0.5/1.5/3 h [A]</w:t>
            </w:r>
          </w:p>
        </w:tc>
      </w:tr>
      <w:tr>
        <w:tc>
          <w:tcPr>
            <w:tcW w:w="1995" w:type="dxa"/>
          </w:tcPr>
          <w:p>
            <w:pPr>
              <w:pStyle w:val="TableText"/>
              <w:jc w:val="left"/>
            </w:pPr>
            <w:r>
              <w:t xml:space="preserve">Inference profile</w:t>
            </w:r>
          </w:p>
        </w:tc>
        <w:tc>
          <w:tcPr>
            <w:tcW w:w="7075" w:type="dxa"/>
          </w:tcPr>
          <w:p>
            <w:pPr>
              <w:pStyle w:val="TableText"/>
              <w:jc w:val="left"/>
            </w:pPr>
            <w:r>
              <w:t xml:space="preserve">Azure LLM inference trace 2024 [31] [D]</w:t>
            </w:r>
          </w:p>
        </w:tc>
      </w:tr>
      <w:tr>
        <w:tc>
          <w:tcPr>
            <w:tcW w:w="1995" w:type="dxa"/>
          </w:tcPr>
          <w:p>
            <w:pPr>
              <w:pStyle w:val="TableText"/>
              <w:jc w:val="left"/>
            </w:pPr>
            <w:r>
              <w:t xml:space="preserve">Facility</w:t>
            </w:r>
          </w:p>
        </w:tc>
        <w:tc>
          <w:tcPr>
            <w:tcW w:w="7075" w:type="dxa"/>
          </w:tcPr>
          <w:p>
            <w:pPr>
              <w:pStyle w:val="TableText"/>
              <w:jc w:val="left"/>
            </w:pPr>
            <w:r>
              <w:t xml:space="preserve">UPS/distribution 5 %, chiller COP 6.0 at 25 °C, −0.12 per °C, 30 MW_th [A]</w:t>
            </w:r>
          </w:p>
        </w:tc>
      </w:tr>
      <w:tr>
        <w:tc>
          <w:tcPr>
            <w:tcW w:w="1995" w:type="dxa"/>
          </w:tcPr>
          <w:p>
            <w:pPr>
              <w:pStyle w:val="TableText"/>
              <w:jc w:val="left"/>
            </w:pPr>
            <w:r>
              <w:t xml:space="preserve">CCHP</w:t>
            </w:r>
          </w:p>
        </w:tc>
        <w:tc>
          <w:tcPr>
            <w:tcW w:w="7075" w:type="dxa"/>
          </w:tcPr>
          <w:p>
            <w:pPr>
              <w:pStyle w:val="TableText"/>
              <w:jc w:val="left"/>
            </w:pPr>
            <w:r>
              <w:t xml:space="preserve">gas engine 3 MW, η_e 0.38, η_h 0.45, ramp 1.5 MW/15 min; absorption chiller COP 0.75, 2.7 MW_th [A]</w:t>
            </w:r>
          </w:p>
        </w:tc>
      </w:tr>
      <w:tr>
        <w:tc>
          <w:tcPr>
            <w:tcW w:w="1995" w:type="dxa"/>
          </w:tcPr>
          <w:p>
            <w:pPr>
              <w:pStyle w:val="TableText"/>
              <w:jc w:val="left"/>
            </w:pPr>
            <w:r>
              <w:t xml:space="preserve">BESS</w:t>
            </w:r>
          </w:p>
        </w:tc>
        <w:tc>
          <w:tcPr>
            <w:tcW w:w="7075" w:type="dxa"/>
          </w:tcPr>
          <w:p>
            <w:pPr>
              <w:pStyle w:val="TableText"/>
              <w:jc w:val="left"/>
            </w:pPr>
            <w:r>
              <w:t xml:space="preserve">6 MW / 12 MWh, SOC 10–95 %, η 0.95/0.95, 60 CNY/MWh degradation [36] [A]</w:t>
            </w:r>
          </w:p>
        </w:tc>
      </w:tr>
      <w:tr>
        <w:tc>
          <w:tcPr>
            <w:tcW w:w="1995" w:type="dxa"/>
          </w:tcPr>
          <w:p>
            <w:pPr>
              <w:pStyle w:val="TableText"/>
              <w:jc w:val="left"/>
            </w:pPr>
            <w:r>
              <w:t xml:space="preserve">TES</w:t>
            </w:r>
          </w:p>
        </w:tc>
        <w:tc>
          <w:tcPr>
            <w:tcW w:w="7075" w:type="dxa"/>
          </w:tcPr>
          <w:p>
            <w:pPr>
              <w:pStyle w:val="TableText"/>
              <w:jc w:val="left"/>
            </w:pPr>
            <w:r>
              <w:t xml:space="preserve">10 MWh_th, 4 MW_th, 0.5 %/h loss [A]</w:t>
            </w:r>
          </w:p>
        </w:tc>
      </w:tr>
      <w:tr>
        <w:tc>
          <w:tcPr>
            <w:tcW w:w="1995" w:type="dxa"/>
          </w:tcPr>
          <w:p>
            <w:pPr>
              <w:pStyle w:val="TableText"/>
              <w:jc w:val="left"/>
            </w:pPr>
            <w:r>
              <w:t xml:space="preserve">PV</w:t>
            </w:r>
          </w:p>
        </w:tc>
        <w:tc>
          <w:tcPr>
            <w:tcW w:w="7075" w:type="dxa"/>
          </w:tcPr>
          <w:p>
            <w:pPr>
              <w:pStyle w:val="TableText"/>
              <w:jc w:val="left"/>
            </w:pPr>
            <w:r>
              <w:t xml:space="preserve">8 MWp, PVWatts losses 14 %, −0.37 %/°C [37]</w:t>
            </w:r>
          </w:p>
        </w:tc>
      </w:tr>
      <w:tr>
        <w:tc>
          <w:tcPr>
            <w:tcW w:w="1995" w:type="dxa"/>
          </w:tcPr>
          <w:p>
            <w:pPr>
              <w:pStyle w:val="TableText"/>
              <w:jc w:val="left"/>
            </w:pPr>
            <w:r>
              <w:t xml:space="preserve">Weather</w:t>
            </w:r>
          </w:p>
        </w:tc>
        <w:tc>
          <w:tcPr>
            <w:tcW w:w="7075" w:type="dxa"/>
          </w:tcPr>
          <w:p>
            <w:pPr>
              <w:pStyle w:val="TableText"/>
              <w:jc w:val="left"/>
            </w:pPr>
            <w:r>
              <w:t xml:space="preserve">ERA5 / Open-Meteo, Suzhou-Wujiang, summer 2024 [D]</w:t>
            </w:r>
          </w:p>
        </w:tc>
      </w:tr>
      <w:tr>
        <w:tc>
          <w:tcPr>
            <w:tcW w:w="1995" w:type="dxa"/>
          </w:tcPr>
          <w:p>
            <w:pPr>
              <w:pStyle w:val="TableText"/>
              <w:jc w:val="left"/>
            </w:pPr>
            <w:r>
              <w:t xml:space="preserve">Tariff</w:t>
            </w:r>
          </w:p>
        </w:tc>
        <w:tc>
          <w:tcPr>
            <w:tcW w:w="7075" w:type="dxa"/>
          </w:tcPr>
          <w:p>
            <w:pPr>
              <w:pStyle w:val="TableText"/>
              <w:jc w:val="left"/>
            </w:pPr>
            <w:r>
              <w:t xml:space="preserve">Jiangsu two-part TOU, peak 14–22 h ×1.8, valley ×0.35 [38] [S]</w:t>
            </w:r>
          </w:p>
        </w:tc>
      </w:tr>
      <w:tr>
        <w:tc>
          <w:tcPr>
            <w:tcW w:w="1995" w:type="dxa"/>
          </w:tcPr>
          <w:p>
            <w:pPr>
              <w:pStyle w:val="TableText"/>
              <w:jc w:val="left"/>
            </w:pPr>
            <w:r>
              <w:t xml:space="preserve">DR settlement</w:t>
            </w:r>
          </w:p>
        </w:tc>
        <w:tc>
          <w:tcPr>
            <w:tcW w:w="7075" w:type="dxa"/>
          </w:tcPr>
          <w:p>
            <w:pPr>
              <w:pStyle w:val="TableText"/>
              <w:jc w:val="left"/>
            </w:pPr>
            <w:r>
              <w:t xml:space="preserve">3 CNY/kWh (agreed); rapid peak shaving ×1.4; valid ≥80 %, paid ≤120 %, shortfall κ = 1 [6]</w:t>
            </w:r>
          </w:p>
        </w:tc>
      </w:tr>
      <w:tr>
        <w:tc>
          <w:tcPr>
            <w:tcW w:w="1995" w:type="dxa"/>
          </w:tcPr>
          <w:p>
            <w:pPr>
              <w:pStyle w:val="TableText"/>
              <w:jc w:val="left"/>
            </w:pPr>
            <w:r>
              <w:t xml:space="preserve">Grid connection</w:t>
            </w:r>
          </w:p>
        </w:tc>
        <w:tc>
          <w:tcPr>
            <w:tcW w:w="7075" w:type="dxa"/>
          </w:tcPr>
          <w:p>
            <w:pPr>
              <w:pStyle w:val="TableText"/>
              <w:jc w:val="left"/>
            </w:pPr>
            <m:oMath>
              <m:sSup>
                <m:e>
                  <m:r>
                    <m:t>P</m:t>
                  </m:r>
                </m:e>
                <m:sup>
                  <m:r>
                    <m:t>c</m:t>
                  </m:r>
                  <m:r>
                    <m:t>a</m:t>
                  </m:r>
                  <m:r>
                    <m:t>p</m:t>
                  </m:r>
                </m:sup>
              </m:sSup>
            </m:oMath>
            <w:r>
              <w:t xml:space="preserve"> </w:t>
            </w:r>
            <w:r>
              <w:t xml:space="preserve">= 1.10 × typical-day peak (16.03 MW); minimum import 1.5 MW [A]</w:t>
            </w:r>
          </w:p>
        </w:tc>
      </w:tr>
      <w:tr>
        <w:tc>
          <w:tcPr>
            <w:tcW w:w="1995" w:type="dxa"/>
          </w:tcPr>
          <w:p>
            <w:pPr>
              <w:pStyle w:val="TableText"/>
              <w:jc w:val="left"/>
            </w:pPr>
            <w:r>
              <w:t xml:space="preserve">Delay prices</w:t>
            </w:r>
          </w:p>
        </w:tc>
        <w:tc>
          <w:tcPr>
            <w:tcW w:w="7075" w:type="dxa"/>
          </w:tcPr>
          <w:p>
            <w:pPr>
              <w:pStyle w:val="TableText"/>
              <w:jc w:val="left"/>
            </w:pPr>
            <m:oMath>
              <m:sSup>
                <m:e>
                  <m:r>
                    <m:t>c</m:t>
                  </m:r>
                </m:e>
                <m:sup>
                  <m:r>
                    <m:t>j</m:t>
                  </m:r>
                  <m:r>
                    <m:t>c</m:t>
                  </m:r>
                  <m:r>
                    <m:t>t</m:t>
                  </m:r>
                </m:sup>
              </m:sSup>
            </m:oMath>
            <w:r>
              <w:t xml:space="preserve"> </w:t>
            </w:r>
            <w:r>
              <w:t xml:space="preserve">= 0.5,</w:t>
            </w:r>
            <w:r>
              <w:t xml:space="preserve"> </w:t>
            </w:r>
            <m:oMath>
              <m:sSup>
                <m:e>
                  <m:r>
                    <m:t>c</m:t>
                  </m:r>
                </m:e>
                <m:sup>
                  <m:r>
                    <m:t>l</m:t>
                  </m:r>
                  <m:r>
                    <m:t>a</m:t>
                  </m:r>
                  <m:r>
                    <m:t>t</m:t>
                  </m:r>
                  <m:r>
                    <m:t>e</m:t>
                  </m:r>
                </m:sup>
              </m:sSup>
            </m:oMath>
            <w:r>
              <w:t xml:space="preserve"> </w:t>
            </w:r>
            <w:r>
              <w:t xml:space="preserve">= 1000 CNY per GPU·h·h [A]</w:t>
            </w:r>
          </w:p>
        </w:tc>
      </w:tr>
      <w:tr>
        <w:tc>
          <w:tcPr>
            <w:tcW w:w="1995" w:type="dxa"/>
          </w:tcPr>
          <w:p>
            <w:pPr>
              <w:pStyle w:val="TableText"/>
              <w:jc w:val="left"/>
            </w:pPr>
            <w:r>
              <w:t xml:space="preserve">MPC</w:t>
            </w:r>
          </w:p>
        </w:tc>
        <w:tc>
          <w:tcPr>
            <w:tcW w:w="7075" w:type="dxa"/>
          </w:tcPr>
          <w:p>
            <w:pPr>
              <w:pStyle w:val="TableText"/>
              <w:jc w:val="left"/>
            </w:pPr>
            <w:r>
              <w:t xml:space="preserve">15-min step, 18-h horizon; JR-S with 5 scenarios</w:t>
            </w:r>
          </w:p>
        </w:tc>
      </w:tr>
      <w:tr>
        <w:tc>
          <w:tcPr>
            <w:tcW w:w="1995" w:type="dxa"/>
          </w:tcPr>
          <w:p>
            <w:pPr>
              <w:pStyle w:val="TableText"/>
              <w:jc w:val="left"/>
            </w:pPr>
            <w:r>
              <w:t xml:space="preserve">Operating days</w:t>
            </w:r>
          </w:p>
        </w:tc>
        <w:tc>
          <w:tcPr>
            <w:tcW w:w="7075" w:type="dxa"/>
          </w:tcPr>
          <w:p>
            <w:pPr>
              <w:pStyle w:val="TableText"/>
              <w:jc w:val="left"/>
            </w:pPr>
            <w:r>
              <w:t xml:space="preserve">26 PAI weekdays after the DR day, each paired with a hot day and an Azure inference day; historical days: the 14 weekdays of the trace before the DR day (five of them, at the 10–90 % quantiles of the deferrable load, for forecasts and benchmark tuning)</w:t>
            </w:r>
          </w:p>
        </w:tc>
      </w:tr>
    </w:tbl>
    <w:bookmarkEnd w:id="96"/>
    <w:bookmarkStart w:id="97" w:name="appendix-b.-proofs"/>
    <w:p>
      <w:pPr>
        <w:pStyle w:val="Heading1"/>
      </w:pPr>
      <w:r>
        <w:t xml:space="preserve">Appendix B. Proofs</w:t>
      </w:r>
    </w:p>
    <w:p>
      <w:pPr>
        <w:pStyle w:val="FirstParagraph"/>
      </w:pPr>
      <w:r>
        <w:rPr>
          <w:bCs/>
          <w:b/>
        </w:rPr>
        <w:t xml:space="preserve">Notation and assumptions.</w:t>
      </w:r>
      <w:r>
        <w:t xml:space="preserve"> </w:t>
      </w:r>
      <w:r>
        <w:t xml:space="preserve">Let</w:t>
      </w:r>
      <w:r>
        <w:t xml:space="preserve"> </w:t>
      </w:r>
      <m:oMath>
        <m:r>
          <m:rPr>
            <m:scr m:val="script"/>
            <m:sty m:val="p"/>
          </m:rPr>
          <m:t>I</m:t>
        </m:r>
        <m:r>
          <m:rPr>
            <m:sty m:val="p"/>
          </m:rPr>
          <m:t>=</m:t>
        </m:r>
        <m:d>
          <m:dPr>
            <m:begChr m:val="("/>
            <m:sepChr m:val=""/>
            <m:endChr m:val=")"/>
            <m:grow/>
          </m:dPr>
          <m:e>
            <m:sSub>
              <m:e>
                <m:r>
                  <m:t>e</m:t>
                </m:r>
              </m:e>
              <m:sub>
                <m:r>
                  <m:t>A</m:t>
                </m:r>
              </m:sub>
            </m:sSub>
            <m:r>
              <m:rPr>
                <m:sty m:val="p"/>
              </m:rPr>
              <m:t>,</m:t>
            </m:r>
            <m:sSub>
              <m:e>
                <m:r>
                  <m:t>s</m:t>
                </m:r>
              </m:e>
              <m:sub>
                <m:r>
                  <m:t>B</m:t>
                </m:r>
              </m:sub>
            </m:sSub>
          </m:e>
        </m:d>
      </m:oMath>
      <w:r>
        <w:t xml:space="preserve"> </w:t>
      </w:r>
      <w:r>
        <w:t xml:space="preserve">be the interval of length</w:t>
      </w:r>
      <w:r>
        <w:t xml:space="preserve"> </w:t>
      </w:r>
      <m:oMath>
        <m:r>
          <m:t>τ</m:t>
        </m:r>
      </m:oMath>
      <w:r>
        <w:t xml:space="preserve"> </w:t>
      </w:r>
      <w:r>
        <w:t xml:space="preserve">between events A and B, and</w:t>
      </w:r>
      <w:r>
        <w:t xml:space="preserve"> </w:t>
      </w:r>
      <m:oMath>
        <m:sSub>
          <m:e>
            <m:r>
              <m:rPr>
                <m:scr m:val="script"/>
                <m:sty m:val="p"/>
              </m:rPr>
              <m:t>T</m:t>
            </m:r>
          </m:e>
          <m:sub>
            <m:r>
              <m:t>B</m:t>
            </m:r>
          </m:sub>
        </m:sSub>
      </m:oMath>
      <w:r>
        <w:t xml:space="preserve"> </w:t>
      </w:r>
      <w:r>
        <w:t xml:space="preserve">the steps of event B with duration</w:t>
      </w:r>
      <w:r>
        <w:t xml:space="preserve"> </w:t>
      </w:r>
      <m:oMath>
        <m:sSub>
          <m:e>
            <m:r>
              <m:t>D</m:t>
            </m:r>
          </m:e>
          <m:sub>
            <m:r>
              <m:t>B</m:t>
            </m:r>
          </m:sub>
        </m:sSub>
      </m:oMath>
      <w:r>
        <w:t xml:space="preserve">. (H1) Without DR the grid import equals the baseline and the storage is idle in</w:t>
      </w:r>
      <w:r>
        <w:t xml:space="preserve"> </w:t>
      </w:r>
      <m:oMath>
        <m:r>
          <m:rPr>
            <m:scr m:val="script"/>
            <m:sty m:val="p"/>
          </m:rPr>
          <m:t>I</m:t>
        </m:r>
        <m:r>
          <m:rPr>
            <m:sty m:val="p"/>
          </m:rPr>
          <m:t>∪</m:t>
        </m:r>
        <m:sSub>
          <m:e>
            <m:r>
              <m:rPr>
                <m:scr m:val="script"/>
                <m:sty m:val="p"/>
              </m:rPr>
              <m:t>T</m:t>
            </m:r>
          </m:e>
          <m:sub>
            <m:r>
              <m:t>B</m:t>
            </m:r>
          </m:sub>
        </m:sSub>
      </m:oMath>
      <w:r>
        <w:t xml:space="preserve">. (H2)</w:t>
      </w:r>
      <w:r>
        <w:t xml:space="preserve"> </w:t>
      </w:r>
      <m:oMath>
        <m:sSub>
          <m:e>
            <m:r>
              <m:t>ε</m:t>
            </m:r>
          </m:e>
          <m:sub>
            <m:r>
              <m:t>t</m:t>
            </m:r>
          </m:sub>
        </m:sSub>
      </m:oMath>
      <w:r>
        <w:t xml:space="preserve"> </w:t>
      </w:r>
      <w:r>
        <w:t xml:space="preserve">and</w:t>
      </w:r>
      <w:r>
        <w:t xml:space="preserve"> </w:t>
      </w:r>
      <m:oMath>
        <m:sSub>
          <m:e>
            <m:r>
              <m:rPr>
                <m:sty m:val="p"/>
              </m:rPr>
              <m:t>C</m:t>
            </m:r>
            <m:r>
              <m:rPr>
                <m:sty m:val="p"/>
              </m:rPr>
              <m:t>O</m:t>
            </m:r>
            <m:r>
              <m:rPr>
                <m:sty m:val="p"/>
              </m:rPr>
              <m:t>P</m:t>
            </m:r>
          </m:e>
          <m:sub>
            <m:r>
              <m:t>t</m:t>
            </m:r>
          </m:sub>
        </m:sSub>
      </m:oMath>
      <w:r>
        <w:t xml:space="preserve"> </w:t>
      </w:r>
      <w:r>
        <w:t xml:space="preserve">are constant in</w:t>
      </w:r>
      <w:r>
        <w:t xml:space="preserve"> </w:t>
      </w:r>
      <m:oMath>
        <m:r>
          <m:rPr>
            <m:scr m:val="script"/>
            <m:sty m:val="p"/>
          </m:rPr>
          <m:t>I</m:t>
        </m:r>
        <m:r>
          <m:rPr>
            <m:sty m:val="p"/>
          </m:rPr>
          <m:t>∪</m:t>
        </m:r>
        <m:sSub>
          <m:e>
            <m:r>
              <m:rPr>
                <m:scr m:val="script"/>
                <m:sty m:val="p"/>
              </m:rPr>
              <m:t>T</m:t>
            </m:r>
          </m:e>
          <m:sub>
            <m:r>
              <m:t>B</m:t>
            </m:r>
          </m:sub>
        </m:sSub>
      </m:oMath>
      <w:r>
        <w:t xml:space="preserve">; otherwise all bounds below hold with the largest</w:t>
      </w:r>
      <w:r>
        <w:t xml:space="preserve"> </w:t>
      </w:r>
      <m:oMath>
        <m:sSub>
          <m:e>
            <m:r>
              <m:t>ε</m:t>
            </m:r>
          </m:e>
          <m:sub>
            <m:r>
              <m:t>t</m:t>
            </m:r>
          </m:sub>
        </m:sSub>
      </m:oMath>
      <w:r>
        <w:t xml:space="preserve"> </w:t>
      </w:r>
      <w:r>
        <w:t xml:space="preserve">of the interval. Under (H1) the deviation of any schedule from the baseline is</w:t>
      </w:r>
    </w:p>
    <w:p>
      <w:pPr>
        <w:pStyle w:val="Equation"/>
      </w:pPr>
      <w:r>
        <w:tab/>
      </w:r>
      <m:oMath>
        <m:sSubSup>
          <m:e>
            <m:r>
              <m:t>P</m:t>
            </m:r>
          </m:e>
          <m:sub>
            <m:r>
              <m:t>t</m:t>
            </m:r>
          </m:sub>
          <m:sup>
            <m:r>
              <m:t>g</m:t>
            </m:r>
            <m:r>
              <m:t>r</m:t>
            </m:r>
            <m:r>
              <m:t>i</m:t>
            </m:r>
            <m:r>
              <m:t>d</m:t>
            </m:r>
          </m:sup>
        </m:sSubSup>
        <m:r>
          <m:rPr>
            <m:sty m:val="p"/>
          </m:rPr>
          <m:t>−</m:t>
        </m:r>
        <m:sSubSup>
          <m:e>
            <m:r>
              <m:t>P</m:t>
            </m:r>
          </m:e>
          <m:sub>
            <m:r>
              <m:t>t</m:t>
            </m:r>
          </m:sub>
          <m:sup>
            <m:r>
              <m:t>b</m:t>
            </m:r>
            <m:r>
              <m:t>a</m:t>
            </m:r>
            <m:r>
              <m:t>s</m:t>
            </m:r>
            <m:r>
              <m:t>e</m:t>
            </m:r>
          </m:sup>
        </m:sSubSup>
        <m:r>
          <m:rPr>
            <m:sty m:val="p"/>
          </m:rPr>
          <m:t>=</m:t>
        </m:r>
        <m:r>
          <m:t>ε</m:t>
        </m:r>
        <m:nary>
          <m:naryPr>
            <m:chr m:val="∑"/>
            <m:limLoc m:val="undOvr"/>
            <m:subHide m:val="off"/>
            <m:supHide m:val="on"/>
          </m:naryPr>
          <m:sub>
            <m:r>
              <m:t>c</m:t>
            </m:r>
          </m:sub>
          <m:sup>
            <m:r>
              <m:t>​</m:t>
            </m:r>
          </m:sup>
          <m:e>
            <m:d>
              <m:dPr>
                <m:begChr m:val="("/>
                <m:sepChr m:val=""/>
                <m:endChr m:val=")"/>
                <m:grow/>
              </m:dPr>
              <m:e>
                <m:sSub>
                  <m:e>
                    <m:r>
                      <m:t>y</m:t>
                    </m:r>
                  </m:e>
                  <m:sub>
                    <m:r>
                      <m:t>c</m:t>
                    </m:r>
                    <m:r>
                      <m:rPr>
                        <m:sty m:val="p"/>
                      </m:rPr>
                      <m:t>,</m:t>
                    </m:r>
                    <m:r>
                      <m:t>t</m:t>
                    </m:r>
                  </m:sub>
                </m:sSub>
                <m:r>
                  <m:rPr>
                    <m:sty m:val="p"/>
                  </m:rPr>
                  <m:t>−</m:t>
                </m:r>
                <m:sSub>
                  <m:e>
                    <m:r>
                      <m:t>a</m:t>
                    </m:r>
                  </m:e>
                  <m:sub>
                    <m:r>
                      <m:t>c</m:t>
                    </m:r>
                    <m:r>
                      <m:rPr>
                        <m:sty m:val="p"/>
                      </m:rPr>
                      <m:t>,</m:t>
                    </m:r>
                    <m:r>
                      <m:t>t</m:t>
                    </m:r>
                  </m:sub>
                </m:sSub>
              </m:e>
            </m:d>
          </m:e>
        </m:nary>
        <m:r>
          <m:rPr>
            <m:sty m:val="p"/>
          </m:rPr>
          <m:t>+</m:t>
        </m:r>
        <m:sSubSup>
          <m:e>
            <m:r>
              <m:t>P</m:t>
            </m:r>
          </m:e>
          <m:sub>
            <m:r>
              <m:t>t</m:t>
            </m:r>
          </m:sub>
          <m:sup>
            <m:r>
              <m:t>c</m:t>
            </m:r>
            <m:r>
              <m:t>h</m:t>
            </m:r>
          </m:sup>
        </m:sSubSup>
        <m:r>
          <m:rPr>
            <m:sty m:val="p"/>
          </m:rPr>
          <m:t>−</m:t>
        </m:r>
        <m:sSubSup>
          <m:e>
            <m:r>
              <m:t>P</m:t>
            </m:r>
          </m:e>
          <m:sub>
            <m:r>
              <m:t>t</m:t>
            </m:r>
          </m:sub>
          <m:sup>
            <m:r>
              <m:t>d</m:t>
            </m:r>
            <m:r>
              <m:t>i</m:t>
            </m:r>
            <m:r>
              <m:t>s</m:t>
            </m:r>
          </m:sup>
        </m:sSubSup>
        <m:r>
          <m:rPr>
            <m:sty m:val="p"/>
          </m:rPr>
          <m:t>+</m:t>
        </m:r>
        <m:f>
          <m:fPr>
            <m:type m:val="bar"/>
          </m:fPr>
          <m:num>
            <m:sSubSup>
              <m:e>
                <m:r>
                  <m:t>Q</m:t>
                </m:r>
              </m:e>
              <m:sub>
                <m:r>
                  <m:t>t</m:t>
                </m:r>
              </m:sub>
              <m:sup>
                <m:r>
                  <m:t>T</m:t>
                </m:r>
                <m:r>
                  <m:t>C</m:t>
                </m:r>
              </m:sup>
            </m:sSubSup>
            <m:r>
              <m:rPr>
                <m:sty m:val="p"/>
              </m:rPr>
              <m:t>−</m:t>
            </m:r>
            <m:sSubSup>
              <m:e>
                <m:r>
                  <m:t>Q</m:t>
                </m:r>
              </m:e>
              <m:sub>
                <m:r>
                  <m:t>t</m:t>
                </m:r>
              </m:sub>
              <m:sup>
                <m:r>
                  <m:t>T</m:t>
                </m:r>
                <m:r>
                  <m:t>D</m:t>
                </m:r>
              </m:sup>
            </m:sSubSup>
          </m:num>
          <m:den>
            <m:r>
              <m:rPr>
                <m:sty m:val="p"/>
              </m:rPr>
              <m:t>C</m:t>
            </m:r>
            <m:r>
              <m:rPr>
                <m:sty m:val="p"/>
              </m:rPr>
              <m:t>O</m:t>
            </m:r>
            <m:r>
              <m:rPr>
                <m:sty m:val="p"/>
              </m:rPr>
              <m:t>P</m:t>
            </m:r>
          </m:den>
        </m:f>
        <m:r>
          <m:rPr>
            <m:sty m:val="p"/>
          </m:rPr>
          <m:t>−</m:t>
        </m:r>
        <m:r>
          <m:t>Δ</m:t>
        </m:r>
        <m:sSub>
          <m:e>
            <m:r>
              <m:t>g</m:t>
            </m:r>
          </m:e>
          <m:sub>
            <m:r>
              <m:t>t</m:t>
            </m:r>
          </m:sub>
        </m:sSub>
        <m:r>
          <m:rPr>
            <m:sty m:val="p"/>
          </m:rPr>
          <m:t>,</m:t>
        </m:r>
      </m:oMath>
      <w:r>
        <w:tab/>
      </w:r>
      <w:r>
        <w:t xml:space="preserve">(B.1)</w:t>
      </w:r>
    </w:p>
    <w:p>
      <w:pPr>
        <w:pStyle w:val="BodyText"/>
      </w:pPr>
      <w:r>
        <w:t xml:space="preserve">where the first term is catch-up (</w:t>
      </w:r>
      <m:oMath>
        <m:r>
          <m:rPr>
            <m:sty m:val="p"/>
          </m:rPr>
          <m:t>&gt;</m:t>
        </m:r>
        <m:r>
          <m:t>0</m:t>
        </m:r>
      </m:oMath>
      <w:r>
        <w:t xml:space="preserve">) or deferral (</w:t>
      </w:r>
      <m:oMath>
        <m:r>
          <m:rPr>
            <m:sty m:val="p"/>
          </m:rPr>
          <m:t>&lt;</m:t>
        </m:r>
        <m:r>
          <m:t>0</m:t>
        </m:r>
      </m:oMath>
      <w:r>
        <w:t xml:space="preserve">) of computing work and</w:t>
      </w:r>
      <w:r>
        <w:t xml:space="preserve"> </w:t>
      </w:r>
      <m:oMath>
        <m:r>
          <m:t>0</m:t>
        </m:r>
        <m:r>
          <m:rPr>
            <m:sty m:val="p"/>
          </m:rPr>
          <m:t>≤</m:t>
        </m:r>
        <m:r>
          <m:t>Δ</m:t>
        </m:r>
        <m:sSub>
          <m:e>
            <m:r>
              <m:t>g</m:t>
            </m:r>
          </m:e>
          <m:sub>
            <m:r>
              <m:t>t</m:t>
            </m:r>
          </m:sub>
        </m:sSub>
        <m:r>
          <m:rPr>
            <m:sty m:val="p"/>
          </m:rPr>
          <m:t>≤</m:t>
        </m:r>
        <m:r>
          <m:t>g</m:t>
        </m:r>
      </m:oMath>
      <w:r>
        <w:t xml:space="preserve"> </w:t>
      </w:r>
      <w:r>
        <w:t xml:space="preserve">is the additional gas-engine output including its absorption-chiller equivalent.</w:t>
      </w:r>
    </w:p>
    <w:p>
      <w:pPr>
        <w:pStyle w:val="BodyText"/>
      </w:pPr>
      <w:r>
        <w:rPr>
          <w:bCs/>
          <w:b/>
        </w:rPr>
        <w:t xml:space="preserve">Quantities of Proposition 1.</w:t>
      </w:r>
      <w:r>
        <w:t xml:space="preserve"> </w:t>
      </w:r>
      <m:oMath>
        <m:sSub>
          <m:e>
            <m:r>
              <m:t>X</m:t>
            </m:r>
          </m:e>
          <m:sub>
            <m:r>
              <m:t>A</m:t>
            </m:r>
          </m:sub>
        </m:sSub>
        <m:r>
          <m:rPr>
            <m:sty m:val="p"/>
          </m:rPr>
          <m:t>=</m:t>
        </m:r>
        <m:r>
          <m:t>ε</m:t>
        </m:r>
        <m:nary>
          <m:naryPr>
            <m:chr m:val="∑"/>
            <m:limLoc m:val="undOvr"/>
            <m:subHide m:val="off"/>
            <m:supHide m:val="on"/>
          </m:naryPr>
          <m:sub>
            <m:r>
              <m:t>c</m:t>
            </m:r>
          </m:sub>
          <m:sup>
            <m:r>
              <m:t>​</m:t>
            </m:r>
          </m:sup>
          <m:e>
            <m:sSub>
              <m:e>
                <m:r>
                  <m:t>B</m:t>
                </m:r>
              </m:e>
              <m:sub>
                <m:r>
                  <m:t>c</m:t>
                </m:r>
              </m:sub>
            </m:sSub>
          </m:e>
        </m:nary>
        <m:d>
          <m:dPr>
            <m:begChr m:val="("/>
            <m:sepChr m:val=""/>
            <m:endChr m:val=")"/>
            <m:grow/>
          </m:dPr>
          <m:e>
            <m:sSub>
              <m:e>
                <m:r>
                  <m:t>e</m:t>
                </m:r>
              </m:e>
              <m:sub>
                <m:r>
                  <m:t>A</m:t>
                </m:r>
              </m:sub>
            </m:sSub>
          </m:e>
        </m:d>
      </m:oMath>
      <w:r>
        <w:t xml:space="preserve"> </w:t>
      </w:r>
      <w:r>
        <w:t xml:space="preserve">is the computing debt left by A and</w:t>
      </w:r>
      <w:r>
        <w:t xml:space="preserve"> </w:t>
      </w:r>
      <m:oMath>
        <m:sSubSup>
          <m:e>
            <m:r>
              <m:t>X</m:t>
            </m:r>
          </m:e>
          <m:sub>
            <m:r>
              <m:t>A</m:t>
            </m:r>
          </m:sub>
          <m:sup>
            <m:r>
              <m:t>d</m:t>
            </m:r>
            <m:r>
              <m:t>u</m:t>
            </m:r>
            <m:r>
              <m:t>e</m:t>
            </m:r>
          </m:sup>
        </m:sSubSup>
      </m:oMath>
      <w:r>
        <w:t xml:space="preserve"> </w:t>
      </w:r>
      <w:r>
        <w:t xml:space="preserve">its part that falls due before</w:t>
      </w:r>
      <w:r>
        <w:t xml:space="preserve"> </w:t>
      </w:r>
      <m:oMath>
        <m:sSub>
          <m:e>
            <m:r>
              <m:t>e</m:t>
            </m:r>
          </m:e>
          <m:sub>
            <m:r>
              <m:t>B</m:t>
            </m:r>
          </m:sub>
        </m:sSub>
      </m:oMath>
      <w:r>
        <w:t xml:space="preserve">;</w:t>
      </w:r>
      <w:r>
        <w:t xml:space="preserve"> </w:t>
      </w:r>
      <m:oMath>
        <m:sSub>
          <m:e>
            <m:r>
              <m:t>E</m:t>
            </m:r>
          </m:e>
          <m:sub>
            <m:r>
              <m:t>s</m:t>
            </m:r>
          </m:sub>
        </m:sSub>
        <m:r>
          <m:rPr>
            <m:sty m:val="p"/>
          </m:rPr>
          <m:t>=</m:t>
        </m:r>
        <m:sSub>
          <m:e>
            <m:r>
              <m:t>η</m:t>
            </m:r>
          </m:e>
          <m:sub>
            <m:r>
              <m:t>d</m:t>
            </m:r>
          </m:sub>
        </m:sSub>
        <m:d>
          <m:dPr>
            <m:begChr m:val="("/>
            <m:sepChr m:val=""/>
            <m:endChr m:val=")"/>
            <m:grow/>
          </m:dPr>
          <m:e>
            <m:sSub>
              <m:e>
                <m:r>
                  <m:t>E</m:t>
                </m:r>
              </m:e>
              <m:sub>
                <m:r>
                  <m:t>A</m:t>
                </m:r>
              </m:sub>
            </m:sSub>
            <m:r>
              <m:rPr>
                <m:sty m:val="p"/>
              </m:rPr>
              <m:t>−</m:t>
            </m:r>
            <m:bar>
              <m:barPr>
                <m:pos m:val="bot"/>
              </m:barPr>
              <m:e>
                <m:r>
                  <m:t>E</m:t>
                </m:r>
              </m:e>
            </m:bar>
          </m:e>
        </m:d>
        <m:r>
          <m:rPr>
            <m:sty m:val="p"/>
          </m:rPr>
          <m:t>+</m:t>
        </m:r>
        <m:sSubSup>
          <m:e>
            <m:r>
              <m:t>η</m:t>
            </m:r>
          </m:e>
          <m:sub>
            <m:r>
              <m:t>d</m:t>
            </m:r>
          </m:sub>
          <m:sup>
            <m:r>
              <m:t>T</m:t>
            </m:r>
          </m:sup>
        </m:sSubSup>
        <m:d>
          <m:dPr>
            <m:begChr m:val="("/>
            <m:sepChr m:val=""/>
            <m:endChr m:val=")"/>
            <m:grow/>
          </m:dPr>
          <m:e>
            <m:sSub>
              <m:e>
                <m:r>
                  <m:t>S</m:t>
                </m:r>
              </m:e>
              <m:sub>
                <m:r>
                  <m:t>A</m:t>
                </m:r>
              </m:sub>
            </m:sSub>
            <m:r>
              <m:rPr>
                <m:sty m:val="p"/>
              </m:rPr>
              <m:t>−</m:t>
            </m:r>
            <m:bar>
              <m:barPr>
                <m:pos m:val="bot"/>
              </m:barPr>
              <m:e>
                <m:r>
                  <m:t>S</m:t>
                </m:r>
              </m:e>
            </m:bar>
          </m:e>
        </m:d>
        <m:r>
          <m:rPr>
            <m:sty m:val="p"/>
          </m:rPr>
          <m:t>/</m:t>
        </m:r>
        <m:r>
          <m:rPr>
            <m:sty m:val="p"/>
          </m:rPr>
          <m:t>C</m:t>
        </m:r>
        <m:r>
          <m:rPr>
            <m:sty m:val="p"/>
          </m:rPr>
          <m:t>O</m:t>
        </m:r>
        <m:r>
          <m:rPr>
            <m:sty m:val="p"/>
          </m:rPr>
          <m:t>P</m:t>
        </m:r>
      </m:oMath>
      <w:r>
        <w:t xml:space="preserve"> </w:t>
      </w:r>
      <w:r>
        <w:t xml:space="preserve">and</w:t>
      </w:r>
      <w:r>
        <w:t xml:space="preserve"> </w:t>
      </w:r>
      <m:oMath>
        <m:sSub>
          <m:e>
            <m:r>
              <m:t>P</m:t>
            </m:r>
          </m:e>
          <m:sub>
            <m:r>
              <m:t>s</m:t>
            </m:r>
          </m:sub>
        </m:sSub>
        <m:r>
          <m:rPr>
            <m:sty m:val="p"/>
          </m:rPr>
          <m:t>=</m:t>
        </m:r>
        <m:sSup>
          <m:e>
            <m:acc>
              <m:accPr>
                <m:chr m:val="‾"/>
              </m:accPr>
              <m:e>
                <m:r>
                  <m:t>P</m:t>
                </m:r>
              </m:e>
            </m:acc>
          </m:e>
          <m:sup>
            <m:r>
              <m:t>B</m:t>
            </m:r>
          </m:sup>
        </m:sSup>
        <m:r>
          <m:rPr>
            <m:sty m:val="p"/>
          </m:rPr>
          <m:t>+</m:t>
        </m:r>
        <m:sSup>
          <m:e>
            <m:acc>
              <m:accPr>
                <m:chr m:val="‾"/>
              </m:accPr>
              <m:e>
                <m:r>
                  <m:t>Q</m:t>
                </m:r>
              </m:e>
            </m:acc>
          </m:e>
          <m:sup>
            <m:r>
              <m:t>T</m:t>
            </m:r>
            <m:r>
              <m:t>D</m:t>
            </m:r>
          </m:sup>
        </m:sSup>
        <m:r>
          <m:rPr>
            <m:sty m:val="p"/>
          </m:rPr>
          <m:t>/</m:t>
        </m:r>
        <m:r>
          <m:rPr>
            <m:sty m:val="p"/>
          </m:rPr>
          <m:t>C</m:t>
        </m:r>
        <m:r>
          <m:rPr>
            <m:sty m:val="p"/>
          </m:rPr>
          <m:t>O</m:t>
        </m:r>
        <m:r>
          <m:rPr>
            <m:sty m:val="p"/>
          </m:rPr>
          <m:t>P</m:t>
        </m:r>
      </m:oMath>
      <w:r>
        <w:t xml:space="preserve"> </w:t>
      </w:r>
      <w:r>
        <w:t xml:space="preserve">are the dischargeable energy and power of the storage;</w:t>
      </w:r>
      <w:r>
        <w:t xml:space="preserve"> </w:t>
      </w:r>
      <m:oMath>
        <m:r>
          <m:t>H</m:t>
        </m:r>
        <m:r>
          <m:rPr>
            <m:sty m:val="p"/>
          </m:rPr>
          <m:t>=</m:t>
        </m:r>
        <m:nary>
          <m:naryPr>
            <m:chr m:val="∑"/>
            <m:limLoc m:val="undOvr"/>
            <m:subHide m:val="off"/>
            <m:supHide m:val="on"/>
          </m:naryPr>
          <m:sub>
            <m:r>
              <m:t>t</m:t>
            </m:r>
            <m:r>
              <m:rPr>
                <m:sty m:val="p"/>
              </m:rPr>
              <m:t>∈</m:t>
            </m:r>
            <m:r>
              <m:rPr>
                <m:scr m:val="script"/>
                <m:sty m:val="p"/>
              </m:rPr>
              <m:t>I</m:t>
            </m:r>
          </m:sub>
          <m:sup>
            <m:r>
              <m:t>​</m:t>
            </m:r>
          </m:sup>
          <m:e>
            <m:d>
              <m:dPr>
                <m:begChr m:val="["/>
                <m:sepChr m:val=""/>
                <m:endChr m:val="]"/>
                <m:grow/>
              </m:dPr>
              <m:e>
                <m:sSup>
                  <m:e>
                    <m:d>
                      <m:dPr>
                        <m:begChr m:val="("/>
                        <m:sepChr m:val=""/>
                        <m:endChr m:val=")"/>
                        <m:grow/>
                      </m:dPr>
                      <m:e>
                        <m:sSup>
                          <m:e>
                            <m:r>
                              <m:t>P</m:t>
                            </m:r>
                          </m:e>
                          <m:sup>
                            <m:r>
                              <m:t>c</m:t>
                            </m:r>
                            <m:r>
                              <m:t>a</m:t>
                            </m:r>
                            <m:r>
                              <m:t>p</m:t>
                            </m:r>
                          </m:sup>
                        </m:sSup>
                        <m:r>
                          <m:rPr>
                            <m:sty m:val="p"/>
                          </m:rPr>
                          <m:t>−</m:t>
                        </m:r>
                        <m:sSubSup>
                          <m:e>
                            <m:r>
                              <m:t>P</m:t>
                            </m:r>
                          </m:e>
                          <m:sub>
                            <m:r>
                              <m:t>t</m:t>
                            </m:r>
                          </m:sub>
                          <m:sup>
                            <m:r>
                              <m:t>b</m:t>
                            </m:r>
                            <m:r>
                              <m:t>a</m:t>
                            </m:r>
                            <m:r>
                              <m:t>s</m:t>
                            </m:r>
                            <m:r>
                              <m:t>e</m:t>
                            </m:r>
                          </m:sup>
                        </m:sSubSup>
                      </m:e>
                    </m:d>
                  </m:e>
                  <m:sup>
                    <m:r>
                      <m:rPr>
                        <m:sty m:val="p"/>
                      </m:rPr>
                      <m:t>+</m:t>
                    </m:r>
                  </m:sup>
                </m:sSup>
                <m:r>
                  <m:rPr>
                    <m:sty m:val="p"/>
                  </m:rPr>
                  <m:t>+</m:t>
                </m:r>
                <m:r>
                  <m:t>g</m:t>
                </m:r>
              </m:e>
            </m:d>
          </m:e>
        </m:nary>
        <m:r>
          <m:t>Δ</m:t>
        </m:r>
        <m:r>
          <m:t>t</m:t>
        </m:r>
      </m:oMath>
      <w:r>
        <w:t xml:space="preserve"> </w:t>
      </w:r>
      <w:r>
        <w:t xml:space="preserve">is the recovery channel;</w:t>
      </w:r>
      <w:r>
        <w:t xml:space="preserve"> </w:t>
      </w:r>
      <m:oMath>
        <m:sSub>
          <m:e>
            <m:acc>
              <m:accPr>
                <m:chr m:val="‾"/>
              </m:accPr>
              <m:e>
                <m:r>
                  <m:t>X</m:t>
                </m:r>
              </m:e>
            </m:acc>
          </m:e>
          <m:sub>
            <m:r>
              <m:t>B</m:t>
            </m:r>
          </m:sub>
        </m:sSub>
        <m:r>
          <m:rPr>
            <m:sty m:val="p"/>
          </m:rPr>
          <m:t>=</m:t>
        </m:r>
        <m:r>
          <m:t>ε</m:t>
        </m:r>
        <m:nary>
          <m:naryPr>
            <m:chr m:val="∑"/>
            <m:limLoc m:val="undOvr"/>
            <m:subHide m:val="off"/>
            <m:supHide m:val="on"/>
          </m:naryPr>
          <m:sub>
            <m:r>
              <m:t>c</m:t>
            </m:r>
          </m:sub>
          <m:sup>
            <m:r>
              <m:t>​</m:t>
            </m:r>
          </m:sup>
          <m:e>
            <m:sSub>
              <m:e>
                <m:acc>
                  <m:accPr>
                    <m:chr m:val="‾"/>
                  </m:accPr>
                  <m:e>
                    <m:r>
                      <m:t>B</m:t>
                    </m:r>
                  </m:e>
                </m:acc>
              </m:e>
              <m:sub>
                <m:r>
                  <m:t>c</m:t>
                </m:r>
              </m:sub>
            </m:sSub>
          </m:e>
        </m:nary>
        <m:d>
          <m:dPr>
            <m:begChr m:val="("/>
            <m:sepChr m:val=""/>
            <m:endChr m:val=")"/>
            <m:grow/>
          </m:dPr>
          <m:e>
            <m:sSub>
              <m:e>
                <m:r>
                  <m:t>e</m:t>
                </m:r>
              </m:e>
              <m:sub>
                <m:r>
                  <m:t>B</m:t>
                </m:r>
              </m:sub>
            </m:sSub>
          </m:e>
        </m:d>
      </m:oMath>
      <w:r>
        <w:t xml:space="preserve"> </w:t>
      </w:r>
      <w:r>
        <w:t xml:space="preserve">is the deadline-limited virtual capacity at the end of B;</w:t>
      </w:r>
      <w:r>
        <w:t xml:space="preserve"> </w:t>
      </w:r>
      <m:oMath>
        <m:sSub>
          <m:e>
            <m:r>
              <m:t>p</m:t>
            </m:r>
          </m:e>
          <m:sub>
            <m:r>
              <m:t>f</m:t>
            </m:r>
          </m:sub>
        </m:sSub>
        <m:r>
          <m:rPr>
            <m:sty m:val="p"/>
          </m:rPr>
          <m:t>=</m:t>
        </m:r>
        <m:r>
          <m:t>ε</m:t>
        </m:r>
        <m:nary>
          <m:naryPr>
            <m:chr m:val="∑"/>
            <m:limLoc m:val="undOvr"/>
            <m:subHide m:val="off"/>
            <m:supHide m:val="on"/>
          </m:naryPr>
          <m:sub>
            <m:r>
              <m:t>c</m:t>
            </m:r>
          </m:sub>
          <m:sup>
            <m:r>
              <m:t>​</m:t>
            </m:r>
          </m:sup>
          <m:e>
            <m:sSub>
              <m:e>
                <m:acc>
                  <m:accPr>
                    <m:chr m:val="‾"/>
                  </m:accPr>
                  <m:e>
                    <m:r>
                      <m:t>a</m:t>
                    </m:r>
                  </m:e>
                </m:acc>
              </m:e>
              <m:sub>
                <m:r>
                  <m:t>c</m:t>
                </m:r>
                <m:r>
                  <m:rPr>
                    <m:sty m:val="p"/>
                  </m:rPr>
                  <m:t>,</m:t>
                </m:r>
                <m:r>
                  <m:t>B</m:t>
                </m:r>
              </m:sub>
            </m:sSub>
          </m:e>
        </m:nary>
        <m:r>
          <m:rPr>
            <m:sty m:val="p"/>
          </m:rPr>
          <m:t>min</m:t>
        </m:r>
        <m:d>
          <m:dPr>
            <m:begChr m:val="("/>
            <m:sepChr m:val=""/>
            <m:endChr m:val=")"/>
            <m:grow/>
          </m:dPr>
          <m:e>
            <m:sSub>
              <m:e>
                <m:r>
                  <m:t>L</m:t>
                </m:r>
              </m:e>
              <m:sub>
                <m:r>
                  <m:t>c</m:t>
                </m:r>
              </m:sub>
            </m:sSub>
            <m:r>
              <m:rPr>
                <m:sty m:val="p"/>
              </m:rPr>
              <m:t>,</m:t>
            </m:r>
            <m:sSub>
              <m:e>
                <m:r>
                  <m:t>D</m:t>
                </m:r>
              </m:e>
              <m:sub>
                <m:r>
                  <m:t>B</m:t>
                </m:r>
              </m:sub>
            </m:sSub>
          </m:e>
        </m:d>
        <m:r>
          <m:rPr>
            <m:sty m:val="p"/>
          </m:rPr>
          <m:t>/</m:t>
        </m:r>
        <m:sSub>
          <m:e>
            <m:r>
              <m:t>D</m:t>
            </m:r>
          </m:e>
          <m:sub>
            <m:r>
              <m:t>B</m:t>
            </m:r>
          </m:sub>
        </m:sSub>
      </m:oMath>
      <w:r>
        <w:t xml:space="preserve"> </w:t>
      </w:r>
      <w:r>
        <w:t xml:space="preserve">is the deferrable power that can still be paused in B;</w:t>
      </w:r>
      <w:r>
        <w:t xml:space="preserve"> </w:t>
      </w:r>
      <m:oMath>
        <m:sSup>
          <m:e>
            <m:r>
              <m:t>W</m:t>
            </m:r>
          </m:e>
          <m:sup>
            <m:r>
              <m:t>s</m:t>
            </m:r>
            <m:r>
              <m:t>w</m:t>
            </m:r>
          </m:sup>
        </m:sSup>
      </m:oMath>
      <w:r>
        <w:t xml:space="preserve"> </w:t>
      </w:r>
      <w:r>
        <w:t xml:space="preserve">is the work arriving in</w:t>
      </w:r>
      <w:r>
        <w:t xml:space="preserve"> </w:t>
      </w:r>
      <m:oMath>
        <m:r>
          <m:rPr>
            <m:scr m:val="script"/>
            <m:sty m:val="p"/>
          </m:rPr>
          <m:t>I</m:t>
        </m:r>
      </m:oMath>
      <w:r>
        <w:t xml:space="preserve"> </w:t>
      </w:r>
      <w:r>
        <w:t xml:space="preserve">with a deadline after</w:t>
      </w:r>
      <w:r>
        <w:t xml:space="preserve"> </w:t>
      </w:r>
      <m:oMath>
        <m:sSub>
          <m:e>
            <m:r>
              <m:t>e</m:t>
            </m:r>
          </m:e>
          <m:sub>
            <m:r>
              <m:t>B</m:t>
            </m:r>
          </m:sub>
        </m:sSub>
      </m:oMath>
      <w:r>
        <w:t xml:space="preserve">, which earliest-deadline-first execution can swap with due backlog;</w:t>
      </w:r>
      <w:r>
        <w:t xml:space="preserve"> </w:t>
      </w:r>
      <m:oMath>
        <m:sSubSup>
          <m:e>
            <m:r>
              <m:t>Γ</m:t>
            </m:r>
          </m:e>
          <m:sub>
            <m:r>
              <m:t>B</m:t>
            </m:r>
          </m:sub>
          <m:sup>
            <m:r>
              <m:t>0</m:t>
            </m:r>
          </m:sup>
        </m:sSubSup>
      </m:oMath>
      <w:r>
        <w:t xml:space="preserve"> </w:t>
      </w:r>
      <w:r>
        <w:t xml:space="preserve">is the single-event capability. The power bound of Proposition 1 is</w:t>
      </w:r>
    </w:p>
    <w:p>
      <w:pPr>
        <w:pStyle w:val="Equation"/>
      </w:pPr>
      <w:r>
        <w:tab/>
      </w:r>
      <m:oMath>
        <m:sSup>
          <m:e>
            <m:r>
              <m:t>Γ</m:t>
            </m:r>
          </m:e>
          <m:sup>
            <m:r>
              <m:t>P</m:t>
            </m:r>
          </m:sup>
        </m:sSup>
        <m:r>
          <m:rPr>
            <m:sty m:val="p"/>
          </m:rPr>
          <m:t>=</m:t>
        </m:r>
        <m:sSub>
          <m:e>
            <m:r>
              <m:rPr>
                <m:sty m:val="p"/>
              </m:rPr>
              <m:t>max</m:t>
            </m:r>
          </m:e>
          <m:sub>
            <m:m>
              <m:mPr>
                <m:baseJc m:val="center"/>
                <m:plcHide m:val="on"/>
                <m:mcs>
                  <m:mc>
                    <m:mcPr>
                      <m:count m:val="1"/>
                      <m:mcJc m:val="center"/>
                    </m:mcPr>
                  </m:mc>
                </m:mcs>
              </m:mPr>
              <m:mr>
                <m:e>
                  <m:sSub>
                    <m:e>
                      <m:r>
                        <m:t>H</m:t>
                      </m:r>
                    </m:e>
                    <m:sub>
                      <m:r>
                        <m:t>c</m:t>
                      </m:r>
                    </m:sub>
                  </m:sSub>
                  <m:r>
                    <m:rPr>
                      <m:sty m:val="p"/>
                    </m:rPr>
                    <m:t>+</m:t>
                  </m:r>
                  <m:sSub>
                    <m:e>
                      <m:r>
                        <m:t>H</m:t>
                      </m:r>
                    </m:e>
                    <m:sub>
                      <m:r>
                        <m:t>s</m:t>
                      </m:r>
                    </m:sub>
                  </m:sSub>
                  <m:r>
                    <m:rPr>
                      <m:sty m:val="p"/>
                    </m:rPr>
                    <m:t>≤</m:t>
                  </m:r>
                  <m:r>
                    <m:t>H</m:t>
                  </m:r>
                </m:e>
              </m:mr>
              <m:mr>
                <m:e>
                  <m:sSub>
                    <m:e>
                      <m:r>
                        <m:t>H</m:t>
                      </m:r>
                    </m:e>
                    <m:sub>
                      <m:r>
                        <m:t>c</m:t>
                      </m:r>
                    </m:sub>
                  </m:sSub>
                  <m:r>
                    <m:rPr>
                      <m:sty m:val="p"/>
                    </m:rPr>
                    <m:t>≤</m:t>
                  </m:r>
                  <m:r>
                    <m:t>ε</m:t>
                  </m:r>
                  <m:sSup>
                    <m:e>
                      <m:r>
                        <m:t>G</m:t>
                      </m:r>
                    </m:e>
                    <m:sup>
                      <m:r>
                        <m:t>f</m:t>
                      </m:r>
                      <m:r>
                        <m:t>r</m:t>
                      </m:r>
                      <m:r>
                        <m:t>e</m:t>
                      </m:r>
                      <m:r>
                        <m:t>e</m:t>
                      </m:r>
                    </m:sup>
                  </m:sSup>
                  <m:r>
                    <m:t>τ</m:t>
                  </m:r>
                  <m:r>
                    <m:rPr>
                      <m:sty m:val="p"/>
                    </m:rPr>
                    <m:t>,</m:t>
                  </m:r>
                  <m:r>
                    <m:t> </m:t>
                  </m:r>
                  <m:sSub>
                    <m:e>
                      <m:r>
                        <m:t>H</m:t>
                      </m:r>
                    </m:e>
                    <m:sub>
                      <m:r>
                        <m:t>s</m:t>
                      </m:r>
                    </m:sub>
                  </m:sSub>
                  <m:r>
                    <m:rPr>
                      <m:sty m:val="p"/>
                    </m:rPr>
                    <m:t>≤</m:t>
                  </m:r>
                  <m:sSup>
                    <m:e>
                      <m:acc>
                        <m:accPr>
                          <m:chr m:val="‾"/>
                        </m:accPr>
                        <m:e>
                          <m:r>
                            <m:t>P</m:t>
                          </m:r>
                        </m:e>
                      </m:acc>
                    </m:e>
                    <m:sup>
                      <m:r>
                        <m:t>B</m:t>
                      </m:r>
                    </m:sup>
                  </m:sSup>
                  <m:r>
                    <m:t>τ</m:t>
                  </m:r>
                </m:e>
              </m:mr>
            </m:m>
          </m:sub>
        </m:sSub>
        <m:d>
          <m:dPr>
            <m:begChr m:val="{"/>
            <m:sepChr m:val=""/>
            <m:endChr m:val="}"/>
            <m:grow/>
          </m:dPr>
          <m:e>
            <m:sSub>
              <m:e>
                <m:r>
                  <m:t>p</m:t>
                </m:r>
              </m:e>
              <m:sub>
                <m:r>
                  <m:t>f</m:t>
                </m:r>
              </m:sub>
            </m:sSub>
            <m:r>
              <m:rPr>
                <m:sty m:val="p"/>
              </m:rPr>
              <m:t>−</m:t>
            </m:r>
            <m:f>
              <m:fPr>
                <m:type m:val="bar"/>
              </m:fPr>
              <m:num>
                <m:sSup>
                  <m:e>
                    <m:d>
                      <m:dPr>
                        <m:begChr m:val="("/>
                        <m:sepChr m:val=""/>
                        <m:endChr m:val=")"/>
                        <m:grow/>
                      </m:dPr>
                      <m:e>
                        <m:sSubSup>
                          <m:e>
                            <m:r>
                              <m:t>X</m:t>
                            </m:r>
                          </m:e>
                          <m:sub>
                            <m:r>
                              <m:t>A</m:t>
                            </m:r>
                          </m:sub>
                          <m:sup>
                            <m:r>
                              <m:t>d</m:t>
                            </m:r>
                            <m:r>
                              <m:t>u</m:t>
                            </m:r>
                            <m:r>
                              <m:t>e</m:t>
                            </m:r>
                          </m:sup>
                        </m:sSubSup>
                        <m:r>
                          <m:rPr>
                            <m:sty m:val="p"/>
                          </m:rPr>
                          <m:t>−</m:t>
                        </m:r>
                        <m:sSub>
                          <m:e>
                            <m:r>
                              <m:t>H</m:t>
                            </m:r>
                          </m:e>
                          <m:sub>
                            <m:r>
                              <m:t>c</m:t>
                            </m:r>
                          </m:sub>
                        </m:sSub>
                        <m:r>
                          <m:rPr>
                            <m:sty m:val="p"/>
                          </m:rPr>
                          <m:t>−</m:t>
                        </m:r>
                        <m:sSup>
                          <m:e>
                            <m:r>
                              <m:t>W</m:t>
                            </m:r>
                          </m:e>
                          <m:sup>
                            <m:r>
                              <m:t>s</m:t>
                            </m:r>
                            <m:r>
                              <m:t>w</m:t>
                            </m:r>
                          </m:sup>
                        </m:sSup>
                      </m:e>
                    </m:d>
                  </m:e>
                  <m:sup>
                    <m:r>
                      <m:rPr>
                        <m:sty m:val="p"/>
                      </m:rPr>
                      <m:t>+</m:t>
                    </m:r>
                  </m:sup>
                </m:sSup>
              </m:num>
              <m:den>
                <m:sSub>
                  <m:e>
                    <m:r>
                      <m:t>D</m:t>
                    </m:r>
                  </m:e>
                  <m:sub>
                    <m:r>
                      <m:t>B</m:t>
                    </m:r>
                  </m:sub>
                </m:sSub>
              </m:den>
            </m:f>
            <m:r>
              <m:rPr>
                <m:sty m:val="p"/>
              </m:rPr>
              <m:t>+</m:t>
            </m:r>
            <m:r>
              <m:rPr>
                <m:sty m:val="p"/>
              </m:rPr>
              <m:t>min</m:t>
            </m:r>
            <m:d>
              <m:dPr>
                <m:begChr m:val="("/>
                <m:sepChr m:val=""/>
                <m:endChr m:val=")"/>
                <m:grow/>
              </m:dPr>
              <m:e>
                <m:sSub>
                  <m:e>
                    <m:r>
                      <m:t>P</m:t>
                    </m:r>
                  </m:e>
                  <m:sub>
                    <m:r>
                      <m:t>s</m:t>
                    </m:r>
                  </m:sub>
                </m:sSub>
                <m:r>
                  <m:rPr>
                    <m:sty m:val="p"/>
                  </m:rPr>
                  <m:t>,</m:t>
                </m:r>
                <m:f>
                  <m:fPr>
                    <m:type m:val="bar"/>
                  </m:fPr>
                  <m:num>
                    <m:sSub>
                      <m:e>
                        <m:r>
                          <m:t>E</m:t>
                        </m:r>
                      </m:e>
                      <m:sub>
                        <m:r>
                          <m:t>s</m:t>
                        </m:r>
                      </m:sub>
                    </m:sSub>
                    <m:r>
                      <m:rPr>
                        <m:sty m:val="p"/>
                      </m:rPr>
                      <m:t>+</m:t>
                    </m:r>
                    <m:r>
                      <m:t>η</m:t>
                    </m:r>
                    <m:sSub>
                      <m:e>
                        <m:r>
                          <m:t>H</m:t>
                        </m:r>
                      </m:e>
                      <m:sub>
                        <m:r>
                          <m:t>s</m:t>
                        </m:r>
                      </m:sub>
                    </m:sSub>
                  </m:num>
                  <m:den>
                    <m:sSub>
                      <m:e>
                        <m:r>
                          <m:t>D</m:t>
                        </m:r>
                      </m:e>
                      <m:sub>
                        <m:r>
                          <m:t>B</m:t>
                        </m:r>
                      </m:sub>
                    </m:sSub>
                  </m:den>
                </m:f>
              </m:e>
            </m:d>
          </m:e>
        </m:d>
        <m:r>
          <m:rPr>
            <m:sty m:val="p"/>
          </m:rPr>
          <m:t>+</m:t>
        </m:r>
        <m:r>
          <m:t>g</m:t>
        </m:r>
        <m:r>
          <m:rPr>
            <m:sty m:val="p"/>
          </m:rPr>
          <m:t>.</m:t>
        </m:r>
      </m:oMath>
      <w:r>
        <w:tab/>
      </w:r>
      <w:r>
        <w:t xml:space="preserve">(B.2)</w:t>
      </w:r>
    </w:p>
    <w:p>
      <w:pPr>
        <w:pStyle w:val="BodyText"/>
      </w:pPr>
      <w:r>
        <w:rPr>
          <w:bCs/>
          <w:b/>
        </w:rPr>
        <w:t xml:space="preserve">Proof of Proposition 1.</w:t>
      </w:r>
      <w:r>
        <w:t xml:space="preserve"> </w:t>
      </w:r>
      <w:r>
        <w:t xml:space="preserve">(i) Restricting a feasible schedule of the two-event problem to event B gives a feasible schedule of the single-event problem with the same initial state, so</w:t>
      </w:r>
      <w:r>
        <w:t xml:space="preserve"> </w:t>
      </w:r>
      <m:oMath>
        <m:sSub>
          <m:e>
            <m:r>
              <m:t>Γ</m:t>
            </m:r>
          </m:e>
          <m:sub>
            <m:r>
              <m:t>B</m:t>
            </m:r>
          </m:sub>
        </m:sSub>
        <m:r>
          <m:rPr>
            <m:sty m:val="p"/>
          </m:rPr>
          <m:t>≤</m:t>
        </m:r>
        <m:sSubSup>
          <m:e>
            <m:r>
              <m:t>Γ</m:t>
            </m:r>
          </m:e>
          <m:sub>
            <m:r>
              <m:t>B</m:t>
            </m:r>
          </m:sub>
          <m:sup>
            <m:r>
              <m:t>0</m:t>
            </m:r>
          </m:sup>
        </m:sSubSup>
      </m:oMath>
      <w:r>
        <w:t xml:space="preserve">.</w:t>
      </w:r>
    </w:p>
    <w:p>
      <w:pPr>
        <w:numPr>
          <w:ilvl w:val="0"/>
          <w:numId w:val="1005"/>
        </w:numPr>
      </w:pPr>
      <w:r>
        <w:t xml:space="preserve">Summing (B.1) over</w:t>
      </w:r>
      <w:r>
        <w:t xml:space="preserve"> </w:t>
      </w:r>
      <m:oMath>
        <m:sSub>
          <m:e>
            <m:r>
              <m:rPr>
                <m:scr m:val="script"/>
                <m:sty m:val="p"/>
              </m:rPr>
              <m:t>T</m:t>
            </m:r>
          </m:e>
          <m:sub>
            <m:r>
              <m:t>B</m:t>
            </m:r>
          </m:sub>
        </m:sSub>
      </m:oMath>
      <w:r>
        <w:t xml:space="preserve">,</w:t>
      </w:r>
    </w:p>
    <w:p>
      <w:pPr>
        <w:pStyle w:val="BodyText"/>
      </w:pPr>
      <m:oMathPara>
        <m:oMathParaPr>
          <m:jc m:val="center"/>
        </m:oMathParaPr>
        <m:oMath>
          <m:sSub>
            <m:e>
              <m:r>
                <m:t>Γ</m:t>
              </m:r>
            </m:e>
            <m:sub>
              <m:r>
                <m:t>B</m:t>
              </m:r>
            </m:sub>
          </m:sSub>
          <m:sSub>
            <m:e>
              <m:r>
                <m:t>D</m:t>
              </m:r>
            </m:e>
            <m:sub>
              <m:r>
                <m:t>B</m:t>
              </m:r>
            </m:sub>
          </m:sSub>
          <m:r>
            <m:rPr>
              <m:sty m:val="p"/>
            </m:rPr>
            <m:t>=</m:t>
          </m:r>
          <m:r>
            <m:t>ε</m:t>
          </m:r>
          <m:nary>
            <m:naryPr>
              <m:chr m:val="∑"/>
              <m:limLoc m:val="undOvr"/>
              <m:subHide m:val="off"/>
              <m:supHide m:val="on"/>
            </m:naryPr>
            <m:sub>
              <m:r>
                <m:t>c</m:t>
              </m:r>
            </m:sub>
            <m:sup>
              <m:r>
                <m:t>​</m:t>
              </m:r>
            </m:sup>
            <m:e>
              <m:d>
                <m:dPr>
                  <m:begChr m:val="["/>
                  <m:sepChr m:val=""/>
                  <m:endChr m:val="]"/>
                  <m:grow/>
                </m:dPr>
                <m:e>
                  <m:sSub>
                    <m:e>
                      <m:r>
                        <m:t>B</m:t>
                      </m:r>
                    </m:e>
                    <m:sub>
                      <m:r>
                        <m:t>c</m:t>
                      </m:r>
                    </m:sub>
                  </m:sSub>
                  <m:d>
                    <m:dPr>
                      <m:begChr m:val="("/>
                      <m:sepChr m:val=""/>
                      <m:endChr m:val=")"/>
                      <m:grow/>
                    </m:dPr>
                    <m:e>
                      <m:sSub>
                        <m:e>
                          <m:r>
                            <m:t>e</m:t>
                          </m:r>
                        </m:e>
                        <m:sub>
                          <m:r>
                            <m:t>B</m:t>
                          </m:r>
                        </m:sub>
                      </m:sSub>
                    </m:e>
                  </m:d>
                  <m:r>
                    <m:rPr>
                      <m:sty m:val="p"/>
                    </m:rPr>
                    <m:t>−</m:t>
                  </m:r>
                  <m:sSub>
                    <m:e>
                      <m:r>
                        <m:t>B</m:t>
                      </m:r>
                    </m:e>
                    <m:sub>
                      <m:r>
                        <m:t>c</m:t>
                      </m:r>
                    </m:sub>
                  </m:sSub>
                  <m:d>
                    <m:dPr>
                      <m:begChr m:val="("/>
                      <m:sepChr m:val=""/>
                      <m:endChr m:val=")"/>
                      <m:grow/>
                    </m:dPr>
                    <m:e>
                      <m:sSubSup>
                        <m:e>
                          <m:r>
                            <m:t>s</m:t>
                          </m:r>
                        </m:e>
                        <m:sub>
                          <m:r>
                            <m:t>B</m:t>
                          </m:r>
                        </m:sub>
                        <m:sup>
                          <m:r>
                            <m:rPr>
                              <m:sty m:val="p"/>
                            </m:rPr>
                            <m:t>−</m:t>
                          </m:r>
                        </m:sup>
                      </m:sSubSup>
                    </m:e>
                  </m:d>
                </m:e>
              </m:d>
            </m:e>
          </m:nary>
          <m:r>
            <m:rPr>
              <m:sty m:val="p"/>
            </m:rPr>
            <m:t>+</m:t>
          </m:r>
          <m:nary>
            <m:naryPr>
              <m:chr m:val="∑"/>
              <m:limLoc m:val="undOvr"/>
              <m:subHide m:val="off"/>
              <m:supHide m:val="on"/>
            </m:naryPr>
            <m:sub>
              <m:r>
                <m:t>t</m:t>
              </m:r>
              <m:r>
                <m:rPr>
                  <m:sty m:val="p"/>
                </m:rPr>
                <m:t>∈</m:t>
              </m:r>
              <m:sSub>
                <m:e>
                  <m:r>
                    <m:rPr>
                      <m:scr m:val="script"/>
                      <m:sty m:val="p"/>
                    </m:rPr>
                    <m:t>T</m:t>
                  </m:r>
                </m:e>
                <m:sub>
                  <m:r>
                    <m:t>B</m:t>
                  </m:r>
                </m:sub>
              </m:sSub>
            </m:sub>
            <m:sup>
              <m:r>
                <m:t>​</m:t>
              </m:r>
            </m:sup>
            <m:e>
              <m:d>
                <m:dPr>
                  <m:begChr m:val="("/>
                  <m:sepChr m:val=""/>
                  <m:endChr m:val=")"/>
                  <m:grow/>
                </m:dPr>
                <m:e>
                  <m:sSubSup>
                    <m:e>
                      <m:r>
                        <m:t>P</m:t>
                      </m:r>
                    </m:e>
                    <m:sub>
                      <m:r>
                        <m:t>t</m:t>
                      </m:r>
                    </m:sub>
                    <m:sup>
                      <m:r>
                        <m:t>d</m:t>
                      </m:r>
                      <m:r>
                        <m:t>i</m:t>
                      </m:r>
                      <m:r>
                        <m:t>s</m:t>
                      </m:r>
                    </m:sup>
                  </m:sSubSup>
                  <m:r>
                    <m:rPr>
                      <m:sty m:val="p"/>
                    </m:rPr>
                    <m:t>−</m:t>
                  </m:r>
                  <m:sSubSup>
                    <m:e>
                      <m:r>
                        <m:t>P</m:t>
                      </m:r>
                    </m:e>
                    <m:sub>
                      <m:r>
                        <m:t>t</m:t>
                      </m:r>
                    </m:sub>
                    <m:sup>
                      <m:r>
                        <m:t>c</m:t>
                      </m:r>
                      <m:r>
                        <m:t>h</m:t>
                      </m:r>
                    </m:sup>
                  </m:sSubSup>
                  <m:r>
                    <m:rPr>
                      <m:sty m:val="p"/>
                    </m:rPr>
                    <m:t>+</m:t>
                  </m:r>
                  <m:f>
                    <m:fPr>
                      <m:type m:val="bar"/>
                    </m:fPr>
                    <m:num>
                      <m:sSubSup>
                        <m:e>
                          <m:r>
                            <m:t>Q</m:t>
                          </m:r>
                        </m:e>
                        <m:sub>
                          <m:r>
                            <m:t>t</m:t>
                          </m:r>
                        </m:sub>
                        <m:sup>
                          <m:r>
                            <m:t>T</m:t>
                          </m:r>
                          <m:r>
                            <m:t>D</m:t>
                          </m:r>
                        </m:sup>
                      </m:sSubSup>
                      <m:r>
                        <m:rPr>
                          <m:sty m:val="p"/>
                        </m:rPr>
                        <m:t>−</m:t>
                      </m:r>
                      <m:sSubSup>
                        <m:e>
                          <m:r>
                            <m:t>Q</m:t>
                          </m:r>
                        </m:e>
                        <m:sub>
                          <m:r>
                            <m:t>t</m:t>
                          </m:r>
                        </m:sub>
                        <m:sup>
                          <m:r>
                            <m:t>T</m:t>
                          </m:r>
                          <m:r>
                            <m:t>C</m:t>
                          </m:r>
                        </m:sup>
                      </m:sSubSup>
                    </m:num>
                    <m:den>
                      <m:r>
                        <m:rPr>
                          <m:sty m:val="p"/>
                        </m:rPr>
                        <m:t>C</m:t>
                      </m:r>
                      <m:r>
                        <m:rPr>
                          <m:sty m:val="p"/>
                        </m:rPr>
                        <m:t>O</m:t>
                      </m:r>
                      <m:r>
                        <m:rPr>
                          <m:sty m:val="p"/>
                        </m:rPr>
                        <m:t>P</m:t>
                      </m:r>
                    </m:den>
                  </m:f>
                </m:e>
              </m:d>
            </m:e>
          </m:nary>
          <m:r>
            <m:t>Δ</m:t>
          </m:r>
          <m:r>
            <m:t>t</m:t>
          </m:r>
          <m:r>
            <m:rPr>
              <m:sty m:val="p"/>
            </m:rPr>
            <m:t>+</m:t>
          </m:r>
          <m:nary>
            <m:naryPr>
              <m:chr m:val="∑"/>
              <m:limLoc m:val="undOvr"/>
              <m:subHide m:val="off"/>
              <m:supHide m:val="on"/>
            </m:naryPr>
            <m:sub>
              <m:r>
                <m:t>t</m:t>
              </m:r>
              <m:r>
                <m:rPr>
                  <m:sty m:val="p"/>
                </m:rPr>
                <m:t>∈</m:t>
              </m:r>
              <m:sSub>
                <m:e>
                  <m:r>
                    <m:rPr>
                      <m:scr m:val="script"/>
                      <m:sty m:val="p"/>
                    </m:rPr>
                    <m:t>T</m:t>
                  </m:r>
                </m:e>
                <m:sub>
                  <m:r>
                    <m:t>B</m:t>
                  </m:r>
                </m:sub>
              </m:sSub>
            </m:sub>
            <m:sup>
              <m:r>
                <m:t>​</m:t>
              </m:r>
            </m:sup>
            <m:e>
              <m:r>
                <m:t>Δ</m:t>
              </m:r>
            </m:e>
          </m:nary>
          <m:sSub>
            <m:e>
              <m:r>
                <m:t>g</m:t>
              </m:r>
            </m:e>
            <m:sub>
              <m:r>
                <m:t>t</m:t>
              </m:r>
            </m:sub>
          </m:sSub>
          <m:r>
            <m:t>Δ</m:t>
          </m:r>
          <m:r>
            <m:t>t</m:t>
          </m:r>
          <m:r>
            <m:rPr>
              <m:sty m:val="p"/>
            </m:rPr>
            <m:t>.</m:t>
          </m:r>
        </m:oMath>
      </m:oMathPara>
    </w:p>
    <w:p>
      <w:pPr>
        <w:numPr>
          <w:ilvl w:val="0"/>
          <w:numId w:val="1000"/>
        </w:numPr>
      </w:pPr>
      <w:r>
        <w:t xml:space="preserve">By the deadline constraint (3) the first term is at most</w:t>
      </w:r>
      <w:r>
        <w:t xml:space="preserve"> </w:t>
      </w:r>
      <m:oMath>
        <m:sSub>
          <m:e>
            <m:acc>
              <m:accPr>
                <m:chr m:val="‾"/>
              </m:accPr>
              <m:e>
                <m:r>
                  <m:t>X</m:t>
                </m:r>
              </m:e>
            </m:acc>
          </m:e>
          <m:sub>
            <m:r>
              <m:t>B</m:t>
            </m:r>
          </m:sub>
        </m:sSub>
        <m:r>
          <m:rPr>
            <m:sty m:val="p"/>
          </m:rPr>
          <m:t>−</m:t>
        </m:r>
        <m:r>
          <m:t>X</m:t>
        </m:r>
        <m:d>
          <m:dPr>
            <m:begChr m:val="("/>
            <m:sepChr m:val=""/>
            <m:endChr m:val=")"/>
            <m:grow/>
          </m:dPr>
          <m:e>
            <m:sSubSup>
              <m:e>
                <m:r>
                  <m:t>s</m:t>
                </m:r>
              </m:e>
              <m:sub>
                <m:r>
                  <m:t>B</m:t>
                </m:r>
              </m:sub>
              <m:sup>
                <m:r>
                  <m:rPr>
                    <m:sty m:val="p"/>
                  </m:rPr>
                  <m:t>−</m:t>
                </m:r>
              </m:sup>
            </m:sSubSup>
          </m:e>
        </m:d>
      </m:oMath>
      <w:r>
        <w:t xml:space="preserve">, the second is at most the dischargeable energy</w:t>
      </w:r>
      <w:r>
        <w:t xml:space="preserve"> </w:t>
      </w:r>
      <m:oMath>
        <m:sSub>
          <m:e>
            <m:r>
              <m:t>E</m:t>
            </m:r>
          </m:e>
          <m:sub>
            <m:r>
              <m:t>s</m:t>
            </m:r>
          </m:sub>
        </m:sSub>
        <m:d>
          <m:dPr>
            <m:begChr m:val="("/>
            <m:sepChr m:val=""/>
            <m:endChr m:val=")"/>
            <m:grow/>
          </m:dPr>
          <m:e>
            <m:sSubSup>
              <m:e>
                <m:r>
                  <m:t>s</m:t>
                </m:r>
              </m:e>
              <m:sub>
                <m:r>
                  <m:t>B</m:t>
                </m:r>
              </m:sub>
              <m:sup>
                <m:r>
                  <m:rPr>
                    <m:sty m:val="p"/>
                  </m:rPr>
                  <m:t>−</m:t>
                </m:r>
              </m:sup>
            </m:sSubSup>
          </m:e>
        </m:d>
      </m:oMath>
      <w:r>
        <w:t xml:space="preserve"> </w:t>
      </w:r>
      <w:r>
        <w:t xml:space="preserve">at the start of B, and the third is at most</w:t>
      </w:r>
      <w:r>
        <w:t xml:space="preserve"> </w:t>
      </w:r>
      <m:oMath>
        <m:r>
          <m:t>g</m:t>
        </m:r>
        <m:sSub>
          <m:e>
            <m:r>
              <m:t>D</m:t>
            </m:r>
          </m:e>
          <m:sub>
            <m:r>
              <m:t>B</m:t>
            </m:r>
          </m:sub>
        </m:sSub>
      </m:oMath>
      <w:r>
        <w:t xml:space="preserve">. In the interval, let</w:t>
      </w:r>
      <w:r>
        <w:t xml:space="preserve"> </w:t>
      </w:r>
      <m:oMath>
        <m:sSub>
          <m:e>
            <m:r>
              <m:t>C</m:t>
            </m:r>
          </m:e>
          <m:sub>
            <m:r>
              <m:rPr>
                <m:scr m:val="script"/>
                <m:sty m:val="p"/>
              </m:rPr>
              <m:t>I</m:t>
            </m:r>
          </m:sub>
        </m:sSub>
      </m:oMath>
      <w:r>
        <w:t xml:space="preserve"> </w:t>
      </w:r>
      <w:r>
        <w:t xml:space="preserve">be the net catch-up energy and</w:t>
      </w:r>
      <w:r>
        <w:t xml:space="preserve"> </w:t>
      </w:r>
      <m:oMath>
        <m:sSub>
          <m:e>
            <m:r>
              <m:t>D</m:t>
            </m:r>
          </m:e>
          <m:sub>
            <m:r>
              <m:rPr>
                <m:scr m:val="script"/>
                <m:sty m:val="p"/>
              </m:rPr>
              <m:t>I</m:t>
            </m:r>
          </m:sub>
        </m:sSub>
      </m:oMath>
      <w:r>
        <w:t xml:space="preserve"> </w:t>
      </w:r>
      <w:r>
        <w:t xml:space="preserve">the net energy drawn by the storage. Summing (B.1) over</w:t>
      </w:r>
      <w:r>
        <w:t xml:space="preserve"> </w:t>
      </w:r>
      <m:oMath>
        <m:r>
          <m:rPr>
            <m:scr m:val="script"/>
            <m:sty m:val="p"/>
          </m:rPr>
          <m:t>I</m:t>
        </m:r>
      </m:oMath>
      <w:r>
        <w:t xml:space="preserve"> </w:t>
      </w:r>
      <w:r>
        <w:t xml:space="preserve">with</w:t>
      </w:r>
      <w:r>
        <w:t xml:space="preserve"> </w:t>
      </w:r>
      <m:oMath>
        <m:sSubSup>
          <m:e>
            <m:r>
              <m:t>P</m:t>
            </m:r>
          </m:e>
          <m:sub>
            <m:r>
              <m:t>t</m:t>
            </m:r>
          </m:sub>
          <m:sup>
            <m:r>
              <m:t>g</m:t>
            </m:r>
            <m:r>
              <m:t>r</m:t>
            </m:r>
            <m:r>
              <m:t>i</m:t>
            </m:r>
            <m:r>
              <m:t>d</m:t>
            </m:r>
          </m:sup>
        </m:sSubSup>
        <m:r>
          <m:rPr>
            <m:sty m:val="p"/>
          </m:rPr>
          <m:t>≤</m:t>
        </m:r>
        <m:sSup>
          <m:e>
            <m:r>
              <m:t>P</m:t>
            </m:r>
          </m:e>
          <m:sup>
            <m:r>
              <m:t>c</m:t>
            </m:r>
            <m:r>
              <m:t>a</m:t>
            </m:r>
            <m:r>
              <m:t>p</m:t>
            </m:r>
          </m:sup>
        </m:sSup>
      </m:oMath>
      <w:r>
        <w:t xml:space="preserve"> </w:t>
      </w:r>
      <w:r>
        <w:t xml:space="preserve">gives the channel constraint</w:t>
      </w:r>
      <w:r>
        <w:t xml:space="preserve"> </w:t>
      </w:r>
      <m:oMath>
        <m:sSub>
          <m:e>
            <m:r>
              <m:t>C</m:t>
            </m:r>
          </m:e>
          <m:sub>
            <m:r>
              <m:rPr>
                <m:scr m:val="script"/>
                <m:sty m:val="p"/>
              </m:rPr>
              <m:t>I</m:t>
            </m:r>
          </m:sub>
        </m:sSub>
        <m:r>
          <m:rPr>
            <m:sty m:val="p"/>
          </m:rPr>
          <m:t>+</m:t>
        </m:r>
        <m:sSub>
          <m:e>
            <m:r>
              <m:t>D</m:t>
            </m:r>
          </m:e>
          <m:sub>
            <m:r>
              <m:rPr>
                <m:scr m:val="script"/>
                <m:sty m:val="p"/>
              </m:rPr>
              <m:t>I</m:t>
            </m:r>
          </m:sub>
        </m:sSub>
        <m:r>
          <m:rPr>
            <m:sty m:val="p"/>
          </m:rPr>
          <m:t>≤</m:t>
        </m:r>
        <m:r>
          <m:t>H</m:t>
        </m:r>
      </m:oMath>
      <w:r>
        <w:t xml:space="preserve">. The states evolve as</w:t>
      </w:r>
      <w:r>
        <w:t xml:space="preserve"> </w:t>
      </w:r>
      <m:oMath>
        <m:r>
          <m:t>X</m:t>
        </m:r>
        <m:d>
          <m:dPr>
            <m:begChr m:val="("/>
            <m:sepChr m:val=""/>
            <m:endChr m:val=")"/>
            <m:grow/>
          </m:dPr>
          <m:e>
            <m:sSubSup>
              <m:e>
                <m:r>
                  <m:t>s</m:t>
                </m:r>
              </m:e>
              <m:sub>
                <m:r>
                  <m:t>B</m:t>
                </m:r>
              </m:sub>
              <m:sup>
                <m:r>
                  <m:rPr>
                    <m:sty m:val="p"/>
                  </m:rPr>
                  <m:t>−</m:t>
                </m:r>
              </m:sup>
            </m:sSubSup>
          </m:e>
        </m:d>
        <m:r>
          <m:rPr>
            <m:sty m:val="p"/>
          </m:rPr>
          <m:t>=</m:t>
        </m:r>
        <m:sSub>
          <m:e>
            <m:r>
              <m:t>X</m:t>
            </m:r>
          </m:e>
          <m:sub>
            <m:r>
              <m:t>A</m:t>
            </m:r>
          </m:sub>
        </m:sSub>
        <m:r>
          <m:rPr>
            <m:sty m:val="p"/>
          </m:rPr>
          <m:t>−</m:t>
        </m:r>
        <m:sSub>
          <m:e>
            <m:r>
              <m:t>C</m:t>
            </m:r>
          </m:e>
          <m:sub>
            <m:r>
              <m:rPr>
                <m:scr m:val="script"/>
                <m:sty m:val="p"/>
              </m:rPr>
              <m:t>I</m:t>
            </m:r>
          </m:sub>
        </m:sSub>
        <m:r>
          <m:rPr>
            <m:sty m:val="p"/>
          </m:rPr>
          <m:t>≥</m:t>
        </m:r>
        <m:r>
          <m:t>0</m:t>
        </m:r>
      </m:oMath>
      <w:r>
        <w:t xml:space="preserve"> </w:t>
      </w:r>
      <w:r>
        <w:t xml:space="preserve">and</w:t>
      </w:r>
      <w:r>
        <w:t xml:space="preserve"> </w:t>
      </w:r>
      <m:oMath>
        <m:sSub>
          <m:e>
            <m:r>
              <m:t>E</m:t>
            </m:r>
          </m:e>
          <m:sub>
            <m:r>
              <m:t>s</m:t>
            </m:r>
          </m:sub>
        </m:sSub>
        <m:d>
          <m:dPr>
            <m:begChr m:val="("/>
            <m:sepChr m:val=""/>
            <m:endChr m:val=")"/>
            <m:grow/>
          </m:dPr>
          <m:e>
            <m:sSubSup>
              <m:e>
                <m:r>
                  <m:t>s</m:t>
                </m:r>
              </m:e>
              <m:sub>
                <m:r>
                  <m:t>B</m:t>
                </m:r>
              </m:sub>
              <m:sup>
                <m:r>
                  <m:rPr>
                    <m:sty m:val="p"/>
                  </m:rPr>
                  <m:t>−</m:t>
                </m:r>
              </m:sup>
            </m:sSubSup>
          </m:e>
        </m:d>
        <m:r>
          <m:rPr>
            <m:sty m:val="p"/>
          </m:rPr>
          <m:t>≤</m:t>
        </m:r>
        <m:sSub>
          <m:e>
            <m:r>
              <m:t>E</m:t>
            </m:r>
          </m:e>
          <m:sub>
            <m:r>
              <m:t>s</m:t>
            </m:r>
          </m:sub>
        </m:sSub>
        <m:r>
          <m:rPr>
            <m:sty m:val="p"/>
          </m:rPr>
          <m:t>+</m:t>
        </m:r>
        <m:r>
          <m:t>ϕ</m:t>
        </m:r>
        <m:d>
          <m:dPr>
            <m:begChr m:val="("/>
            <m:sepChr m:val=""/>
            <m:endChr m:val=")"/>
            <m:grow/>
          </m:dPr>
          <m:e>
            <m:sSub>
              <m:e>
                <m:r>
                  <m:t>D</m:t>
                </m:r>
              </m:e>
              <m:sub>
                <m:r>
                  <m:rPr>
                    <m:scr m:val="script"/>
                    <m:sty m:val="p"/>
                  </m:rPr>
                  <m:t>I</m:t>
                </m:r>
              </m:sub>
            </m:sSub>
          </m:e>
        </m:d>
      </m:oMath>
      <w:r>
        <w:t xml:space="preserve"> </w:t>
      </w:r>
      <w:r>
        <w:t xml:space="preserve">with</w:t>
      </w:r>
      <w:r>
        <w:t xml:space="preserve"> </w:t>
      </w:r>
      <m:oMath>
        <m:r>
          <m:t>ϕ</m:t>
        </m:r>
        <m:d>
          <m:dPr>
            <m:begChr m:val="("/>
            <m:sepChr m:val=""/>
            <m:endChr m:val=")"/>
            <m:grow/>
          </m:dPr>
          <m:e>
            <m:r>
              <m:t>x</m:t>
            </m:r>
          </m:e>
        </m:d>
        <m:r>
          <m:rPr>
            <m:sty m:val="p"/>
          </m:rPr>
          <m:t>=</m:t>
        </m:r>
        <m:r>
          <m:t>η</m:t>
        </m:r>
        <m:r>
          <m:t>x</m:t>
        </m:r>
      </m:oMath>
      <w:r>
        <w:t xml:space="preserve"> </w:t>
      </w:r>
      <w:r>
        <w:t xml:space="preserve">for</w:t>
      </w:r>
      <w:r>
        <w:t xml:space="preserve"> </w:t>
      </w:r>
      <m:oMath>
        <m:r>
          <m:t>x</m:t>
        </m:r>
        <m:r>
          <m:rPr>
            <m:sty m:val="p"/>
          </m:rPr>
          <m:t>≥</m:t>
        </m:r>
        <m:r>
          <m:t>0</m:t>
        </m:r>
      </m:oMath>
      <w:r>
        <w:t xml:space="preserve"> </w:t>
      </w:r>
      <w:r>
        <w:t xml:space="preserve">and</w:t>
      </w:r>
      <w:r>
        <w:t xml:space="preserve"> </w:t>
      </w:r>
      <m:oMath>
        <m:r>
          <m:t>ϕ</m:t>
        </m:r>
        <m:d>
          <m:dPr>
            <m:begChr m:val="("/>
            <m:sepChr m:val=""/>
            <m:endChr m:val=")"/>
            <m:grow/>
          </m:dPr>
          <m:e>
            <m:r>
              <m:t>x</m:t>
            </m:r>
          </m:e>
        </m:d>
        <m:r>
          <m:rPr>
            <m:sty m:val="p"/>
          </m:rPr>
          <m:t>=</m:t>
        </m:r>
        <m:r>
          <m:t>x</m:t>
        </m:r>
      </m:oMath>
      <w:r>
        <w:t xml:space="preserve"> </w:t>
      </w:r>
      <w:r>
        <w:t xml:space="preserve">for</w:t>
      </w:r>
      <w:r>
        <w:t xml:space="preserve"> </w:t>
      </w:r>
      <m:oMath>
        <m:r>
          <m:t>x</m:t>
        </m:r>
        <m:r>
          <m:rPr>
            <m:sty m:val="p"/>
          </m:rPr>
          <m:t>&lt;</m:t>
        </m:r>
        <m:r>
          <m:t>0</m:t>
        </m:r>
      </m:oMath>
      <w:r>
        <w:t xml:space="preserve">, because every MWh drawn for recharging returns only</w:t>
      </w:r>
      <w:r>
        <w:t xml:space="preserve"> </w:t>
      </w:r>
      <m:oMath>
        <m:r>
          <m:t>η</m:t>
        </m:r>
      </m:oMath>
      <w:r>
        <w:t xml:space="preserve"> </w:t>
      </w:r>
      <w:r>
        <w:t xml:space="preserve">MWh in B. Hence</w:t>
      </w:r>
    </w:p>
    <w:p>
      <w:pPr>
        <w:pStyle w:val="BodyText"/>
      </w:pPr>
      <m:oMathPara>
        <m:oMathParaPr>
          <m:jc m:val="center"/>
        </m:oMathParaPr>
        <m:oMath>
          <m:sSub>
            <m:e>
              <m:r>
                <m:t>Γ</m:t>
              </m:r>
            </m:e>
            <m:sub>
              <m:r>
                <m:t>B</m:t>
              </m:r>
            </m:sub>
          </m:sSub>
          <m:sSub>
            <m:e>
              <m:r>
                <m:t>D</m:t>
              </m:r>
            </m:e>
            <m:sub>
              <m:r>
                <m:t>B</m:t>
              </m:r>
            </m:sub>
          </m:sSub>
          <m:r>
            <m:rPr>
              <m:sty m:val="p"/>
            </m:rPr>
            <m:t>−</m:t>
          </m:r>
          <m:r>
            <m:t>g</m:t>
          </m:r>
          <m:sSub>
            <m:e>
              <m:r>
                <m:t>D</m:t>
              </m:r>
            </m:e>
            <m:sub>
              <m:r>
                <m:t>B</m:t>
              </m:r>
            </m:sub>
          </m:sSub>
          <m:r>
            <m:rPr>
              <m:sty m:val="p"/>
            </m:rPr>
            <m:t>≤</m:t>
          </m:r>
          <m:sSub>
            <m:e>
              <m:acc>
                <m:accPr>
                  <m:chr m:val="‾"/>
                </m:accPr>
                <m:e>
                  <m:r>
                    <m:t>X</m:t>
                  </m:r>
                </m:e>
              </m:acc>
            </m:e>
            <m:sub>
              <m:r>
                <m:t>B</m:t>
              </m:r>
            </m:sub>
          </m:sSub>
          <m:r>
            <m:rPr>
              <m:sty m:val="p"/>
            </m:rPr>
            <m:t>−</m:t>
          </m:r>
          <m:sSub>
            <m:e>
              <m:r>
                <m:t>X</m:t>
              </m:r>
            </m:e>
            <m:sub>
              <m:r>
                <m:t>A</m:t>
              </m:r>
            </m:sub>
          </m:sSub>
          <m:r>
            <m:rPr>
              <m:sty m:val="p"/>
            </m:rPr>
            <m:t>+</m:t>
          </m:r>
          <m:sSub>
            <m:e>
              <m:r>
                <m:t>E</m:t>
              </m:r>
            </m:e>
            <m:sub>
              <m:r>
                <m:t>s</m:t>
              </m:r>
            </m:sub>
          </m:sSub>
          <m:r>
            <m:rPr>
              <m:sty m:val="p"/>
            </m:rPr>
            <m:t>+</m:t>
          </m:r>
          <m:limLow>
            <m:e>
              <m:r>
                <m:rPr>
                  <m:sty m:val="p"/>
                </m:rPr>
                <m:t>max</m:t>
              </m:r>
            </m:e>
            <m:lim>
              <m:r>
                <m:t>C</m:t>
              </m:r>
              <m:r>
                <m:rPr>
                  <m:sty m:val="p"/>
                </m:rPr>
                <m:t>+</m:t>
              </m:r>
              <m:r>
                <m:t>D</m:t>
              </m:r>
              <m:r>
                <m:rPr>
                  <m:sty m:val="p"/>
                </m:rPr>
                <m:t>≤</m:t>
              </m:r>
              <m:r>
                <m:t>H</m:t>
              </m:r>
              <m:r>
                <m:rPr>
                  <m:sty m:val="p"/>
                </m:rPr>
                <m:t>,</m:t>
              </m:r>
              <m:r>
                <m:t> </m:t>
              </m:r>
              <m:r>
                <m:t>C</m:t>
              </m:r>
              <m:r>
                <m:rPr>
                  <m:sty m:val="p"/>
                </m:rPr>
                <m:t>≤</m:t>
              </m:r>
              <m:sSub>
                <m:e>
                  <m:r>
                    <m:t>X</m:t>
                  </m:r>
                </m:e>
                <m:sub>
                  <m:r>
                    <m:t>A</m:t>
                  </m:r>
                </m:sub>
              </m:sSub>
            </m:lim>
          </m:limLow>
          <m:r>
            <m:rPr>
              <m:sty m:val="p"/>
            </m:rPr>
            <m:t>{</m:t>
          </m:r>
          <m:r>
            <m:t>C</m:t>
          </m:r>
          <m:r>
            <m:rPr>
              <m:sty m:val="p"/>
            </m:rPr>
            <m:t>+</m:t>
          </m:r>
          <m:r>
            <m:t>ϕ</m:t>
          </m:r>
          <m:d>
            <m:dPr>
              <m:begChr m:val="("/>
              <m:sepChr m:val=""/>
              <m:endChr m:val=")"/>
              <m:grow/>
            </m:dPr>
            <m:e>
              <m:r>
                <m:t>D</m:t>
              </m:r>
            </m:e>
          </m:d>
          <m:r>
            <m:rPr>
              <m:sty m:val="p"/>
            </m:rPr>
            <m:t>}</m:t>
          </m:r>
          <m:r>
            <m:rPr>
              <m:sty m:val="p"/>
            </m:rPr>
            <m:t>.</m:t>
          </m:r>
        </m:oMath>
      </m:oMathPara>
    </w:p>
    <w:p>
      <w:pPr>
        <w:numPr>
          <w:ilvl w:val="0"/>
          <w:numId w:val="1000"/>
        </w:numPr>
      </w:pPr>
      <w:r>
        <w:t xml:space="preserve">Catch-up has the marginal value 1 and recharge the marginal value</w:t>
      </w:r>
      <w:r>
        <w:t xml:space="preserve"> </w:t>
      </w:r>
      <m:oMath>
        <m:r>
          <m:t>η</m:t>
        </m:r>
        <m:r>
          <m:rPr>
            <m:sty m:val="p"/>
          </m:rPr>
          <m:t>&lt;</m:t>
        </m:r>
        <m:r>
          <m:t>1</m:t>
        </m:r>
      </m:oMath>
      <w:r>
        <w:t xml:space="preserve">, so the maximum is attained by</w:t>
      </w:r>
      <w:r>
        <w:t xml:space="preserve"> </w:t>
      </w:r>
      <m:oMath>
        <m:sSup>
          <m:e>
            <m:r>
              <m:t>C</m:t>
            </m:r>
          </m:e>
          <m:sup>
            <m:r>
              <m:rPr>
                <m:sty m:val="p"/>
              </m:rPr>
              <m:t>*</m:t>
            </m:r>
          </m:sup>
        </m:sSup>
        <m:r>
          <m:rPr>
            <m:sty m:val="p"/>
          </m:rPr>
          <m:t>=</m:t>
        </m:r>
        <m:r>
          <m:rPr>
            <m:sty m:val="p"/>
          </m:rPr>
          <m:t>min</m:t>
        </m:r>
        <m:d>
          <m:dPr>
            <m:begChr m:val="("/>
            <m:sepChr m:val=""/>
            <m:endChr m:val=")"/>
            <m:grow/>
          </m:dPr>
          <m:e>
            <m:r>
              <m:t>H</m:t>
            </m:r>
            <m:r>
              <m:rPr>
                <m:sty m:val="p"/>
              </m:rPr>
              <m:t>,</m:t>
            </m:r>
            <m:sSub>
              <m:e>
                <m:r>
                  <m:t>X</m:t>
                </m:r>
              </m:e>
              <m:sub>
                <m:r>
                  <m:t>A</m:t>
                </m:r>
              </m:sub>
            </m:sSub>
          </m:e>
        </m:d>
      </m:oMath>
      <w:r>
        <w:t xml:space="preserve"> </w:t>
      </w:r>
      <w:r>
        <w:t xml:space="preserve">and</w:t>
      </w:r>
      <w:r>
        <w:t xml:space="preserve"> </w:t>
      </w:r>
      <m:oMath>
        <m:sSup>
          <m:e>
            <m:r>
              <m:t>D</m:t>
            </m:r>
          </m:e>
          <m:sup>
            <m:r>
              <m:rPr>
                <m:sty m:val="p"/>
              </m:rPr>
              <m:t>*</m:t>
            </m:r>
          </m:sup>
        </m:sSup>
        <m:r>
          <m:rPr>
            <m:sty m:val="p"/>
          </m:rPr>
          <m:t>=</m:t>
        </m:r>
        <m:sSup>
          <m:e>
            <m:d>
              <m:dPr>
                <m:begChr m:val="("/>
                <m:sepChr m:val=""/>
                <m:endChr m:val=")"/>
                <m:grow/>
              </m:dPr>
              <m:e>
                <m:r>
                  <m:t>H</m:t>
                </m:r>
                <m:r>
                  <m:rPr>
                    <m:sty m:val="p"/>
                  </m:rPr>
                  <m:t>−</m:t>
                </m:r>
                <m:sSub>
                  <m:e>
                    <m:r>
                      <m:t>X</m:t>
                    </m:r>
                  </m:e>
                  <m:sub>
                    <m:r>
                      <m:t>A</m:t>
                    </m:r>
                  </m:sub>
                </m:sSub>
              </m:e>
            </m:d>
          </m:e>
          <m:sup>
            <m:r>
              <m:rPr>
                <m:sty m:val="p"/>
              </m:rPr>
              <m:t>+</m:t>
            </m:r>
          </m:sup>
        </m:sSup>
      </m:oMath>
      <w:r>
        <w:t xml:space="preserve">, whose value is</w:t>
      </w:r>
      <w:r>
        <w:t xml:space="preserve"> </w:t>
      </w:r>
      <m:oMath>
        <m:sSup>
          <m:e>
            <m:r>
              <m:t>H</m:t>
            </m:r>
          </m:e>
          <m:sup>
            <m:r>
              <m:t>e</m:t>
            </m:r>
            <m:r>
              <m:t>f</m:t>
            </m:r>
            <m:r>
              <m:t>f</m:t>
            </m:r>
          </m:sup>
        </m:sSup>
      </m:oMath>
      <w:r>
        <w:t xml:space="preserve">. Dividing by</w:t>
      </w:r>
      <w:r>
        <w:t xml:space="preserve"> </w:t>
      </w:r>
      <m:oMath>
        <m:sSub>
          <m:e>
            <m:r>
              <m:t>D</m:t>
            </m:r>
          </m:e>
          <m:sub>
            <m:r>
              <m:t>B</m:t>
            </m:r>
          </m:sub>
        </m:sSub>
      </m:oMath>
      <w:r>
        <w:t xml:space="preserve"> </w:t>
      </w:r>
      <w:r>
        <w:t xml:space="preserve">gives</w:t>
      </w:r>
      <w:r>
        <w:t xml:space="preserve"> </w:t>
      </w:r>
      <m:oMath>
        <m:sSup>
          <m:e>
            <m:r>
              <m:t>Γ</m:t>
            </m:r>
          </m:e>
          <m:sup>
            <m:r>
              <m:t>E</m:t>
            </m:r>
          </m:sup>
        </m:sSup>
      </m:oMath>
      <w:r>
        <w:t xml:space="preserve">.</w:t>
      </w:r>
    </w:p>
    <w:p>
      <w:pPr>
        <w:numPr>
          <w:ilvl w:val="0"/>
          <w:numId w:val="1005"/>
        </w:numPr>
      </w:pPr>
      <w:r>
        <w:t xml:space="preserve">The computing reduction in B equals the backlog increase in B. Work arriving in B can be deferred by at most</w:t>
      </w:r>
      <w:r>
        <w:t xml:space="preserve"> </w:t>
      </w:r>
      <m:oMath>
        <m:r>
          <m:rPr>
            <m:sty m:val="p"/>
          </m:rPr>
          <m:t>min</m:t>
        </m:r>
        <m:d>
          <m:dPr>
            <m:begChr m:val="("/>
            <m:sepChr m:val=""/>
            <m:endChr m:val=")"/>
            <m:grow/>
          </m:dPr>
          <m:e>
            <m:sSub>
              <m:e>
                <m:r>
                  <m:t>L</m:t>
                </m:r>
              </m:e>
              <m:sub>
                <m:r>
                  <m:t>c</m:t>
                </m:r>
              </m:sub>
            </m:sSub>
            <m:r>
              <m:rPr>
                <m:sty m:val="p"/>
              </m:rPr>
              <m:t>,</m:t>
            </m:r>
            <m:sSub>
              <m:e>
                <m:r>
                  <m:t>D</m:t>
                </m:r>
              </m:e>
              <m:sub>
                <m:r>
                  <m:t>B</m:t>
                </m:r>
              </m:sub>
            </m:sSub>
          </m:e>
        </m:d>
      </m:oMath>
      <w:r>
        <w:t xml:space="preserve">, which contributes at most</w:t>
      </w:r>
      <w:r>
        <w:t xml:space="preserve"> </w:t>
      </w:r>
      <m:oMath>
        <m:sSub>
          <m:e>
            <m:r>
              <m:t>p</m:t>
            </m:r>
          </m:e>
          <m:sub>
            <m:r>
              <m:t>f</m:t>
            </m:r>
          </m:sub>
        </m:sSub>
        <m:sSub>
          <m:e>
            <m:r>
              <m:t>D</m:t>
            </m:r>
          </m:e>
          <m:sub>
            <m:r>
              <m:t>B</m:t>
            </m:r>
          </m:sub>
        </m:sSub>
      </m:oMath>
      <w:r>
        <w:t xml:space="preserve">. The debt</w:t>
      </w:r>
      <w:r>
        <w:t xml:space="preserve"> </w:t>
      </w:r>
      <m:oMath>
        <m:sSubSup>
          <m:e>
            <m:r>
              <m:t>X</m:t>
            </m:r>
          </m:e>
          <m:sub>
            <m:r>
              <m:t>A</m:t>
            </m:r>
          </m:sub>
          <m:sup>
            <m:r>
              <m:t>d</m:t>
            </m:r>
            <m:r>
              <m:t>u</m:t>
            </m:r>
            <m:r>
              <m:t>e</m:t>
            </m:r>
          </m:sup>
        </m:sSubSup>
      </m:oMath>
      <w:r>
        <w:t xml:space="preserve"> </w:t>
      </w:r>
      <w:r>
        <w:t xml:space="preserve">is either caught up in the interval (</w:t>
      </w:r>
      <m:oMath>
        <m:sSub>
          <m:e>
            <m:r>
              <m:t>H</m:t>
            </m:r>
          </m:e>
          <m:sub>
            <m:r>
              <m:t>c</m:t>
            </m:r>
          </m:sub>
        </m:sSub>
      </m:oMath>
      <w:r>
        <w:t xml:space="preserve">), swapped with later-deadline work (at most</w:t>
      </w:r>
      <w:r>
        <w:t xml:space="preserve"> </w:t>
      </w:r>
      <m:oMath>
        <m:sSup>
          <m:e>
            <m:r>
              <m:t>W</m:t>
            </m:r>
          </m:e>
          <m:sup>
            <m:r>
              <m:t>s</m:t>
            </m:r>
            <m:r>
              <m:t>w</m:t>
            </m:r>
          </m:sup>
        </m:sSup>
      </m:oMath>
      <w:r>
        <w:t xml:space="preserve">), or executed in B, where it offsets the reduction one to one. The storage contribution is limited by</w:t>
      </w:r>
      <w:r>
        <w:t xml:space="preserve"> </w:t>
      </w:r>
      <m:oMath>
        <m:sSub>
          <m:e>
            <m:r>
              <m:t>P</m:t>
            </m:r>
          </m:e>
          <m:sub>
            <m:r>
              <m:t>s</m:t>
            </m:r>
          </m:sub>
        </m:sSub>
        <m:sSub>
          <m:e>
            <m:r>
              <m:t>D</m:t>
            </m:r>
          </m:e>
          <m:sub>
            <m:r>
              <m:t>B</m:t>
            </m:r>
          </m:sub>
        </m:sSub>
      </m:oMath>
      <w:r>
        <w:t xml:space="preserve"> </w:t>
      </w:r>
      <w:r>
        <w:t xml:space="preserve">and by</w:t>
      </w:r>
      <w:r>
        <w:t xml:space="preserve"> </w:t>
      </w:r>
      <m:oMath>
        <m:sSub>
          <m:e>
            <m:r>
              <m:t>E</m:t>
            </m:r>
          </m:e>
          <m:sub>
            <m:r>
              <m:t>s</m:t>
            </m:r>
          </m:sub>
        </m:sSub>
        <m:r>
          <m:rPr>
            <m:sty m:val="p"/>
          </m:rPr>
          <m:t>+</m:t>
        </m:r>
        <m:r>
          <m:t>η</m:t>
        </m:r>
        <m:sSub>
          <m:e>
            <m:r>
              <m:t>H</m:t>
            </m:r>
          </m:e>
          <m:sub>
            <m:r>
              <m:t>s</m:t>
            </m:r>
          </m:sub>
        </m:sSub>
      </m:oMath>
      <w:r>
        <w:t xml:space="preserve">. Maximising over the allocation</w:t>
      </w:r>
      <w:r>
        <w:t xml:space="preserve"> </w:t>
      </w:r>
      <m:oMath>
        <m:sSub>
          <m:e>
            <m:r>
              <m:t>H</m:t>
            </m:r>
          </m:e>
          <m:sub>
            <m:r>
              <m:t>c</m:t>
            </m:r>
          </m:sub>
        </m:sSub>
        <m:r>
          <m:rPr>
            <m:sty m:val="p"/>
          </m:rPr>
          <m:t>+</m:t>
        </m:r>
        <m:sSub>
          <m:e>
            <m:r>
              <m:t>H</m:t>
            </m:r>
          </m:e>
          <m:sub>
            <m:r>
              <m:t>s</m:t>
            </m:r>
          </m:sub>
        </m:sSub>
        <m:r>
          <m:rPr>
            <m:sty m:val="p"/>
          </m:rPr>
          <m:t>≤</m:t>
        </m:r>
        <m:r>
          <m:t>H</m:t>
        </m:r>
      </m:oMath>
      <w:r>
        <w:t xml:space="preserve">, subject to the free GPU and charging-power limits, gives (B.2). ∎</w:t>
      </w:r>
    </w:p>
    <w:p>
      <w:pPr>
        <w:pStyle w:val="FirstParagraph"/>
      </w:pPr>
      <w:r>
        <w:t xml:space="preserve">The bound is tight when the backlogs reach their deadline limits at the end of B, the storage is empty at the end of B and the channel is fully used in the order catch-up, then recharge. In the mechanism experiment (supplementary Fig. S5) the bound is within 0.05 MW of the optimal deliverable reduction in most cases; it is looser only for intervals below 0.5 h, where the per-step channel width and the charging power cannot be shifted in time as the aggregate</w:t>
      </w:r>
      <w:r>
        <w:t xml:space="preserve"> </w:t>
      </w:r>
      <m:oMath>
        <m:r>
          <m:t>H</m:t>
        </m:r>
      </m:oMath>
      <w:r>
        <w:t xml:space="preserve"> </w:t>
      </w:r>
      <w:r>
        <w:t xml:space="preserve">assumes.</w:t>
      </w:r>
    </w:p>
    <w:p>
      <w:pPr>
        <w:pStyle w:val="BodyText"/>
      </w:pPr>
      <w:r>
        <w:rPr>
          <w:bCs/>
          <w:b/>
        </w:rPr>
        <w:t xml:space="preserve">Proof of Proposition 2.</w:t>
      </w:r>
      <w:r>
        <w:t xml:space="preserve"> </w:t>
      </w:r>
      <w:r>
        <w:t xml:space="preserve">Assume one deferrable class with constant arrival power</w:t>
      </w:r>
      <w:r>
        <w:t xml:space="preserve"> </w:t>
      </w:r>
      <m:oMath>
        <m:sSub>
          <m:e>
            <m:r>
              <m:t>p</m:t>
            </m:r>
          </m:e>
          <m:sub>
            <m:r>
              <m:t>f</m:t>
            </m:r>
          </m:sub>
        </m:sSub>
      </m:oMath>
      <w:r>
        <w:t xml:space="preserve"> </w:t>
      </w:r>
      <w:r>
        <w:t xml:space="preserve">and lag bound</w:t>
      </w:r>
      <w:r>
        <w:t xml:space="preserve"> </w:t>
      </w:r>
      <m:oMath>
        <m:r>
          <m:t>L</m:t>
        </m:r>
        <m:r>
          <m:rPr>
            <m:sty m:val="p"/>
          </m:rPr>
          <m:t>≥</m:t>
        </m:r>
        <m:sSub>
          <m:e>
            <m:r>
              <m:t>D</m:t>
            </m:r>
          </m:e>
          <m:sub>
            <m:r>
              <m:t>B</m:t>
            </m:r>
          </m:sub>
        </m:sSub>
      </m:oMath>
      <w:r>
        <w:t xml:space="preserve">, a debt</w:t>
      </w:r>
      <w:r>
        <w:t xml:space="preserve"> </w:t>
      </w:r>
      <m:oMath>
        <m:r>
          <m:t>X</m:t>
        </m:r>
        <m:r>
          <m:rPr>
            <m:sty m:val="p"/>
          </m:rPr>
          <m:t>≤</m:t>
        </m:r>
        <m:sSub>
          <m:e>
            <m:r>
              <m:t>p</m:t>
            </m:r>
          </m:e>
          <m:sub>
            <m:r>
              <m:t>f</m:t>
            </m:r>
          </m:sub>
        </m:sSub>
        <m:r>
          <m:t>L</m:t>
        </m:r>
      </m:oMath>
      <w:r>
        <w:t xml:space="preserve"> </w:t>
      </w:r>
      <w:r>
        <w:t xml:space="preserve">at the start of the interval, dischargeable energy</w:t>
      </w:r>
      <w:r>
        <w:t xml:space="preserve"> </w:t>
      </w:r>
      <m:oMath>
        <m:sSub>
          <m:e>
            <m:r>
              <m:t>η</m:t>
            </m:r>
          </m:e>
          <m:sub>
            <m:r>
              <m:t>d</m:t>
            </m:r>
          </m:sub>
        </m:sSub>
        <m:sSub>
          <m:e>
            <m:r>
              <m:t>E</m:t>
            </m:r>
          </m:e>
          <m:sub>
            <m:r>
              <m:t>A</m:t>
            </m:r>
          </m:sub>
        </m:sSub>
      </m:oMath>
      <w:r>
        <w:t xml:space="preserve">, a constant channel width</w:t>
      </w:r>
      <w:r>
        <w:t xml:space="preserve"> </w:t>
      </w:r>
      <m:oMath>
        <m:r>
          <m:t>h</m:t>
        </m:r>
        <m:r>
          <m:rPr>
            <m:sty m:val="p"/>
          </m:rPr>
          <m:t>≤</m:t>
        </m:r>
        <m:sSup>
          <m:e>
            <m:acc>
              <m:accPr>
                <m:chr m:val="‾"/>
              </m:accPr>
              <m:e>
                <m:r>
                  <m:t>P</m:t>
                </m:r>
              </m:e>
            </m:acc>
          </m:e>
          <m:sup>
            <m:r>
              <m:t>B</m:t>
            </m:r>
          </m:sup>
        </m:sSup>
      </m:oMath>
      <w:r>
        <w:t xml:space="preserve"> </w:t>
      </w:r>
      <w:r>
        <w:t xml:space="preserve">(</w:t>
      </w:r>
      <m:oMath>
        <m:r>
          <m:t>H</m:t>
        </m:r>
        <m:r>
          <m:rPr>
            <m:sty m:val="p"/>
          </m:rPr>
          <m:t>=</m:t>
        </m:r>
        <m:r>
          <m:t>h</m:t>
        </m:r>
        <m:r>
          <m:t>τ</m:t>
        </m:r>
      </m:oMath>
      <w:r>
        <w:t xml:space="preserve">), full pausing of deferrable work in B and no gas engine. With catch-up</w:t>
      </w:r>
      <w:r>
        <w:t xml:space="preserve"> </w:t>
      </w:r>
      <m:oMath>
        <m:r>
          <m:t>c</m:t>
        </m:r>
        <m:r>
          <m:rPr>
            <m:sty m:val="p"/>
          </m:rPr>
          <m:t>∈</m:t>
        </m:r>
        <m:d>
          <m:dPr>
            <m:begChr m:val="["/>
            <m:sepChr m:val=""/>
            <m:endChr m:val="]"/>
            <m:grow/>
          </m:dPr>
          <m:e>
            <m:r>
              <m:t>0</m:t>
            </m:r>
            <m:r>
              <m:rPr>
                <m:sty m:val="p"/>
              </m:rPr>
              <m:t>,</m:t>
            </m:r>
            <m:r>
              <m:t>X</m:t>
            </m:r>
          </m:e>
        </m:d>
      </m:oMath>
      <w:r>
        <w:t xml:space="preserve"> </w:t>
      </w:r>
      <w:r>
        <w:t xml:space="preserve">and recharge</w:t>
      </w:r>
      <w:r>
        <w:t xml:space="preserve"> </w:t>
      </w:r>
      <m:oMath>
        <m:r>
          <m:t>s</m:t>
        </m:r>
        <m:r>
          <m:rPr>
            <m:sty m:val="p"/>
          </m:rPr>
          <m:t>≥</m:t>
        </m:r>
        <m:r>
          <m:t>0</m:t>
        </m:r>
      </m:oMath>
      <w:r>
        <w:t xml:space="preserve"> </w:t>
      </w:r>
      <w:r>
        <w:t xml:space="preserve">in the interval,</w:t>
      </w:r>
      <w:r>
        <w:t xml:space="preserve"> </w:t>
      </w:r>
      <m:oMath>
        <m:r>
          <m:t>c</m:t>
        </m:r>
        <m:r>
          <m:rPr>
            <m:sty m:val="p"/>
          </m:rPr>
          <m:t>+</m:t>
        </m:r>
        <m:r>
          <m:t>s</m:t>
        </m:r>
        <m:r>
          <m:rPr>
            <m:sty m:val="p"/>
          </m:rPr>
          <m:t>≤</m:t>
        </m:r>
        <m:r>
          <m:t>H</m:t>
        </m:r>
      </m:oMath>
      <w:r>
        <w:t xml:space="preserve">, the deliverable reduction energy of B is</w:t>
      </w:r>
    </w:p>
    <w:p>
      <w:pPr>
        <w:pStyle w:val="BodyText"/>
      </w:pPr>
      <m:oMathPara>
        <m:oMathParaPr>
          <m:jc m:val="center"/>
        </m:oMathParaPr>
        <m:oMath>
          <m:r>
            <m:t>G</m:t>
          </m:r>
          <m:d>
            <m:dPr>
              <m:begChr m:val="("/>
              <m:sepChr m:val=""/>
              <m:endChr m:val=")"/>
              <m:grow/>
            </m:dPr>
            <m:e>
              <m:r>
                <m:t>c</m:t>
              </m:r>
              <m:r>
                <m:rPr>
                  <m:sty m:val="p"/>
                </m:rPr>
                <m:t>,</m:t>
              </m:r>
              <m:r>
                <m:t>s</m:t>
              </m:r>
            </m:e>
          </m:d>
          <m:r>
            <m:rPr>
              <m:sty m:val="p"/>
            </m:rPr>
            <m:t>=</m:t>
          </m:r>
          <m:r>
            <m:rPr>
              <m:sty m:val="p"/>
            </m:rPr>
            <m:t>min</m:t>
          </m:r>
          <m:d>
            <m:dPr>
              <m:begChr m:val="("/>
              <m:sepChr m:val=""/>
              <m:endChr m:val=")"/>
              <m:grow/>
            </m:dPr>
            <m:e>
              <m:sSub>
                <m:e>
                  <m:r>
                    <m:t>p</m:t>
                  </m:r>
                </m:e>
                <m:sub>
                  <m:r>
                    <m:t>f</m:t>
                  </m:r>
                </m:sub>
              </m:sSub>
              <m:sSub>
                <m:e>
                  <m:r>
                    <m:t>D</m:t>
                  </m:r>
                </m:e>
                <m:sub>
                  <m:r>
                    <m:t>B</m:t>
                  </m:r>
                </m:sub>
              </m:sSub>
              <m:r>
                <m:rPr>
                  <m:sty m:val="p"/>
                </m:rPr>
                <m:t>,</m:t>
              </m:r>
              <m:r>
                <m:t> </m:t>
              </m:r>
              <m:sSub>
                <m:e>
                  <m:r>
                    <m:t>p</m:t>
                  </m:r>
                </m:e>
                <m:sub>
                  <m:r>
                    <m:t>f</m:t>
                  </m:r>
                </m:sub>
              </m:sSub>
              <m:r>
                <m:t>L</m:t>
              </m:r>
              <m:r>
                <m:rPr>
                  <m:sty m:val="p"/>
                </m:rPr>
                <m:t>−</m:t>
              </m:r>
              <m:d>
                <m:dPr>
                  <m:begChr m:val="("/>
                  <m:sepChr m:val=""/>
                  <m:endChr m:val=")"/>
                  <m:grow/>
                </m:dPr>
                <m:e>
                  <m:r>
                    <m:t>X</m:t>
                  </m:r>
                  <m:r>
                    <m:rPr>
                      <m:sty m:val="p"/>
                    </m:rPr>
                    <m:t>−</m:t>
                  </m:r>
                  <m:r>
                    <m:t>c</m:t>
                  </m:r>
                </m:e>
              </m:d>
            </m:e>
          </m:d>
          <m:r>
            <m:rPr>
              <m:sty m:val="p"/>
            </m:rPr>
            <m:t>+</m:t>
          </m:r>
          <m:r>
            <m:rPr>
              <m:sty m:val="p"/>
            </m:rPr>
            <m:t>min</m:t>
          </m:r>
          <m:d>
            <m:dPr>
              <m:begChr m:val="("/>
              <m:sepChr m:val=""/>
              <m:endChr m:val=")"/>
              <m:grow/>
            </m:dPr>
            <m:e>
              <m:sSub>
                <m:e>
                  <m:r>
                    <m:t>P</m:t>
                  </m:r>
                </m:e>
                <m:sub>
                  <m:r>
                    <m:t>s</m:t>
                  </m:r>
                </m:sub>
              </m:sSub>
              <m:sSub>
                <m:e>
                  <m:r>
                    <m:t>D</m:t>
                  </m:r>
                </m:e>
                <m:sub>
                  <m:r>
                    <m:t>B</m:t>
                  </m:r>
                </m:sub>
              </m:sSub>
              <m:r>
                <m:rPr>
                  <m:sty m:val="p"/>
                </m:rPr>
                <m:t>,</m:t>
              </m:r>
              <m:r>
                <m:t> </m:t>
              </m:r>
              <m:sSub>
                <m:e>
                  <m:r>
                    <m:t>η</m:t>
                  </m:r>
                </m:e>
                <m:sub>
                  <m:r>
                    <m:t>d</m:t>
                  </m:r>
                </m:sub>
              </m:sSub>
              <m:sSub>
                <m:e>
                  <m:r>
                    <m:t>E</m:t>
                  </m:r>
                </m:e>
                <m:sub>
                  <m:r>
                    <m:t>A</m:t>
                  </m:r>
                </m:sub>
              </m:sSub>
              <m:r>
                <m:rPr>
                  <m:sty m:val="p"/>
                </m:rPr>
                <m:t>+</m:t>
              </m:r>
              <m:r>
                <m:t>η</m:t>
              </m:r>
              <m:r>
                <m:t>s</m:t>
              </m:r>
            </m:e>
          </m:d>
          <m:r>
            <m:rPr>
              <m:sty m:val="p"/>
            </m:rPr>
            <m:t>.</m:t>
          </m:r>
        </m:oMath>
      </m:oMathPara>
    </w:p>
    <w:p>
      <w:pPr>
        <w:pStyle w:val="FirstParagraph"/>
      </w:pPr>
      <w:r>
        <w:t xml:space="preserve">Let</w:t>
      </w:r>
      <w:r>
        <w:t xml:space="preserve"> </w:t>
      </w:r>
      <m:oMath>
        <m:sSup>
          <m:e>
            <m:r>
              <m:t>c</m:t>
            </m:r>
          </m:e>
          <m:sup>
            <m:r>
              <m:rPr>
                <m:sty m:val="p"/>
              </m:rPr>
              <m:t>*</m:t>
            </m:r>
          </m:sup>
        </m:sSup>
        <m:r>
          <m:rPr>
            <m:sty m:val="p"/>
          </m:rPr>
          <m:t>=</m:t>
        </m:r>
        <m:sSup>
          <m:e>
            <m:d>
              <m:dPr>
                <m:begChr m:val="["/>
                <m:sepChr m:val=""/>
                <m:endChr m:val="]"/>
                <m:grow/>
              </m:dPr>
              <m:e>
                <m:r>
                  <m:t>X</m:t>
                </m:r>
                <m:r>
                  <m:rPr>
                    <m:sty m:val="p"/>
                  </m:rPr>
                  <m:t>−</m:t>
                </m:r>
                <m:sSub>
                  <m:e>
                    <m:r>
                      <m:t>p</m:t>
                    </m:r>
                  </m:e>
                  <m:sub>
                    <m:r>
                      <m:t>f</m:t>
                    </m:r>
                  </m:sub>
                </m:sSub>
                <m:d>
                  <m:dPr>
                    <m:begChr m:val="("/>
                    <m:sepChr m:val=""/>
                    <m:endChr m:val=")"/>
                    <m:grow/>
                  </m:dPr>
                  <m:e>
                    <m:r>
                      <m:t>L</m:t>
                    </m:r>
                    <m:r>
                      <m:rPr>
                        <m:sty m:val="p"/>
                      </m:rPr>
                      <m:t>−</m:t>
                    </m:r>
                    <m:sSub>
                      <m:e>
                        <m:r>
                          <m:t>D</m:t>
                        </m:r>
                      </m:e>
                      <m:sub>
                        <m:r>
                          <m:t>B</m:t>
                        </m:r>
                      </m:sub>
                    </m:sSub>
                  </m:e>
                </m:d>
              </m:e>
            </m:d>
          </m:e>
          <m:sup>
            <m:r>
              <m:rPr>
                <m:sty m:val="p"/>
              </m:rPr>
              <m:t>+</m:t>
            </m:r>
          </m:sup>
        </m:sSup>
      </m:oMath>
      <w:r>
        <w:t xml:space="preserve"> </w:t>
      </w:r>
      <w:r>
        <w:t xml:space="preserve">be the necessary catch-up and</w:t>
      </w:r>
      <w:r>
        <w:t xml:space="preserve"> </w:t>
      </w:r>
      <m:oMath>
        <m:sSup>
          <m:e>
            <m:r>
              <m:t>s</m:t>
            </m:r>
          </m:e>
          <m:sup>
            <m:r>
              <m:t>r</m:t>
            </m:r>
            <m:r>
              <m:t>e</m:t>
            </m:r>
            <m:r>
              <m:t>q</m:t>
            </m:r>
          </m:sup>
        </m:sSup>
        <m:r>
          <m:rPr>
            <m:sty m:val="p"/>
          </m:rPr>
          <m:t>=</m:t>
        </m:r>
        <m:sSup>
          <m:e>
            <m:d>
              <m:dPr>
                <m:begChr m:val="["/>
                <m:sepChr m:val=""/>
                <m:endChr m:val="]"/>
                <m:grow/>
              </m:dPr>
              <m:e>
                <m:sSub>
                  <m:e>
                    <m:r>
                      <m:t>P</m:t>
                    </m:r>
                  </m:e>
                  <m:sub>
                    <m:r>
                      <m:t>s</m:t>
                    </m:r>
                  </m:sub>
                </m:sSub>
                <m:sSub>
                  <m:e>
                    <m:r>
                      <m:t>D</m:t>
                    </m:r>
                  </m:e>
                  <m:sub>
                    <m:r>
                      <m:t>B</m:t>
                    </m:r>
                  </m:sub>
                </m:sSub>
                <m:r>
                  <m:rPr>
                    <m:sty m:val="p"/>
                  </m:rPr>
                  <m:t>−</m:t>
                </m:r>
                <m:sSub>
                  <m:e>
                    <m:r>
                      <m:t>η</m:t>
                    </m:r>
                  </m:e>
                  <m:sub>
                    <m:r>
                      <m:t>d</m:t>
                    </m:r>
                  </m:sub>
                </m:sSub>
                <m:sSub>
                  <m:e>
                    <m:r>
                      <m:t>E</m:t>
                    </m:r>
                  </m:e>
                  <m:sub>
                    <m:r>
                      <m:t>A</m:t>
                    </m:r>
                  </m:sub>
                </m:sSub>
              </m:e>
            </m:d>
          </m:e>
          <m:sup>
            <m:r>
              <m:rPr>
                <m:sty m:val="p"/>
              </m:rPr>
              <m:t>+</m:t>
            </m:r>
          </m:sup>
        </m:sSup>
        <m:r>
          <m:rPr>
            <m:sty m:val="p"/>
          </m:rPr>
          <m:t>/</m:t>
        </m:r>
        <m:r>
          <m:t>η</m:t>
        </m:r>
      </m:oMath>
      <w:r>
        <w:t xml:space="preserve"> </w:t>
      </w:r>
      <w:r>
        <w:t xml:space="preserve">the necessary recharge. The first term of</w:t>
      </w:r>
      <w:r>
        <w:t xml:space="preserve"> </w:t>
      </w:r>
      <m:oMath>
        <m:r>
          <m:t>G</m:t>
        </m:r>
      </m:oMath>
      <w:r>
        <w:t xml:space="preserve"> </w:t>
      </w:r>
      <w:r>
        <w:t xml:space="preserve">is concave with slope 1 for</w:t>
      </w:r>
      <w:r>
        <w:t xml:space="preserve"> </w:t>
      </w:r>
      <m:oMath>
        <m:r>
          <m:t>c</m:t>
        </m:r>
        <m:r>
          <m:rPr>
            <m:sty m:val="p"/>
          </m:rPr>
          <m:t>&lt;</m:t>
        </m:r>
        <m:sSup>
          <m:e>
            <m:r>
              <m:t>c</m:t>
            </m:r>
          </m:e>
          <m:sup>
            <m:r>
              <m:rPr>
                <m:sty m:val="p"/>
              </m:rPr>
              <m:t>*</m:t>
            </m:r>
          </m:sup>
        </m:sSup>
      </m:oMath>
      <w:r>
        <w:t xml:space="preserve"> </w:t>
      </w:r>
      <w:r>
        <w:t xml:space="preserve">and slope 0 afterwards; the second is concave with slope</w:t>
      </w:r>
      <w:r>
        <w:t xml:space="preserve"> </w:t>
      </w:r>
      <m:oMath>
        <m:r>
          <m:t>η</m:t>
        </m:r>
      </m:oMath>
      <w:r>
        <w:t xml:space="preserve"> </w:t>
      </w:r>
      <w:r>
        <w:t xml:space="preserve">for</w:t>
      </w:r>
      <w:r>
        <w:t xml:space="preserve"> </w:t>
      </w:r>
      <m:oMath>
        <m:r>
          <m:t>s</m:t>
        </m:r>
        <m:r>
          <m:rPr>
            <m:sty m:val="p"/>
          </m:rPr>
          <m:t>&lt;</m:t>
        </m:r>
        <m:sSup>
          <m:e>
            <m:r>
              <m:t>s</m:t>
            </m:r>
          </m:e>
          <m:sup>
            <m:r>
              <m:t>r</m:t>
            </m:r>
            <m:r>
              <m:t>e</m:t>
            </m:r>
            <m:r>
              <m:t>q</m:t>
            </m:r>
          </m:sup>
        </m:sSup>
      </m:oMath>
      <w:r>
        <w:t xml:space="preserve"> </w:t>
      </w:r>
      <w:r>
        <w:t xml:space="preserve">and 0 afterwards. Maximising the sum of two separable concave functions under</w:t>
      </w:r>
      <w:r>
        <w:t xml:space="preserve"> </w:t>
      </w:r>
      <m:oMath>
        <m:r>
          <m:t>c</m:t>
        </m:r>
        <m:r>
          <m:rPr>
            <m:sty m:val="p"/>
          </m:rPr>
          <m:t>+</m:t>
        </m:r>
        <m:r>
          <m:t>s</m:t>
        </m:r>
        <m:r>
          <m:rPr>
            <m:sty m:val="p"/>
          </m:rPr>
          <m:t>≤</m:t>
        </m:r>
        <m:r>
          <m:t>H</m:t>
        </m:r>
      </m:oMath>
      <w:r>
        <w:t xml:space="preserve"> </w:t>
      </w:r>
      <w:r>
        <w:t xml:space="preserve">allocates the channel greedily by marginal value: catch-up up to</w:t>
      </w:r>
      <w:r>
        <w:t xml:space="preserve"> </w:t>
      </w:r>
      <m:oMath>
        <m:sSup>
          <m:e>
            <m:r>
              <m:t>c</m:t>
            </m:r>
          </m:e>
          <m:sup>
            <m:r>
              <m:rPr>
                <m:sty m:val="p"/>
              </m:rPr>
              <m:t>*</m:t>
            </m:r>
          </m:sup>
        </m:sSup>
      </m:oMath>
      <w:r>
        <w:t xml:space="preserve">, then recharge up to</w:t>
      </w:r>
      <w:r>
        <w:t xml:space="preserve"> </w:t>
      </w:r>
      <m:oMath>
        <m:sSup>
          <m:e>
            <m:r>
              <m:t>s</m:t>
            </m:r>
          </m:e>
          <m:sup>
            <m:r>
              <m:t>r</m:t>
            </m:r>
            <m:r>
              <m:t>e</m:t>
            </m:r>
            <m:r>
              <m:t>q</m:t>
            </m:r>
          </m:sup>
        </m:sSup>
      </m:oMath>
      <w:r>
        <w:t xml:space="preserve">. This is the joint recovery</w:t>
      </w:r>
      <w:r>
        <w:t xml:space="preserve"> </w:t>
      </w:r>
      <m:oMath>
        <m:sSub>
          <m:e>
            <m:r>
              <m:t>c</m:t>
            </m:r>
          </m:e>
          <m:sub>
            <m:r>
              <m:t>J</m:t>
            </m:r>
            <m:r>
              <m:t>R</m:t>
            </m:r>
          </m:sub>
        </m:sSub>
        <m:r>
          <m:rPr>
            <m:sty m:val="p"/>
          </m:rPr>
          <m:t>=</m:t>
        </m:r>
        <m:r>
          <m:rPr>
            <m:sty m:val="p"/>
          </m:rPr>
          <m:t>min</m:t>
        </m:r>
        <m:d>
          <m:dPr>
            <m:begChr m:val="("/>
            <m:sepChr m:val=""/>
            <m:endChr m:val=")"/>
            <m:grow/>
          </m:dPr>
          <m:e>
            <m:r>
              <m:t>H</m:t>
            </m:r>
            <m:r>
              <m:rPr>
                <m:sty m:val="p"/>
              </m:rPr>
              <m:t>,</m:t>
            </m:r>
            <m:sSup>
              <m:e>
                <m:r>
                  <m:t>c</m:t>
                </m:r>
              </m:e>
              <m:sup>
                <m:r>
                  <m:rPr>
                    <m:sty m:val="p"/>
                  </m:rPr>
                  <m:t>*</m:t>
                </m:r>
              </m:sup>
            </m:sSup>
          </m:e>
        </m:d>
      </m:oMath>
      <w:r>
        <w:t xml:space="preserve">,</w:t>
      </w:r>
      <w:r>
        <w:t xml:space="preserve"> </w:t>
      </w:r>
      <m:oMath>
        <m:sSub>
          <m:e>
            <m:r>
              <m:t>s</m:t>
            </m:r>
          </m:e>
          <m:sub>
            <m:r>
              <m:t>J</m:t>
            </m:r>
            <m:r>
              <m:t>R</m:t>
            </m:r>
          </m:sub>
        </m:sSub>
        <m:r>
          <m:rPr>
            <m:sty m:val="p"/>
          </m:rPr>
          <m:t>=</m:t>
        </m:r>
        <m:sSup>
          <m:e>
            <m:d>
              <m:dPr>
                <m:begChr m:val="("/>
                <m:sepChr m:val=""/>
                <m:endChr m:val=")"/>
                <m:grow/>
              </m:dPr>
              <m:e>
                <m:r>
                  <m:t>H</m:t>
                </m:r>
                <m:r>
                  <m:rPr>
                    <m:sty m:val="p"/>
                  </m:rPr>
                  <m:t>−</m:t>
                </m:r>
                <m:sSup>
                  <m:e>
                    <m:r>
                      <m:t>c</m:t>
                    </m:r>
                  </m:e>
                  <m:sup>
                    <m:r>
                      <m:rPr>
                        <m:sty m:val="p"/>
                      </m:rPr>
                      <m:t>*</m:t>
                    </m:r>
                  </m:sup>
                </m:sSup>
              </m:e>
            </m:d>
          </m:e>
          <m:sup>
            <m:r>
              <m:rPr>
                <m:sty m:val="p"/>
              </m:rPr>
              <m:t>+</m:t>
            </m:r>
          </m:sup>
        </m:sSup>
      </m:oMath>
      <w:r>
        <w:t xml:space="preserve">. Independent recovery repays the whole debt first,</w:t>
      </w:r>
      <w:r>
        <w:t xml:space="preserve"> </w:t>
      </w:r>
      <m:oMath>
        <m:sSub>
          <m:e>
            <m:r>
              <m:t>c</m:t>
            </m:r>
          </m:e>
          <m:sub>
            <m:r>
              <m:t>I</m:t>
            </m:r>
            <m:r>
              <m:t>R</m:t>
            </m:r>
          </m:sub>
        </m:sSub>
        <m:r>
          <m:rPr>
            <m:sty m:val="p"/>
          </m:rPr>
          <m:t>=</m:t>
        </m:r>
        <m:r>
          <m:rPr>
            <m:sty m:val="p"/>
          </m:rPr>
          <m:t>min</m:t>
        </m:r>
        <m:d>
          <m:dPr>
            <m:begChr m:val="("/>
            <m:sepChr m:val=""/>
            <m:endChr m:val=")"/>
            <m:grow/>
          </m:dPr>
          <m:e>
            <m:r>
              <m:t>H</m:t>
            </m:r>
            <m:r>
              <m:rPr>
                <m:sty m:val="p"/>
              </m:rPr>
              <m:t>,</m:t>
            </m:r>
            <m:r>
              <m:t>X</m:t>
            </m:r>
          </m:e>
        </m:d>
      </m:oMath>
      <w:r>
        <w:t xml:space="preserve">,</w:t>
      </w:r>
      <w:r>
        <w:t xml:space="preserve"> </w:t>
      </w:r>
      <m:oMath>
        <m:sSub>
          <m:e>
            <m:r>
              <m:t>s</m:t>
            </m:r>
          </m:e>
          <m:sub>
            <m:r>
              <m:t>I</m:t>
            </m:r>
            <m:r>
              <m:t>R</m:t>
            </m:r>
          </m:sub>
        </m:sSub>
        <m:r>
          <m:rPr>
            <m:sty m:val="p"/>
          </m:rPr>
          <m:t>=</m:t>
        </m:r>
        <m:sSup>
          <m:e>
            <m:d>
              <m:dPr>
                <m:begChr m:val="("/>
                <m:sepChr m:val=""/>
                <m:endChr m:val=")"/>
                <m:grow/>
              </m:dPr>
              <m:e>
                <m:r>
                  <m:t>H</m:t>
                </m:r>
                <m:r>
                  <m:rPr>
                    <m:sty m:val="p"/>
                  </m:rPr>
                  <m:t>−</m:t>
                </m:r>
                <m:r>
                  <m:t>X</m:t>
                </m:r>
              </m:e>
            </m:d>
          </m:e>
          <m:sup>
            <m:r>
              <m:rPr>
                <m:sty m:val="p"/>
              </m:rPr>
              <m:t>+</m:t>
            </m:r>
          </m:sup>
        </m:sSup>
      </m:oMath>
      <w:r>
        <w:t xml:space="preserve">, and spends</w:t>
      </w:r>
      <w:r>
        <w:t xml:space="preserve"> </w:t>
      </w:r>
      <m:oMath>
        <m:r>
          <m:t>X</m:t>
        </m:r>
        <m:r>
          <m:rPr>
            <m:sty m:val="p"/>
          </m:rPr>
          <m:t>−</m:t>
        </m:r>
        <m:sSup>
          <m:e>
            <m:r>
              <m:t>c</m:t>
            </m:r>
          </m:e>
          <m:sup>
            <m:r>
              <m:rPr>
                <m:sty m:val="p"/>
              </m:rPr>
              <m:t>*</m:t>
            </m:r>
          </m:sup>
        </m:sSup>
      </m:oMath>
      <w:r>
        <w:t xml:space="preserve"> </w:t>
      </w:r>
      <w:r>
        <w:t xml:space="preserve">of the channel on catch-up of zero marginal value. Substituting both allocations,</w:t>
      </w:r>
    </w:p>
    <w:p>
      <w:pPr>
        <w:pStyle w:val="Equation"/>
      </w:pPr>
      <w:r>
        <w:tab/>
      </w:r>
      <m:oMath>
        <m:sSub>
          <m:e>
            <m:r>
              <m:t>G</m:t>
            </m:r>
          </m:e>
          <m:sub>
            <m:r>
              <m:t>J</m:t>
            </m:r>
            <m:r>
              <m:t>R</m:t>
            </m:r>
          </m:sub>
        </m:sSub>
        <m:r>
          <m:rPr>
            <m:sty m:val="p"/>
          </m:rPr>
          <m:t>−</m:t>
        </m:r>
        <m:sSub>
          <m:e>
            <m:r>
              <m:t>G</m:t>
            </m:r>
          </m:e>
          <m:sub>
            <m:r>
              <m:t>I</m:t>
            </m:r>
            <m:r>
              <m:t>R</m:t>
            </m:r>
          </m:sub>
        </m:sSub>
        <m:r>
          <m:rPr>
            <m:sty m:val="p"/>
          </m:rPr>
          <m:t>=</m:t>
        </m:r>
        <m:r>
          <m:t>η</m:t>
        </m:r>
        <m:d>
          <m:dPr>
            <m:begChr m:val="["/>
            <m:sepChr m:val=""/>
            <m:endChr m:val="]"/>
            <m:grow/>
          </m:dPr>
          <m:e>
            <m:r>
              <m:rPr>
                <m:sty m:val="p"/>
              </m:rPr>
              <m:t>min</m:t>
            </m:r>
            <m:d>
              <m:dPr>
                <m:begChr m:val="("/>
                <m:sepChr m:val=""/>
                <m:endChr m:val=")"/>
                <m:grow/>
              </m:dPr>
              <m:e>
                <m:sSup>
                  <m:e>
                    <m:r>
                      <m:t>s</m:t>
                    </m:r>
                  </m:e>
                  <m:sup>
                    <m:r>
                      <m:t>r</m:t>
                    </m:r>
                    <m:r>
                      <m:t>e</m:t>
                    </m:r>
                    <m:r>
                      <m:t>q</m:t>
                    </m:r>
                  </m:sup>
                </m:sSup>
                <m:r>
                  <m:rPr>
                    <m:sty m:val="p"/>
                  </m:rPr>
                  <m:t>,</m:t>
                </m:r>
                <m:sSup>
                  <m:e>
                    <m:d>
                      <m:dPr>
                        <m:begChr m:val="("/>
                        <m:sepChr m:val=""/>
                        <m:endChr m:val=")"/>
                        <m:grow/>
                      </m:dPr>
                      <m:e>
                        <m:r>
                          <m:t>H</m:t>
                        </m:r>
                        <m:r>
                          <m:rPr>
                            <m:sty m:val="p"/>
                          </m:rPr>
                          <m:t>−</m:t>
                        </m:r>
                        <m:sSup>
                          <m:e>
                            <m:r>
                              <m:t>c</m:t>
                            </m:r>
                          </m:e>
                          <m:sup>
                            <m:r>
                              <m:rPr>
                                <m:sty m:val="p"/>
                              </m:rPr>
                              <m:t>*</m:t>
                            </m:r>
                          </m:sup>
                        </m:sSup>
                      </m:e>
                    </m:d>
                  </m:e>
                  <m:sup>
                    <m:r>
                      <m:rPr>
                        <m:sty m:val="p"/>
                      </m:rPr>
                      <m:t>+</m:t>
                    </m:r>
                  </m:sup>
                </m:sSup>
              </m:e>
            </m:d>
            <m:r>
              <m:rPr>
                <m:sty m:val="p"/>
              </m:rPr>
              <m:t>−</m:t>
            </m:r>
            <m:r>
              <m:rPr>
                <m:sty m:val="p"/>
              </m:rPr>
              <m:t>min</m:t>
            </m:r>
            <m:d>
              <m:dPr>
                <m:begChr m:val="("/>
                <m:sepChr m:val=""/>
                <m:endChr m:val=")"/>
                <m:grow/>
              </m:dPr>
              <m:e>
                <m:sSup>
                  <m:e>
                    <m:r>
                      <m:t>s</m:t>
                    </m:r>
                  </m:e>
                  <m:sup>
                    <m:r>
                      <m:t>r</m:t>
                    </m:r>
                    <m:r>
                      <m:t>e</m:t>
                    </m:r>
                    <m:r>
                      <m:t>q</m:t>
                    </m:r>
                  </m:sup>
                </m:sSup>
                <m:r>
                  <m:rPr>
                    <m:sty m:val="p"/>
                  </m:rPr>
                  <m:t>,</m:t>
                </m:r>
                <m:sSup>
                  <m:e>
                    <m:d>
                      <m:dPr>
                        <m:begChr m:val="("/>
                        <m:sepChr m:val=""/>
                        <m:endChr m:val=")"/>
                        <m:grow/>
                      </m:dPr>
                      <m:e>
                        <m:r>
                          <m:t>H</m:t>
                        </m:r>
                        <m:r>
                          <m:rPr>
                            <m:sty m:val="p"/>
                          </m:rPr>
                          <m:t>−</m:t>
                        </m:r>
                        <m:r>
                          <m:t>X</m:t>
                        </m:r>
                      </m:e>
                    </m:d>
                  </m:e>
                  <m:sup>
                    <m:r>
                      <m:rPr>
                        <m:sty m:val="p"/>
                      </m:rPr>
                      <m:t>+</m:t>
                    </m:r>
                  </m:sup>
                </m:sSup>
              </m:e>
            </m:d>
          </m:e>
        </m:d>
        <m:r>
          <m:rPr>
            <m:sty m:val="p"/>
          </m:rPr>
          <m:t>≥</m:t>
        </m:r>
        <m:r>
          <m:t>0</m:t>
        </m:r>
        <m:r>
          <m:rPr>
            <m:sty m:val="p"/>
          </m:rPr>
          <m:t>,</m:t>
        </m:r>
      </m:oMath>
      <w:r>
        <w:tab/>
      </w:r>
      <w:r>
        <w:t xml:space="preserve">(B.3)</w:t>
      </w:r>
    </w:p>
    <w:p>
      <w:pPr>
        <w:pStyle w:val="BodyText"/>
      </w:pPr>
      <w:r>
        <w:t xml:space="preserve">with the maximum</w:t>
      </w:r>
      <w:r>
        <w:t xml:space="preserve"> </w:t>
      </w:r>
      <m:oMath>
        <m:r>
          <m:t>η</m:t>
        </m:r>
        <m:r>
          <m:rPr>
            <m:sty m:val="p"/>
          </m:rPr>
          <m:t>min</m:t>
        </m:r>
        <m:r>
          <m:rPr>
            <m:sty m:val="p"/>
          </m:rPr>
          <m:t>{</m:t>
        </m:r>
        <m:r>
          <m:t>X</m:t>
        </m:r>
        <m:r>
          <m:rPr>
            <m:sty m:val="p"/>
          </m:rPr>
          <m:t>,</m:t>
        </m:r>
        <m:r>
          <m:t> </m:t>
        </m:r>
        <m:sSub>
          <m:e>
            <m:r>
              <m:t>p</m:t>
            </m:r>
          </m:e>
          <m:sub>
            <m:r>
              <m:t>f</m:t>
            </m:r>
          </m:sub>
        </m:sSub>
        <m:d>
          <m:dPr>
            <m:begChr m:val="("/>
            <m:sepChr m:val=""/>
            <m:endChr m:val=")"/>
            <m:grow/>
          </m:dPr>
          <m:e>
            <m:r>
              <m:t>L</m:t>
            </m:r>
            <m:r>
              <m:rPr>
                <m:sty m:val="p"/>
              </m:rPr>
              <m:t>−</m:t>
            </m:r>
            <m:sSub>
              <m:e>
                <m:r>
                  <m:t>D</m:t>
                </m:r>
              </m:e>
              <m:sub>
                <m:r>
                  <m:t>B</m:t>
                </m:r>
              </m:sub>
            </m:sSub>
          </m:e>
        </m:d>
        <m:r>
          <m:rPr>
            <m:sty m:val="p"/>
          </m:rPr>
          <m:t>,</m:t>
        </m:r>
        <m:r>
          <m:t> </m:t>
        </m:r>
        <m:sSup>
          <m:e>
            <m:r>
              <m:t>s</m:t>
            </m:r>
          </m:e>
          <m:sup>
            <m:r>
              <m:t>r</m:t>
            </m:r>
            <m:r>
              <m:t>e</m:t>
            </m:r>
            <m:r>
              <m:t>q</m:t>
            </m:r>
          </m:sup>
        </m:sSup>
        <m:r>
          <m:rPr>
            <m:sty m:val="p"/>
          </m:rPr>
          <m:t>}</m:t>
        </m:r>
      </m:oMath>
      <w:r>
        <w:t xml:space="preserve">. The single-event capability</w:t>
      </w:r>
      <w:r>
        <w:t xml:space="preserve"> </w:t>
      </w:r>
      <m:oMath>
        <m:sSub>
          <m:e>
            <m:r>
              <m:t>p</m:t>
            </m:r>
          </m:e>
          <m:sub>
            <m:r>
              <m:t>f</m:t>
            </m:r>
          </m:sub>
        </m:sSub>
        <m:sSub>
          <m:e>
            <m:r>
              <m:t>D</m:t>
            </m:r>
          </m:e>
          <m:sub>
            <m:r>
              <m:t>B</m:t>
            </m:r>
          </m:sub>
        </m:sSub>
        <m:r>
          <m:rPr>
            <m:sty m:val="p"/>
          </m:rPr>
          <m:t>+</m:t>
        </m:r>
        <m:sSub>
          <m:e>
            <m:r>
              <m:t>P</m:t>
            </m:r>
          </m:e>
          <m:sub>
            <m:r>
              <m:t>s</m:t>
            </m:r>
          </m:sub>
        </m:sSub>
        <m:sSub>
          <m:e>
            <m:r>
              <m:t>D</m:t>
            </m:r>
          </m:e>
          <m:sub>
            <m:r>
              <m:t>B</m:t>
            </m:r>
          </m:sub>
        </m:sSub>
      </m:oMath>
      <w:r>
        <w:t xml:space="preserve"> </w:t>
      </w:r>
      <w:r>
        <w:t xml:space="preserve">is restored if and only if</w:t>
      </w:r>
      <w:r>
        <w:t xml:space="preserve"> </w:t>
      </w:r>
      <m:oMath>
        <m:r>
          <m:t>c</m:t>
        </m:r>
        <m:r>
          <m:rPr>
            <m:sty m:val="p"/>
          </m:rPr>
          <m:t>≥</m:t>
        </m:r>
        <m:sSup>
          <m:e>
            <m:r>
              <m:t>c</m:t>
            </m:r>
          </m:e>
          <m:sup>
            <m:r>
              <m:rPr>
                <m:sty m:val="p"/>
              </m:rPr>
              <m:t>*</m:t>
            </m:r>
          </m:sup>
        </m:sSup>
      </m:oMath>
      <w:r>
        <w:t xml:space="preserve"> </w:t>
      </w:r>
      <w:r>
        <w:t xml:space="preserve">and</w:t>
      </w:r>
      <w:r>
        <w:t xml:space="preserve"> </w:t>
      </w:r>
      <m:oMath>
        <m:r>
          <m:t>s</m:t>
        </m:r>
        <m:r>
          <m:rPr>
            <m:sty m:val="p"/>
          </m:rPr>
          <m:t>≥</m:t>
        </m:r>
        <m:sSup>
          <m:e>
            <m:r>
              <m:t>s</m:t>
            </m:r>
          </m:e>
          <m:sup>
            <m:r>
              <m:t>r</m:t>
            </m:r>
            <m:r>
              <m:t>e</m:t>
            </m:r>
            <m:r>
              <m:t>q</m:t>
            </m:r>
          </m:sup>
        </m:sSup>
      </m:oMath>
      <w:r>
        <w:t xml:space="preserve">, which requires the channel energy</w:t>
      </w:r>
      <w:r>
        <w:t xml:space="preserve"> </w:t>
      </w:r>
      <m:oMath>
        <m:sSup>
          <m:e>
            <m:r>
              <m:t>c</m:t>
            </m:r>
          </m:e>
          <m:sup>
            <m:r>
              <m:rPr>
                <m:sty m:val="p"/>
              </m:rPr>
              <m:t>*</m:t>
            </m:r>
          </m:sup>
        </m:sSup>
        <m:r>
          <m:rPr>
            <m:sty m:val="p"/>
          </m:rPr>
          <m:t>+</m:t>
        </m:r>
        <m:sSup>
          <m:e>
            <m:r>
              <m:t>s</m:t>
            </m:r>
          </m:e>
          <m:sup>
            <m:r>
              <m:t>r</m:t>
            </m:r>
            <m:r>
              <m:t>e</m:t>
            </m:r>
            <m:r>
              <m:t>q</m:t>
            </m:r>
          </m:sup>
        </m:sSup>
      </m:oMath>
      <w:r>
        <w:t xml:space="preserve"> </w:t>
      </w:r>
      <w:r>
        <w:t xml:space="preserve">under joint and</w:t>
      </w:r>
      <w:r>
        <w:t xml:space="preserve"> </w:t>
      </w:r>
      <m:oMath>
        <m:r>
          <m:t>X</m:t>
        </m:r>
        <m:r>
          <m:rPr>
            <m:sty m:val="p"/>
          </m:rPr>
          <m:t>+</m:t>
        </m:r>
        <m:sSup>
          <m:e>
            <m:r>
              <m:t>s</m:t>
            </m:r>
          </m:e>
          <m:sup>
            <m:r>
              <m:t>r</m:t>
            </m:r>
            <m:r>
              <m:t>e</m:t>
            </m:r>
            <m:r>
              <m:t>q</m:t>
            </m:r>
          </m:sup>
        </m:sSup>
      </m:oMath>
      <w:r>
        <w:t xml:space="preserve"> </w:t>
      </w:r>
      <w:r>
        <w:t xml:space="preserve">under independent recovery. Dividing by</w:t>
      </w:r>
      <w:r>
        <w:t xml:space="preserve"> </w:t>
      </w:r>
      <m:oMath>
        <m:r>
          <m:t>h</m:t>
        </m:r>
      </m:oMath>
      <w:r>
        <w:t xml:space="preserve"> </w:t>
      </w:r>
      <w:r>
        <w:t xml:space="preserve">and using</w:t>
      </w:r>
      <w:r>
        <w:t xml:space="preserve"> </w:t>
      </w:r>
      <m:oMath>
        <m:r>
          <m:t>X</m:t>
        </m:r>
        <m:r>
          <m:rPr>
            <m:sty m:val="p"/>
          </m:rPr>
          <m:t>−</m:t>
        </m:r>
        <m:sSup>
          <m:e>
            <m:r>
              <m:t>c</m:t>
            </m:r>
          </m:e>
          <m:sup>
            <m:r>
              <m:rPr>
                <m:sty m:val="p"/>
              </m:rPr>
              <m:t>*</m:t>
            </m:r>
          </m:sup>
        </m:sSup>
        <m:r>
          <m:rPr>
            <m:sty m:val="p"/>
          </m:rPr>
          <m:t>=</m:t>
        </m:r>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w:t>
      </w:r>
      <w:r>
        <w:t xml:space="preserve">gives (14). The difference (B.3) vanishes if and only if</w:t>
      </w:r>
      <w:r>
        <w:t xml:space="preserve"> </w:t>
      </w:r>
      <m:oMath>
        <m:r>
          <m:t>L</m:t>
        </m:r>
        <m:r>
          <m:rPr>
            <m:sty m:val="p"/>
          </m:rPr>
          <m:t>≤</m:t>
        </m:r>
        <m:sSub>
          <m:e>
            <m:r>
              <m:t>D</m:t>
            </m:r>
          </m:e>
          <m:sub>
            <m:r>
              <m:t>B</m:t>
            </m:r>
          </m:sub>
        </m:sSub>
      </m:oMath>
      <w:r>
        <w:t xml:space="preserve"> </w:t>
      </w:r>
      <w:r>
        <w:t xml:space="preserve">or</w:t>
      </w:r>
      <w:r>
        <w:t xml:space="preserve"> </w:t>
      </w:r>
      <m:oMath>
        <m:r>
          <m:t>X</m:t>
        </m:r>
        <m:r>
          <m:rPr>
            <m:sty m:val="p"/>
          </m:rPr>
          <m:t>=</m:t>
        </m:r>
        <m:r>
          <m:t>0</m:t>
        </m:r>
      </m:oMath>
      <w:r>
        <w:t xml:space="preserve"> </w:t>
      </w:r>
      <w:r>
        <w:t xml:space="preserve">(no debt can be carried),</w:t>
      </w:r>
      <w:r>
        <w:t xml:space="preserve"> </w:t>
      </w:r>
      <m:oMath>
        <m:sSup>
          <m:e>
            <m:r>
              <m:t>s</m:t>
            </m:r>
          </m:e>
          <m:sup>
            <m:r>
              <m:t>r</m:t>
            </m:r>
            <m:r>
              <m:t>e</m:t>
            </m:r>
            <m:r>
              <m:t>q</m:t>
            </m:r>
          </m:sup>
        </m:sSup>
        <m:r>
          <m:rPr>
            <m:sty m:val="p"/>
          </m:rPr>
          <m:t>=</m:t>
        </m:r>
        <m:r>
          <m:t>0</m:t>
        </m:r>
      </m:oMath>
      <w:r>
        <w:t xml:space="preserve"> </w:t>
      </w:r>
      <w:r>
        <w:t xml:space="preserve">(B needs no storage),</w:t>
      </w:r>
      <w:r>
        <w:t xml:space="preserve"> </w:t>
      </w:r>
      <m:oMath>
        <m:r>
          <m:t>H</m:t>
        </m:r>
        <m:r>
          <m:rPr>
            <m:sty m:val="p"/>
          </m:rPr>
          <m:t>≤</m:t>
        </m:r>
        <m:sSup>
          <m:e>
            <m:r>
              <m:t>c</m:t>
            </m:r>
          </m:e>
          <m:sup>
            <m:r>
              <m:rPr>
                <m:sty m:val="p"/>
              </m:rPr>
              <m:t>*</m:t>
            </m:r>
          </m:sup>
        </m:sSup>
      </m:oMath>
      <w:r>
        <w:t xml:space="preserve"> </w:t>
      </w:r>
      <w:r>
        <w:t xml:space="preserve">(the channel only suffices for necessary catch-up) or</w:t>
      </w:r>
      <w:r>
        <w:t xml:space="preserve"> </w:t>
      </w:r>
      <m:oMath>
        <m:r>
          <m:t>H</m:t>
        </m:r>
        <m:r>
          <m:rPr>
            <m:sty m:val="p"/>
          </m:rPr>
          <m:t>≥</m:t>
        </m:r>
        <m:r>
          <m:t>X</m:t>
        </m:r>
        <m:r>
          <m:rPr>
            <m:sty m:val="p"/>
          </m:rPr>
          <m:t>+</m:t>
        </m:r>
        <m:sSup>
          <m:e>
            <m:r>
              <m:t>s</m:t>
            </m:r>
          </m:e>
          <m:sup>
            <m:r>
              <m:t>r</m:t>
            </m:r>
            <m:r>
              <m:t>e</m:t>
            </m:r>
            <m:r>
              <m:t>q</m:t>
            </m:r>
          </m:sup>
        </m:sSup>
      </m:oMath>
      <w:r>
        <w:t xml:space="preserve"> </w:t>
      </w:r>
      <w:r>
        <w:t xml:space="preserve">(the channel repays both debts). ∎</w:t>
      </w:r>
    </w:p>
    <w:p>
      <w:pPr>
        <w:pStyle w:val="BodyText"/>
      </w:pPr>
      <w:r>
        <w:t xml:space="preserve">Two consequences are used in Section 5. First, the minimum recovery energy</w:t>
      </w:r>
      <w:r>
        <w:t xml:space="preserve"> </w:t>
      </w:r>
      <m:oMath>
        <m:sSup>
          <m:e>
            <m:r>
              <m:t>τ</m:t>
            </m:r>
          </m:e>
          <m:sup>
            <m:r>
              <m:rPr>
                <m:sty m:val="p"/>
              </m:rPr>
              <m:t>*</m:t>
            </m:r>
          </m:sup>
        </m:sSup>
        <m:r>
          <m:t>h</m:t>
        </m:r>
      </m:oMath>
      <w:r>
        <w:t xml:space="preserve"> </w:t>
      </w:r>
      <w:r>
        <w:t xml:space="preserve">is fixed, so iso-capability curves are hyperbolas in the plane of the interval and the channel width: a longer interval and a larger connection margin substitute for each other, and joint recovery shifts the curve by the carried debt</w:t>
      </w:r>
      <w:r>
        <w:t xml:space="preserve"> </w:t>
      </w:r>
      <m:oMath>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Second, with several classes the necessary catch-up is</w:t>
      </w:r>
      <w:r>
        <w:t xml:space="preserve"> </w:t>
      </w:r>
      <m:oMath>
        <m:nary>
          <m:naryPr>
            <m:chr m:val="∑"/>
            <m:limLoc m:val="undOvr"/>
            <m:subHide m:val="off"/>
            <m:supHide m:val="on"/>
          </m:naryPr>
          <m:sub>
            <m:r>
              <m:t>c</m:t>
            </m:r>
          </m:sub>
          <m:sup>
            <m:r>
              <m:t>​</m:t>
            </m:r>
          </m:sup>
          <m:e>
            <m:sSup>
              <m:e>
                <m:d>
                  <m:dPr>
                    <m:begChr m:val="["/>
                    <m:sepChr m:val=""/>
                    <m:endChr m:val="]"/>
                    <m:grow/>
                  </m:dPr>
                  <m:e>
                    <m:sSub>
                      <m:e>
                        <m:r>
                          <m:t>X</m:t>
                        </m:r>
                      </m:e>
                      <m:sub>
                        <m:r>
                          <m:t>c</m:t>
                        </m:r>
                      </m:sub>
                    </m:sSub>
                    <m:r>
                      <m:rPr>
                        <m:sty m:val="p"/>
                      </m:rPr>
                      <m:t>−</m:t>
                    </m:r>
                    <m:sSub>
                      <m:e>
                        <m:r>
                          <m:t>p</m:t>
                        </m:r>
                      </m:e>
                      <m:sub>
                        <m:r>
                          <m:t>f</m:t>
                        </m:r>
                        <m:r>
                          <m:rPr>
                            <m:sty m:val="p"/>
                          </m:rPr>
                          <m:t>,</m:t>
                        </m:r>
                        <m:r>
                          <m:t>c</m:t>
                        </m:r>
                      </m:sub>
                    </m:sSub>
                    <m:d>
                      <m:dPr>
                        <m:begChr m:val="("/>
                        <m:sepChr m:val=""/>
                        <m:endChr m:val=")"/>
                        <m:grow/>
                      </m:dPr>
                      <m:e>
                        <m:sSub>
                          <m:e>
                            <m:r>
                              <m:t>L</m:t>
                            </m:r>
                          </m:e>
                          <m:sub>
                            <m:r>
                              <m:t>c</m:t>
                            </m:r>
                          </m:sub>
                        </m:sSub>
                        <m:r>
                          <m:rPr>
                            <m:sty m:val="p"/>
                          </m:rPr>
                          <m:t>−</m:t>
                        </m:r>
                        <m:sSub>
                          <m:e>
                            <m:r>
                              <m:t>D</m:t>
                            </m:r>
                          </m:e>
                          <m:sub>
                            <m:r>
                              <m:t>B</m:t>
                            </m:r>
                          </m:sub>
                        </m:sSub>
                      </m:e>
                    </m:d>
                  </m:e>
                </m:d>
              </m:e>
              <m:sup>
                <m:r>
                  <m:rPr>
                    <m:sty m:val="p"/>
                  </m:rPr>
                  <m:t>+</m:t>
                </m:r>
              </m:sup>
            </m:sSup>
          </m:e>
        </m:nary>
      </m:oMath>
      <w:r>
        <w:t xml:space="preserve">, so the long-deadline class C3 is carried across events first. The closed form is verified against a discrete-time LP on 68 cases (</w:t>
      </w:r>
      <m:oMath>
        <m:sSub>
          <m:e>
            <m:r>
              <m:t>p</m:t>
            </m:r>
          </m:e>
          <m:sub>
            <m:r>
              <m:t>f</m:t>
            </m:r>
          </m:sub>
        </m:sSub>
      </m:oMath>
      <w:r>
        <w:t xml:space="preserve"> </w:t>
      </w:r>
      <w:r>
        <w:t xml:space="preserve">= 5 MW,</w:t>
      </w:r>
      <w:r>
        <w:t xml:space="preserve"> </w:t>
      </w:r>
      <m:oMath>
        <m:sSub>
          <m:e>
            <m:r>
              <m:t>D</m:t>
            </m:r>
          </m:e>
          <m:sub>
            <m:r>
              <m:t>B</m:t>
            </m:r>
          </m:sub>
        </m:sSub>
      </m:oMath>
      <w:r>
        <w:t xml:space="preserve"> </w:t>
      </w:r>
      <w:r>
        <w:t xml:space="preserve">= 1 h,</w:t>
      </w:r>
      <w:r>
        <w:t xml:space="preserve"> </w:t>
      </w:r>
      <m:oMath>
        <m:r>
          <m:t>X</m:t>
        </m:r>
      </m:oMath>
      <w:r>
        <w:t xml:space="preserve"> </w:t>
      </w:r>
      <w:r>
        <w:t xml:space="preserve">= 5 MWh,</w:t>
      </w:r>
      <w:r>
        <w:t xml:space="preserve"> </w:t>
      </w:r>
      <m:oMath>
        <m:r>
          <m:t>h</m:t>
        </m:r>
      </m:oMath>
      <w:r>
        <w:t xml:space="preserve"> </w:t>
      </w:r>
      <w:r>
        <w:t xml:space="preserve">= 3 MW,</w:t>
      </w:r>
      <w:r>
        <w:t xml:space="preserve"> </w:t>
      </w:r>
      <m:oMath>
        <m:r>
          <m:t>L</m:t>
        </m:r>
        <m:r>
          <m:rPr>
            <m:sty m:val="p"/>
          </m:rPr>
          <m:t>∈</m:t>
        </m:r>
        <m:r>
          <m:rPr>
            <m:sty m:val="p"/>
          </m:rPr>
          <m:t>{</m:t>
        </m:r>
        <m:r>
          <m:t>1</m:t>
        </m:r>
        <m:r>
          <m:rPr>
            <m:sty m:val="p"/>
          </m:rPr>
          <m:t>,</m:t>
        </m:r>
        <m:r>
          <m:t>1.5</m:t>
        </m:r>
        <m:r>
          <m:rPr>
            <m:sty m:val="p"/>
          </m:rPr>
          <m:t>,</m:t>
        </m:r>
        <m:r>
          <m:t>2</m:t>
        </m:r>
        <m:r>
          <m:rPr>
            <m:sty m:val="p"/>
          </m:rPr>
          <m:t>,</m:t>
        </m:r>
        <m:r>
          <m:t>3</m:t>
        </m:r>
        <m:r>
          <m:rPr>
            <m:sty m:val="p"/>
          </m:rPr>
          <m:t>}</m:t>
        </m:r>
      </m:oMath>
      <w:r>
        <w:t xml:space="preserve"> </w:t>
      </w:r>
      <w:r>
        <w:t xml:space="preserve">h,</w:t>
      </w:r>
      <w:r>
        <w:t xml:space="preserve"> </w:t>
      </w:r>
      <m:oMath>
        <m:r>
          <m:t>τ</m:t>
        </m:r>
        <m:r>
          <m:rPr>
            <m:sty m:val="p"/>
          </m:rPr>
          <m:t>∈</m:t>
        </m:r>
        <m:d>
          <m:dPr>
            <m:begChr m:val="["/>
            <m:sepChr m:val=""/>
            <m:endChr m:val="]"/>
            <m:grow/>
          </m:dPr>
          <m:e>
            <m:r>
              <m:t>0</m:t>
            </m:r>
            <m:r>
              <m:rPr>
                <m:sty m:val="p"/>
              </m:rPr>
              <m:t>,</m:t>
            </m:r>
            <m:r>
              <m:t>4</m:t>
            </m:r>
          </m:e>
        </m:d>
      </m:oMath>
      <w:r>
        <w:t xml:space="preserve"> </w:t>
      </w:r>
      <w:r>
        <w:t xml:space="preserve">h); the two agree to within</w:t>
      </w:r>
      <w:r>
        <w:t xml:space="preserve"> </w:t>
      </w:r>
      <m:oMath>
        <m:sSup>
          <m:e>
            <m:r>
              <m:t>10</m:t>
            </m:r>
          </m:e>
          <m:sup>
            <m:r>
              <m:rPr>
                <m:sty m:val="p"/>
              </m:rPr>
              <m:t>−</m:t>
            </m:r>
            <m:r>
              <m:t>5</m:t>
            </m:r>
          </m:sup>
        </m:sSup>
      </m:oMath>
      <w:r>
        <w:t xml:space="preserve"> </w:t>
      </w:r>
      <w:r>
        <w:t xml:space="preserve">MW, the rounding of the stored results; the interval reductions are 0, 0.83, 1.67 and 1.67 h, as given by (14) (supplementary Fig. S6).</w:t>
      </w:r>
    </w:p>
    <w:p>
      <w:pPr>
        <w:pStyle w:val="BodyText"/>
      </w:pPr>
      <w:r>
        <w:rPr>
          <w:bCs/>
          <w:b/>
        </w:rPr>
        <w:t xml:space="preserve">Proof of Proposition 3.</w:t>
      </w:r>
      <w:r>
        <w:t xml:space="preserve"> </w:t>
      </w:r>
      <w:r>
        <w:t xml:space="preserve">Write the empirical distribution as</w:t>
      </w:r>
      <w:r>
        <w:t xml:space="preserve"> </w:t>
      </w:r>
      <m:oMath>
        <m:r>
          <m:t>N</m:t>
        </m:r>
      </m:oMath>
      <w:r>
        <w:t xml:space="preserve"> </w:t>
      </w:r>
      <w:r>
        <w:t xml:space="preserve">atoms of mass</w:t>
      </w:r>
      <w:r>
        <w:t xml:space="preserve"> </w:t>
      </w:r>
      <m:oMath>
        <m:r>
          <m:t>1</m:t>
        </m:r>
        <m:r>
          <m:rPr>
            <m:sty m:val="p"/>
          </m:rPr>
          <m:t>/</m:t>
        </m:r>
        <m:r>
          <m:t>N</m:t>
        </m:r>
      </m:oMath>
      <w:r>
        <w:t xml:space="preserve"> </w:t>
      </w:r>
      <w:r>
        <w:t xml:space="preserve">at</w:t>
      </w:r>
      <w:r>
        <w:t xml:space="preserve"> </w:t>
      </w:r>
      <m:oMath>
        <m:sSub>
          <m:e>
            <m:r>
              <m:t>ξ</m:t>
            </m:r>
          </m:e>
          <m:sub>
            <m:r>
              <m:t>d</m:t>
            </m:r>
          </m:sub>
        </m:sSub>
      </m:oMath>
      <w:r>
        <w:t xml:space="preserve">. Any</w:t>
      </w:r>
      <w:r>
        <w:t xml:space="preserve"> </w:t>
      </w:r>
      <m:oMath>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oMath>
      <w:r>
        <w:t xml:space="preserve"> </w:t>
      </w:r>
      <w:r>
        <w:t xml:space="preserve">is the image of a transport plan with average displacement at most</w:t>
      </w:r>
      <w:r>
        <w:t xml:space="preserve"> </w:t>
      </w:r>
      <m:oMath>
        <m:r>
          <m:t>ε</m:t>
        </m:r>
      </m:oMath>
      <w:r>
        <w:t xml:space="preserve">. Moving mass between points on the same side of</w:t>
      </w:r>
      <w:r>
        <w:t xml:space="preserve"> </w:t>
      </w:r>
      <m:oMath>
        <m:r>
          <m:t>C</m:t>
        </m:r>
      </m:oMath>
      <w:r>
        <w:t xml:space="preserve">, or upwards, does not reduce</w:t>
      </w:r>
      <w:r>
        <w:t xml:space="preserve"> </w:t>
      </w:r>
      <m:oMath>
        <m:r>
          <m:t>Q</m:t>
        </m:r>
        <m:d>
          <m:dPr>
            <m:begChr m:val="("/>
            <m:sepChr m:val=""/>
            <m:endChr m:val=")"/>
            <m:grow/>
          </m:dPr>
          <m:e>
            <m:r>
              <m:t>ξ</m:t>
            </m:r>
            <m:r>
              <m:rPr>
                <m:sty m:val="p"/>
              </m:rPr>
              <m:t>≥</m:t>
            </m:r>
            <m:r>
              <m:t>C</m:t>
            </m:r>
          </m:e>
        </m:d>
      </m:oMath>
      <w:r>
        <w:t xml:space="preserve">, so a minimising plan only moves mass</w:t>
      </w:r>
      <w:r>
        <w:t xml:space="preserve"> </w:t>
      </w:r>
      <m:oMath>
        <m:sSub>
          <m:e>
            <m:r>
              <m:t>w</m:t>
            </m:r>
          </m:e>
          <m:sub>
            <m:r>
              <m:t>d</m:t>
            </m:r>
          </m:sub>
        </m:sSub>
        <m:r>
          <m:rPr>
            <m:sty m:val="p"/>
          </m:rPr>
          <m:t>∈</m:t>
        </m:r>
        <m:d>
          <m:dPr>
            <m:begChr m:val="["/>
            <m:sepChr m:val=""/>
            <m:endChr m:val="]"/>
            <m:grow/>
          </m:dPr>
          <m:e>
            <m:r>
              <m:t>0</m:t>
            </m:r>
            <m:r>
              <m:rPr>
                <m:sty m:val="p"/>
              </m:rPr>
              <m:t>,</m:t>
            </m:r>
            <m:r>
              <m:t>1</m:t>
            </m:r>
            <m:r>
              <m:rPr>
                <m:sty m:val="p"/>
              </m:rPr>
              <m:t>/</m:t>
            </m:r>
            <m:r>
              <m:t>N</m:t>
            </m:r>
          </m:e>
        </m:d>
      </m:oMath>
      <w:r>
        <w:t xml:space="preserve"> </w:t>
      </w:r>
      <w:r>
        <w:t xml:space="preserve">from atoms</w:t>
      </w:r>
      <w:r>
        <w:t xml:space="preserve"> </w:t>
      </w:r>
      <m:oMath>
        <m:sSub>
          <m:e>
            <m:r>
              <m:t>ξ</m:t>
            </m:r>
          </m:e>
          <m:sub>
            <m:r>
              <m:t>d</m:t>
            </m:r>
          </m:sub>
        </m:sSub>
        <m:r>
          <m:rPr>
            <m:sty m:val="p"/>
          </m:rPr>
          <m:t>≥</m:t>
        </m:r>
        <m:r>
          <m:t>C</m:t>
        </m:r>
      </m:oMath>
      <w:r>
        <w:t xml:space="preserve"> </w:t>
      </w:r>
      <w:r>
        <w:t xml:space="preserve">to points arbitrarily close below</w:t>
      </w:r>
      <w:r>
        <w:t xml:space="preserve"> </w:t>
      </w:r>
      <m:oMath>
        <m:r>
          <m:t>C</m:t>
        </m:r>
      </m:oMath>
      <w:r>
        <w:t xml:space="preserve">, at cost</w:t>
      </w:r>
      <w:r>
        <w:t xml:space="preserve"> </w:t>
      </w:r>
      <m:oMath>
        <m:sSub>
          <m:e>
            <m:r>
              <m:t>w</m:t>
            </m:r>
          </m:e>
          <m:sub>
            <m:r>
              <m:t>d</m:t>
            </m:r>
          </m:sub>
        </m:sSub>
        <m:d>
          <m:dPr>
            <m:begChr m:val="("/>
            <m:sepChr m:val=""/>
            <m:endChr m:val=")"/>
            <m:grow/>
          </m:dPr>
          <m:e>
            <m:sSub>
              <m:e>
                <m:r>
                  <m:t>ξ</m:t>
                </m:r>
              </m:e>
              <m:sub>
                <m:r>
                  <m:t>d</m:t>
                </m:r>
              </m:sub>
            </m:sSub>
            <m:r>
              <m:rPr>
                <m:sty m:val="p"/>
              </m:rPr>
              <m:t>−</m:t>
            </m:r>
            <m:r>
              <m:t>C</m:t>
            </m:r>
          </m:e>
        </m:d>
      </m:oMath>
      <w:r>
        <w:t xml:space="preserve">. The worst case is the fractional knapsack</w:t>
      </w:r>
    </w:p>
    <w:p>
      <w:pPr>
        <w:pStyle w:val="BodyText"/>
      </w:pPr>
      <m:oMathPara>
        <m:oMathParaPr>
          <m:jc m:val="center"/>
        </m:oMathParaPr>
        <m:oMath>
          <m:limLow>
            <m:e>
              <m:r>
                <m:rPr>
                  <m:sty m:val="p"/>
                </m:rPr>
                <m:t>inf</m:t>
              </m:r>
            </m:e>
            <m:lim>
              <m:r>
                <m:t>Q</m:t>
              </m:r>
              <m:r>
                <m:rPr>
                  <m:sty m:val="p"/>
                </m:rPr>
                <m:t>∈</m:t>
              </m:r>
              <m:sSub>
                <m:e>
                  <m:r>
                    <m:rPr>
                      <m:scr m:val="script"/>
                      <m:sty m:val="p"/>
                    </m:rPr>
                    <m:t>B</m:t>
                  </m:r>
                </m:e>
                <m:sub>
                  <m:r>
                    <m:t>ε</m:t>
                  </m:r>
                </m:sub>
              </m:sSub>
            </m:lim>
          </m:limLow>
          <m:r>
            <m:t>Q</m:t>
          </m:r>
          <m:d>
            <m:dPr>
              <m:begChr m:val="("/>
              <m:sepChr m:val=""/>
              <m:endChr m:val=")"/>
              <m:grow/>
            </m:dPr>
            <m:e>
              <m:r>
                <m:t>ξ</m:t>
              </m:r>
              <m:r>
                <m:rPr>
                  <m:sty m:val="p"/>
                </m:rPr>
                <m:t>≥</m:t>
              </m:r>
              <m:r>
                <m:t>C</m:t>
              </m:r>
            </m:e>
          </m:d>
          <m:r>
            <m:rPr>
              <m:sty m:val="p"/>
            </m:rPr>
            <m:t>=</m:t>
          </m:r>
          <m:f>
            <m:fPr>
              <m:type m:val="bar"/>
            </m:fPr>
            <m:num>
              <m:r>
                <m:t>n</m:t>
              </m:r>
              <m:d>
                <m:dPr>
                  <m:begChr m:val="("/>
                  <m:sepChr m:val=""/>
                  <m:endChr m:val=")"/>
                  <m:grow/>
                </m:dPr>
                <m:e>
                  <m:r>
                    <m:t>C</m:t>
                  </m:r>
                </m:e>
              </m:d>
            </m:num>
            <m:den>
              <m:r>
                <m:t>N</m:t>
              </m:r>
            </m:den>
          </m:f>
          <m:r>
            <m:rPr>
              <m:sty m:val="p"/>
            </m:rPr>
            <m:t>−</m:t>
          </m:r>
          <m:r>
            <m:rPr>
              <m:sty m:val="p"/>
            </m:rPr>
            <m:t>max</m:t>
          </m:r>
          <m:d>
            <m:dPr>
              <m:begChr m:val="{"/>
              <m:sepChr m:val=""/>
              <m:endChr m:val="}"/>
              <m:grow/>
            </m:dPr>
            <m:e>
              <m:nary>
                <m:naryPr>
                  <m:chr m:val="∑"/>
                  <m:limLoc m:val="undOvr"/>
                  <m:subHide m:val="off"/>
                  <m:supHide m:val="on"/>
                </m:naryPr>
                <m:sub>
                  <m:r>
                    <m:t>d</m:t>
                  </m:r>
                </m:sub>
                <m:sup>
                  <m:r>
                    <m:t>​</m:t>
                  </m:r>
                </m:sup>
                <m:e>
                  <m:sSub>
                    <m:e>
                      <m:r>
                        <m:t>w</m:t>
                      </m:r>
                    </m:e>
                    <m:sub>
                      <m:r>
                        <m:t>d</m:t>
                      </m:r>
                    </m:sub>
                  </m:sSub>
                </m:e>
              </m:nary>
              <m:r>
                <m:rPr>
                  <m:sty m:val="p"/>
                </m:rPr>
                <m:t>:</m:t>
              </m:r>
              <m:r>
                <m:t> </m:t>
              </m:r>
              <m:nary>
                <m:naryPr>
                  <m:chr m:val="∑"/>
                  <m:limLoc m:val="undOvr"/>
                  <m:subHide m:val="off"/>
                  <m:supHide m:val="on"/>
                </m:naryPr>
                <m:sub>
                  <m:r>
                    <m:t>d</m:t>
                  </m:r>
                </m:sub>
                <m:sup>
                  <m:r>
                    <m:t>​</m:t>
                  </m:r>
                </m:sup>
                <m:e>
                  <m:sSub>
                    <m:e>
                      <m:r>
                        <m:t>w</m:t>
                      </m:r>
                    </m:e>
                    <m:sub>
                      <m:r>
                        <m:t>d</m:t>
                      </m:r>
                    </m:sub>
                  </m:sSub>
                </m:e>
              </m:nary>
              <m:r>
                <m:t> </m:t>
              </m:r>
              <m:sSub>
                <m:e>
                  <m:r>
                    <m:t>δ</m:t>
                  </m:r>
                </m:e>
                <m:sub>
                  <m:r>
                    <m:t>d</m:t>
                  </m:r>
                </m:sub>
              </m:sSub>
              <m:d>
                <m:dPr>
                  <m:begChr m:val="("/>
                  <m:sepChr m:val=""/>
                  <m:endChr m:val=")"/>
                  <m:grow/>
                </m:dPr>
                <m:e>
                  <m:r>
                    <m:t>C</m:t>
                  </m:r>
                </m:e>
              </m:d>
              <m:r>
                <m:rPr>
                  <m:sty m:val="p"/>
                </m:rPr>
                <m:t>≤</m:t>
              </m:r>
              <m:r>
                <m:t>ε</m:t>
              </m:r>
              <m:r>
                <m:rPr>
                  <m:sty m:val="p"/>
                </m:rPr>
                <m:t>,</m:t>
              </m:r>
              <m:r>
                <m:t> </m:t>
              </m:r>
              <m:r>
                <m:t>0</m:t>
              </m:r>
              <m:r>
                <m:rPr>
                  <m:sty m:val="p"/>
                </m:rPr>
                <m:t>≤</m:t>
              </m:r>
              <m:sSub>
                <m:e>
                  <m:r>
                    <m:t>w</m:t>
                  </m:r>
                </m:e>
                <m:sub>
                  <m:r>
                    <m:t>d</m:t>
                  </m:r>
                </m:sub>
              </m:sSub>
              <m:r>
                <m:rPr>
                  <m:sty m:val="p"/>
                </m:rPr>
                <m:t>≤</m:t>
              </m:r>
              <m:f>
                <m:fPr>
                  <m:type m:val="bar"/>
                </m:fPr>
                <m:num>
                  <m:r>
                    <m:t>1</m:t>
                  </m:r>
                </m:num>
                <m:den>
                  <m:r>
                    <m:t>N</m:t>
                  </m:r>
                </m:den>
              </m:f>
            </m:e>
          </m:d>
          <m:r>
            <m:rPr>
              <m:sty m:val="p"/>
            </m:rPr>
            <m:t>,</m:t>
          </m:r>
        </m:oMath>
      </m:oMathPara>
    </w:p>
    <w:p>
      <w:pPr>
        <w:pStyle w:val="FirstParagraph"/>
      </w:pPr>
      <w:r>
        <w:t xml:space="preserve">whose optimum removes the atoms with the smallest margins first. The probability stays at least</w:t>
      </w:r>
      <w:r>
        <w:t xml:space="preserve"> </w:t>
      </w:r>
      <m:oMath>
        <m:r>
          <m:t>ρ</m:t>
        </m:r>
      </m:oMath>
      <w:r>
        <w:t xml:space="preserve"> </w:t>
      </w:r>
      <w:r>
        <w:t xml:space="preserve">if and only if removing mass</w:t>
      </w:r>
      <w:r>
        <w:t xml:space="preserve"> </w:t>
      </w:r>
      <m:oMath>
        <m:r>
          <m:t>r</m:t>
        </m:r>
        <m:d>
          <m:dPr>
            <m:begChr m:val="("/>
            <m:sepChr m:val=""/>
            <m:endChr m:val=")"/>
            <m:grow/>
          </m:dPr>
          <m:e>
            <m:r>
              <m:t>C</m:t>
            </m:r>
          </m:e>
        </m:d>
        <m:r>
          <m:rPr>
            <m:sty m:val="p"/>
          </m:rPr>
          <m:t>/</m:t>
        </m:r>
        <m:r>
          <m:t>N</m:t>
        </m:r>
      </m:oMath>
      <w:r>
        <w:t xml:space="preserve">, i.e. the</w:t>
      </w:r>
      <w:r>
        <w:t xml:space="preserve"> </w:t>
      </w:r>
      <m:oMath>
        <m:r>
          <m:rPr>
            <m:sty m:val="p"/>
          </m:rPr>
          <m:t>⌊</m:t>
        </m:r>
        <m:r>
          <m:t>r</m:t>
        </m:r>
        <m:r>
          <m:rPr>
            <m:sty m:val="p"/>
          </m:rPr>
          <m:t>⌋</m:t>
        </m:r>
      </m:oMath>
      <w:r>
        <w:t xml:space="preserve"> </w:t>
      </w:r>
      <w:r>
        <w:t xml:space="preserve">atoms with the smallest margins and the fraction</w:t>
      </w:r>
      <w:r>
        <w:t xml:space="preserve"> </w:t>
      </w:r>
      <m:oMath>
        <m:r>
          <m:t>r</m:t>
        </m:r>
        <m:r>
          <m:rPr>
            <m:sty m:val="p"/>
          </m:rPr>
          <m:t>−</m:t>
        </m:r>
        <m:r>
          <m:rPr>
            <m:sty m:val="p"/>
          </m:rPr>
          <m:t>⌊</m:t>
        </m:r>
        <m:r>
          <m:t>r</m:t>
        </m:r>
        <m:r>
          <m:rPr>
            <m:sty m:val="p"/>
          </m:rPr>
          <m:t>⌋</m:t>
        </m:r>
      </m:oMath>
      <w:r>
        <w:t xml:space="preserve"> </w:t>
      </w:r>
      <w:r>
        <w:t xml:space="preserve">of the next one, costs at least</w:t>
      </w:r>
      <w:r>
        <w:t xml:space="preserve"> </w:t>
      </w:r>
      <m:oMath>
        <m:r>
          <m:t>ε</m:t>
        </m:r>
      </m:oMath>
      <w:r>
        <w:t xml:space="preserve">, which is (17). For</w:t>
      </w:r>
      <w:r>
        <w:t xml:space="preserve"> </w:t>
      </w:r>
      <m:oMath>
        <m:r>
          <m:t>ε</m:t>
        </m:r>
        <m:r>
          <m:rPr>
            <m:sty m:val="p"/>
          </m:rPr>
          <m:t>=</m:t>
        </m:r>
        <m:r>
          <m:t>0</m:t>
        </m:r>
      </m:oMath>
      <w:r>
        <w:t xml:space="preserve"> </w:t>
      </w:r>
      <w:r>
        <w:t xml:space="preserve">the condition reduces to</w:t>
      </w:r>
      <w:r>
        <w:t xml:space="preserve"> </w:t>
      </w:r>
      <m:oMath>
        <m:r>
          <m:t>n</m:t>
        </m:r>
        <m:d>
          <m:dPr>
            <m:begChr m:val="("/>
            <m:sepChr m:val=""/>
            <m:endChr m:val=")"/>
            <m:grow/>
          </m:dPr>
          <m:e>
            <m:r>
              <m:t>C</m:t>
            </m:r>
          </m:e>
        </m:d>
        <m:r>
          <m:rPr>
            <m:sty m:val="p"/>
          </m:rPr>
          <m:t>≥</m:t>
        </m:r>
        <m:r>
          <m:t>ρ</m:t>
        </m:r>
        <m:r>
          <m:t>N</m:t>
        </m:r>
      </m:oMath>
      <w:r>
        <w:t xml:space="preserve">, the sample-average constraint.</w:t>
      </w:r>
      <w:r>
        <w:t xml:space="preserve"> </w:t>
      </w:r>
      <m:oMath>
        <m:sSub>
          <m:e>
            <m:r>
              <m:t>Φ</m:t>
            </m:r>
          </m:e>
          <m:sub>
            <m:r>
              <m:t>ρ</m:t>
            </m:r>
          </m:sub>
        </m:sSub>
        <m:d>
          <m:dPr>
            <m:begChr m:val="("/>
            <m:sepChr m:val=""/>
            <m:endChr m:val=")"/>
            <m:grow/>
          </m:dPr>
          <m:e>
            <m:r>
              <m:t>C</m:t>
            </m:r>
          </m:e>
        </m:d>
      </m:oMath>
      <w:r>
        <w:t xml:space="preserve"> </w:t>
      </w:r>
      <w:r>
        <w:t xml:space="preserve">is non-increasing in</w:t>
      </w:r>
      <w:r>
        <w:t xml:space="preserve"> </w:t>
      </w:r>
      <m:oMath>
        <m:r>
          <m:t>C</m:t>
        </m:r>
      </m:oMath>
      <w:r>
        <w:t xml:space="preserve">, because</w:t>
      </w:r>
      <w:r>
        <w:t xml:space="preserve"> </w:t>
      </w:r>
      <m:oMath>
        <m:r>
          <m:t>n</m:t>
        </m:r>
        <m:d>
          <m:dPr>
            <m:begChr m:val="("/>
            <m:sepChr m:val=""/>
            <m:endChr m:val=")"/>
            <m:grow/>
          </m:dPr>
          <m:e>
            <m:r>
              <m:t>C</m:t>
            </m:r>
          </m:e>
        </m:d>
      </m:oMath>
      <w:r>
        <w:t xml:space="preserve"> </w:t>
      </w:r>
      <w:r>
        <w:t xml:space="preserve">and all margins decrease with</w:t>
      </w:r>
      <w:r>
        <w:t xml:space="preserve"> </w:t>
      </w:r>
      <m:oMath>
        <m:r>
          <m:t>C</m:t>
        </m:r>
      </m:oMath>
      <w:r>
        <w:t xml:space="preserve">, so the feasible commitments form a lower set and</w:t>
      </w:r>
      <w:r>
        <w:t xml:space="preserve"> </w:t>
      </w:r>
      <m:oMath>
        <m:sSubSup>
          <m:e>
            <m:r>
              <m:t>C</m:t>
            </m:r>
          </m:e>
          <m:sub>
            <m:r>
              <m:t>ρ</m:t>
            </m:r>
          </m:sub>
          <m:sup>
            <m:r>
              <m:t>D</m:t>
            </m:r>
            <m:r>
              <m:t>R</m:t>
            </m:r>
            <m:r>
              <m:t>O</m:t>
            </m:r>
          </m:sup>
        </m:sSubSup>
        <m:d>
          <m:dPr>
            <m:begChr m:val="("/>
            <m:sepChr m:val=""/>
            <m:endChr m:val=")"/>
            <m:grow/>
          </m:dPr>
          <m:e>
            <m:r>
              <m:t>ε</m:t>
            </m:r>
          </m:e>
        </m:d>
      </m:oMath>
      <w:r>
        <w:t xml:space="preserve"> </w:t>
      </w:r>
      <w:r>
        <w:t xml:space="preserve">is non-increasing in</w:t>
      </w:r>
      <w:r>
        <w:t xml:space="preserve"> </w:t>
      </w:r>
      <m:oMath>
        <m:r>
          <m:t>ε</m:t>
        </m:r>
      </m:oMath>
      <w:r>
        <w:t xml:space="preserve">. When the atoms just above</w:t>
      </w:r>
      <w:r>
        <w:t xml:space="preserve"> </w:t>
      </w:r>
      <m:oMath>
        <m:r>
          <m:t>C</m:t>
        </m:r>
      </m:oMath>
      <w:r>
        <w:t xml:space="preserve"> </w:t>
      </w:r>
      <w:r>
        <w:t xml:space="preserve">have large margins,</w:t>
      </w:r>
      <w:r>
        <w:t xml:space="preserve"> </w:t>
      </w:r>
      <m:oMath>
        <m:sSub>
          <m:e>
            <m:r>
              <m:t>Φ</m:t>
            </m:r>
          </m:e>
          <m:sub>
            <m:r>
              <m:t>ρ</m:t>
            </m:r>
          </m:sub>
        </m:sSub>
        <m:d>
          <m:dPr>
            <m:begChr m:val="("/>
            <m:sepChr m:val=""/>
            <m:endChr m:val=")"/>
            <m:grow/>
          </m:dPr>
          <m:e>
            <m:r>
              <m:t>C</m:t>
            </m:r>
          </m:e>
        </m:d>
      </m:oMath>
      <w:r>
        <w:t xml:space="preserve"> </w:t>
      </w:r>
      <w:r>
        <w:t xml:space="preserve">is large and a moderate radius does not change the commitment. ∎</w:t>
      </w:r>
    </w:p>
    <w:p>
      <w:pPr>
        <w:pStyle w:val="BodyText"/>
      </w:pPr>
      <w:r>
        <w:t xml:space="preserve">If the radius exceeds the finite-sample concentration radius</w:t>
      </w:r>
      <w:r>
        <w:t xml:space="preserve"> </w:t>
      </w:r>
      <m:oMath>
        <m:sSub>
          <m:e>
            <m:r>
              <m:t>ε</m:t>
            </m:r>
          </m:e>
          <m:sub>
            <m:r>
              <m:t>N</m:t>
            </m:r>
            <m:r>
              <m:rPr>
                <m:sty m:val="p"/>
              </m:rPr>
              <m:t>,</m:t>
            </m:r>
            <m:r>
              <m:t>β</m:t>
            </m:r>
          </m:sub>
        </m:sSub>
      </m:oMath>
      <w:r>
        <w:t xml:space="preserve"> </w:t>
      </w:r>
      <w:r>
        <w:t xml:space="preserve">of the 1-Wasserstein distance [26], the true capability distribution lies in</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oMath>
      <w:r>
        <w:t xml:space="preserve"> </w:t>
      </w:r>
      <w:r>
        <w:t xml:space="preserve">with confidence</w:t>
      </w:r>
      <w:r>
        <w:t xml:space="preserve"> </w:t>
      </w:r>
      <m:oMath>
        <m:r>
          <m:t>1</m:t>
        </m:r>
        <m:r>
          <m:rPr>
            <m:sty m:val="p"/>
          </m:rPr>
          <m:t>−</m:t>
        </m:r>
        <m:r>
          <m:t>β</m:t>
        </m:r>
      </m:oMath>
      <w:r>
        <w:t xml:space="preserve"> </w:t>
      </w:r>
      <w:r>
        <w:t xml:space="preserve">and the commitment</w:t>
      </w:r>
      <w:r>
        <w:t xml:space="preserve"> </w:t>
      </w:r>
      <m:oMath>
        <m:sSubSup>
          <m:e>
            <m:r>
              <m:t>C</m:t>
            </m:r>
          </m:e>
          <m:sub>
            <m:r>
              <m:t>ρ</m:t>
            </m:r>
          </m:sub>
          <m:sup>
            <m:r>
              <m:t>D</m:t>
            </m:r>
            <m:r>
              <m:t>R</m:t>
            </m:r>
            <m:r>
              <m:t>O</m:t>
            </m:r>
          </m:sup>
        </m:sSubSup>
      </m:oMath>
      <w:r>
        <w:t xml:space="preserve"> </w:t>
      </w:r>
      <w:r>
        <w:t xml:space="preserve">is delivered in full with probability at least</w:t>
      </w:r>
      <w:r>
        <w:t xml:space="preserve"> </w:t>
      </w:r>
      <m:oMath>
        <m:r>
          <m:t>ρ</m:t>
        </m:r>
      </m:oMath>
      <w:r>
        <w:t xml:space="preserve">. Such radii are conservative for</w:t>
      </w:r>
      <w:r>
        <w:t xml:space="preserve"> </w:t>
      </w:r>
      <m:oMath>
        <m:r>
          <m:t>N</m:t>
        </m:r>
        <m:r>
          <m:rPr>
            <m:sty m:val="p"/>
          </m:rPr>
          <m:t>=</m:t>
        </m:r>
        <m:r>
          <m:t>14</m:t>
        </m:r>
      </m:oMath>
      <w:r>
        <w:t xml:space="preserve">; the case study uses the expected estimation error (18), which scales with the dispersion of the capability, and checks it by leave-one-out validation.</w:t>
      </w:r>
    </w:p>
    <w:p>
      <w:pPr>
        <w:pStyle w:val="BodyText"/>
      </w:pPr>
      <w:r>
        <w:rPr>
          <w:bCs/>
          <w:b/>
        </w:rPr>
        <w:t xml:space="preserve">Remark B.1 (single channel price).</w:t>
      </w:r>
      <w:r>
        <w:t xml:space="preserve"> </w:t>
      </w:r>
      <w:r>
        <w:t xml:space="preserve">For the joint model with fixed binaries, let</w:t>
      </w:r>
      <w:r>
        <w:t xml:space="preserve"> </w:t>
      </w:r>
      <m:oMath>
        <m:sSub>
          <m:e>
            <m:r>
              <m:t>λ</m:t>
            </m:r>
          </m:e>
          <m:sub>
            <m:r>
              <m:t>t</m:t>
            </m:r>
          </m:sub>
        </m:sSub>
      </m:oMath>
      <w:r>
        <w:t xml:space="preserve"> </w:t>
      </w:r>
      <w:r>
        <w:t xml:space="preserve">be the dual of the electric balance,</w:t>
      </w:r>
      <w:r>
        <w:t xml:space="preserve"> </w:t>
      </w:r>
      <m:oMath>
        <m:sSub>
          <m:e>
            <m:r>
              <m:t>ν</m:t>
            </m:r>
          </m:e>
          <m:sub>
            <m:r>
              <m:t>t</m:t>
            </m:r>
          </m:sub>
        </m:sSub>
      </m:oMath>
      <w:r>
        <w:t xml:space="preserve"> </w:t>
      </w:r>
      <w:r>
        <w:t xml:space="preserve">that of the BESS energy equation and</w:t>
      </w:r>
      <w:r>
        <w:t xml:space="preserve"> </w:t>
      </w:r>
      <m:oMath>
        <m:sSub>
          <m:e>
            <m:r>
              <m:t>μ</m:t>
            </m:r>
          </m:e>
          <m:sub>
            <m:r>
              <m:t>c</m:t>
            </m:r>
            <m:r>
              <m:rPr>
                <m:sty m:val="p"/>
              </m:rPr>
              <m:t>,</m:t>
            </m:r>
            <m:r>
              <m:t>t</m:t>
            </m:r>
          </m:sub>
        </m:sSub>
      </m:oMath>
      <w:r>
        <w:t xml:space="preserve"> </w:t>
      </w:r>
      <w:r>
        <w:t xml:space="preserve">that of the backlog equation of class</w:t>
      </w:r>
      <w:r>
        <w:t xml:space="preserve"> </w:t>
      </w:r>
      <m:oMath>
        <m:r>
          <m:t>c</m:t>
        </m:r>
      </m:oMath>
      <w:r>
        <w:t xml:space="preserve">. The KKT conditions give</w:t>
      </w:r>
      <w:r>
        <w:t xml:space="preserve"> </w:t>
      </w:r>
      <m:oMath>
        <m:sSub>
          <m:e>
            <m:r>
              <m:t>λ</m:t>
            </m:r>
          </m:e>
          <m:sub>
            <m:r>
              <m:t>t</m:t>
            </m:r>
          </m:sub>
        </m:sSub>
        <m:r>
          <m:rPr>
            <m:sty m:val="p"/>
          </m:rPr>
          <m:t>=</m:t>
        </m:r>
        <m:sSub>
          <m:e>
            <m:r>
              <m:t>π</m:t>
            </m:r>
          </m:e>
          <m:sub>
            <m:r>
              <m:t>t</m:t>
            </m:r>
          </m:sub>
        </m:sSub>
        <m:r>
          <m:rPr>
            <m:sty m:val="p"/>
          </m:rPr>
          <m:t>+</m:t>
        </m:r>
        <m:sSubSup>
          <m:e>
            <m:r>
              <m:t>λ</m:t>
            </m:r>
          </m:e>
          <m:sub>
            <m:r>
              <m:t>t</m:t>
            </m:r>
          </m:sub>
          <m:sup>
            <m:r>
              <m:t>c</m:t>
            </m:r>
            <m:r>
              <m:t>a</m:t>
            </m:r>
            <m:r>
              <m:t>p</m:t>
            </m:r>
          </m:sup>
        </m:sSubSup>
        <m:r>
          <m:rPr>
            <m:sty m:val="p"/>
          </m:rPr>
          <m:t>+</m:t>
        </m:r>
        <m:sSubSup>
          <m:e>
            <m:r>
              <m:t>λ</m:t>
            </m:r>
          </m:e>
          <m:sub>
            <m:r>
              <m:t>t</m:t>
            </m:r>
          </m:sub>
          <m:sup>
            <m:r>
              <m:t>e</m:t>
            </m:r>
            <m:r>
              <m:t>v</m:t>
            </m:r>
          </m:sup>
        </m:sSubSup>
      </m:oMath>
      <w:r>
        <w:t xml:space="preserve"> </w:t>
      </w:r>
      <w:r>
        <w:t xml:space="preserve">when the import is interior,</w:t>
      </w:r>
      <w:r>
        <w:t xml:space="preserve"> </w:t>
      </w:r>
      <m:oMath>
        <m:sSub>
          <m:e>
            <m:r>
              <m:t>η</m:t>
            </m:r>
          </m:e>
          <m:sub>
            <m:r>
              <m:t>c</m:t>
            </m:r>
          </m:sub>
        </m:sSub>
        <m:sSub>
          <m:e>
            <m:r>
              <m:t>ν</m:t>
            </m:r>
          </m:e>
          <m:sub>
            <m:r>
              <m:t>t</m:t>
            </m:r>
          </m:sub>
        </m:sSub>
        <m:r>
          <m:rPr>
            <m:sty m:val="p"/>
          </m:rPr>
          <m:t>=</m:t>
        </m:r>
        <m:sSub>
          <m:e>
            <m:r>
              <m:t>λ</m:t>
            </m:r>
          </m:e>
          <m:sub>
            <m:r>
              <m:t>t</m:t>
            </m:r>
          </m:sub>
        </m:sSub>
        <m:r>
          <m:rPr>
            <m:sty m:val="p"/>
          </m:rPr>
          <m:t>+</m:t>
        </m:r>
        <m:sSup>
          <m:e>
            <m:r>
              <m:t>c</m:t>
            </m:r>
          </m:e>
          <m:sup>
            <m:r>
              <m:t>d</m:t>
            </m:r>
            <m:r>
              <m:t>e</m:t>
            </m:r>
            <m:r>
              <m:t>g</m:t>
            </m:r>
          </m:sup>
        </m:sSup>
      </m:oMath>
      <w:r>
        <w:t xml:space="preserve"> </w:t>
      </w:r>
      <w:r>
        <w:t xml:space="preserve">for interior charging and</w:t>
      </w:r>
      <w:r>
        <w:t xml:space="preserve"> </w:t>
      </w:r>
      <m:oMath>
        <m:sSub>
          <m:e>
            <m:r>
              <m:t>μ</m:t>
            </m:r>
          </m:e>
          <m:sub>
            <m:r>
              <m:t>c</m:t>
            </m:r>
            <m:r>
              <m:rPr>
                <m:sty m:val="p"/>
              </m:rPr>
              <m:t>,</m:t>
            </m:r>
            <m:r>
              <m:t>t</m:t>
            </m:r>
          </m:sub>
        </m:sSub>
        <m:r>
          <m:rPr>
            <m:sty m:val="p"/>
          </m:rPr>
          <m:t>=</m:t>
        </m:r>
        <m:sSub>
          <m:e>
            <m:r>
              <m:t>ε</m:t>
            </m:r>
          </m:e>
          <m:sub>
            <m:r>
              <m:t>t</m:t>
            </m:r>
          </m:sub>
        </m:sSub>
        <m:sSub>
          <m:e>
            <m:r>
              <m:t>λ</m:t>
            </m:r>
          </m:e>
          <m:sub>
            <m:r>
              <m:t>t</m:t>
            </m:r>
          </m:sub>
        </m:sSub>
      </m:oMath>
      <w:r>
        <w:t xml:space="preserve"> </w:t>
      </w:r>
      <w:r>
        <w:t xml:space="preserve">for interior execution. When catch-up and recharge are both interior,</w:t>
      </w:r>
      <w:r>
        <w:t xml:space="preserve"> </w:t>
      </w:r>
      <m:oMath>
        <m:sSub>
          <m:e>
            <m:r>
              <m:t>μ</m:t>
            </m:r>
          </m:e>
          <m:sub>
            <m:r>
              <m:t>c</m:t>
            </m:r>
            <m:r>
              <m:rPr>
                <m:sty m:val="p"/>
              </m:rPr>
              <m:t>,</m:t>
            </m:r>
            <m:r>
              <m:t>t</m:t>
            </m:r>
          </m:sub>
        </m:sSub>
        <m:r>
          <m:rPr>
            <m:sty m:val="p"/>
          </m:rPr>
          <m:t>/</m:t>
        </m:r>
        <m:sSub>
          <m:e>
            <m:r>
              <m:t>ε</m:t>
            </m:r>
          </m:e>
          <m:sub>
            <m:r>
              <m:t>t</m:t>
            </m:r>
          </m:sub>
        </m:sSub>
        <m:r>
          <m:rPr>
            <m:sty m:val="p"/>
          </m:rPr>
          <m:t>=</m:t>
        </m:r>
        <m:sSub>
          <m:e>
            <m:r>
              <m:t>λ</m:t>
            </m:r>
          </m:e>
          <m:sub>
            <m:r>
              <m:t>t</m:t>
            </m:r>
          </m:sub>
        </m:sSub>
        <m:r>
          <m:rPr>
            <m:sty m:val="p"/>
          </m:rPr>
          <m:t>=</m:t>
        </m:r>
        <m:sSub>
          <m:e>
            <m:r>
              <m:t>η</m:t>
            </m:r>
          </m:e>
          <m:sub>
            <m:r>
              <m:t>c</m:t>
            </m:r>
          </m:sub>
        </m:sSub>
        <m:sSub>
          <m:e>
            <m:r>
              <m:t>ν</m:t>
            </m:r>
          </m:e>
          <m:sub>
            <m:r>
              <m:t>t</m:t>
            </m:r>
          </m:sub>
        </m:sSub>
        <m:r>
          <m:rPr>
            <m:sty m:val="p"/>
          </m:rPr>
          <m:t>−</m:t>
        </m:r>
        <m:sSup>
          <m:e>
            <m:r>
              <m:t>c</m:t>
            </m:r>
          </m:e>
          <m:sup>
            <m:r>
              <m:t>d</m:t>
            </m:r>
            <m:r>
              <m:t>e</m:t>
            </m:r>
            <m:r>
              <m:t>g</m:t>
            </m:r>
          </m:sup>
        </m:sSup>
      </m:oMath>
      <w:r>
        <w:t xml:space="preserve">: one channel price values both debts. Independent recovery schedules catch-up against</w:t>
      </w:r>
      <w:r>
        <w:t xml:space="preserve"> </w:t>
      </w:r>
      <m:oMath>
        <m:sSub>
          <m:e>
            <m:r>
              <m:t>π</m:t>
            </m:r>
          </m:e>
          <m:sub>
            <m:r>
              <m:t>t</m:t>
            </m:r>
          </m:sub>
        </m:sSub>
      </m:oMath>
      <w:r>
        <w:t xml:space="preserve"> </w:t>
      </w:r>
      <w:r>
        <w:t xml:space="preserve">or its own share, ignores</w:t>
      </w:r>
      <w:r>
        <w:t xml:space="preserve"> </w:t>
      </w:r>
      <m:oMath>
        <m:sSubSup>
          <m:e>
            <m:r>
              <m:t>λ</m:t>
            </m:r>
          </m:e>
          <m:sub>
            <m:r>
              <m:t>t</m:t>
            </m:r>
          </m:sub>
          <m:sup>
            <m:r>
              <m:t>c</m:t>
            </m:r>
            <m:r>
              <m:t>a</m:t>
            </m:r>
            <m:r>
              <m:t>p</m:t>
            </m:r>
          </m:sup>
        </m:sSubSup>
      </m:oMath>
      <w:r>
        <w:t xml:space="preserve"> </w:t>
      </w:r>
      <w:r>
        <w:t xml:space="preserve">and breaks this equality; IR-P restores the price part with a day-ahead signal but neither updates it with the realised state nor resolves the non-uniqueness of the IT response at that price (supplementary Fig. S7).</w:t>
      </w:r>
    </w:p>
    <w:bookmarkEnd w:id="97"/>
    <w:bookmarkStart w:id="98" w:name="references"/>
    <w:p>
      <w:pPr>
        <w:pStyle w:val="Heading1"/>
      </w:pPr>
      <w:r>
        <w:t xml:space="preserve">References</w:t>
      </w:r>
    </w:p>
    <w:p>
      <w:pPr>
        <w:pStyle w:val="Bibliography"/>
      </w:pPr>
      <w:r>
        <w:t xml:space="preserve">[1] IEA. Energy and AI. Paris: International Energy Agency; 2025.</w:t>
      </w:r>
    </w:p>
    <w:p>
      <w:pPr>
        <w:pStyle w:val="Bibliography"/>
      </w:pPr>
      <w:r>
        <w:t xml:space="preserve">[2] Shehabi A, Smith SJ, Hubbard A, Newkirk A, Lei N, Siddik MAB, et al. 2024 United States Data Center Energy Usage Report. Berkeley: Lawrence Berkeley National Laboratory; 2024.</w:t>
      </w:r>
    </w:p>
    <w:p>
      <w:pPr>
        <w:pStyle w:val="Bibliography"/>
      </w:pPr>
      <w:r>
        <w:t xml:space="preserve">[3] Norris TH, Profeta T, Patiño-Echeverri D, Cowie-Haskell A. Rethinking load growth: assessing the potential for integration of large flexible loads in US power systems. Durham: Nicholas Institute for Energy, Environment &amp; Sustainability, Duke University; 2025.</w:t>
      </w:r>
    </w:p>
    <w:p>
      <w:pPr>
        <w:pStyle w:val="Bibliography"/>
      </w:pPr>
      <w:r>
        <w:t xml:space="preserve">[4] Colangelo P, Coskun AK, Megrue J, et al. Turning AI data centers into grid-interactive assets: results from a field demonstration in Phoenix, Arizona. arXiv:2507.00909; 2025.</w:t>
      </w:r>
    </w:p>
    <w:p>
      <w:pPr>
        <w:pStyle w:val="Bibliography"/>
      </w:pPr>
      <w:r>
        <w:t xml:space="preserve">[5] Google. Demand response agreements with Indiana Michigan Power and the Tennessee Valley Authority targeting machine-learning workloads. Google blog, 4 August 2025.</w:t>
      </w:r>
    </w:p>
    <w:p>
      <w:pPr>
        <w:pStyle w:val="Bibliography"/>
      </w:pPr>
      <w:r>
        <w:t xml:space="preserve">[6] Jiangsu Provincial Development and Reform Commission. Implementation rules for electricity demand response in Jiangsu Province (effective 14 July 2024). Nanjing; 2024 (in Chinese).</w:t>
      </w:r>
    </w:p>
    <w:p>
      <w:pPr>
        <w:pStyle w:val="Bibliography"/>
      </w:pPr>
      <w:r>
        <w:t xml:space="preserve">[7] Liu Z, Wierman A, Chen Y, Razon B, Chen N. Data center demand response: avoiding the coincident peak via workload shifting and local generation. Performance Evaluation 2013;70(10):770–791.</w:t>
      </w:r>
    </w:p>
    <w:p>
      <w:pPr>
        <w:pStyle w:val="Bibliography"/>
      </w:pPr>
      <w:r>
        <w:t xml:space="preserve">[8] Wierman A, Liu Z, Liu I, Mohsenian-Rad H. Opportunities and challenges for data center demand response. In: International Green Computing Conference (IGCC); 2014.</w:t>
      </w:r>
    </w:p>
    <w:p>
      <w:pPr>
        <w:pStyle w:val="Bibliography"/>
      </w:pPr>
      <w:r>
        <w:t xml:space="preserve">[9] Chen M, Gao C, Song M, et al. Internet data centers participating in demand response: a comprehensive review. Renewable and Sustainable Energy Reviews 2020;117:109466.</w:t>
      </w:r>
    </w:p>
    <w:p>
      <w:pPr>
        <w:pStyle w:val="Bibliography"/>
      </w:pPr>
      <w:r>
        <w:t xml:space="preserve">[10] Acun F, Hankendi C, Levine E, Reynolds H, Bardwick J, Coskun AK. Investigating power consumption flexibility of AI data centers for demand response participation. In: 17th ACM International Conference on Future and Sustainable Energy Systems (e-Energy); 2026, p. 344–348.</w:t>
      </w:r>
    </w:p>
    <w:p>
      <w:pPr>
        <w:pStyle w:val="Bibliography"/>
      </w:pPr>
      <w:r>
        <w:t xml:space="preserve">[11] Du B, Fan X, Du E, Chen L, Han J, Hou Q, Zhang N, Kang C. From tokens to energy flexibility: quantization-enabled demand response for data centers with LLM inference workloads. arXiv:2606.18851; 2026.</w:t>
      </w:r>
    </w:p>
    <w:p>
      <w:pPr>
        <w:pStyle w:val="Bibliography"/>
      </w:pPr>
      <w:r>
        <w:t xml:space="preserve">[12] Chen Y, Zheng X. To defer or to shift? The role of AI data center flexibility on grid interconnection. arXiv:2604.05376; 2026.</w:t>
      </w:r>
    </w:p>
    <w:p>
      <w:pPr>
        <w:pStyle w:val="Bibliography"/>
      </w:pPr>
      <w:r>
        <w:t xml:space="preserve">[13] Williams C, Colangelo P, Coskun AK, et al. Power-flexible AI data centers: a new paradigm for grid-responsive compute. arXiv:2606.25098; 2026.</w:t>
      </w:r>
    </w:p>
    <w:p>
      <w:pPr>
        <w:pStyle w:val="Bibliography"/>
      </w:pPr>
      <w:r>
        <w:t xml:space="preserve">[14] Zhou Y, Wei F, Li S, Wang Z, Liu J, Yu D. Data center load modeling through optimal energy consumption characteristics: a path to simultaneously enhance energy efficiency and demand response quality. Applied Energy 2025;393:126095.</w:t>
      </w:r>
    </w:p>
    <w:p>
      <w:pPr>
        <w:pStyle w:val="Bibliography"/>
      </w:pPr>
      <w:r>
        <w:t xml:space="preserve">[15] Chen C, Ye C, Ding Y, Xiong K, Tang X. Exploring the demand response potential of liquid-cooled data centers. Applied Energy 2026;412:127679.</w:t>
      </w:r>
    </w:p>
    <w:p>
      <w:pPr>
        <w:pStyle w:val="Bibliography"/>
      </w:pPr>
      <w:r>
        <w:t xml:space="preserve">[16] Han O, Ding T, Yang M, et al. A novel 4-level joint optimal dispatch for demand response of data centers with district autonomy realization. Applied Energy 2024;358:122590.</w:t>
      </w:r>
    </w:p>
    <w:p>
      <w:pPr>
        <w:pStyle w:val="Bibliography"/>
      </w:pPr>
      <w:r>
        <w:t xml:space="preserve">[17] Lin J, Han J, Wang Y, et al. Planning and operation optimization of a low-carbon data-center computing integrated energy system considering exergy efficiency. Journal of Shanghai Jiao Tong University 2025;59(9):1327–1337 (in Chinese).</w:t>
      </w:r>
    </w:p>
    <w:p>
      <w:pPr>
        <w:pStyle w:val="Bibliography"/>
      </w:pPr>
      <w:r>
        <w:t xml:space="preserve">[18] Fan H, Chen S, Luo H, et al. Optimal operation of data centers considering multi-energy complementarity of cooling, heating and power and spatio-temporal adjustable loads. Southern Power System Technology 2026;20(5):28–36 (in Chinese).</w:t>
      </w:r>
    </w:p>
    <w:p>
      <w:pPr>
        <w:pStyle w:val="Bibliography"/>
      </w:pPr>
      <w:r>
        <w:t xml:space="preserve">[19] Zhang S, Ding S, Li Y, Wei M, Tan Q. A bi-level planning model of integrated energy capacity configuration for data center cluster considering computing-electricity coupling operation and supply-demand uncertainties. Applied Energy 2026;425:128499.</w:t>
      </w:r>
    </w:p>
    <w:p>
      <w:pPr>
        <w:pStyle w:val="Bibliography"/>
      </w:pPr>
      <w:r>
        <w:t xml:space="preserve">[20] Lu X, Qiu J, Lin J, An S, Sun M, Zhao J. Battery-assisted operation of hyperscale AI data centers under connect-and-manage interconnection practices. arXiv:2605.14105; 2026.</w:t>
      </w:r>
    </w:p>
    <w:p>
      <w:pPr>
        <w:pStyle w:val="Bibliography"/>
      </w:pPr>
      <w:r>
        <w:t xml:space="preserve">[21] Yu Y, Shan K, Li H, Wang S. Quantitative impacts of energy system flexibility provision and design/operation on data center reliability and the key influential parameters. Applied Energy 2026;415:127904.</w:t>
      </w:r>
    </w:p>
    <w:p>
      <w:pPr>
        <w:pStyle w:val="Bibliography"/>
      </w:pPr>
      <w:r>
        <w:t xml:space="preserve">[22] Hao H, Sanandaji BM, Poolla K, Vincent TL. Aggregate flexibility of thermostatically controlled loads. IEEE Transactions on Power Systems 2015;30(1):189–198.</w:t>
      </w:r>
    </w:p>
    <w:p>
      <w:pPr>
        <w:pStyle w:val="Bibliography"/>
      </w:pPr>
      <w:r>
        <w:t xml:space="preserve">[23] Evans MP, Tindemans SH, Angeli D. Flexibility framework with recovery guarantees for aggregated energy storage devices. IEEE Transactions on Smart Grid 2022;13(5):3519–3531.</w:t>
      </w:r>
    </w:p>
    <w:p>
      <w:pPr>
        <w:pStyle w:val="Bibliography"/>
      </w:pPr>
      <w:r>
        <w:t xml:space="preserve">[24] Li M. Beyond scalar flexibility: from eligible AI workloads to dependable load relief. arXiv:2609.05406; 2026.</w:t>
      </w:r>
    </w:p>
    <w:p>
      <w:pPr>
        <w:pStyle w:val="Bibliography"/>
      </w:pPr>
      <w:r>
        <w:t xml:space="preserve">[25] Schildbach G, Fagiano L, Frei C, Morari M. The scenario approach for stochastic model predictive control with bounds on closed-loop constraint violations. Automatica 2014;50(12):3009–3018.</w:t>
      </w:r>
    </w:p>
    <w:p>
      <w:pPr>
        <w:pStyle w:val="Bibliography"/>
      </w:pPr>
      <w:r>
        <w:t xml:space="preserve">[26] Mohajerin Esfahani P, Kuhn D. Data-driven distributionally robust optimization using the Wasserstein metric: performance guarantees and tractable reformulations. Mathematical Programming 2018;171:115–166.</w:t>
      </w:r>
    </w:p>
    <w:p>
      <w:pPr>
        <w:pStyle w:val="Bibliography"/>
      </w:pPr>
      <w:r>
        <w:t xml:space="preserve">[27] Duan C, Fang W, Jiang L, Yao L, Liu J. Distributionally robust chance-constrained approximate AC-OPF with Wasserstein metric. IEEE Transactions on Power Systems 2018;33(5):4924–4936.</w:t>
      </w:r>
    </w:p>
    <w:p>
      <w:pPr>
        <w:pStyle w:val="Bibliography"/>
      </w:pPr>
      <w:r>
        <w:t xml:space="preserve">[28] Zeng B, Zhao L. Solving two-stage robust optimization problems using a column-and-constraint generation method. Operations Research Letters 2013;41(5):457–461.</w:t>
      </w:r>
    </w:p>
    <w:p>
      <w:pPr>
        <w:pStyle w:val="Bibliography"/>
      </w:pPr>
      <w:r>
        <w:t xml:space="preserve">[29] del Barrio E, Giné E, Matrán C. Central limit theorems for the Wasserstein distance between the empirical and the true distributions. The Annals of Probability 1999;27(2):1009–1071.</w:t>
      </w:r>
    </w:p>
    <w:p>
      <w:pPr>
        <w:pStyle w:val="Bibliography"/>
      </w:pPr>
      <w:r>
        <w:t xml:space="preserve">[30] Weng Q, Xiao W, Yu Y, et al. MLaaS in the wild: workload analysis and scheduling in large-scale heterogeneous GPU clusters. In: 19th USENIX Symposium on Networked Systems Design and Implementation (NSDI); 2022.</w:t>
      </w:r>
    </w:p>
    <w:p>
      <w:pPr>
        <w:pStyle w:val="Bibliography"/>
      </w:pPr>
      <w:r>
        <w:t xml:space="preserve">[31] Stojkovic J, Zhang C, Goiri Í, Torrellas J, Choukse E. DynamoLLM: designing LLM inference clusters for performance and energy efficiency. In: IEEE International Symposium on High-Performance Computer Architecture (HPCA); 2025.</w:t>
      </w:r>
    </w:p>
    <w:p>
      <w:pPr>
        <w:pStyle w:val="Bibliography"/>
      </w:pPr>
      <w:r>
        <w:t xml:space="preserve">[32] Chao H. Demand response in wholesale electricity markets: the choice of customer baseline. Journal of Regulatory Economics 2011;39(1):68–88.</w:t>
      </w:r>
    </w:p>
    <w:p>
      <w:pPr>
        <w:pStyle w:val="Bibliography"/>
      </w:pPr>
      <w:r>
        <w:t xml:space="preserve">[33] Latif I, Newkirk AC, Carbone MR, et al. Empirical measurements of AI training power demand on a GPU-accelerated node. arXiv:2412.08602; 2024.</w:t>
      </w:r>
    </w:p>
    <w:p>
      <w:pPr>
        <w:pStyle w:val="Bibliography"/>
      </w:pPr>
      <w:r>
        <w:t xml:space="preserve">[34] Fan X, Weber W-D, Barroso LA. Power provisioning for a warehouse-sized computer. In: 34th International Symposium on Computer Architecture (ISCA); 2007.</w:t>
      </w:r>
    </w:p>
    <w:p>
      <w:pPr>
        <w:pStyle w:val="Bibliography"/>
      </w:pPr>
      <w:r>
        <w:t xml:space="preserve">[35] Patel P, Choukse E, Zhang C, et al. Characterizing power management opportunities for LLMs in the cloud. In: ACM International Conference on Architectural Support for Programming Languages and Operating Systems (ASPLOS); 2024, p. 207–222.</w:t>
      </w:r>
    </w:p>
    <w:p>
      <w:pPr>
        <w:pStyle w:val="Bibliography"/>
      </w:pPr>
      <w:r>
        <w:t xml:space="preserve">[36] Xu B, Zhao J, Zheng T, Litvinov E, Kirschen DS. Factoring the cycle aging cost of batteries participating in electricity markets. IEEE Transactions on Power Systems 2018;33(2):2248–2259.</w:t>
      </w:r>
    </w:p>
    <w:p>
      <w:pPr>
        <w:pStyle w:val="Bibliography"/>
      </w:pPr>
      <w:r>
        <w:t xml:space="preserve">[37] Dobos AP. PVWatts version 5 manual. NREL/TP-6A20-62641. Golden: National Renewable Energy Laboratory; 2014.</w:t>
      </w:r>
    </w:p>
    <w:p>
      <w:pPr>
        <w:pStyle w:val="Bibliography"/>
      </w:pPr>
      <w:r>
        <w:t xml:space="preserve">[38] General Office of the National Development and Reform Commission. Notice on improving the implementation of the capacity charge for two-part tariff users (Fagai Ban Jiage [2016] No. 1583). Beijing; 2016 (in Chinese).</w:t>
      </w:r>
    </w:p>
    <w:bookmarkEnd w:id="98"/>
    <w:sectPr>
      <w:footerReference r:id="rId9" w:type="default"/>
      <w:pgSz w:h="16838" w:w="11906"/>
      <w:pgMar w:bottom="1418" w:footer="709" w:gutter="0" w:header="709" w:left="1418" w:right="1418" w:top="1418"/>
      <w:lnNumType w:countBy="1" w:distance="284"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32">
    <w:nsid w:val="00A99532"/>
    <w:multiLevelType w:val="multilevel"/>
    <w:lvl w:ilvl="0">
      <w:start w:val="2"/>
      <w:numFmt w:val="lowerRoman"/>
      <w:lvlText w:val="(%1)"/>
      <w:lvlJc w:val="left"/>
      <w:pPr>
        <w:ind w:left="720" w:hanging="480"/>
      </w:pPr>
    </w:lvl>
    <w:lvl w:ilvl="1">
      <w:start w:val="2"/>
      <w:numFmt w:val="lowerRoman"/>
      <w:lvlText w:val="(%2)"/>
      <w:lvlJc w:val="left"/>
      <w:pPr>
        <w:ind w:left="1440" w:hanging="480"/>
      </w:pPr>
    </w:lvl>
    <w:lvl w:ilvl="2">
      <w:start w:val="2"/>
      <w:numFmt w:val="lowerRoman"/>
      <w:lvlText w:val="(%3)"/>
      <w:lvlJc w:val="left"/>
      <w:pPr>
        <w:ind w:left="2160" w:hanging="480"/>
      </w:pPr>
    </w:lvl>
    <w:lvl w:ilvl="3">
      <w:start w:val="2"/>
      <w:numFmt w:val="lowerRoman"/>
      <w:lvlText w:val="(%4)"/>
      <w:lvlJc w:val="left"/>
      <w:pPr>
        <w:ind w:left="2880" w:hanging="480"/>
      </w:pPr>
    </w:lvl>
    <w:lvl w:ilvl="4">
      <w:start w:val="2"/>
      <w:numFmt w:val="lowerRoman"/>
      <w:lvlText w:val="(%5)"/>
      <w:lvlJc w:val="left"/>
      <w:pPr>
        <w:ind w:left="3600" w:hanging="480"/>
      </w:pPr>
    </w:lvl>
    <w:lvl w:ilvl="5">
      <w:start w:val="2"/>
      <w:numFmt w:val="lowerRoman"/>
      <w:lvlText w:val="(%6)"/>
      <w:lvlJc w:val="left"/>
      <w:pPr>
        <w:ind w:left="4320" w:hanging="480"/>
      </w:pPr>
    </w:lvl>
    <w:lvl w:ilvl="6">
      <w:start w:val="2"/>
      <w:numFmt w:val="lowerRoman"/>
      <w:lvlText w:val="(%7)"/>
      <w:lvlJc w:val="left"/>
      <w:pPr>
        <w:ind w:left="5040" w:hanging="480"/>
      </w:pPr>
    </w:lvl>
    <w:lvl w:ilvl="7">
      <w:start w:val="2"/>
      <w:numFmt w:val="lowerRoman"/>
      <w:lvlText w:val="(%8)"/>
      <w:lvlJc w:val="left"/>
      <w:pPr>
        <w:ind w:left="5760" w:hanging="480"/>
      </w:pPr>
    </w:lvl>
    <w:lvl w:ilvl="8">
      <w:start w:val="2"/>
      <w:numFmt w:val="lowerRoman"/>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0" w:before="0" w:line="480"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jc w:val="left"/>
    </w:pPr>
  </w:style>
  <w:style w:styleId="Title" w:type="paragraph">
    <w:name w:val="Title"/>
    <w:basedOn w:val="Normal"/>
    <w:next w:val="BodyText"/>
    <w:qFormat/>
    <w:pPr>
      <w:keepNext/>
      <w:spacing w:after="360" w:before="0" w:line="360" w:lineRule="auto"/>
      <w:jc w:val="center"/>
    </w:pPr>
    <w:rPr>
      <w:b/>
      <w:bCs/>
      <w:sz w:val="32"/>
      <w:szCs w:val="32"/>
    </w:rPr>
  </w:style>
  <w:style w:styleId="Subtitle" w:type="paragraph">
    <w:name w:val="Subtitle"/>
    <w:basedOn w:val="Normal"/>
    <w:next w:val="BodyText"/>
    <w:qFormat/>
    <w:pPr>
      <w:spacing w:after="360" w:before="0" w:line="360" w:lineRule="auto"/>
      <w:jc w:val="center"/>
    </w:pPr>
    <w:rPr>
      <w:i/>
      <w:iCs/>
      <w:sz w:val="24"/>
      <w:szCs w:val="24"/>
    </w:rPr>
  </w:style>
  <w:style w:customStyle="1" w:styleId="Author" w:type="paragraph">
    <w:name w:val="Author"/>
    <w:basedOn w:val="Normal"/>
    <w:next w:val="BodyText"/>
    <w:qFormat/>
    <w:pPr>
      <w:spacing w:after="120" w:before="0" w:line="360" w:lineRule="auto"/>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spacing w:after="120" w:before="240" w:line="276" w:lineRule="auto"/>
    </w:pPr>
    <w:rPr>
      <w:b/>
      <w:bCs/>
    </w:rPr>
  </w:style>
  <w:style w:customStyle="1" w:styleId="Abstract" w:type="paragraph">
    <w:name w:val="Abstract"/>
    <w:basedOn w:val="BodyText"/>
    <w:qFormat/>
  </w:style>
  <w:style w:styleId="Bibliography" w:type="paragraph">
    <w:name w:val="Bibliography"/>
    <w:basedOn w:val="Normal"/>
    <w:next w:val="Bibliography"/>
    <w:qFormat/>
    <w:pPr>
      <w:spacing w:after="0" w:before="0" w:line="480" w:lineRule="auto"/>
      <w:ind w:hanging="567" w:left="567"/>
    </w:pPr>
  </w:style>
  <w:style w:styleId="Heading1" w:type="paragraph">
    <w:name w:val="Heading 1"/>
    <w:basedOn w:val="Normal"/>
    <w:next w:val="BodyText"/>
    <w:qFormat/>
    <w:pPr>
      <w:keepNext/>
      <w:keepLines/>
      <w:spacing w:after="120" w:before="360" w:line="276" w:lineRule="auto"/>
      <w:outlineLvl w:val="0"/>
    </w:pPr>
    <w:rPr>
      <w:b/>
      <w:bCs/>
      <w:sz w:val="24"/>
      <w:szCs w:val="24"/>
    </w:rPr>
  </w:style>
  <w:style w:styleId="Heading2" w:type="paragraph">
    <w:name w:val="Heading 2"/>
    <w:basedOn w:val="Normal"/>
    <w:next w:val="BodyText"/>
    <w:qFormat/>
    <w:pPr>
      <w:keepNext/>
      <w:keepLines/>
      <w:spacing w:after="120" w:before="240" w:line="276" w:lineRule="auto"/>
      <w:outlineLvl w:val="1"/>
    </w:pPr>
    <w:rPr>
      <w:b/>
      <w:bCs/>
      <w:i/>
      <w:iCs/>
      <w:sz w:val="24"/>
      <w:szCs w:val="24"/>
    </w:rPr>
  </w:style>
  <w:style w:styleId="Heading3" w:type="paragraph">
    <w:name w:val="Heading 3"/>
    <w:basedOn w:val="Normal"/>
    <w:next w:val="BodyText"/>
    <w:qFormat/>
    <w:pPr>
      <w:keepNext/>
      <w:keepLines/>
      <w:spacing w:after="60" w:before="240" w:line="276" w:lineRule="auto"/>
      <w:outlineLvl w:val="2"/>
    </w:pPr>
    <w:rPr>
      <w:i/>
      <w:i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000000" w:space="0" w:sz="8" w:val="single"/>
        <w:bottom w:color="000000" w:space="0" w:sz="8" w:val="single"/>
      </w:tblBorders>
      <w:tblCellMar>
        <w:top w:type="dxa" w:w="0"/>
        <w:left w:type="dxa" w:w="85"/>
        <w:bottom w:type="dxa" w:w="0"/>
        <w:right w:type="dxa" w:w="85"/>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120" w:before="0" w:line="276" w:lineRule="auto"/>
      <w:jc w:val="both"/>
    </w:pPr>
    <w:rPr>
      <w:sz w:val="22"/>
      <w:szCs w:val="22"/>
    </w:rPr>
  </w:style>
  <w:style w:customStyle="1" w:styleId="TableCaption" w:type="paragraph">
    <w:name w:val="Table Caption"/>
    <w:basedOn w:val="Caption"/>
    <w:qFormat/>
    <w:pPr>
      <w:keepNext/>
      <w:spacing w:after="120" w:before="240" w:line="276" w:lineRule="auto"/>
    </w:pPr>
  </w:style>
  <w:style w:customStyle="1" w:styleId="ImageCaption" w:type="paragraph">
    <w:name w:val="Image Caption"/>
    <w:basedOn w:val="FigureCaption"/>
    <w:qFormat/>
  </w:style>
  <w:style w:customStyle="1" w:styleId="Figure" w:type="paragraph">
    <w:name w:val="Figure"/>
    <w:basedOn w:val="Normal"/>
    <w:qFormat/>
    <w:pPr>
      <w:keepNext/>
      <w:spacing w:after="60" w:before="240" w:line="240" w:lineRule="auto"/>
      <w:jc w:val="center"/>
    </w:pPr>
  </w:style>
  <w:style w:customStyle="1" w:styleId="CaptionedFigure" w:type="paragraph">
    <w:name w:val="Captioned Figure"/>
    <w:basedOn w:val="Figure"/>
    <w:qFormat/>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eCaption" w:type="paragraph">
    <w:name w:val="Figure Caption"/>
    <w:basedOn w:val="Caption"/>
    <w:qFormat/>
    <w:pPr>
      <w:spacing w:after="240" w:before="60" w:line="276" w:lineRule="auto"/>
    </w:pPr>
  </w:style>
  <w:style w:customStyle="1" w:styleId="Equation" w:type="paragraph">
    <w:name w:val="Equation"/>
    <w:basedOn w:val="Normal"/>
    <w:qFormat/>
    <w:pPr>
      <w:keepLines/>
      <w:tabs>
        <w:tab w:pos="4535" w:val="center"/>
        <w:tab w:pos="9070" w:val="right"/>
      </w:tabs>
      <w:spacing w:after="120" w:before="120" w:line="276" w:lineRule="auto"/>
    </w:pPr>
  </w:style>
  <w:style w:customStyle="1" w:styleId="TableText" w:type="paragraph">
    <w:name w:val="Table Text"/>
    <w:basedOn w:val="Normal"/>
    <w:qFormat/>
    <w:pPr>
      <w:spacing w:after="20" w:before="20" w:line="240" w:lineRule="auto"/>
      <w:jc w:val="left"/>
    </w:pPr>
    <w:rPr>
      <w:sz w:val="20"/>
      <w:szCs w:val="20"/>
    </w:rPr>
  </w:style>
  <w:style w:customStyle="1" w:styleId="Placeholder" w:type="character">
    <w:name w:val="Placeholder"/>
    <w:basedOn w:val="DefaultParagraphFont"/>
    <w:qFormat/>
    <w:rPr>
      <w:shd w:color="auto" w:fill="FFFF00"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Recovery-aware coordinated scheduling of computing workloads and energy storage for deliverable consecutive demand response in AI data centers</dc:title>
  <dc:creator/>
  <dc:language>en-GB</dc:language>
  <cp:keywords/>
  <dcterms:created xsi:type="dcterms:W3CDTF">2026-10-24T01:33:01Z</dcterms:created>
  <dcterms:modified xsi:type="dcterms:W3CDTF">2026-10-24T01:33:01Z</dcterms:modified>
</cp:coreProperties>
</file>

<file path=docProps/custom.xml><?xml version="1.0" encoding="utf-8"?>
<Properties xmlns="http://schemas.openxmlformats.org/officeDocument/2006/custom-properties" xmlns:vt="http://schemas.openxmlformats.org/officeDocument/2006/docPropsVTypes"/>
</file>