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Recovery-aware</w:t>
      </w:r>
      <w:r>
        <w:t xml:space="preserve"> </w:t>
      </w:r>
      <w:r>
        <w:t xml:space="preserve">coordinated</w:t>
      </w:r>
      <w:r>
        <w:t xml:space="preserve"> </w:t>
      </w:r>
      <w:r>
        <w:t xml:space="preserve">scheduling</w:t>
      </w:r>
      <w:r>
        <w:t xml:space="preserve"> </w:t>
      </w:r>
      <w:r>
        <w:t xml:space="preserve">of</w:t>
      </w:r>
      <w:r>
        <w:t xml:space="preserve"> </w:t>
      </w:r>
      <w:r>
        <w:t xml:space="preserve">computing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energy</w:t>
      </w:r>
      <w:r>
        <w:t xml:space="preserve"> </w:t>
      </w:r>
      <w:r>
        <w:t xml:space="preserve">storage</w:t>
      </w:r>
      <w:r>
        <w:t xml:space="preserve"> </w:t>
      </w:r>
      <w:r>
        <w:t xml:space="preserve">for</w:t>
      </w:r>
      <w:r>
        <w:t xml:space="preserve"> </w:t>
      </w:r>
      <w:r>
        <w:t xml:space="preserve">deliverable</w:t>
      </w:r>
      <w:r>
        <w:t xml:space="preserve"> </w:t>
      </w:r>
      <w:r>
        <w:t xml:space="preserve">consecutive</w:t>
      </w:r>
      <w:r>
        <w:t xml:space="preserve"> </w:t>
      </w:r>
      <w:r>
        <w:t xml:space="preserve">demand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centers</w:t>
      </w:r>
    </w:p>
    <w:p>
      <w:pPr>
        <w:pStyle w:val="Figure"/>
      </w:pPr>
      <w:r>
        <w:drawing>
          <wp:inline>
            <wp:extent cx="5590799" cy="32557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datacenter/paper/figures/FigS1_perfect_information_regio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799" cy="3255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Two-event capability regions with perfect information on the DR day for different event durations and intervals, and for three events (E1 = E2 =</w:t>
      </w:r>
      <w:r>
        <w:t xml:space="preserve"> </w:t>
      </w:r>
      <m:oMath>
        <m:sSub>
          <m:e>
            <m:r>
              <w:rPr>
                <w:rFonts w:ascii="Cambria Math" w:hAnsi="Cambria Math"/>
                <w:sz w:val="15"/>
                <w:szCs w:val="15"/>
              </w:rPr>
              <m:t>C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1</m:t>
            </m:r>
          </m:sub>
        </m:sSub>
      </m:oMath>
      <w:r>
        <w:t xml:space="preserve">, E3 maximised), for joint recovery, event-by-event joint recovery, independent recovery with the best static split and the independent post-event state with joint recovery.</w:t>
      </w:r>
    </w:p>
    <w:p>
      <w:pPr>
        <w:pStyle w:val="Figure"/>
      </w:pPr>
      <w:r>
        <w:drawing>
          <wp:inline>
            <wp:extent cx="5651999" cy="271625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datacenter/paper/figures/FigS2_commitment_method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999" cy="2716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Day-ahead commitment methods in the plane of out-of-sample full delivery and daily benefit (Table 8): closed-loop back-test with sample-average, robust and cost-optimal commitments, and commitments from physical capability (perfect-recourse MILP, single-event capability).</w:t>
      </w:r>
    </w:p>
    <w:p>
      <w:pPr>
        <w:pStyle w:val="Figure"/>
      </w:pPr>
      <w:r>
        <w:drawing>
          <wp:inline>
            <wp:extent cx="5753100" cy="23824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datacenter/paper/figures/FigS3_mechanism_boun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Proposition 1 on the DR day: deliverable capability of event B relative to its single-event capability versus the interval, for joint response and recovery, independent recovery, the independent post-event state with joint recovery and the bound (38), for (a) a 2-h first event and (b) a 2-h second event; (c) capability gain of joint recovery over the interval and the connection margin.</w:t>
      </w:r>
    </w:p>
    <w:p>
      <w:pPr>
        <w:pStyle w:val="Figure"/>
      </w:pPr>
      <w:r>
        <w:drawing>
          <wp:inline>
            <wp:extent cx="5753100" cy="19860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datacenter/paper/figures/FigS4_proposition2_che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86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Proposition 2: deliverable reduction of the next event versus the interval in the single-class model, closed form (lines) and discrete-time LP (markers), for lag bounds of 1, 1.5, 2 and 3 h.</w:t>
      </w:r>
    </w:p>
    <w:p>
      <w:pPr>
        <w:pStyle w:val="Figure"/>
      </w:pPr>
      <w:r>
        <w:drawing>
          <wp:inline>
            <wp:extent cx="4017599" cy="300253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datacenter/paper/figures/FigS5_shadow_pric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99" cy="300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Single channel price (Proposition 3): (a) multiplier of the electric balance (channel price</w:t>
      </w:r>
      <w:r>
        <w:t xml:space="preserve"> </w:t>
      </w:r>
      <m:oMath>
        <m:sSubSup>
          <m:e>
            <m:r>
              <w:rPr>
                <w:rFonts w:ascii="Cambria Math" w:hAnsi="Cambria Math"/>
                <w:sz w:val="15"/>
                <w:szCs w:val="15"/>
              </w:rPr>
              <m:t>λ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t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e</m:t>
            </m:r>
            <m:r>
              <w:rPr>
                <w:rFonts w:ascii="Cambria Math" w:hAnsi="Cambria Math"/>
                <w:sz w:val="15"/>
                <w:szCs w:val="15"/>
              </w:rPr>
              <m:t>l</m:t>
            </m:r>
          </m:sup>
        </m:sSubSup>
      </m:oMath>
      <w:r>
        <w:t xml:space="preserve">) and TOU price; (b) multipliers of the backlog balances of the three classes, which coincide with the channel price when catch-up and recharge are both interior.</w:t>
      </w:r>
    </w:p>
    <w:p>
      <w:pPr>
        <w:pStyle w:val="Figure"/>
      </w:pPr>
      <w:r>
        <w:drawing>
          <wp:inline>
            <wp:extent cx="5626799" cy="204222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datacenter/paper/figures/FigS6_chann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799" cy="2042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Nominal recovery channel (1), measured against the baseline, versus the actual channel (2), measured against the no-DR import of the realised day, on the 26 operating days: (a) event interval of S1 (1 h) and S2 (30 min); (b) two hours after the last event; (c) energy that JR-D draws through the channel in the interval at 7 MW (grid import above the no-DR operation) versus the actual channel.</w:t>
      </w:r>
    </w:p>
    <w:p>
      <w:pPr>
        <w:pStyle w:val="Figure"/>
      </w:pPr>
      <w:r>
        <w:drawing>
          <wp:inline>
            <wp:extent cx="5753100" cy="336855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datacenter/paper/figures/FigS7_uncertainty_reboun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6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Event-call uncertainty and post-event rebound. (a, b) S4-U, third event called with probability 0.6 and confirmed 1 h ahead, 6 MW per event: (a) mean daily cost and (b) mean fulfilment on the days on which the third event is called or cancelled. (c, d) Rebound assessment as a policy parameter (S1, 6 MW, DR day): (c) cost under the Jiangsu rules alone versus the peak post-event rebound; (d) peak rebound versus the assessment price</w:t>
      </w:r>
      <w:r>
        <w:t xml:space="preserve"> </w:t>
      </w:r>
      <m:oMath>
        <m:sSup>
          <m:e>
            <m:r>
              <w:rPr>
                <w:rFonts w:ascii="Cambria Math" w:hAnsi="Cambria Math"/>
                <w:sz w:val="15"/>
                <w:szCs w:val="15"/>
              </w:rPr>
              <m:t>c</m:t>
            </m:r>
          </m:e>
          <m:sup>
            <m:r>
              <w:rPr>
                <w:rFonts w:ascii="Cambria Math" w:hAnsi="Cambria Math"/>
                <w:sz w:val="15"/>
                <w:szCs w:val="15"/>
              </w:rPr>
              <m:t>r</m:t>
            </m:r>
            <m:r>
              <w:rPr>
                <w:rFonts w:ascii="Cambria Math" w:hAnsi="Cambria Math"/>
                <w:sz w:val="15"/>
                <w:szCs w:val="15"/>
              </w:rPr>
              <m:t>b</m:t>
            </m:r>
          </m:sup>
        </m:sSup>
      </m:oMath>
      <w:r>
        <w:t xml:space="preserve">.</w:t>
      </w:r>
    </w:p>
    <w:sectPr>
      <w:footerReference r:id="rId10" w:type="default"/>
      <w:type w:val="nextPage"/>
      <w:pgSz w:h="16838" w:w="11906"/>
      <w:pgMar w:bottom="1077" w:footer="510" w:gutter="0" w:header="567" w:left="1418" w:right="1418" w:top="107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  <w:jc w:val="left"/>
    </w:pPr>
    <w:r>
      <w:rPr>
        <w:i/>
        <w:iCs/>
        <w:sz w:val="15"/>
        <w:szCs w:val="15"/>
      </w:rPr>
      <w:t>Recovery-aware scheduling for consecutive demand response of AI data centers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eastAsia="Cambria" w:hAnsi="Cambria"/>
        <w:sz w:val="19"/>
        <w:szCs w:val="19"/>
        <w:lang w:bidi="ar-SA" w:eastAsia="zh-CN" w:val="en-GB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240" w:lineRule="auto"/>
      <w:ind w:firstLine="227"/>
      <w:jc w:val="both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ind w:firstLine="0"/>
      <w:jc w:val="left"/>
    </w:pPr>
  </w:style>
  <w:style w:styleId="Title" w:type="paragraph">
    <w:name w:val="Title"/>
    <w:basedOn w:val="Normal"/>
    <w:next w:val="BodyText"/>
    <w:qFormat/>
    <w:pPr>
      <w:keepNext/>
      <w:spacing w:after="200" w:before="120" w:line="252" w:lineRule="auto"/>
      <w:jc w:val="left"/>
    </w:pPr>
    <w:rPr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240" w:before="0" w:line="240" w:lineRule="auto"/>
      <w:jc w:val="left"/>
    </w:pPr>
    <w:rPr>
      <w:i/>
      <w:iCs/>
      <w:sz w:val="22"/>
      <w:szCs w:val="22"/>
    </w:rPr>
  </w:style>
  <w:style w:customStyle="1" w:styleId="Author" w:type="paragraph">
    <w:name w:val="Author"/>
    <w:basedOn w:val="Normal"/>
    <w:next w:val="BodyText"/>
    <w:qFormat/>
    <w:pPr>
      <w:spacing w:after="60" w:before="0" w:line="240" w:lineRule="auto"/>
      <w:jc w:val="left"/>
    </w:pPr>
    <w:rPr>
      <w:sz w:val="22"/>
      <w:szCs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20" w:before="0" w:line="240" w:lineRule="auto"/>
      <w:ind w:hanging="397" w:left="397"/>
      <w:jc w:val="left"/>
    </w:pPr>
    <w:rPr>
      <w:sz w:val="15"/>
      <w:szCs w:val="15"/>
    </w:rPr>
  </w:style>
  <w:style w:styleId="Heading1" w:type="paragraph">
    <w:name w:val="Heading 1"/>
    <w:basedOn w:val="Normal"/>
    <w:next w:val="FirstParagraph"/>
    <w:qFormat/>
    <w:pPr>
      <w:keepNext/>
      <w:keepLines/>
      <w:spacing w:after="100" w:before="240" w:line="240" w:lineRule="auto"/>
      <w:outlineLvl w:val="0"/>
    </w:pPr>
    <w:rPr>
      <w:b/>
      <w:bCs/>
      <w:sz w:val="19"/>
      <w:szCs w:val="19"/>
    </w:rPr>
  </w:style>
  <w:style w:styleId="Heading2" w:type="paragraph">
    <w:name w:val="Heading 2"/>
    <w:basedOn w:val="Normal"/>
    <w:next w:val="FirstParagraph"/>
    <w:qFormat/>
    <w:pPr>
      <w:keepNext/>
      <w:keepLines/>
      <w:spacing w:after="80" w:before="180" w:line="240" w:lineRule="auto"/>
      <w:outlineLvl w:val="1"/>
    </w:pPr>
    <w:rPr>
      <w:i/>
      <w:iCs/>
      <w:sz w:val="19"/>
      <w:szCs w:val="19"/>
    </w:rPr>
  </w:style>
  <w:style w:styleId="Heading3" w:type="paragraph">
    <w:name w:val="Heading 3"/>
    <w:basedOn w:val="Normal"/>
    <w:next w:val="FirstParagraph"/>
    <w:qFormat/>
    <w:pPr>
      <w:keepNext/>
      <w:keepLines/>
      <w:spacing w:after="60" w:before="140" w:line="240" w:lineRule="auto"/>
      <w:outlineLvl w:val="2"/>
    </w:pPr>
    <w:rPr>
      <w:i/>
      <w:iCs/>
      <w:sz w:val="19"/>
      <w:szCs w:val="19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qFormat/>
    <w:pPr>
      <w:spacing w:after="0" w:before="0" w:line="240" w:lineRule="auto"/>
    </w:pPr>
    <w:rPr>
      <w:sz w:val="15"/>
      <w:szCs w:val="15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6" w:val="single"/>
        <w:bottom w:color="000000" w:space="0" w:sz="6" w:val="single"/>
      </w:tblBorders>
      <w:tblCellMar>
        <w:top w:type="dxa" w:w="0"/>
        <w:left w:type="dxa" w:w="57"/>
        <w:bottom w:type="dxa" w:w="0"/>
        <w:right w:type="dxa" w:w="57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0" w:before="0" w:line="240" w:lineRule="auto"/>
      <w:jc w:val="both"/>
    </w:pPr>
    <w:rPr>
      <w:sz w:val="15"/>
      <w:szCs w:val="15"/>
    </w:rPr>
  </w:style>
  <w:style w:customStyle="1" w:styleId="TableCaption" w:type="paragraph">
    <w:name w:val="Table Caption"/>
    <w:basedOn w:val="Caption"/>
    <w:qFormat/>
    <w:pPr>
      <w:keepNext/>
      <w:spacing w:after="60" w:before="120" w:line="240" w:lineRule="auto"/>
      <w:jc w:val="left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0" w:before="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6FB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next w:val="BodyText"/>
    <w:qFormat/>
    <w:pPr>
      <w:spacing w:after="40" w:before="0" w:line="240" w:lineRule="auto"/>
      <w:jc w:val="left"/>
    </w:pPr>
    <w:rPr>
      <w:sz w:val="15"/>
      <w:szCs w:val="15"/>
    </w:rPr>
  </w:style>
  <w:style w:customStyle="1" w:styleId="FrontHead" w:type="paragraph">
    <w:name w:val="Front Head"/>
    <w:basedOn w:val="Normal"/>
    <w:next w:val="BodyText"/>
    <w:qFormat/>
    <w:pPr>
      <w:keepNext/>
      <w:spacing w:after="60" w:before="160" w:line="240" w:lineRule="auto"/>
    </w:pPr>
    <w:rPr>
      <w:caps/>
      <w:spacing w:val="30"/>
      <w:sz w:val="15"/>
      <w:szCs w:val="15"/>
    </w:rPr>
  </w:style>
  <w:style w:customStyle="1" w:styleId="FrontText" w:type="paragraph">
    <w:name w:val="Front Text"/>
    <w:basedOn w:val="BodyText"/>
    <w:qFormat/>
    <w:pPr>
      <w:ind w:firstLine="0"/>
      <w:spacing w:after="0" w:before="0" w:line="240" w:lineRule="auto"/>
    </w:pPr>
    <w:rPr>
      <w:sz w:val="17"/>
      <w:szCs w:val="17"/>
    </w:rPr>
  </w:style>
  <w:style w:customStyle="1" w:styleId="HighlightItem" w:type="paragraph">
    <w:name w:val="Highlight Item"/>
    <w:basedOn w:val="BodyText"/>
    <w:qFormat/>
    <w:pPr>
      <w:ind w:firstLine="0" w:hanging="170" w:left="170"/>
      <w:jc w:val="left"/>
    </w:pPr>
    <w:rPr>
      <w:sz w:val="16"/>
      <w:szCs w:val="16"/>
    </w:rPr>
  </w:style>
  <w:style w:customStyle="1" w:styleId="Rule" w:type="paragraph">
    <w:name w:val="Rule"/>
    <w:basedOn w:val="Normal"/>
    <w:qFormat/>
    <w:pPr>
      <w:spacing w:after="40" w:before="40" w:line="240" w:lineRule="auto"/>
      <w:pBdr>
        <w:bottom w:color="7F7F7F" w:space="0" w:sz="4" w:val="single"/>
      </w:pBdr>
    </w:pPr>
    <w:rPr>
      <w:sz w:val="8"/>
      <w:szCs w:val="8"/>
    </w:rPr>
  </w:style>
  <w:style w:customStyle="1" w:styleId="FigureCaption" w:type="paragraph">
    <w:name w:val="Figure Caption"/>
    <w:basedOn w:val="Caption"/>
    <w:qFormat/>
    <w:pPr>
      <w:spacing w:after="0" w:before="60" w:line="240" w:lineRule="auto"/>
    </w:pPr>
  </w:style>
  <w:style w:customStyle="1" w:styleId="FigureCaptionCentered" w:type="paragraph">
    <w:name w:val="Figure Caption Centered"/>
    <w:basedOn w:val="FigureCaption"/>
    <w:qFormat/>
    <w:pPr>
      <w:jc w:val="center"/>
    </w:pPr>
  </w:style>
  <w:style w:customStyle="1" w:styleId="Equation" w:type="paragraph">
    <w:name w:val="Equation"/>
    <w:basedOn w:val="Normal"/>
    <w:qFormat/>
    <w:pPr>
      <w:keepLines/>
      <w:tabs>
        <w:tab w:pos="284" w:val="left"/>
        <w:tab w:pos="9070" w:val="right"/>
      </w:tabs>
      <w:spacing w:after="80" w:before="80" w:line="240" w:lineRule="auto"/>
    </w:pPr>
  </w:style>
  <w:style w:customStyle="1" w:styleId="TableText" w:type="paragraph">
    <w:name w:val="Table Text"/>
    <w:basedOn w:val="Normal"/>
    <w:qFormat/>
    <w:pPr>
      <w:spacing w:after="10" w:before="10" w:line="240" w:lineRule="auto"/>
      <w:jc w:val="left"/>
    </w:pPr>
    <w:rPr>
      <w:sz w:val="15"/>
      <w:szCs w:val="15"/>
    </w:rPr>
  </w:style>
  <w:style w:customStyle="1" w:styleId="TableNote" w:type="paragraph">
    <w:name w:val="Table Note"/>
    <w:basedOn w:val="BodyText"/>
    <w:qFormat/>
    <w:pPr>
      <w:ind w:firstLine="0"/>
      <w:spacing w:after="0" w:before="40" w:line="240" w:lineRule="auto"/>
    </w:pPr>
    <w:rPr>
      <w:sz w:val="14"/>
      <w:szCs w:val="14"/>
    </w:rPr>
  </w:style>
  <w:style w:customStyle="1" w:styleId="NomHead" w:type="paragraph">
    <w:name w:val="Nomenclature Head"/>
    <w:basedOn w:val="BodyText"/>
    <w:next w:val="BodyText"/>
    <w:qFormat/>
    <w:pPr>
      <w:keepNext/>
      <w:ind w:firstLine="0"/>
      <w:spacing w:after="20" w:before="100" w:line="240" w:lineRule="auto"/>
    </w:pPr>
    <w:rPr>
      <w:i/>
      <w:iCs/>
      <w:sz w:val="17"/>
      <w:szCs w:val="17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dc:language>en-GB</dc:language>
  <cp:keywords/>
  <dcterms:created xsi:type="dcterms:W3CDTF">2026-10-26T06:52:04Z</dcterms:created>
  <dcterms:modified xsi:type="dcterms:W3CDTF">2026-10-26T06:52:04Z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Recovery-aware coordinated scheduling of computing workloads and energy storage for deliverable consecutive demand response in AI data centers</vt:lpwstr>
  </property>
</Properties>
</file>