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0.png" ContentType="image/png"/>
  <Override PartName="/word/media/rId97.png" ContentType="image/png"/>
  <Override PartName="/word/media/rId104.png" ContentType="image/png"/>
  <Override PartName="/word/media/rId111.png" ContentType="image/png"/>
  <Override PartName="/word/media/rId115.png" ContentType="image/png"/>
  <Override PartName="/word/media/rId119.png" ContentType="image/png"/>
  <Override PartName="/word/media/rId128.png" ContentType="image/png"/>
  <Override PartName="/word/media/rId22.png" ContentType="image/png"/>
  <Override PartName="/word/media/rId40.png" ContentType="image/png"/>
  <Override PartName="/word/media/rId56.png" ContentType="image/png"/>
  <Override PartName="/word/media/rId59.png" ContentType="image/png"/>
  <Override PartName="/word/media/rId62.png" ContentType="image/png"/>
  <Override PartName="/word/media/rId69.png" ContentType="image/png"/>
  <Override PartName="/word/media/rId74.png" ContentType="image/png"/>
  <Override PartName="/word/media/rId80.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Recovery-aware coordinated scheduling of computing workloads and energy storage for deliverable consecutive demand response in AI data centers</w:t>
      </w:r>
    </w:p>
    <w:p>
      <w:pPr>
        <w:pStyle w:val="Author"/>
      </w:pPr>
      <w:r>
        <w:rPr>
          <w:rStyle w:val="Placeholder"/>
        </w:rPr>
        <w:t xml:space="preserve">Author names</w:t>
      </w:r>
      <w:r>
        <w:rPr>
          <w:vertAlign w:val="superscript"/>
        </w:rPr>
        <w:t xml:space="preserve">a,*</w:t>
      </w:r>
    </w:p>
    <w:p>
      <w:pPr>
        <w:pStyle w:val="Affiliation"/>
      </w:pPr>
      <w:r>
        <w:rPr>
          <w:vertAlign w:val="superscript"/>
        </w:rPr>
        <w:t xml:space="preserve">a</w:t>
      </w:r>
      <w:r>
        <w:t xml:space="preserve"> </w:t>
      </w:r>
      <w:r>
        <w:rPr>
          <w:rStyle w:val="Placeholder"/>
        </w:rPr>
        <w:t xml:space="preserve">Affiliation, city, postcode, country</w:t>
      </w:r>
    </w:p>
    <w:p>
      <w:pPr>
        <w:pStyle w:val="Affiliation"/>
      </w:pPr>
      <w:r>
        <w:rPr>
          <w:vertAlign w:val="superscript"/>
        </w:rPr>
        <w:t xml:space="preserve">*</w:t>
      </w:r>
      <w:r>
        <w:t xml:space="preserve"> </w:t>
      </w:r>
      <w:r>
        <w:t xml:space="preserve">Corresponding author. E-mail address:</w:t>
      </w:r>
      <w:r>
        <w:t xml:space="preserve"> </w:t>
      </w:r>
      <w:r>
        <w:rPr>
          <w:rStyle w:val="Placeholder"/>
        </w:rPr>
        <w:t xml:space="preserve">e-mail</w:t>
      </w:r>
    </w:p>
    <w:p>
      <w:pPr>
        <w:pStyle w:val="Rule"/>
      </w:pPr>
      <w:r>
        <w:t xml:space="preserve"> </w:t>
      </w:r>
    </w:p>
    <w:p>
      <w:pPr>
        <w:pStyle w:val="FrontHead"/>
      </w:pPr>
      <w:r>
        <w:t xml:space="preserve">Highlights</w:t>
      </w:r>
    </w:p>
    <w:p>
      <w:pPr>
        <w:pStyle w:val="HighlightItem"/>
      </w:pPr>
      <w:r>
        <w:t xml:space="preserve">• Model computing backlog and storage deficit as debts sharing one recovery channel.</w:t>
      </w:r>
    </w:p>
    <w:p>
      <w:pPr>
        <w:pStyle w:val="HighlightItem"/>
      </w:pPr>
      <w:r>
        <w:t xml:space="preserve">• Commit firm consecutive DR capacity from closed-loop capability with Wasserstein DRO.</w:t>
      </w:r>
    </w:p>
    <w:p>
      <w:pPr>
        <w:pStyle w:val="HighlightItem"/>
      </w:pPr>
      <w:r>
        <w:t xml:space="preserve">• Joint recovery firmly delivers 7.5 MW; iterative price coordination 6.0–6.5 MW.</w:t>
      </w:r>
    </w:p>
    <w:p>
      <w:pPr>
        <w:pStyle w:val="HighlightItem"/>
      </w:pPr>
      <w:r>
        <w:t xml:space="preserve">• Foresight adds up to 4.0 MW of firm capacity and saves 9.3 MWh of battery.</w:t>
      </w:r>
    </w:p>
    <w:p>
      <w:pPr>
        <w:pStyle w:val="HighlightItem"/>
      </w:pPr>
      <w:r>
        <w:t xml:space="preserve">• Ranking holds for less flexible computing, 78 test realisations and another month.</w:t>
      </w:r>
    </w:p>
    <w:p>
      <w:pPr>
        <w:pStyle w:val="Rule"/>
      </w:pPr>
      <w:r>
        <w:t xml:space="preserve"> </w:t>
      </w:r>
    </w:p>
    <w:tbl>
      <w:tblPr>
        <w:tblStyle w:val="FrontTable"/>
        <w:tblW w:w="10206" w:type="dxa"/>
        <w:tblLayout w:type="fixed"/>
        <w:tblBorders>
          <w:top w:val="nil"/>
          <w:left w:val="nil"/>
          <w:bottom w:val="nil"/>
          <w:right w:val="nil"/>
          <w:insideH w:val="nil"/>
          <w:insideV w:val="nil"/>
        </w:tblBorders>
        <w:tblCellMar>
          <w:left w:w="0" w:type="dxa"/>
          <w:right w:w="0" w:type="dxa"/>
        </w:tblCellMar>
        <w:tblLook w:val="0000"/>
      </w:tblPr>
      <w:tblGrid>
        <w:gridCol w:w="2755"/>
        <w:gridCol w:w="284"/>
        <w:gridCol w:w="7167"/>
      </w:tblGrid>
      <w:tr>
        <w:tc>
          <w:tcPr>
            <w:tcW w:w="2755" w:type="dxa"/>
          </w:tcPr>
          <w:p>
            <w:pPr>
              <w:pStyle w:val="FrontHead"/>
            </w:pPr>
            <w:r>
              <w:t xml:space="preserve">Article info</w:t>
            </w:r>
          </w:p>
          <w:p>
            <w:pPr>
              <w:pStyle w:val="FrontText"/>
            </w:pPr>
            <w:r>
              <w:rPr>
                <w:iCs/>
                <w:i/>
              </w:rPr>
              <w:t xml:space="preserve">Keywords:</w:t>
            </w:r>
          </w:p>
          <w:p>
            <w:pPr>
              <w:pStyle w:val="FrontText"/>
            </w:pPr>
            <w:r>
              <w:t xml:space="preserve">AI data center</w:t>
            </w:r>
          </w:p>
          <w:p>
            <w:pPr>
              <w:pStyle w:val="FrontText"/>
            </w:pPr>
            <w:r>
              <w:t xml:space="preserve">consecutive demand response</w:t>
            </w:r>
          </w:p>
          <w:p>
            <w:pPr>
              <w:pStyle w:val="FrontText"/>
            </w:pPr>
            <w:r>
              <w:t xml:space="preserve">computing–energy coupling</w:t>
            </w:r>
          </w:p>
          <w:p>
            <w:pPr>
              <w:pStyle w:val="FrontText"/>
            </w:pPr>
            <w:r>
              <w:t xml:space="preserve">firm deliverable capacity</w:t>
            </w:r>
          </w:p>
          <w:p>
            <w:pPr>
              <w:pStyle w:val="FrontText"/>
            </w:pPr>
            <w:r>
              <w:t xml:space="preserve">distributionally robust optimisation</w:t>
            </w:r>
          </w:p>
          <w:p>
            <w:pPr>
              <w:pStyle w:val="FrontText"/>
            </w:pPr>
            <w:r>
              <w:t xml:space="preserve">integrated energy system</w:t>
            </w:r>
          </w:p>
        </w:tc>
        <w:tc>
          <w:tcPr>
            <w:tcW w:w="284" w:type="dxa"/>
          </w:tcPr>
          <w:p/>
        </w:tc>
        <w:tc>
          <w:tcPr>
            <w:tcW w:w="7167" w:type="dxa"/>
          </w:tcPr>
          <w:p>
            <w:pPr>
              <w:pStyle w:val="FrontHead"/>
            </w:pPr>
            <w:r>
              <w:t xml:space="preserve">Abstract</w:t>
            </w:r>
          </w:p>
          <w:p>
            <w:pPr>
              <w:pStyle w:val="FrontText"/>
            </w:pPr>
            <w:r>
              <w:t xml:space="preserve">AI data centers (AIDCs) may be called for demand response (DR) several times in one evening; each event leaves deferred computing work and depleted storage that compete for grid headroom before the next, so the firm capacity of an AIDC is decided during recovery. This study develops a recovery-aware coordinated scheduling framework for consecutive DR of an AIDC integrated energy system. A cross-event recovery model couples deadline-bound computing backlogs, battery and cold-storage deficits and combined cooling, heating and power through one recovery channel, and bounds the next deliverable reduction in closed form. The firm consecutive DR capacity, the largest uniform commitment delivered in full in every event with a prescribed probability, is certified day-ahead from the controller’s closed-loop capability within a Wasserstein ambiguity set and delivered by a cross-event joint recovery model predictive controller. Case studies on a 16 000-GPU data center under the Jiangsu DR rules over 26 operating days show that cross-event joint recovery firmly delivers 7.5 MW with two events and 6.5 MW with three. Independent recovery with a tuned split or a day-ahead price is not firm even at 1 MW, and iterative price coordination stays 1.0–2.5 MW below. Cross-event foresight adds up to 4.0 MW at short intervals and substitutes 9.3 MWh of battery. The cost-optimal robust commitment is delivered in full on every operating day, against 85 % for a perfect-recourse commitment, and earns 43–45 thousand CNY per day. The ranking holds for less flexible computing, on 78 test realisations and in another month.</w:t>
            </w:r>
          </w:p>
        </w:tc>
      </w:tr>
    </w:tbl>
    <w:p>
      <w:pPr>
        <w:spacing w:before="0" w:after="120"/>
      </w:pPr>
    </w:p>
    <w:p>
      <w:pPr>
        <w:sectPr>
          <w:headerReference w:type="default" r:id="rId9"/>
          <w:footerReference w:type="default" r:id="rId10"/>
          <w:footerReference w:type="first" r:id="rId10"/>
          <w:type w:val="nextPage"/>
          <w:pgSz w:w="11906" w:h="16838"/>
          <w:pgMar w:top="1077" w:right="850" w:bottom="1077" w:left="850" w:header="567" w:footer="510" w:gutter="0"/>
          <w:cols w:space="708"/>
          <w:titlePg/>
        </w:sectPr>
      </w:pPr>
    </w:p>
    <w:bookmarkStart w:id="20" w:name="nomenclature"/>
    <w:p>
      <w:pPr>
        <w:pStyle w:val="Heading1"/>
      </w:pPr>
      <w:r>
        <w:t xml:space="preserve">Nomenclature</w:t>
      </w:r>
    </w:p>
    <w:p>
      <w:pPr>
        <w:pStyle w:val="FirstParagraph"/>
      </w:pPr>
      <w:r>
        <w:t xml:space="preserve">Symbols used only within one proof are defined where they appear.</w:t>
      </w:r>
    </w:p>
    <w:p>
      <w:pPr>
        <w:pStyle w:val="NomHead"/>
      </w:pPr>
      <w:r>
        <w:t xml:space="preserve">Abbreviations</w:t>
      </w:r>
    </w:p>
    <w:tbl>
      <w:tblPr>
        <w:tblStyle w:val="Table"/>
        <w:tblW w:w="4918" w:type="dxa"/>
        <w:jc w:val="start"/>
        <w:tblBorders>
          <w:top w:val="nil"/>
          <w:left w:val="nil"/>
          <w:bottom w:val="nil"/>
          <w:right w:val="nil"/>
          <w:insideH w:val="nil"/>
          <w:insideV w:val="nil"/>
        </w:tblBorders>
        <w:tblLayout w:type="fixed"/>
        <w:tblLook w:firstRow="0" w:lastRow="0" w:firstColumn="0" w:lastColumn="0" w:noHBand="0" w:noVBand="0" w:val="0000"/>
      </w:tblPr>
      <w:tblGrid>
        <w:gridCol w:w="1020"/>
        <w:gridCol w:w="3898"/>
      </w:tblGrid>
      <w:tr>
        <w:tc>
          <w:tcPr>
            <w:tcW w:w="1020" w:type="dxa"/>
          </w:tcPr>
          <w:p>
            <w:pPr>
              <w:pStyle w:val="TableText"/>
              <w:jc w:val="left"/>
            </w:pPr>
            <w:r>
              <w:t xml:space="preserve">AIDC</w:t>
            </w:r>
          </w:p>
        </w:tc>
        <w:tc>
          <w:tcPr>
            <w:tcW w:w="3898" w:type="dxa"/>
          </w:tcPr>
          <w:p>
            <w:pPr>
              <w:pStyle w:val="TableText"/>
              <w:jc w:val="left"/>
            </w:pPr>
            <w:r>
              <w:t xml:space="preserve">AI data center</w:t>
            </w:r>
          </w:p>
        </w:tc>
      </w:tr>
      <w:tr>
        <w:tc>
          <w:tcPr>
            <w:tcW w:w="1020" w:type="dxa"/>
          </w:tcPr>
          <w:p>
            <w:pPr>
              <w:pStyle w:val="TableText"/>
              <w:jc w:val="left"/>
            </w:pPr>
            <w:r>
              <w:t xml:space="preserve">BESS</w:t>
            </w:r>
          </w:p>
        </w:tc>
        <w:tc>
          <w:tcPr>
            <w:tcW w:w="3898" w:type="dxa"/>
          </w:tcPr>
          <w:p>
            <w:pPr>
              <w:pStyle w:val="TableText"/>
              <w:jc w:val="left"/>
            </w:pPr>
            <w:r>
              <w:t xml:space="preserve">Battery energy storage system</w:t>
            </w:r>
          </w:p>
        </w:tc>
      </w:tr>
      <w:tr>
        <w:tc>
          <w:tcPr>
            <w:tcW w:w="1020" w:type="dxa"/>
          </w:tcPr>
          <w:p>
            <w:pPr>
              <w:pStyle w:val="TableText"/>
              <w:jc w:val="left"/>
            </w:pPr>
            <w:r>
              <w:t xml:space="preserve">CCHP</w:t>
            </w:r>
          </w:p>
        </w:tc>
        <w:tc>
          <w:tcPr>
            <w:tcW w:w="3898" w:type="dxa"/>
          </w:tcPr>
          <w:p>
            <w:pPr>
              <w:pStyle w:val="TableText"/>
              <w:jc w:val="left"/>
            </w:pPr>
            <w:r>
              <w:t xml:space="preserve">Combined cooling, heating and power</w:t>
            </w:r>
          </w:p>
        </w:tc>
      </w:tr>
      <w:tr>
        <w:tc>
          <w:tcPr>
            <w:tcW w:w="1020" w:type="dxa"/>
          </w:tcPr>
          <w:p>
            <w:pPr>
              <w:pStyle w:val="TableText"/>
              <w:jc w:val="left"/>
            </w:pPr>
            <w:r>
              <w:t xml:space="preserve">CI</w:t>
            </w:r>
          </w:p>
        </w:tc>
        <w:tc>
          <w:tcPr>
            <w:tcW w:w="3898" w:type="dxa"/>
          </w:tcPr>
          <w:p>
            <w:pPr>
              <w:pStyle w:val="TableText"/>
              <w:jc w:val="left"/>
            </w:pPr>
            <w:r>
              <w:t xml:space="preserve">Confidence interval</w:t>
            </w:r>
          </w:p>
        </w:tc>
      </w:tr>
      <w:tr>
        <w:tc>
          <w:tcPr>
            <w:tcW w:w="1020" w:type="dxa"/>
          </w:tcPr>
          <w:p>
            <w:pPr>
              <w:pStyle w:val="TableText"/>
              <w:jc w:val="left"/>
            </w:pPr>
            <w:r>
              <w:t xml:space="preserve">COP</w:t>
            </w:r>
          </w:p>
        </w:tc>
        <w:tc>
          <w:tcPr>
            <w:tcW w:w="3898" w:type="dxa"/>
          </w:tcPr>
          <w:p>
            <w:pPr>
              <w:pStyle w:val="TableText"/>
              <w:jc w:val="left"/>
            </w:pPr>
            <w:r>
              <w:t xml:space="preserve">Coefficient of performance</w:t>
            </w:r>
          </w:p>
        </w:tc>
      </w:tr>
      <w:tr>
        <w:tc>
          <w:tcPr>
            <w:tcW w:w="1020" w:type="dxa"/>
          </w:tcPr>
          <w:p>
            <w:pPr>
              <w:pStyle w:val="TableText"/>
              <w:jc w:val="left"/>
            </w:pPr>
            <w:r>
              <w:t xml:space="preserve">DR</w:t>
            </w:r>
          </w:p>
        </w:tc>
        <w:tc>
          <w:tcPr>
            <w:tcW w:w="3898" w:type="dxa"/>
          </w:tcPr>
          <w:p>
            <w:pPr>
              <w:pStyle w:val="TableText"/>
              <w:jc w:val="left"/>
            </w:pPr>
            <w:r>
              <w:t xml:space="preserve">Demand response</w:t>
            </w:r>
          </w:p>
        </w:tc>
      </w:tr>
      <w:tr>
        <w:tc>
          <w:tcPr>
            <w:tcW w:w="1020" w:type="dxa"/>
          </w:tcPr>
          <w:p>
            <w:pPr>
              <w:pStyle w:val="TableText"/>
              <w:jc w:val="left"/>
            </w:pPr>
            <w:r>
              <w:t xml:space="preserve">DRO</w:t>
            </w:r>
          </w:p>
        </w:tc>
        <w:tc>
          <w:tcPr>
            <w:tcW w:w="3898" w:type="dxa"/>
          </w:tcPr>
          <w:p>
            <w:pPr>
              <w:pStyle w:val="TableText"/>
              <w:jc w:val="left"/>
            </w:pPr>
            <w:r>
              <w:t xml:space="preserve">Distributionally robust optimisation</w:t>
            </w:r>
          </w:p>
        </w:tc>
      </w:tr>
      <w:tr>
        <w:tc>
          <w:tcPr>
            <w:tcW w:w="1020" w:type="dxa"/>
          </w:tcPr>
          <w:p>
            <w:pPr>
              <w:pStyle w:val="TableText"/>
              <w:jc w:val="left"/>
            </w:pPr>
            <w:r>
              <w:t xml:space="preserve">GPU</w:t>
            </w:r>
          </w:p>
        </w:tc>
        <w:tc>
          <w:tcPr>
            <w:tcW w:w="3898" w:type="dxa"/>
          </w:tcPr>
          <w:p>
            <w:pPr>
              <w:pStyle w:val="TableText"/>
              <w:jc w:val="left"/>
            </w:pPr>
            <w:r>
              <w:t xml:space="preserve">Graphics processing unit</w:t>
            </w:r>
          </w:p>
        </w:tc>
      </w:tr>
      <w:tr>
        <w:tc>
          <w:tcPr>
            <w:tcW w:w="1020" w:type="dxa"/>
          </w:tcPr>
          <w:p>
            <w:pPr>
              <w:pStyle w:val="TableText"/>
              <w:jc w:val="left"/>
            </w:pPr>
            <w:r>
              <w:t xml:space="preserve">IES</w:t>
            </w:r>
          </w:p>
        </w:tc>
        <w:tc>
          <w:tcPr>
            <w:tcW w:w="3898" w:type="dxa"/>
          </w:tcPr>
          <w:p>
            <w:pPr>
              <w:pStyle w:val="TableText"/>
              <w:jc w:val="left"/>
            </w:pPr>
            <w:r>
              <w:t xml:space="preserve">Integrated energy system</w:t>
            </w:r>
          </w:p>
        </w:tc>
      </w:tr>
      <w:tr>
        <w:tc>
          <w:tcPr>
            <w:tcW w:w="1020" w:type="dxa"/>
          </w:tcPr>
          <w:p>
            <w:pPr>
              <w:pStyle w:val="TableText"/>
              <w:jc w:val="left"/>
            </w:pPr>
            <w:r>
              <w:t xml:space="preserve">IR-O*</w:t>
            </w:r>
          </w:p>
        </w:tc>
        <w:tc>
          <w:tcPr>
            <w:tcW w:w="3898" w:type="dxa"/>
          </w:tcPr>
          <w:p>
            <w:pPr>
              <w:pStyle w:val="TableText"/>
              <w:jc w:val="left"/>
            </w:pPr>
            <w:r>
              <w:t xml:space="preserve">Independent recovery with a day-ahead tuned static split</w:t>
            </w:r>
          </w:p>
        </w:tc>
      </w:tr>
      <w:tr>
        <w:tc>
          <w:tcPr>
            <w:tcW w:w="1020" w:type="dxa"/>
          </w:tcPr>
          <w:p>
            <w:pPr>
              <w:pStyle w:val="TableText"/>
              <w:jc w:val="left"/>
            </w:pPr>
            <w:r>
              <w:t xml:space="preserve">IR-P</w:t>
            </w:r>
          </w:p>
        </w:tc>
        <w:tc>
          <w:tcPr>
            <w:tcW w:w="3898" w:type="dxa"/>
          </w:tcPr>
          <w:p>
            <w:pPr>
              <w:pStyle w:val="TableText"/>
              <w:jc w:val="left"/>
            </w:pPr>
            <w:r>
              <w:t xml:space="preserve">Independent recovery with day-ahead channel-price coordination</w:t>
            </w:r>
          </w:p>
        </w:tc>
      </w:tr>
      <w:tr>
        <w:tc>
          <w:tcPr>
            <w:tcW w:w="1020" w:type="dxa"/>
          </w:tcPr>
          <w:p>
            <w:pPr>
              <w:pStyle w:val="TableText"/>
              <w:jc w:val="left"/>
            </w:pPr>
            <w:r>
              <w:t xml:space="preserve">IR-PD</w:t>
            </w:r>
          </w:p>
        </w:tc>
        <w:tc>
          <w:tcPr>
            <w:tcW w:w="3898" w:type="dxa"/>
          </w:tcPr>
          <w:p>
            <w:pPr>
              <w:pStyle w:val="TableText"/>
              <w:jc w:val="left"/>
            </w:pPr>
            <w:r>
              <w:t xml:space="preserve">Independent recovery with iterative two-way channel-price coordination</w:t>
            </w:r>
          </w:p>
        </w:tc>
      </w:tr>
      <w:tr>
        <w:tc>
          <w:tcPr>
            <w:tcW w:w="1020" w:type="dxa"/>
          </w:tcPr>
          <w:p>
            <w:pPr>
              <w:pStyle w:val="TableText"/>
              <w:jc w:val="left"/>
            </w:pPr>
            <w:r>
              <w:t xml:space="preserve">JR-D</w:t>
            </w:r>
          </w:p>
        </w:tc>
        <w:tc>
          <w:tcPr>
            <w:tcW w:w="3898" w:type="dxa"/>
          </w:tcPr>
          <w:p>
            <w:pPr>
              <w:pStyle w:val="TableText"/>
              <w:jc w:val="left"/>
            </w:pPr>
            <w:r>
              <w:t xml:space="preserve">Cross-event joint recovery, deterministic MPC (proposed)</w:t>
            </w:r>
          </w:p>
        </w:tc>
      </w:tr>
      <w:tr>
        <w:tc>
          <w:tcPr>
            <w:tcW w:w="1020" w:type="dxa"/>
          </w:tcPr>
          <w:p>
            <w:pPr>
              <w:pStyle w:val="TableText"/>
              <w:jc w:val="left"/>
            </w:pPr>
            <w:r>
              <w:t xml:space="preserve">JR-M</w:t>
            </w:r>
          </w:p>
        </w:tc>
        <w:tc>
          <w:tcPr>
            <w:tcW w:w="3898" w:type="dxa"/>
          </w:tcPr>
          <w:p>
            <w:pPr>
              <w:pStyle w:val="TableText"/>
              <w:jc w:val="left"/>
            </w:pPr>
            <w:r>
              <w:t xml:space="preserve">Event-by-event joint recovery</w:t>
            </w:r>
          </w:p>
        </w:tc>
      </w:tr>
      <w:tr>
        <w:tc>
          <w:tcPr>
            <w:tcW w:w="1020" w:type="dxa"/>
          </w:tcPr>
          <w:p>
            <w:pPr>
              <w:pStyle w:val="TableText"/>
              <w:jc w:val="left"/>
            </w:pPr>
            <w:r>
              <w:t xml:space="preserve">JR-S</w:t>
            </w:r>
          </w:p>
        </w:tc>
        <w:tc>
          <w:tcPr>
            <w:tcW w:w="3898" w:type="dxa"/>
          </w:tcPr>
          <w:p>
            <w:pPr>
              <w:pStyle w:val="TableText"/>
              <w:jc w:val="left"/>
            </w:pPr>
            <w:r>
              <w:t xml:space="preserve">Cross-event joint recovery, scenario MPC</w:t>
            </w:r>
          </w:p>
        </w:tc>
      </w:tr>
      <w:tr>
        <w:tc>
          <w:tcPr>
            <w:tcW w:w="1020" w:type="dxa"/>
          </w:tcPr>
          <w:p>
            <w:pPr>
              <w:pStyle w:val="TableText"/>
              <w:jc w:val="left"/>
            </w:pPr>
            <w:r>
              <w:t xml:space="preserve">KKT</w:t>
            </w:r>
          </w:p>
        </w:tc>
        <w:tc>
          <w:tcPr>
            <w:tcW w:w="3898" w:type="dxa"/>
          </w:tcPr>
          <w:p>
            <w:pPr>
              <w:pStyle w:val="TableText"/>
              <w:jc w:val="left"/>
            </w:pPr>
            <w:r>
              <w:t xml:space="preserve">Karush–Kuhn–Tucker</w:t>
            </w:r>
          </w:p>
        </w:tc>
      </w:tr>
      <w:tr>
        <w:tc>
          <w:tcPr>
            <w:tcW w:w="1020" w:type="dxa"/>
          </w:tcPr>
          <w:p>
            <w:pPr>
              <w:pStyle w:val="TableText"/>
              <w:jc w:val="left"/>
            </w:pPr>
            <w:r>
              <w:t xml:space="preserve">LP</w:t>
            </w:r>
          </w:p>
        </w:tc>
        <w:tc>
          <w:tcPr>
            <w:tcW w:w="3898" w:type="dxa"/>
          </w:tcPr>
          <w:p>
            <w:pPr>
              <w:pStyle w:val="TableText"/>
              <w:jc w:val="left"/>
            </w:pPr>
            <w:r>
              <w:t xml:space="preserve">Linear programming</w:t>
            </w:r>
          </w:p>
        </w:tc>
      </w:tr>
      <w:tr>
        <w:tc>
          <w:tcPr>
            <w:tcW w:w="1020" w:type="dxa"/>
          </w:tcPr>
          <w:p>
            <w:pPr>
              <w:pStyle w:val="TableText"/>
              <w:jc w:val="left"/>
            </w:pPr>
            <w:r>
              <w:t xml:space="preserve">MILP</w:t>
            </w:r>
          </w:p>
        </w:tc>
        <w:tc>
          <w:tcPr>
            <w:tcW w:w="3898" w:type="dxa"/>
          </w:tcPr>
          <w:p>
            <w:pPr>
              <w:pStyle w:val="TableText"/>
              <w:jc w:val="left"/>
            </w:pPr>
            <w:r>
              <w:t xml:space="preserve">Mixed-integer linear programming</w:t>
            </w:r>
          </w:p>
        </w:tc>
      </w:tr>
      <w:tr>
        <w:tc>
          <w:tcPr>
            <w:tcW w:w="1020" w:type="dxa"/>
          </w:tcPr>
          <w:p>
            <w:pPr>
              <w:pStyle w:val="TableText"/>
              <w:jc w:val="left"/>
            </w:pPr>
            <w:r>
              <w:t xml:space="preserve">MPC</w:t>
            </w:r>
          </w:p>
        </w:tc>
        <w:tc>
          <w:tcPr>
            <w:tcW w:w="3898" w:type="dxa"/>
          </w:tcPr>
          <w:p>
            <w:pPr>
              <w:pStyle w:val="TableText"/>
              <w:jc w:val="left"/>
            </w:pPr>
            <w:r>
              <w:t xml:space="preserve">Model predictive control</w:t>
            </w:r>
          </w:p>
        </w:tc>
      </w:tr>
      <w:tr>
        <w:tc>
          <w:tcPr>
            <w:tcW w:w="1020" w:type="dxa"/>
          </w:tcPr>
          <w:p>
            <w:pPr>
              <w:pStyle w:val="TableText"/>
              <w:jc w:val="left"/>
            </w:pPr>
            <w:r>
              <w:t xml:space="preserve">PUE</w:t>
            </w:r>
          </w:p>
        </w:tc>
        <w:tc>
          <w:tcPr>
            <w:tcW w:w="3898" w:type="dxa"/>
          </w:tcPr>
          <w:p>
            <w:pPr>
              <w:pStyle w:val="TableText"/>
              <w:jc w:val="left"/>
            </w:pPr>
            <w:r>
              <w:t xml:space="preserve">Power usage effectiveness</w:t>
            </w:r>
          </w:p>
        </w:tc>
      </w:tr>
      <w:tr>
        <w:tc>
          <w:tcPr>
            <w:tcW w:w="1020" w:type="dxa"/>
          </w:tcPr>
          <w:p>
            <w:pPr>
              <w:pStyle w:val="TableText"/>
              <w:jc w:val="left"/>
            </w:pPr>
            <w:r>
              <w:t xml:space="preserve">PV</w:t>
            </w:r>
          </w:p>
        </w:tc>
        <w:tc>
          <w:tcPr>
            <w:tcW w:w="3898" w:type="dxa"/>
          </w:tcPr>
          <w:p>
            <w:pPr>
              <w:pStyle w:val="TableText"/>
              <w:jc w:val="left"/>
            </w:pPr>
            <w:r>
              <w:t xml:space="preserve">Photovoltaic</w:t>
            </w:r>
          </w:p>
        </w:tc>
      </w:tr>
      <w:tr>
        <w:tc>
          <w:tcPr>
            <w:tcW w:w="1020" w:type="dxa"/>
          </w:tcPr>
          <w:p>
            <w:pPr>
              <w:pStyle w:val="TableText"/>
              <w:jc w:val="left"/>
            </w:pPr>
            <w:r>
              <w:t xml:space="preserve">SAA</w:t>
            </w:r>
          </w:p>
        </w:tc>
        <w:tc>
          <w:tcPr>
            <w:tcW w:w="3898" w:type="dxa"/>
          </w:tcPr>
          <w:p>
            <w:pPr>
              <w:pStyle w:val="TableText"/>
              <w:jc w:val="left"/>
            </w:pPr>
            <w:r>
              <w:t xml:space="preserve">Sample average approximation</w:t>
            </w:r>
          </w:p>
        </w:tc>
      </w:tr>
      <w:tr>
        <w:tc>
          <w:tcPr>
            <w:tcW w:w="1020" w:type="dxa"/>
          </w:tcPr>
          <w:p>
            <w:pPr>
              <w:pStyle w:val="TableText"/>
              <w:jc w:val="left"/>
            </w:pPr>
            <w:r>
              <w:t xml:space="preserve">SLA</w:t>
            </w:r>
          </w:p>
        </w:tc>
        <w:tc>
          <w:tcPr>
            <w:tcW w:w="3898" w:type="dxa"/>
          </w:tcPr>
          <w:p>
            <w:pPr>
              <w:pStyle w:val="TableText"/>
              <w:jc w:val="left"/>
            </w:pPr>
            <w:r>
              <w:t xml:space="preserve">Service-level agreement</w:t>
            </w:r>
          </w:p>
        </w:tc>
      </w:tr>
      <w:tr>
        <w:tc>
          <w:tcPr>
            <w:tcW w:w="1020" w:type="dxa"/>
          </w:tcPr>
          <w:p>
            <w:pPr>
              <w:pStyle w:val="TableText"/>
              <w:jc w:val="left"/>
            </w:pPr>
            <w:r>
              <w:t xml:space="preserve">SOC</w:t>
            </w:r>
          </w:p>
        </w:tc>
        <w:tc>
          <w:tcPr>
            <w:tcW w:w="3898" w:type="dxa"/>
          </w:tcPr>
          <w:p>
            <w:pPr>
              <w:pStyle w:val="TableText"/>
              <w:jc w:val="left"/>
            </w:pPr>
            <w:r>
              <w:t xml:space="preserve">State of charge</w:t>
            </w:r>
          </w:p>
        </w:tc>
      </w:tr>
      <w:tr>
        <w:tc>
          <w:tcPr>
            <w:tcW w:w="1020" w:type="dxa"/>
          </w:tcPr>
          <w:p>
            <w:pPr>
              <w:pStyle w:val="TableText"/>
              <w:jc w:val="left"/>
            </w:pPr>
            <w:r>
              <w:t xml:space="preserve">SR-D</w:t>
            </w:r>
          </w:p>
        </w:tc>
        <w:tc>
          <w:tcPr>
            <w:tcW w:w="3898" w:type="dxa"/>
          </w:tcPr>
          <w:p>
            <w:pPr>
              <w:pStyle w:val="TableText"/>
              <w:jc w:val="left"/>
            </w:pPr>
            <w:r>
              <w:t xml:space="preserve">Staged recovery with the information and joint delivery of JR-D</w:t>
            </w:r>
          </w:p>
        </w:tc>
      </w:tr>
      <w:tr>
        <w:tc>
          <w:tcPr>
            <w:tcW w:w="1020" w:type="dxa"/>
          </w:tcPr>
          <w:p>
            <w:pPr>
              <w:pStyle w:val="TableText"/>
              <w:jc w:val="left"/>
            </w:pPr>
            <w:r>
              <w:t xml:space="preserve">TES</w:t>
            </w:r>
          </w:p>
        </w:tc>
        <w:tc>
          <w:tcPr>
            <w:tcW w:w="3898" w:type="dxa"/>
          </w:tcPr>
          <w:p>
            <w:pPr>
              <w:pStyle w:val="TableText"/>
              <w:jc w:val="left"/>
            </w:pPr>
            <w:r>
              <w:t xml:space="preserve">Thermal (chilled-water) energy storage</w:t>
            </w:r>
          </w:p>
        </w:tc>
      </w:tr>
      <w:tr>
        <w:tc>
          <w:tcPr>
            <w:tcW w:w="1020" w:type="dxa"/>
          </w:tcPr>
          <w:p>
            <w:pPr>
              <w:pStyle w:val="TableText"/>
              <w:jc w:val="left"/>
            </w:pPr>
            <w:r>
              <w:t xml:space="preserve">TOU</w:t>
            </w:r>
          </w:p>
        </w:tc>
        <w:tc>
          <w:tcPr>
            <w:tcW w:w="3898" w:type="dxa"/>
          </w:tcPr>
          <w:p>
            <w:pPr>
              <w:pStyle w:val="TableText"/>
              <w:jc w:val="left"/>
            </w:pPr>
            <w:r>
              <w:t xml:space="preserve">Time of use</w:t>
            </w:r>
          </w:p>
        </w:tc>
      </w:tr>
    </w:tbl>
    <w:p>
      <w:pPr>
        <w:pStyle w:val="NomHead"/>
      </w:pPr>
      <w:r>
        <w:t xml:space="preserve">Parameters</w:t>
      </w:r>
    </w:p>
    <w:tbl>
      <w:tblPr>
        <w:tblStyle w:val="Table"/>
        <w:tblW w:w="4918" w:type="dxa"/>
        <w:jc w:val="start"/>
        <w:tblBorders>
          <w:top w:val="nil"/>
          <w:left w:val="nil"/>
          <w:bottom w:val="nil"/>
          <w:right w:val="nil"/>
          <w:insideH w:val="nil"/>
          <w:insideV w:val="nil"/>
        </w:tblBorders>
        <w:tblLayout w:type="fixed"/>
        <w:tblLook w:firstRow="0" w:lastRow="0" w:firstColumn="0" w:lastColumn="0" w:noHBand="0" w:noVBand="0" w:val="0000"/>
      </w:tblPr>
      <w:tblGrid>
        <w:gridCol w:w="1020"/>
        <w:gridCol w:w="3898"/>
      </w:tblGrid>
      <w:tr>
        <w:tc>
          <w:tcPr>
            <w:tcW w:w="1020" w:type="dxa"/>
          </w:tcPr>
          <w:p>
            <w:pPr>
              <w:pStyle w:val="TableText"/>
              <w:jc w:val="left"/>
            </w:pPr>
            <m:oMath>
              <m:r>
                <w:rPr>
                  <w:rFonts w:ascii="Cambria Math" w:hAnsi="Cambria Math"/>
                  <w:sz w:val="15"/>
                  <w:szCs w:val="15"/>
                </w:rPr>
                <m:t>Δ</m:t>
              </m:r>
              <m:r>
                <w:rPr>
                  <w:rFonts w:ascii="Cambria Math" w:hAnsi="Cambria Math"/>
                  <w:sz w:val="15"/>
                  <w:szCs w:val="15"/>
                </w:rPr>
                <m:t>t</m:t>
              </m:r>
            </m:oMath>
          </w:p>
        </w:tc>
        <w:tc>
          <w:tcPr>
            <w:tcW w:w="3898" w:type="dxa"/>
          </w:tcPr>
          <w:p>
            <w:pPr>
              <w:pStyle w:val="TableText"/>
              <w:jc w:val="left"/>
            </w:pPr>
            <w:r>
              <w:t xml:space="preserve">Time step (0.25 h)</w:t>
            </w:r>
          </w:p>
        </w:tc>
      </w:tr>
      <w:tr>
        <w:tc>
          <w:tcPr>
            <w:tcW w:w="1020" w:type="dxa"/>
          </w:tcPr>
          <w:p>
            <w:pPr>
              <w:pStyle w:val="TableText"/>
              <w:jc w:val="left"/>
            </w:pPr>
            <m:oMath>
              <m:sSub>
                <m:e>
                  <m:r>
                    <w:rPr>
                      <w:rFonts w:ascii="Cambria Math" w:hAnsi="Cambria Math"/>
                      <w:sz w:val="15"/>
                      <w:szCs w:val="15"/>
                    </w:rPr>
                    <m:t>T</m:t>
                  </m:r>
                </m:e>
                <m:sub>
                  <m:r>
                    <w:rPr>
                      <w:rFonts w:ascii="Cambria Math" w:hAnsi="Cambria Math"/>
                      <w:sz w:val="15"/>
                      <w:szCs w:val="15"/>
                    </w:rPr>
                    <m:t>H</m:t>
                  </m:r>
                </m:sub>
              </m:sSub>
            </m:oMath>
          </w:p>
        </w:tc>
        <w:tc>
          <w:tcPr>
            <w:tcW w:w="3898" w:type="dxa"/>
          </w:tcPr>
          <w:p>
            <w:pPr>
              <w:pStyle w:val="TableText"/>
              <w:jc w:val="left"/>
            </w:pPr>
            <w:r>
              <w:t xml:space="preserve">MPC horizon (18 h)</w:t>
            </w:r>
          </w:p>
        </w:tc>
      </w:tr>
      <w:tr>
        <w:tc>
          <w:tcPr>
            <w:tcW w:w="1020" w:type="dxa"/>
          </w:tcPr>
          <w:p>
            <w:pPr>
              <w:pStyle w:val="TableText"/>
              <w:jc w:val="left"/>
            </w:pPr>
            <m:oMath>
              <m:r>
                <w:rPr>
                  <w:rFonts w:ascii="Cambria Math" w:hAnsi="Cambria Math"/>
                  <w:sz w:val="15"/>
                  <w:szCs w:val="15"/>
                </w:rPr>
                <m:t>T</m:t>
              </m:r>
            </m:oMath>
          </w:p>
        </w:tc>
        <w:tc>
          <w:tcPr>
            <w:tcW w:w="3898" w:type="dxa"/>
          </w:tcPr>
          <w:p>
            <w:pPr>
              <w:pStyle w:val="TableText"/>
              <w:jc w:val="left"/>
            </w:pPr>
            <w:r>
              <w:t xml:space="preserve">Last step of the optimisation horizon</w:t>
            </w:r>
          </w:p>
        </w:tc>
      </w:tr>
      <w:tr>
        <w:tc>
          <w:tcPr>
            <w:tcW w:w="1020" w:type="dxa"/>
          </w:tcPr>
          <w:p>
            <w:pPr>
              <w:pStyle w:val="TableText"/>
              <w:jc w:val="left"/>
            </w:pPr>
            <m:oMath>
              <m:r>
                <m:rPr>
                  <m:scr m:val="script"/>
                  <m:sty m:val="p"/>
                </m:rPr>
                <w:rPr>
                  <w:rFonts w:ascii="Cambria Math" w:hAnsi="Cambria Math"/>
                  <w:sz w:val="15"/>
                  <w:szCs w:val="15"/>
                </w:rPr>
                <m:t>K</m:t>
              </m:r>
            </m:oMath>
          </w:p>
        </w:tc>
        <w:tc>
          <w:tcPr>
            <w:tcW w:w="3898" w:type="dxa"/>
          </w:tcPr>
          <w:p>
            <w:pPr>
              <w:pStyle w:val="TableText"/>
              <w:jc w:val="left"/>
            </w:pPr>
            <w:r>
              <w:t xml:space="preserve">Set of DR events</w:t>
            </w:r>
          </w:p>
        </w:tc>
      </w:tr>
      <w:tr>
        <w:tc>
          <w:tcPr>
            <w:tcW w:w="1020" w:type="dxa"/>
          </w:tcPr>
          <w:p>
            <w:pPr>
              <w:pStyle w:val="TableText"/>
              <w:jc w:val="left"/>
            </w:pPr>
            <m:oMath>
              <m:sSub>
                <m:e>
                  <m:r>
                    <m:rPr>
                      <m:scr m:val="script"/>
                      <m:sty m:val="p"/>
                    </m:rPr>
                    <w:rPr>
                      <w:rFonts w:ascii="Cambria Math" w:hAnsi="Cambria Math"/>
                      <w:sz w:val="15"/>
                      <w:szCs w:val="15"/>
                    </w:rPr>
                    <m:t>T</m:t>
                  </m:r>
                </m:e>
                <m:sub>
                  <m:r>
                    <w:rPr>
                      <w:rFonts w:ascii="Cambria Math" w:hAnsi="Cambria Math"/>
                      <w:sz w:val="15"/>
                      <w:szCs w:val="15"/>
                    </w:rPr>
                    <m:t>k</m:t>
                  </m:r>
                </m:sub>
              </m:sSub>
            </m:oMath>
          </w:p>
        </w:tc>
        <w:tc>
          <w:tcPr>
            <w:tcW w:w="3898" w:type="dxa"/>
          </w:tcPr>
          <w:p>
            <w:pPr>
              <w:pStyle w:val="TableText"/>
              <w:jc w:val="left"/>
            </w:pPr>
            <w:r>
              <w:t xml:space="preserve">Steps of event</w:t>
            </w:r>
            <w:r>
              <w:t xml:space="preserve"> </w:t>
            </w:r>
            <m:oMath>
              <m:r>
                <w:rPr>
                  <w:rFonts w:ascii="Cambria Math" w:hAnsi="Cambria Math"/>
                  <w:sz w:val="15"/>
                  <w:szCs w:val="15"/>
                </w:rPr>
                <m:t>k</m:t>
              </m:r>
            </m:oMath>
          </w:p>
        </w:tc>
      </w:tr>
      <w:tr>
        <w:tc>
          <w:tcPr>
            <w:tcW w:w="1020" w:type="dxa"/>
          </w:tcPr>
          <w:p>
            <w:pPr>
              <w:pStyle w:val="TableText"/>
              <w:jc w:val="left"/>
            </w:pPr>
            <m:oMath>
              <m:sSub>
                <m:e>
                  <m:r>
                    <w:rPr>
                      <w:rFonts w:ascii="Cambria Math" w:hAnsi="Cambria Math"/>
                      <w:sz w:val="15"/>
                      <w:szCs w:val="15"/>
                    </w:rPr>
                    <m:t>D</m:t>
                  </m:r>
                </m:e>
                <m:sub>
                  <m:r>
                    <w:rPr>
                      <w:rFonts w:ascii="Cambria Math" w:hAnsi="Cambria Math"/>
                      <w:sz w:val="15"/>
                      <w:szCs w:val="15"/>
                    </w:rPr>
                    <m:t>k</m:t>
                  </m:r>
                </m:sub>
              </m:sSub>
            </m:oMath>
          </w:p>
        </w:tc>
        <w:tc>
          <w:tcPr>
            <w:tcW w:w="3898" w:type="dxa"/>
          </w:tcPr>
          <w:p>
            <w:pPr>
              <w:pStyle w:val="TableText"/>
              <w:jc w:val="left"/>
            </w:pPr>
            <w:r>
              <w:t xml:space="preserve">Duration of event</w:t>
            </w:r>
            <w:r>
              <w:t xml:space="preserve"> </w:t>
            </w:r>
            <m:oMath>
              <m:r>
                <w:rPr>
                  <w:rFonts w:ascii="Cambria Math" w:hAnsi="Cambria Math"/>
                  <w:sz w:val="15"/>
                  <w:szCs w:val="15"/>
                </w:rPr>
                <m:t>k</m:t>
              </m:r>
            </m:oMath>
            <w:r>
              <w:t xml:space="preserve"> </w:t>
            </w:r>
            <w:r>
              <w:t xml:space="preserve">(h)</w:t>
            </w:r>
          </w:p>
        </w:tc>
      </w:tr>
      <w:tr>
        <w:tc>
          <w:tcPr>
            <w:tcW w:w="1020" w:type="dxa"/>
          </w:tcPr>
          <w:p>
            <w:pPr>
              <w:pStyle w:val="TableText"/>
              <w:jc w:val="left"/>
            </w:pPr>
            <m:oMath>
              <m:sSub>
                <m:e>
                  <m:r>
                    <w:rPr>
                      <w:rFonts w:ascii="Cambria Math" w:hAnsi="Cambria Math"/>
                      <w:sz w:val="15"/>
                      <w:szCs w:val="15"/>
                    </w:rPr>
                    <m:t>s</m:t>
                  </m:r>
                </m:e>
                <m:sub>
                  <m:r>
                    <w:rPr>
                      <w:rFonts w:ascii="Cambria Math" w:hAnsi="Cambria Math"/>
                      <w:sz w:val="15"/>
                      <w:szCs w:val="15"/>
                    </w:rPr>
                    <m:t>k</m:t>
                  </m:r>
                </m:sub>
              </m:sSub>
            </m:oMath>
          </w:p>
        </w:tc>
        <w:tc>
          <w:tcPr>
            <w:tcW w:w="3898" w:type="dxa"/>
          </w:tcPr>
          <w:p>
            <w:pPr>
              <w:pStyle w:val="TableText"/>
              <w:jc w:val="left"/>
            </w:pPr>
            <w:r>
              <w:t xml:space="preserve">First step of event</w:t>
            </w:r>
            <w:r>
              <w:t xml:space="preserve"> </w:t>
            </w:r>
            <m:oMath>
              <m:r>
                <w:rPr>
                  <w:rFonts w:ascii="Cambria Math" w:hAnsi="Cambria Math"/>
                  <w:sz w:val="15"/>
                  <w:szCs w:val="15"/>
                </w:rPr>
                <m:t>k</m:t>
              </m:r>
            </m:oMath>
          </w:p>
        </w:tc>
      </w:tr>
      <w:tr>
        <w:tc>
          <w:tcPr>
            <w:tcW w:w="1020" w:type="dxa"/>
          </w:tcPr>
          <w:p>
            <w:pPr>
              <w:pStyle w:val="TableText"/>
              <w:jc w:val="left"/>
            </w:pPr>
            <m:oMath>
              <m:sSub>
                <m:e>
                  <m:r>
                    <w:rPr>
                      <w:rFonts w:ascii="Cambria Math" w:hAnsi="Cambria Math"/>
                      <w:sz w:val="15"/>
                      <w:szCs w:val="15"/>
                    </w:rPr>
                    <m:t>e</m:t>
                  </m:r>
                </m:e>
                <m:sub>
                  <m:r>
                    <w:rPr>
                      <w:rFonts w:ascii="Cambria Math" w:hAnsi="Cambria Math"/>
                      <w:sz w:val="15"/>
                      <w:szCs w:val="15"/>
                    </w:rPr>
                    <m:t>k</m:t>
                  </m:r>
                </m:sub>
              </m:sSub>
            </m:oMath>
          </w:p>
        </w:tc>
        <w:tc>
          <w:tcPr>
            <w:tcW w:w="3898" w:type="dxa"/>
          </w:tcPr>
          <w:p>
            <w:pPr>
              <w:pStyle w:val="TableText"/>
              <w:jc w:val="left"/>
            </w:pPr>
            <w:r>
              <w:t xml:space="preserve">Last step of event</w:t>
            </w:r>
            <w:r>
              <w:t xml:space="preserve"> </w:t>
            </w:r>
            <m:oMath>
              <m:r>
                <w:rPr>
                  <w:rFonts w:ascii="Cambria Math" w:hAnsi="Cambria Math"/>
                  <w:sz w:val="15"/>
                  <w:szCs w:val="15"/>
                </w:rPr>
                <m:t>k</m:t>
              </m:r>
            </m:oMath>
          </w:p>
        </w:tc>
      </w:tr>
      <w:tr>
        <w:tc>
          <w:tcPr>
            <w:tcW w:w="1020" w:type="dxa"/>
          </w:tcPr>
          <w:p>
            <w:pPr>
              <w:pStyle w:val="TableText"/>
              <w:jc w:val="left"/>
            </w:pPr>
            <m:oMath>
              <m:r>
                <w:rPr>
                  <w:rFonts w:ascii="Cambria Math" w:hAnsi="Cambria Math"/>
                  <w:sz w:val="15"/>
                  <w:szCs w:val="15"/>
                </w:rPr>
                <m:t>τ</m:t>
              </m:r>
            </m:oMath>
          </w:p>
        </w:tc>
        <w:tc>
          <w:tcPr>
            <w:tcW w:w="3898" w:type="dxa"/>
          </w:tcPr>
          <w:p>
            <w:pPr>
              <w:pStyle w:val="TableText"/>
              <w:jc w:val="left"/>
            </w:pPr>
            <w:r>
              <w:t xml:space="preserve">Interval between two consecutive events (h)</w:t>
            </w:r>
          </w:p>
        </w:tc>
      </w:tr>
      <w:tr>
        <w:tc>
          <w:tcPr>
            <w:tcW w:w="1020" w:type="dxa"/>
          </w:tcPr>
          <w:p>
            <w:pPr>
              <w:pStyle w:val="TableText"/>
              <w:jc w:val="left"/>
            </w:pPr>
            <m:oMath>
              <m:sSub>
                <m:e>
                  <m:r>
                    <w:rPr>
                      <w:rFonts w:ascii="Cambria Math" w:hAnsi="Cambria Math"/>
                      <w:sz w:val="15"/>
                      <w:szCs w:val="15"/>
                    </w:rPr>
                    <m:t>C</m:t>
                  </m:r>
                </m:e>
                <m:sub>
                  <m:r>
                    <w:rPr>
                      <w:rFonts w:ascii="Cambria Math" w:hAnsi="Cambria Math"/>
                      <w:sz w:val="15"/>
                      <w:szCs w:val="15"/>
                    </w:rPr>
                    <m:t>k</m:t>
                  </m:r>
                </m:sub>
              </m:sSub>
            </m:oMath>
          </w:p>
        </w:tc>
        <w:tc>
          <w:tcPr>
            <w:tcW w:w="3898" w:type="dxa"/>
          </w:tcPr>
          <w:p>
            <w:pPr>
              <w:pStyle w:val="TableText"/>
              <w:jc w:val="left"/>
            </w:pPr>
            <w:r>
              <w:t xml:space="preserve">DR commitment of event</w:t>
            </w:r>
            <w:r>
              <w:t xml:space="preserve"> </w:t>
            </w:r>
            <m:oMath>
              <m:r>
                <w:rPr>
                  <w:rFonts w:ascii="Cambria Math" w:hAnsi="Cambria Math"/>
                  <w:sz w:val="15"/>
                  <w:szCs w:val="15"/>
                </w:rPr>
                <m:t>k</m:t>
              </m:r>
            </m:oMath>
            <w:r>
              <w:t xml:space="preserve"> </w:t>
            </w:r>
            <w:r>
              <w:t xml:space="preserve">(MW)</w:t>
            </w:r>
          </w:p>
        </w:tc>
      </w:tr>
      <w:tr>
        <w:tc>
          <w:tcPr>
            <w:tcW w:w="1020" w:type="dxa"/>
          </w:tcPr>
          <w:p>
            <w:pPr>
              <w:pStyle w:val="TableText"/>
              <w:jc w:val="left"/>
            </w:pPr>
            <m:oMath>
              <m:sSub>
                <m:e>
                  <m:r>
                    <w:rPr>
                      <w:rFonts w:ascii="Cambria Math" w:hAnsi="Cambria Math"/>
                      <w:sz w:val="15"/>
                      <w:szCs w:val="15"/>
                    </w:rPr>
                    <m:t>π</m:t>
                  </m:r>
                </m:e>
                <m:sub>
                  <m:r>
                    <w:rPr>
                      <w:rFonts w:ascii="Cambria Math" w:hAnsi="Cambria Math"/>
                      <w:sz w:val="15"/>
                      <w:szCs w:val="15"/>
                    </w:rPr>
                    <m:t>t</m:t>
                  </m:r>
                </m:sub>
              </m:sSub>
            </m:oMath>
          </w:p>
        </w:tc>
        <w:tc>
          <w:tcPr>
            <w:tcW w:w="3898" w:type="dxa"/>
          </w:tcPr>
          <w:p>
            <w:pPr>
              <w:pStyle w:val="TableText"/>
              <w:jc w:val="left"/>
            </w:pPr>
            <w:r>
              <w:t xml:space="preserve">TOU energy price (CNY/MWh)</w:t>
            </w:r>
          </w:p>
        </w:tc>
      </w:tr>
      <w:tr>
        <w:tc>
          <w:tcPr>
            <w:tcW w:w="1020" w:type="dxa"/>
          </w:tcPr>
          <w:p>
            <w:pPr>
              <w:pStyle w:val="TableText"/>
              <w:jc w:val="left"/>
            </w:pPr>
            <m:oMath>
              <m:sSub>
                <m:e>
                  <m:r>
                    <w:rPr>
                      <w:rFonts w:ascii="Cambria Math" w:hAnsi="Cambria Math"/>
                      <w:sz w:val="15"/>
                      <w:szCs w:val="15"/>
                    </w:rPr>
                    <m:t>π</m:t>
                  </m:r>
                </m:e>
                <m:sub>
                  <m:r>
                    <w:rPr>
                      <w:rFonts w:ascii="Cambria Math" w:hAnsi="Cambria Math"/>
                      <w:sz w:val="15"/>
                      <w:szCs w:val="15"/>
                    </w:rPr>
                    <m:t>k</m:t>
                  </m:r>
                </m:sub>
              </m:sSub>
            </m:oMath>
          </w:p>
        </w:tc>
        <w:tc>
          <w:tcPr>
            <w:tcW w:w="3898" w:type="dxa"/>
          </w:tcPr>
          <w:p>
            <w:pPr>
              <w:pStyle w:val="TableText"/>
              <w:jc w:val="left"/>
            </w:pPr>
            <w:r>
              <w:t xml:space="preserve">DR unit price of event</w:t>
            </w:r>
            <w:r>
              <w:t xml:space="preserve"> </w:t>
            </w:r>
            <m:oMath>
              <m:r>
                <w:rPr>
                  <w:rFonts w:ascii="Cambria Math" w:hAnsi="Cambria Math"/>
                  <w:sz w:val="15"/>
                  <w:szCs w:val="15"/>
                </w:rPr>
                <m:t>k</m:t>
              </m:r>
            </m:oMath>
            <w:r>
              <w:t xml:space="preserve"> </w:t>
            </w:r>
            <w:r>
              <w:t xml:space="preserve">(CNY/MWh)</w:t>
            </w:r>
          </w:p>
        </w:tc>
      </w:tr>
      <w:tr>
        <w:tc>
          <w:tcPr>
            <w:tcW w:w="1020" w:type="dxa"/>
          </w:tcPr>
          <w:p>
            <w:pPr>
              <w:pStyle w:val="TableText"/>
              <w:jc w:val="left"/>
            </w:pPr>
            <m:oMath>
              <m:r>
                <w:rPr>
                  <w:rFonts w:ascii="Cambria Math" w:hAnsi="Cambria Math"/>
                  <w:sz w:val="15"/>
                  <w:szCs w:val="15"/>
                </w:rPr>
                <m:t>κ</m:t>
              </m:r>
            </m:oMath>
          </w:p>
        </w:tc>
        <w:tc>
          <w:tcPr>
            <w:tcW w:w="3898" w:type="dxa"/>
          </w:tcPr>
          <w:p>
            <w:pPr>
              <w:pStyle w:val="TableText"/>
              <w:jc w:val="left"/>
            </w:pPr>
            <w:r>
              <w:t xml:space="preserve">Shortfall assessment coefficient</w:t>
            </w:r>
          </w:p>
        </w:tc>
      </w:tr>
      <w:tr>
        <w:tc>
          <w:tcPr>
            <w:tcW w:w="1020" w:type="dxa"/>
          </w:tcPr>
          <w:p>
            <w:pPr>
              <w:pStyle w:val="TableText"/>
              <w:jc w:val="left"/>
            </w:pPr>
            <m:oMath>
              <m:sSup>
                <m:e>
                  <m:r>
                    <w:rPr>
                      <w:rFonts w:ascii="Cambria Math" w:hAnsi="Cambria Math"/>
                      <w:sz w:val="15"/>
                      <w:szCs w:val="15"/>
                    </w:rPr>
                    <m:t>c</m:t>
                  </m:r>
                </m:e>
                <m:sup>
                  <m:r>
                    <w:rPr>
                      <w:rFonts w:ascii="Cambria Math" w:hAnsi="Cambria Math"/>
                      <w:sz w:val="15"/>
                      <w:szCs w:val="15"/>
                    </w:rPr>
                    <m:t>r</m:t>
                  </m:r>
                  <m:r>
                    <w:rPr>
                      <w:rFonts w:ascii="Cambria Math" w:hAnsi="Cambria Math"/>
                      <w:sz w:val="15"/>
                      <w:szCs w:val="15"/>
                    </w:rPr>
                    <m:t>b</m:t>
                  </m:r>
                </m:sup>
              </m:sSup>
            </m:oMath>
          </w:p>
        </w:tc>
        <w:tc>
          <w:tcPr>
            <w:tcW w:w="3898" w:type="dxa"/>
          </w:tcPr>
          <w:p>
            <w:pPr>
              <w:pStyle w:val="TableText"/>
              <w:jc w:val="left"/>
            </w:pPr>
            <w:r>
              <w:t xml:space="preserve">Rebound assessment price (CNY/MW per event)</w:t>
            </w:r>
          </w:p>
        </w:tc>
      </w:tr>
      <w:tr>
        <w:tc>
          <w:tcPr>
            <w:tcW w:w="1020" w:type="dxa"/>
          </w:tcPr>
          <w:p>
            <w:pPr>
              <w:pStyle w:val="TableText"/>
              <w:jc w:val="left"/>
            </w:pPr>
            <m:oMath>
              <m:sSub>
                <m:e>
                  <m:r>
                    <m:rPr>
                      <m:scr m:val="script"/>
                      <m:sty m:val="p"/>
                    </m:rPr>
                    <w:rPr>
                      <w:rFonts w:ascii="Cambria Math" w:hAnsi="Cambria Math"/>
                      <w:sz w:val="15"/>
                      <w:szCs w:val="15"/>
                    </w:rPr>
                    <m:t>W</m:t>
                  </m:r>
                </m:e>
                <m:sub>
                  <m:r>
                    <w:rPr>
                      <w:rFonts w:ascii="Cambria Math" w:hAnsi="Cambria Math"/>
                      <w:sz w:val="15"/>
                      <w:szCs w:val="15"/>
                    </w:rPr>
                    <m:t>k</m:t>
                  </m:r>
                </m:sub>
              </m:sSub>
            </m:oMath>
          </w:p>
        </w:tc>
        <w:tc>
          <w:tcPr>
            <w:tcW w:w="3898" w:type="dxa"/>
          </w:tcPr>
          <w:p>
            <w:pPr>
              <w:pStyle w:val="TableText"/>
              <w:jc w:val="left"/>
            </w:pPr>
            <w:r>
              <w:t xml:space="preserve">Post-event window of event</w:t>
            </w:r>
            <w:r>
              <w:t xml:space="preserve"> </w:t>
            </w:r>
            <m:oMath>
              <m:r>
                <w:rPr>
                  <w:rFonts w:ascii="Cambria Math" w:hAnsi="Cambria Math"/>
                  <w:sz w:val="15"/>
                  <w:szCs w:val="15"/>
                </w:rPr>
                <m:t>k</m:t>
              </m:r>
            </m:oMath>
            <w:r>
              <w:t xml:space="preserve"> </w:t>
            </w:r>
            <w:r>
              <w:t xml:space="preserve">(2 h)</w:t>
            </w:r>
          </w:p>
        </w:tc>
      </w:tr>
      <w:tr>
        <w:tc>
          <w:tcPr>
            <w:tcW w:w="1020" w:type="dxa"/>
          </w:tcPr>
          <w:p>
            <w:pPr>
              <w:pStyle w:val="TableText"/>
              <w:jc w:val="left"/>
            </w:pPr>
            <m:oMath>
              <m:sSup>
                <m:e>
                  <m:r>
                    <w:rPr>
                      <w:rFonts w:ascii="Cambria Math" w:hAnsi="Cambria Math"/>
                      <w:sz w:val="15"/>
                      <w:szCs w:val="15"/>
                    </w:rPr>
                    <m:t>δ</m:t>
                  </m:r>
                </m:e>
                <m:sup>
                  <m:r>
                    <w:rPr>
                      <w:rFonts w:ascii="Cambria Math" w:hAnsi="Cambria Math"/>
                      <w:sz w:val="15"/>
                      <w:szCs w:val="15"/>
                    </w:rPr>
                    <m:t>v</m:t>
                  </m:r>
                  <m:r>
                    <w:rPr>
                      <w:rFonts w:ascii="Cambria Math" w:hAnsi="Cambria Math"/>
                      <w:sz w:val="15"/>
                      <w:szCs w:val="15"/>
                    </w:rPr>
                    <m:t>a</m:t>
                  </m:r>
                  <m:r>
                    <w:rPr>
                      <w:rFonts w:ascii="Cambria Math" w:hAnsi="Cambria Math"/>
                      <w:sz w:val="15"/>
                      <w:szCs w:val="15"/>
                    </w:rPr>
                    <m:t>l</m:t>
                  </m:r>
                </m:sup>
              </m:sSup>
            </m:oMath>
          </w:p>
        </w:tc>
        <w:tc>
          <w:tcPr>
            <w:tcW w:w="3898" w:type="dxa"/>
          </w:tcPr>
          <w:p>
            <w:pPr>
              <w:pStyle w:val="TableText"/>
              <w:jc w:val="left"/>
            </w:pPr>
            <w:r>
              <w:t xml:space="preserve">Planning margin above the validity threshold (MW)</w:t>
            </w:r>
          </w:p>
        </w:tc>
      </w:tr>
      <w:tr>
        <w:tc>
          <w:tcPr>
            <w:tcW w:w="1020" w:type="dxa"/>
          </w:tcPr>
          <w:p>
            <w:pPr>
              <w:pStyle w:val="TableText"/>
              <w:jc w:val="left"/>
            </w:pPr>
            <m:oMath>
              <m:r>
                <w:rPr>
                  <w:rFonts w:ascii="Cambria Math" w:hAnsi="Cambria Math"/>
                  <w:sz w:val="15"/>
                  <w:szCs w:val="15"/>
                </w:rPr>
                <m:t>M</m:t>
              </m:r>
            </m:oMath>
          </w:p>
        </w:tc>
        <w:tc>
          <w:tcPr>
            <w:tcW w:w="3898" w:type="dxa"/>
          </w:tcPr>
          <w:p>
            <w:pPr>
              <w:pStyle w:val="TableText"/>
              <w:jc w:val="left"/>
            </w:pPr>
            <w:r>
              <w:t xml:space="preserve">Big-M constant</w:t>
            </w:r>
          </w:p>
        </w:tc>
      </w:tr>
      <w:tr>
        <w:tc>
          <w:tcPr>
            <w:tcW w:w="1020" w:type="dxa"/>
          </w:tcPr>
          <w:p>
            <w:pPr>
              <w:pStyle w:val="TableText"/>
              <w:jc w:val="left"/>
            </w:pPr>
            <m:oMath>
              <m:sSubSup>
                <m:e>
                  <m:r>
                    <w:rPr>
                      <w:rFonts w:ascii="Cambria Math" w:hAnsi="Cambria Math"/>
                      <w:sz w:val="15"/>
                      <w:szCs w:val="15"/>
                    </w:rPr>
                    <m:t>P</m:t>
                  </m:r>
                </m:e>
                <m:sub>
                  <m:r>
                    <w:rPr>
                      <w:rFonts w:ascii="Cambria Math" w:hAnsi="Cambria Math"/>
                      <w:sz w:val="15"/>
                      <w:szCs w:val="15"/>
                    </w:rPr>
                    <m:t>t</m:t>
                  </m:r>
                </m:sub>
                <m:sup>
                  <m:r>
                    <w:rPr>
                      <w:rFonts w:ascii="Cambria Math" w:hAnsi="Cambria Math"/>
                      <w:sz w:val="15"/>
                      <w:szCs w:val="15"/>
                    </w:rPr>
                    <m:t>b</m:t>
                  </m:r>
                  <m:r>
                    <w:rPr>
                      <w:rFonts w:ascii="Cambria Math" w:hAnsi="Cambria Math"/>
                      <w:sz w:val="15"/>
                      <w:szCs w:val="15"/>
                    </w:rPr>
                    <m:t>a</m:t>
                  </m:r>
                  <m:r>
                    <w:rPr>
                      <w:rFonts w:ascii="Cambria Math" w:hAnsi="Cambria Math"/>
                      <w:sz w:val="15"/>
                      <w:szCs w:val="15"/>
                    </w:rPr>
                    <m:t>s</m:t>
                  </m:r>
                  <m:r>
                    <w:rPr>
                      <w:rFonts w:ascii="Cambria Math" w:hAnsi="Cambria Math"/>
                      <w:sz w:val="15"/>
                      <w:szCs w:val="15"/>
                    </w:rPr>
                    <m:t>e</m:t>
                  </m:r>
                </m:sup>
              </m:sSubSup>
            </m:oMath>
          </w:p>
        </w:tc>
        <w:tc>
          <w:tcPr>
            <w:tcW w:w="3898" w:type="dxa"/>
          </w:tcPr>
          <w:p>
            <w:pPr>
              <w:pStyle w:val="TableText"/>
              <w:jc w:val="left"/>
            </w:pPr>
            <w:r>
              <w:t xml:space="preserve">DR baseline (MW)</w:t>
            </w:r>
          </w:p>
        </w:tc>
      </w:tr>
      <w:tr>
        <w:tc>
          <w:tcPr>
            <w:tcW w:w="1020" w:type="dxa"/>
          </w:tcPr>
          <w:p>
            <w:pPr>
              <w:pStyle w:val="TableText"/>
              <w:jc w:val="left"/>
            </w:pPr>
            <m:oMath>
              <m:sSubSup>
                <m:e>
                  <m:r>
                    <w:rPr>
                      <w:rFonts w:ascii="Cambria Math" w:hAnsi="Cambria Math"/>
                      <w:sz w:val="15"/>
                      <w:szCs w:val="15"/>
                    </w:rPr>
                    <m:t>P</m:t>
                  </m:r>
                </m:e>
                <m:sub>
                  <m:r>
                    <w:rPr>
                      <w:rFonts w:ascii="Cambria Math" w:hAnsi="Cambria Math"/>
                      <w:sz w:val="15"/>
                      <w:szCs w:val="15"/>
                    </w:rPr>
                    <m:t>t</m:t>
                  </m:r>
                </m:sub>
                <m:sup>
                  <m:r>
                    <w:rPr>
                      <w:rFonts w:ascii="Cambria Math" w:hAnsi="Cambria Math"/>
                      <w:sz w:val="15"/>
                      <w:szCs w:val="15"/>
                    </w:rPr>
                    <m:t>n</m:t>
                  </m:r>
                  <m:r>
                    <w:rPr>
                      <w:rFonts w:ascii="Cambria Math" w:hAnsi="Cambria Math"/>
                      <w:sz w:val="15"/>
                      <w:szCs w:val="15"/>
                    </w:rPr>
                    <m:t>o</m:t>
                  </m:r>
                  <m:r>
                    <w:rPr>
                      <w:rFonts w:ascii="Cambria Math" w:hAnsi="Cambria Math"/>
                      <w:sz w:val="15"/>
                      <w:szCs w:val="15"/>
                    </w:rPr>
                    <m:t>D</m:t>
                  </m:r>
                  <m:r>
                    <w:rPr>
                      <w:rFonts w:ascii="Cambria Math" w:hAnsi="Cambria Math"/>
                      <w:sz w:val="15"/>
                      <w:szCs w:val="15"/>
                    </w:rPr>
                    <m:t>R</m:t>
                  </m:r>
                </m:sup>
              </m:sSubSup>
            </m:oMath>
          </w:p>
        </w:tc>
        <w:tc>
          <w:tcPr>
            <w:tcW w:w="3898" w:type="dxa"/>
          </w:tcPr>
          <w:p>
            <w:pPr>
              <w:pStyle w:val="TableText"/>
              <w:jc w:val="left"/>
            </w:pPr>
            <w:r>
              <w:t xml:space="preserve">Import of the no-DR operation on the realised data (MW)</w:t>
            </w:r>
          </w:p>
        </w:tc>
      </w:tr>
      <w:tr>
        <w:tc>
          <w:tcPr>
            <w:tcW w:w="1020" w:type="dxa"/>
          </w:tcPr>
          <w:p>
            <w:pPr>
              <w:pStyle w:val="TableText"/>
              <w:jc w:val="left"/>
            </w:pPr>
            <m:oMath>
              <m:acc>
                <m:accPr>
                  <m:chr m:val="̂"/>
                </m:accPr>
                <m:e>
                  <m:r>
                    <w:rPr>
                      <w:rFonts w:ascii="Cambria Math" w:hAnsi="Cambria Math"/>
                      <w:sz w:val="15"/>
                      <w:szCs w:val="15"/>
                    </w:rPr>
                    <m:t>P</m:t>
                  </m:r>
                </m:e>
              </m:acc>
            </m:oMath>
          </w:p>
        </w:tc>
        <w:tc>
          <w:tcPr>
            <w:tcW w:w="3898" w:type="dxa"/>
          </w:tcPr>
          <w:p>
            <w:pPr>
              <w:pStyle w:val="TableText"/>
              <w:jc w:val="left"/>
            </w:pPr>
            <w:r>
              <w:t xml:space="preserve">Typical-day peak import (MW)</w:t>
            </w:r>
          </w:p>
        </w:tc>
      </w:tr>
      <w:tr>
        <w:tc>
          <w:tcPr>
            <w:tcW w:w="1020" w:type="dxa"/>
          </w:tcPr>
          <w:p>
            <w:pPr>
              <w:pStyle w:val="TableText"/>
              <w:jc w:val="left"/>
            </w:pPr>
            <m:oMath>
              <m:r>
                <w:rPr>
                  <w:rFonts w:ascii="Cambria Math" w:hAnsi="Cambria Math"/>
                  <w:sz w:val="15"/>
                  <w:szCs w:val="15"/>
                </w:rPr>
                <m:t>γ</m:t>
              </m:r>
            </m:oMath>
          </w:p>
        </w:tc>
        <w:tc>
          <w:tcPr>
            <w:tcW w:w="3898" w:type="dxa"/>
          </w:tcPr>
          <w:p>
            <w:pPr>
              <w:pStyle w:val="TableText"/>
              <w:jc w:val="left"/>
            </w:pPr>
            <w:r>
              <w:t xml:space="preserve">Connection margin over the typical-day peak</w:t>
            </w:r>
          </w:p>
        </w:tc>
      </w:tr>
      <w:tr>
        <w:tc>
          <w:tcPr>
            <w:tcW w:w="1020" w:type="dxa"/>
          </w:tcPr>
          <w:p>
            <w:pPr>
              <w:pStyle w:val="TableText"/>
              <w:jc w:val="left"/>
            </w:pPr>
            <m:oMath>
              <m:sSup>
                <m:e>
                  <m:r>
                    <w:rPr>
                      <w:rFonts w:ascii="Cambria Math" w:hAnsi="Cambria Math"/>
                      <w:sz w:val="15"/>
                      <w:szCs w:val="15"/>
                    </w:rPr>
                    <m:t>P</m:t>
                  </m:r>
                </m:e>
                <m:sup>
                  <m:r>
                    <w:rPr>
                      <w:rFonts w:ascii="Cambria Math" w:hAnsi="Cambria Math"/>
                      <w:sz w:val="15"/>
                      <w:szCs w:val="15"/>
                    </w:rPr>
                    <m:t>c</m:t>
                  </m:r>
                  <m:r>
                    <w:rPr>
                      <w:rFonts w:ascii="Cambria Math" w:hAnsi="Cambria Math"/>
                      <w:sz w:val="15"/>
                      <w:szCs w:val="15"/>
                    </w:rPr>
                    <m:t>a</m:t>
                  </m:r>
                  <m:r>
                    <w:rPr>
                      <w:rFonts w:ascii="Cambria Math" w:hAnsi="Cambria Math"/>
                      <w:sz w:val="15"/>
                      <w:szCs w:val="15"/>
                    </w:rPr>
                    <m:t>p</m:t>
                  </m:r>
                </m:sup>
              </m:sSup>
            </m:oMath>
          </w:p>
        </w:tc>
        <w:tc>
          <w:tcPr>
            <w:tcW w:w="3898" w:type="dxa"/>
          </w:tcPr>
          <w:p>
            <w:pPr>
              <w:pStyle w:val="TableText"/>
              <w:jc w:val="left"/>
            </w:pPr>
            <w:r>
              <w:t xml:space="preserve">Grid connection limit,</w:t>
            </w:r>
            <w:r>
              <w:t xml:space="preserve"> </w:t>
            </w:r>
            <m:oMath>
              <m:r>
                <w:rPr>
                  <w:rFonts w:ascii="Cambria Math" w:hAnsi="Cambria Math"/>
                  <w:sz w:val="15"/>
                  <w:szCs w:val="15"/>
                </w:rPr>
                <m:t>γ</m:t>
              </m:r>
              <m:acc>
                <m:accPr>
                  <m:chr m:val="̂"/>
                </m:accPr>
                <m:e>
                  <m:r>
                    <w:rPr>
                      <w:rFonts w:ascii="Cambria Math" w:hAnsi="Cambria Math"/>
                      <w:sz w:val="15"/>
                      <w:szCs w:val="15"/>
                    </w:rPr>
                    <m:t>P</m:t>
                  </m:r>
                </m:e>
              </m:acc>
            </m:oMath>
            <w:r>
              <w:t xml:space="preserve"> </w:t>
            </w:r>
            <w:r>
              <w:t xml:space="preserve">(MW)</w:t>
            </w:r>
          </w:p>
        </w:tc>
      </w:tr>
      <w:tr>
        <w:tc>
          <w:tcPr>
            <w:tcW w:w="1020" w:type="dxa"/>
          </w:tcPr>
          <w:p>
            <w:pPr>
              <w:pStyle w:val="TableText"/>
              <w:jc w:val="left"/>
            </w:pPr>
            <m:oMath>
              <m:sSup>
                <m:e>
                  <m:r>
                    <w:rPr>
                      <w:rFonts w:ascii="Cambria Math" w:hAnsi="Cambria Math"/>
                      <w:sz w:val="15"/>
                      <w:szCs w:val="15"/>
                    </w:rPr>
                    <m:t>P</m:t>
                  </m:r>
                </m:e>
                <m:sup>
                  <m:r>
                    <w:rPr>
                      <w:rFonts w:ascii="Cambria Math" w:hAnsi="Cambria Math"/>
                      <w:sz w:val="15"/>
                      <w:szCs w:val="15"/>
                    </w:rPr>
                    <m:t>m</m:t>
                  </m:r>
                  <m:r>
                    <w:rPr>
                      <w:rFonts w:ascii="Cambria Math" w:hAnsi="Cambria Math"/>
                      <w:sz w:val="15"/>
                      <w:szCs w:val="15"/>
                    </w:rPr>
                    <m:t>i</m:t>
                  </m:r>
                  <m:r>
                    <w:rPr>
                      <w:rFonts w:ascii="Cambria Math" w:hAnsi="Cambria Math"/>
                      <w:sz w:val="15"/>
                      <w:szCs w:val="15"/>
                    </w:rPr>
                    <m:t>n</m:t>
                  </m:r>
                </m:sup>
              </m:sSup>
            </m:oMath>
          </w:p>
        </w:tc>
        <w:tc>
          <w:tcPr>
            <w:tcW w:w="3898" w:type="dxa"/>
          </w:tcPr>
          <w:p>
            <w:pPr>
              <w:pStyle w:val="TableText"/>
              <w:jc w:val="left"/>
            </w:pPr>
            <w:r>
              <w:t xml:space="preserve">Minimum grid import (MW)</w:t>
            </w:r>
          </w:p>
        </w:tc>
      </w:tr>
      <w:tr>
        <w:tc>
          <w:tcPr>
            <w:tcW w:w="1020" w:type="dxa"/>
          </w:tcPr>
          <w:p>
            <w:pPr>
              <w:pStyle w:val="TableText"/>
              <w:jc w:val="left"/>
            </w:pPr>
            <m:oMath>
              <m:sSup>
                <m:e>
                  <m:r>
                    <w:rPr>
                      <w:rFonts w:ascii="Cambria Math" w:hAnsi="Cambria Math"/>
                      <w:sz w:val="15"/>
                      <w:szCs w:val="15"/>
                    </w:rPr>
                    <m:t>N</m:t>
                  </m:r>
                </m:e>
                <m:sup>
                  <m:r>
                    <w:rPr>
                      <w:rFonts w:ascii="Cambria Math" w:hAnsi="Cambria Math"/>
                      <w:sz w:val="15"/>
                      <w:szCs w:val="15"/>
                    </w:rPr>
                    <m:t>G</m:t>
                  </m:r>
                  <m:r>
                    <w:rPr>
                      <w:rFonts w:ascii="Cambria Math" w:hAnsi="Cambria Math"/>
                      <w:sz w:val="15"/>
                      <w:szCs w:val="15"/>
                    </w:rPr>
                    <m:t>P</m:t>
                  </m:r>
                  <m:r>
                    <w:rPr>
                      <w:rFonts w:ascii="Cambria Math" w:hAnsi="Cambria Math"/>
                      <w:sz w:val="15"/>
                      <w:szCs w:val="15"/>
                    </w:rPr>
                    <m:t>U</m:t>
                  </m:r>
                </m:sup>
              </m:sSup>
            </m:oMath>
          </w:p>
        </w:tc>
        <w:tc>
          <w:tcPr>
            <w:tcW w:w="3898" w:type="dxa"/>
          </w:tcPr>
          <w:p>
            <w:pPr>
              <w:pStyle w:val="TableText"/>
              <w:jc w:val="left"/>
            </w:pPr>
            <w:r>
              <w:t xml:space="preserve">Number of GPUs</w:t>
            </w:r>
          </w:p>
        </w:tc>
      </w:tr>
      <w:tr>
        <w:tc>
          <w:tcPr>
            <w:tcW w:w="1020" w:type="dxa"/>
          </w:tcPr>
          <w:p>
            <w:pPr>
              <w:pStyle w:val="TableText"/>
              <w:jc w:val="left"/>
            </w:pPr>
            <m:oMath>
              <m:sSup>
                <m:e>
                  <m:r>
                    <w:rPr>
                      <w:rFonts w:ascii="Cambria Math" w:hAnsi="Cambria Math"/>
                      <w:sz w:val="15"/>
                      <w:szCs w:val="15"/>
                    </w:rPr>
                    <m:t>p</m:t>
                  </m:r>
                </m:e>
                <m:sup>
                  <m:r>
                    <w:rPr>
                      <w:rFonts w:ascii="Cambria Math" w:hAnsi="Cambria Math"/>
                      <w:sz w:val="15"/>
                      <w:szCs w:val="15"/>
                    </w:rPr>
                    <m:t>i</m:t>
                  </m:r>
                  <m:r>
                    <w:rPr>
                      <w:rFonts w:ascii="Cambria Math" w:hAnsi="Cambria Math"/>
                      <w:sz w:val="15"/>
                      <w:szCs w:val="15"/>
                    </w:rPr>
                    <m:t>d</m:t>
                  </m:r>
                  <m:r>
                    <w:rPr>
                      <w:rFonts w:ascii="Cambria Math" w:hAnsi="Cambria Math"/>
                      <w:sz w:val="15"/>
                      <w:szCs w:val="15"/>
                    </w:rPr>
                    <m:t>l</m:t>
                  </m:r>
                  <m:r>
                    <w:rPr>
                      <w:rFonts w:ascii="Cambria Math" w:hAnsi="Cambria Math"/>
                      <w:sz w:val="15"/>
                      <w:szCs w:val="15"/>
                    </w:rPr>
                    <m:t>e</m:t>
                  </m:r>
                </m:sup>
              </m:sSup>
            </m:oMath>
          </w:p>
        </w:tc>
        <w:tc>
          <w:tcPr>
            <w:tcW w:w="3898" w:type="dxa"/>
          </w:tcPr>
          <w:p>
            <w:pPr>
              <w:pStyle w:val="TableText"/>
              <w:jc w:val="left"/>
            </w:pPr>
            <w:r>
              <w:t xml:space="preserve">Idle power per GPU (MW)</w:t>
            </w:r>
          </w:p>
        </w:tc>
      </w:tr>
      <w:tr>
        <w:tc>
          <w:tcPr>
            <w:tcW w:w="1020" w:type="dxa"/>
          </w:tcPr>
          <w:p>
            <w:pPr>
              <w:pStyle w:val="TableText"/>
              <w:jc w:val="left"/>
            </w:pPr>
            <m:oMath>
              <m:sSup>
                <m:e>
                  <m:r>
                    <w:rPr>
                      <w:rFonts w:ascii="Cambria Math" w:hAnsi="Cambria Math"/>
                      <w:sz w:val="15"/>
                      <w:szCs w:val="15"/>
                    </w:rPr>
                    <m:t>p</m:t>
                  </m:r>
                </m:e>
                <m:sup>
                  <m:r>
                    <w:rPr>
                      <w:rFonts w:ascii="Cambria Math" w:hAnsi="Cambria Math"/>
                      <w:sz w:val="15"/>
                      <w:szCs w:val="15"/>
                    </w:rPr>
                    <m:t>d</m:t>
                  </m:r>
                  <m:r>
                    <w:rPr>
                      <w:rFonts w:ascii="Cambria Math" w:hAnsi="Cambria Math"/>
                      <w:sz w:val="15"/>
                      <w:szCs w:val="15"/>
                    </w:rPr>
                    <m:t>y</m:t>
                  </m:r>
                  <m:r>
                    <w:rPr>
                      <w:rFonts w:ascii="Cambria Math" w:hAnsi="Cambria Math"/>
                      <w:sz w:val="15"/>
                      <w:szCs w:val="15"/>
                    </w:rPr>
                    <m:t>n</m:t>
                  </m:r>
                </m:sup>
              </m:sSup>
            </m:oMath>
          </w:p>
        </w:tc>
        <w:tc>
          <w:tcPr>
            <w:tcW w:w="3898" w:type="dxa"/>
          </w:tcPr>
          <w:p>
            <w:pPr>
              <w:pStyle w:val="TableText"/>
              <w:jc w:val="left"/>
            </w:pPr>
            <w:r>
              <w:t xml:space="preserve">Dynamic power per busy GPU (MW)</w:t>
            </w:r>
          </w:p>
        </w:tc>
      </w:tr>
      <w:tr>
        <w:tc>
          <w:tcPr>
            <w:tcW w:w="1020" w:type="dxa"/>
          </w:tcPr>
          <w:p>
            <w:pPr>
              <w:pStyle w:val="TableText"/>
              <w:jc w:val="left"/>
            </w:pPr>
            <m:oMath>
              <m:sSup>
                <m:e>
                  <m:r>
                    <w:rPr>
                      <w:rFonts w:ascii="Cambria Math" w:hAnsi="Cambria Math"/>
                      <w:sz w:val="15"/>
                      <w:szCs w:val="15"/>
                    </w:rPr>
                    <m:t>P</m:t>
                  </m:r>
                </m:e>
                <m:sup>
                  <m:r>
                    <w:rPr>
                      <w:rFonts w:ascii="Cambria Math" w:hAnsi="Cambria Math"/>
                      <w:sz w:val="15"/>
                      <w:szCs w:val="15"/>
                    </w:rPr>
                    <m:t>o</m:t>
                  </m:r>
                  <m:r>
                    <w:rPr>
                      <w:rFonts w:ascii="Cambria Math" w:hAnsi="Cambria Math"/>
                      <w:sz w:val="15"/>
                      <w:szCs w:val="15"/>
                    </w:rPr>
                    <m:t>t</m:t>
                  </m:r>
                  <m:r>
                    <w:rPr>
                      <w:rFonts w:ascii="Cambria Math" w:hAnsi="Cambria Math"/>
                      <w:sz w:val="15"/>
                      <w:szCs w:val="15"/>
                    </w:rPr>
                    <m:t>h</m:t>
                  </m:r>
                </m:sup>
              </m:sSup>
            </m:oMath>
          </w:p>
        </w:tc>
        <w:tc>
          <w:tcPr>
            <w:tcW w:w="3898" w:type="dxa"/>
          </w:tcPr>
          <w:p>
            <w:pPr>
              <w:pStyle w:val="TableText"/>
              <w:jc w:val="left"/>
            </w:pPr>
            <w:r>
              <w:t xml:space="preserve">Other IT power (MW)</w:t>
            </w:r>
          </w:p>
        </w:tc>
      </w:tr>
      <w:tr>
        <w:tc>
          <w:tcPr>
            <w:tcW w:w="1020" w:type="dxa"/>
          </w:tcPr>
          <w:p>
            <w:pPr>
              <w:pStyle w:val="TableText"/>
              <w:jc w:val="left"/>
            </w:pPr>
            <m:oMath>
              <m:sSup>
                <m:e>
                  <m:r>
                    <w:rPr>
                      <w:rFonts w:ascii="Cambria Math" w:hAnsi="Cambria Math"/>
                      <w:sz w:val="15"/>
                      <w:szCs w:val="15"/>
                    </w:rPr>
                    <m:t>P</m:t>
                  </m:r>
                </m:e>
                <m:sup>
                  <m:r>
                    <w:rPr>
                      <w:rFonts w:ascii="Cambria Math" w:hAnsi="Cambria Math"/>
                      <w:sz w:val="15"/>
                      <w:szCs w:val="15"/>
                    </w:rPr>
                    <m:t>f</m:t>
                  </m:r>
                  <m:r>
                    <w:rPr>
                      <w:rFonts w:ascii="Cambria Math" w:hAnsi="Cambria Math"/>
                      <w:sz w:val="15"/>
                      <w:szCs w:val="15"/>
                    </w:rPr>
                    <m:t>i</m:t>
                  </m:r>
                  <m:r>
                    <w:rPr>
                      <w:rFonts w:ascii="Cambria Math" w:hAnsi="Cambria Math"/>
                      <w:sz w:val="15"/>
                      <w:szCs w:val="15"/>
                    </w:rPr>
                    <m:t>x</m:t>
                  </m:r>
                </m:sup>
              </m:sSup>
            </m:oMath>
          </w:p>
        </w:tc>
        <w:tc>
          <w:tcPr>
            <w:tcW w:w="3898" w:type="dxa"/>
          </w:tcPr>
          <w:p>
            <w:pPr>
              <w:pStyle w:val="TableText"/>
              <w:jc w:val="left"/>
            </w:pPr>
            <w:r>
              <w:t xml:space="preserve">Schedule-independent IT power (MW)</w:t>
            </w:r>
          </w:p>
        </w:tc>
      </w:tr>
      <w:tr>
        <w:tc>
          <w:tcPr>
            <w:tcW w:w="1020" w:type="dxa"/>
          </w:tcPr>
          <w:p>
            <w:pPr>
              <w:pStyle w:val="TableText"/>
              <w:jc w:val="left"/>
            </w:pPr>
            <m:oMath>
              <m:sSup>
                <m:e>
                  <m:r>
                    <w:rPr>
                      <w:rFonts w:ascii="Cambria Math" w:hAnsi="Cambria Math"/>
                      <w:sz w:val="15"/>
                      <w:szCs w:val="15"/>
                    </w:rPr>
                    <m:t>κ</m:t>
                  </m:r>
                </m:e>
                <m:sup>
                  <m:r>
                    <w:rPr>
                      <w:rFonts w:ascii="Cambria Math" w:hAnsi="Cambria Math"/>
                      <w:sz w:val="15"/>
                      <w:szCs w:val="15"/>
                    </w:rPr>
                    <m:t>i</m:t>
                  </m:r>
                  <m:r>
                    <w:rPr>
                      <w:rFonts w:ascii="Cambria Math" w:hAnsi="Cambria Math"/>
                      <w:sz w:val="15"/>
                      <w:szCs w:val="15"/>
                    </w:rPr>
                    <m:t>n</m:t>
                  </m:r>
                  <m:r>
                    <w:rPr>
                      <w:rFonts w:ascii="Cambria Math" w:hAnsi="Cambria Math"/>
                      <w:sz w:val="15"/>
                      <w:szCs w:val="15"/>
                    </w:rPr>
                    <m:t>f</m:t>
                  </m:r>
                </m:sup>
              </m:sSup>
            </m:oMath>
          </w:p>
        </w:tc>
        <w:tc>
          <w:tcPr>
            <w:tcW w:w="3898" w:type="dxa"/>
          </w:tcPr>
          <w:p>
            <w:pPr>
              <w:pStyle w:val="TableText"/>
              <w:jc w:val="left"/>
            </w:pPr>
            <w:r>
              <w:t xml:space="preserve">Dynamic-power factor of inference</w:t>
            </w:r>
          </w:p>
        </w:tc>
      </w:tr>
      <w:tr>
        <w:tc>
          <w:tcPr>
            <w:tcW w:w="1020" w:type="dxa"/>
          </w:tcPr>
          <w:p>
            <w:pPr>
              <w:pStyle w:val="TableText"/>
              <w:jc w:val="left"/>
            </w:pPr>
            <m:oMath>
              <m:sSup>
                <m:e>
                  <m:r>
                    <w:rPr>
                      <w:rFonts w:ascii="Cambria Math" w:hAnsi="Cambria Math"/>
                      <w:sz w:val="15"/>
                      <w:szCs w:val="15"/>
                    </w:rPr>
                    <m:t>u</m:t>
                  </m:r>
                </m:e>
                <m:sup>
                  <m:r>
                    <w:rPr>
                      <w:rFonts w:ascii="Cambria Math" w:hAnsi="Cambria Math"/>
                      <w:sz w:val="15"/>
                      <w:szCs w:val="15"/>
                    </w:rPr>
                    <m:t>m</m:t>
                  </m:r>
                  <m:r>
                    <w:rPr>
                      <w:rFonts w:ascii="Cambria Math" w:hAnsi="Cambria Math"/>
                      <w:sz w:val="15"/>
                      <w:szCs w:val="15"/>
                    </w:rPr>
                    <m:t>a</m:t>
                  </m:r>
                  <m:r>
                    <w:rPr>
                      <w:rFonts w:ascii="Cambria Math" w:hAnsi="Cambria Math"/>
                      <w:sz w:val="15"/>
                      <w:szCs w:val="15"/>
                    </w:rPr>
                    <m:t>x</m:t>
                  </m:r>
                </m:sup>
              </m:sSup>
            </m:oMath>
          </w:p>
        </w:tc>
        <w:tc>
          <w:tcPr>
            <w:tcW w:w="3898" w:type="dxa"/>
          </w:tcPr>
          <w:p>
            <w:pPr>
              <w:pStyle w:val="TableText"/>
              <w:jc w:val="left"/>
            </w:pPr>
            <w:r>
              <w:t xml:space="preserve">Maximum schedulable GPU fraction</w:t>
            </w:r>
          </w:p>
        </w:tc>
      </w:tr>
      <w:tr>
        <w:tc>
          <w:tcPr>
            <w:tcW w:w="1020" w:type="dxa"/>
          </w:tcPr>
          <w:p>
            <w:pPr>
              <w:pStyle w:val="TableText"/>
              <w:jc w:val="left"/>
            </w:pPr>
            <m:oMath>
              <m:sSub>
                <m:e>
                  <m:r>
                    <w:rPr>
                      <w:rFonts w:ascii="Cambria Math" w:hAnsi="Cambria Math"/>
                      <w:sz w:val="15"/>
                      <w:szCs w:val="15"/>
                    </w:rPr>
                    <m:t>a</m:t>
                  </m:r>
                </m:e>
                <m:sub>
                  <m:r>
                    <w:rPr>
                      <w:rFonts w:ascii="Cambria Math" w:hAnsi="Cambria Math"/>
                      <w:sz w:val="15"/>
                      <w:szCs w:val="15"/>
                    </w:rPr>
                    <m:t>c</m:t>
                  </m:r>
                  <m:r>
                    <m:rPr>
                      <m:sty m:val="p"/>
                    </m:rPr>
                    <w:rPr>
                      <w:rFonts w:ascii="Cambria Math" w:hAnsi="Cambria Math"/>
                      <w:sz w:val="15"/>
                      <w:szCs w:val="15"/>
                    </w:rPr>
                    <m:t>,</m:t>
                  </m:r>
                  <m:r>
                    <w:rPr>
                      <w:rFonts w:ascii="Cambria Math" w:hAnsi="Cambria Math"/>
                      <w:sz w:val="15"/>
                      <w:szCs w:val="15"/>
                    </w:rPr>
                    <m:t>t</m:t>
                  </m:r>
                </m:sub>
              </m:sSub>
            </m:oMath>
          </w:p>
        </w:tc>
        <w:tc>
          <w:tcPr>
            <w:tcW w:w="3898" w:type="dxa"/>
          </w:tcPr>
          <w:p>
            <w:pPr>
              <w:pStyle w:val="TableText"/>
              <w:jc w:val="left"/>
            </w:pPr>
            <w:r>
              <w:t xml:space="preserve">Arrival rate of deferrable work of class</w:t>
            </w:r>
            <w:r>
              <w:t xml:space="preserve"> </w:t>
            </w:r>
            <m:oMath>
              <m:r>
                <w:rPr>
                  <w:rFonts w:ascii="Cambria Math" w:hAnsi="Cambria Math"/>
                  <w:sz w:val="15"/>
                  <w:szCs w:val="15"/>
                </w:rPr>
                <m:t>c</m:t>
              </m:r>
            </m:oMath>
            <w:r>
              <w:t xml:space="preserve"> </w:t>
            </w:r>
            <w:r>
              <w:t xml:space="preserve">(busy GPUs)</w:t>
            </w:r>
          </w:p>
        </w:tc>
      </w:tr>
      <w:tr>
        <w:tc>
          <w:tcPr>
            <w:tcW w:w="1020" w:type="dxa"/>
          </w:tcPr>
          <w:p>
            <w:pPr>
              <w:pStyle w:val="TableText"/>
              <w:jc w:val="left"/>
            </w:pPr>
            <m:oMath>
              <m:sSub>
                <m:e>
                  <m:r>
                    <w:rPr>
                      <w:rFonts w:ascii="Cambria Math" w:hAnsi="Cambria Math"/>
                      <w:sz w:val="15"/>
                      <w:szCs w:val="15"/>
                    </w:rPr>
                    <m:t>L</m:t>
                  </m:r>
                </m:e>
                <m:sub>
                  <m:r>
                    <w:rPr>
                      <w:rFonts w:ascii="Cambria Math" w:hAnsi="Cambria Math"/>
                      <w:sz w:val="15"/>
                      <w:szCs w:val="15"/>
                    </w:rPr>
                    <m:t>c</m:t>
                  </m:r>
                </m:sub>
              </m:sSub>
            </m:oMath>
          </w:p>
        </w:tc>
        <w:tc>
          <w:tcPr>
            <w:tcW w:w="3898" w:type="dxa"/>
          </w:tcPr>
          <w:p>
            <w:pPr>
              <w:pStyle w:val="TableText"/>
              <w:jc w:val="left"/>
            </w:pPr>
            <w:r>
              <w:t xml:space="preserve">Lag bound (deadline) of class</w:t>
            </w:r>
            <w:r>
              <w:t xml:space="preserve"> </w:t>
            </w:r>
            <m:oMath>
              <m:r>
                <w:rPr>
                  <w:rFonts w:ascii="Cambria Math" w:hAnsi="Cambria Math"/>
                  <w:sz w:val="15"/>
                  <w:szCs w:val="15"/>
                </w:rPr>
                <m:t>c</m:t>
              </m:r>
            </m:oMath>
            <w:r>
              <w:t xml:space="preserve"> </w:t>
            </w:r>
            <w:r>
              <w:t xml:space="preserve">(h)</w:t>
            </w:r>
          </w:p>
        </w:tc>
      </w:tr>
      <w:tr>
        <w:tc>
          <w:tcPr>
            <w:tcW w:w="1020" w:type="dxa"/>
          </w:tcPr>
          <w:p>
            <w:pPr>
              <w:pStyle w:val="TableText"/>
              <w:jc w:val="left"/>
            </w:pPr>
            <m:oMath>
              <m:sSub>
                <m:e>
                  <m:acc>
                    <m:accPr>
                      <m:chr m:val="‾"/>
                    </m:accPr>
                    <m:e>
                      <m:r>
                        <w:rPr>
                          <w:rFonts w:ascii="Cambria Math" w:hAnsi="Cambria Math"/>
                          <w:sz w:val="15"/>
                          <w:szCs w:val="15"/>
                        </w:rPr>
                        <m:t>B</m:t>
                      </m:r>
                    </m:e>
                  </m:acc>
                </m:e>
                <m:sub>
                  <m:r>
                    <w:rPr>
                      <w:rFonts w:ascii="Cambria Math" w:hAnsi="Cambria Math"/>
                      <w:sz w:val="15"/>
                      <w:szCs w:val="15"/>
                    </w:rPr>
                    <m:t>c</m:t>
                  </m:r>
                  <m:r>
                    <m:rPr>
                      <m:sty m:val="p"/>
                    </m:rPr>
                    <w:rPr>
                      <w:rFonts w:ascii="Cambria Math" w:hAnsi="Cambria Math"/>
                      <w:sz w:val="15"/>
                      <w:szCs w:val="15"/>
                    </w:rPr>
                    <m:t>,</m:t>
                  </m:r>
                  <m:r>
                    <w:rPr>
                      <w:rFonts w:ascii="Cambria Math" w:hAnsi="Cambria Math"/>
                      <w:sz w:val="15"/>
                      <w:szCs w:val="15"/>
                    </w:rPr>
                    <m:t>t</m:t>
                  </m:r>
                </m:sub>
              </m:sSub>
              <m:d>
                <m:dPr>
                  <m:begChr m:val="("/>
                  <m:sepChr m:val=""/>
                  <m:endChr m:val=")"/>
                  <m:grow/>
                </m:dPr>
                <m:e>
                  <m:sSub>
                    <m:e>
                      <m:r>
                        <w:rPr>
                          <w:rFonts w:ascii="Cambria Math" w:hAnsi="Cambria Math"/>
                          <w:sz w:val="15"/>
                          <w:szCs w:val="15"/>
                        </w:rPr>
                        <m:t>L</m:t>
                      </m:r>
                    </m:e>
                    <m:sub>
                      <m:r>
                        <w:rPr>
                          <w:rFonts w:ascii="Cambria Math" w:hAnsi="Cambria Math"/>
                          <w:sz w:val="15"/>
                          <w:szCs w:val="15"/>
                        </w:rPr>
                        <m:t>c</m:t>
                      </m:r>
                    </m:sub>
                  </m:sSub>
                </m:e>
              </m:d>
            </m:oMath>
          </w:p>
        </w:tc>
        <w:tc>
          <w:tcPr>
            <w:tcW w:w="3898" w:type="dxa"/>
          </w:tcPr>
          <w:p>
            <w:pPr>
              <w:pStyle w:val="TableText"/>
              <w:jc w:val="left"/>
            </w:pPr>
            <w:r>
              <w:t xml:space="preserve">Class-</w:t>
            </w:r>
            <m:oMath>
              <m:r>
                <w:rPr>
                  <w:rFonts w:ascii="Cambria Math" w:hAnsi="Cambria Math"/>
                  <w:sz w:val="15"/>
                  <w:szCs w:val="15"/>
                </w:rPr>
                <m:t>c</m:t>
              </m:r>
            </m:oMath>
            <w:r>
              <w:t xml:space="preserve"> </w:t>
            </w:r>
            <w:r>
              <w:t xml:space="preserve">work that arrived within the last</w:t>
            </w:r>
            <w:r>
              <w:t xml:space="preserve"> </w:t>
            </w:r>
            <m:oMath>
              <m:sSub>
                <m:e>
                  <m:r>
                    <w:rPr>
                      <w:rFonts w:ascii="Cambria Math" w:hAnsi="Cambria Math"/>
                      <w:sz w:val="15"/>
                      <w:szCs w:val="15"/>
                    </w:rPr>
                    <m:t>L</m:t>
                  </m:r>
                </m:e>
                <m:sub>
                  <m:r>
                    <w:rPr>
                      <w:rFonts w:ascii="Cambria Math" w:hAnsi="Cambria Math"/>
                      <w:sz w:val="15"/>
                      <w:szCs w:val="15"/>
                    </w:rPr>
                    <m:t>c</m:t>
                  </m:r>
                </m:sub>
              </m:sSub>
            </m:oMath>
            <w:r>
              <w:t xml:space="preserve"> </w:t>
            </w:r>
            <w:r>
              <w:t xml:space="preserve">hours (GPU·h)</w:t>
            </w:r>
          </w:p>
        </w:tc>
      </w:tr>
      <w:tr>
        <w:tc>
          <w:tcPr>
            <w:tcW w:w="1020" w:type="dxa"/>
          </w:tcPr>
          <w:p>
            <w:pPr>
              <w:pStyle w:val="TableText"/>
              <w:jc w:val="left"/>
            </w:pPr>
            <m:oMath>
              <m:sSubSup>
                <m:e>
                  <m:r>
                    <w:rPr>
                      <w:rFonts w:ascii="Cambria Math" w:hAnsi="Cambria Math"/>
                      <w:sz w:val="15"/>
                      <w:szCs w:val="15"/>
                    </w:rPr>
                    <m:t>G</m:t>
                  </m:r>
                </m:e>
                <m:sub>
                  <m:r>
                    <w:rPr>
                      <w:rFonts w:ascii="Cambria Math" w:hAnsi="Cambria Math"/>
                      <w:sz w:val="15"/>
                      <w:szCs w:val="15"/>
                    </w:rPr>
                    <m:t>t</m:t>
                  </m:r>
                </m:sub>
                <m:sup>
                  <m:r>
                    <w:rPr>
                      <w:rFonts w:ascii="Cambria Math" w:hAnsi="Cambria Math"/>
                      <w:sz w:val="15"/>
                      <w:szCs w:val="15"/>
                    </w:rPr>
                    <m:t>i</m:t>
                  </m:r>
                  <m:r>
                    <w:rPr>
                      <w:rFonts w:ascii="Cambria Math" w:hAnsi="Cambria Math"/>
                      <w:sz w:val="15"/>
                      <w:szCs w:val="15"/>
                    </w:rPr>
                    <m:t>n</m:t>
                  </m:r>
                  <m:r>
                    <w:rPr>
                      <w:rFonts w:ascii="Cambria Math" w:hAnsi="Cambria Math"/>
                      <w:sz w:val="15"/>
                      <w:szCs w:val="15"/>
                    </w:rPr>
                    <m:t>f</m:t>
                  </m:r>
                </m:sup>
              </m:sSubSup>
            </m:oMath>
          </w:p>
        </w:tc>
        <w:tc>
          <w:tcPr>
            <w:tcW w:w="3898" w:type="dxa"/>
          </w:tcPr>
          <w:p>
            <w:pPr>
              <w:pStyle w:val="TableText"/>
              <w:jc w:val="left"/>
            </w:pPr>
            <w:r>
              <w:t xml:space="preserve">Busy GPUs of online inference</w:t>
            </w:r>
          </w:p>
        </w:tc>
      </w:tr>
      <w:tr>
        <w:tc>
          <w:tcPr>
            <w:tcW w:w="1020" w:type="dxa"/>
          </w:tcPr>
          <w:p>
            <w:pPr>
              <w:pStyle w:val="TableText"/>
              <w:jc w:val="left"/>
            </w:pPr>
            <m:oMath>
              <m:sSubSup>
                <m:e>
                  <m:r>
                    <w:rPr>
                      <w:rFonts w:ascii="Cambria Math" w:hAnsi="Cambria Math"/>
                      <w:sz w:val="15"/>
                      <w:szCs w:val="15"/>
                    </w:rPr>
                    <m:t>G</m:t>
                  </m:r>
                </m:e>
                <m:sub>
                  <m:r>
                    <w:rPr>
                      <w:rFonts w:ascii="Cambria Math" w:hAnsi="Cambria Math"/>
                      <w:sz w:val="15"/>
                      <w:szCs w:val="15"/>
                    </w:rPr>
                    <m:t>t</m:t>
                  </m:r>
                </m:sub>
                <m:sup>
                  <m:r>
                    <w:rPr>
                      <w:rFonts w:ascii="Cambria Math" w:hAnsi="Cambria Math"/>
                      <w:sz w:val="15"/>
                      <w:szCs w:val="15"/>
                    </w:rPr>
                    <m:t>f</m:t>
                  </m:r>
                  <m:r>
                    <w:rPr>
                      <w:rFonts w:ascii="Cambria Math" w:hAnsi="Cambria Math"/>
                      <w:sz w:val="15"/>
                      <w:szCs w:val="15"/>
                    </w:rPr>
                    <m:t>i</m:t>
                  </m:r>
                  <m:r>
                    <w:rPr>
                      <w:rFonts w:ascii="Cambria Math" w:hAnsi="Cambria Math"/>
                      <w:sz w:val="15"/>
                      <w:szCs w:val="15"/>
                    </w:rPr>
                    <m:t>x</m:t>
                  </m:r>
                </m:sup>
              </m:sSubSup>
            </m:oMath>
          </w:p>
        </w:tc>
        <w:tc>
          <w:tcPr>
            <w:tcW w:w="3898" w:type="dxa"/>
          </w:tcPr>
          <w:p>
            <w:pPr>
              <w:pStyle w:val="TableText"/>
              <w:jc w:val="left"/>
            </w:pPr>
            <w:r>
              <w:t xml:space="preserve">Busy GPUs of non-deferrable training</w:t>
            </w:r>
          </w:p>
        </w:tc>
      </w:tr>
      <w:tr>
        <w:tc>
          <w:tcPr>
            <w:tcW w:w="1020" w:type="dxa"/>
          </w:tcPr>
          <w:p>
            <w:pPr>
              <w:pStyle w:val="TableText"/>
              <w:jc w:val="left"/>
            </w:pPr>
            <m:oMath>
              <m:r>
                <w:rPr>
                  <w:rFonts w:ascii="Cambria Math" w:hAnsi="Cambria Math"/>
                  <w:sz w:val="15"/>
                  <w:szCs w:val="15"/>
                </w:rPr>
                <m:t>ζ</m:t>
              </m:r>
            </m:oMath>
          </w:p>
        </w:tc>
        <w:tc>
          <w:tcPr>
            <w:tcW w:w="3898" w:type="dxa"/>
          </w:tcPr>
          <w:p>
            <w:pPr>
              <w:pStyle w:val="TableText"/>
              <w:jc w:val="left"/>
            </w:pPr>
            <w:r>
              <w:t xml:space="preserve">Distribution and air-handling losses as a share of the IT power</w:t>
            </w:r>
          </w:p>
        </w:tc>
      </w:tr>
      <w:tr>
        <w:tc>
          <w:tcPr>
            <w:tcW w:w="1020" w:type="dxa"/>
          </w:tcPr>
          <w:p>
            <w:pPr>
              <w:pStyle w:val="TableText"/>
              <w:jc w:val="left"/>
            </w:pPr>
            <m:oMath>
              <m:sSup>
                <m:e>
                  <m:r>
                    <w:rPr>
                      <w:rFonts w:ascii="Cambria Math" w:hAnsi="Cambria Math"/>
                      <w:sz w:val="15"/>
                      <w:szCs w:val="15"/>
                    </w:rPr>
                    <m:t>P</m:t>
                  </m:r>
                </m:e>
                <m:sup>
                  <m:r>
                    <w:rPr>
                      <w:rFonts w:ascii="Cambria Math" w:hAnsi="Cambria Math"/>
                      <w:sz w:val="15"/>
                      <w:szCs w:val="15"/>
                    </w:rPr>
                    <m:t>a</m:t>
                  </m:r>
                  <m:r>
                    <w:rPr>
                      <w:rFonts w:ascii="Cambria Math" w:hAnsi="Cambria Math"/>
                      <w:sz w:val="15"/>
                      <w:szCs w:val="15"/>
                    </w:rPr>
                    <m:t>u</m:t>
                  </m:r>
                  <m:r>
                    <w:rPr>
                      <w:rFonts w:ascii="Cambria Math" w:hAnsi="Cambria Math"/>
                      <w:sz w:val="15"/>
                      <w:szCs w:val="15"/>
                    </w:rPr>
                    <m:t>x</m:t>
                  </m:r>
                </m:sup>
              </m:sSup>
            </m:oMath>
          </w:p>
        </w:tc>
        <w:tc>
          <w:tcPr>
            <w:tcW w:w="3898" w:type="dxa"/>
          </w:tcPr>
          <w:p>
            <w:pPr>
              <w:pStyle w:val="TableText"/>
              <w:jc w:val="left"/>
            </w:pPr>
            <w:r>
              <w:t xml:space="preserve">Auxiliary facility power (MW)</w:t>
            </w:r>
          </w:p>
        </w:tc>
      </w:tr>
      <w:tr>
        <w:tc>
          <w:tcPr>
            <w:tcW w:w="1020" w:type="dxa"/>
          </w:tcPr>
          <w:p>
            <w:pPr>
              <w:pStyle w:val="TableText"/>
              <w:jc w:val="left"/>
            </w:pPr>
            <m:oMath>
              <m:r>
                <w:rPr>
                  <w:rFonts w:ascii="Cambria Math" w:hAnsi="Cambria Math"/>
                  <w:sz w:val="15"/>
                  <w:szCs w:val="15"/>
                </w:rPr>
                <m:t>θ</m:t>
              </m:r>
            </m:oMath>
          </w:p>
        </w:tc>
        <w:tc>
          <w:tcPr>
            <w:tcW w:w="3898" w:type="dxa"/>
          </w:tcPr>
          <w:p>
            <w:pPr>
              <w:pStyle w:val="TableText"/>
              <w:jc w:val="left"/>
            </w:pPr>
            <w:r>
              <w:t xml:space="preserve">Heat to be removed per unit of IT power</w:t>
            </w:r>
          </w:p>
        </w:tc>
      </w:tr>
      <w:tr>
        <w:tc>
          <w:tcPr>
            <w:tcW w:w="1020" w:type="dxa"/>
          </w:tcPr>
          <w:p>
            <w:pPr>
              <w:pStyle w:val="TableText"/>
              <w:jc w:val="left"/>
            </w:pPr>
            <m:oMath>
              <m:sSub>
                <m:e>
                  <m:r>
                    <w:rPr>
                      <w:rFonts w:ascii="Cambria Math" w:hAnsi="Cambria Math"/>
                      <w:sz w:val="15"/>
                      <w:szCs w:val="15"/>
                    </w:rPr>
                    <m:t>Q</m:t>
                  </m:r>
                </m:e>
                <m:sub>
                  <m:r>
                    <w:rPr>
                      <w:rFonts w:ascii="Cambria Math" w:hAnsi="Cambria Math"/>
                      <w:sz w:val="15"/>
                      <w:szCs w:val="15"/>
                    </w:rPr>
                    <m:t>0</m:t>
                  </m:r>
                </m:sub>
              </m:sSub>
            </m:oMath>
          </w:p>
        </w:tc>
        <w:tc>
          <w:tcPr>
            <w:tcW w:w="3898" w:type="dxa"/>
          </w:tcPr>
          <w:p>
            <w:pPr>
              <w:pStyle w:val="TableText"/>
              <w:jc w:val="left"/>
            </w:pPr>
            <w:r>
              <w:t xml:space="preserve">Base cooling load (MW</w:t>
            </w:r>
            <w:r>
              <w:rPr>
                <w:vertAlign w:val="subscript"/>
              </w:rPr>
              <w:t xml:space="preserve">th</w:t>
            </w:r>
            <w:r>
              <w:t xml:space="preserve">)</w:t>
            </w:r>
          </w:p>
        </w:tc>
      </w:tr>
      <w:tr>
        <w:tc>
          <w:tcPr>
            <w:tcW w:w="1020" w:type="dxa"/>
          </w:tcPr>
          <w:p>
            <w:pPr>
              <w:pStyle w:val="TableText"/>
              <w:jc w:val="left"/>
            </w:pPr>
            <m:oMath>
              <m:sSub>
                <m:e>
                  <m:r>
                    <m:rPr>
                      <m:sty m:val="p"/>
                    </m:rPr>
                    <w:rPr>
                      <w:rFonts w:ascii="Cambria Math" w:hAnsi="Cambria Math"/>
                      <w:sz w:val="15"/>
                      <w:szCs w:val="15"/>
                    </w:rPr>
                    <m:t>C</m:t>
                  </m:r>
                  <m:r>
                    <m:rPr>
                      <m:sty m:val="p"/>
                    </m:rPr>
                    <w:rPr>
                      <w:rFonts w:ascii="Cambria Math" w:hAnsi="Cambria Math"/>
                      <w:sz w:val="15"/>
                      <w:szCs w:val="15"/>
                    </w:rPr>
                    <m:t>O</m:t>
                  </m:r>
                  <m:r>
                    <m:rPr>
                      <m:sty m:val="p"/>
                    </m:rPr>
                    <w:rPr>
                      <w:rFonts w:ascii="Cambria Math" w:hAnsi="Cambria Math"/>
                      <w:sz w:val="15"/>
                      <w:szCs w:val="15"/>
                    </w:rPr>
                    <m:t>P</m:t>
                  </m:r>
                </m:e>
                <m:sub>
                  <m:r>
                    <w:rPr>
                      <w:rFonts w:ascii="Cambria Math" w:hAnsi="Cambria Math"/>
                      <w:sz w:val="15"/>
                      <w:szCs w:val="15"/>
                    </w:rPr>
                    <m:t>t</m:t>
                  </m:r>
                </m:sub>
              </m:sSub>
            </m:oMath>
          </w:p>
        </w:tc>
        <w:tc>
          <w:tcPr>
            <w:tcW w:w="3898" w:type="dxa"/>
          </w:tcPr>
          <w:p>
            <w:pPr>
              <w:pStyle w:val="TableText"/>
              <w:jc w:val="left"/>
            </w:pPr>
            <w:r>
              <w:t xml:space="preserve">Electric chiller COP (temperature dependent)</w:t>
            </w:r>
          </w:p>
        </w:tc>
      </w:tr>
      <w:tr>
        <w:tc>
          <w:tcPr>
            <w:tcW w:w="1020" w:type="dxa"/>
          </w:tcPr>
          <w:p>
            <w:pPr>
              <w:pStyle w:val="TableText"/>
              <w:jc w:val="left"/>
            </w:pPr>
            <m:oMath>
              <m:sSup>
                <m:e>
                  <m:r>
                    <m:rPr>
                      <m:sty m:val="p"/>
                    </m:rPr>
                    <w:rPr>
                      <w:rFonts w:ascii="Cambria Math" w:hAnsi="Cambria Math"/>
                      <w:sz w:val="15"/>
                      <w:szCs w:val="15"/>
                    </w:rPr>
                    <m:t>C</m:t>
                  </m:r>
                  <m:r>
                    <m:rPr>
                      <m:sty m:val="p"/>
                    </m:rPr>
                    <w:rPr>
                      <w:rFonts w:ascii="Cambria Math" w:hAnsi="Cambria Math"/>
                      <w:sz w:val="15"/>
                      <w:szCs w:val="15"/>
                    </w:rPr>
                    <m:t>O</m:t>
                  </m:r>
                  <m:r>
                    <m:rPr>
                      <m:sty m:val="p"/>
                    </m:rPr>
                    <w:rPr>
                      <w:rFonts w:ascii="Cambria Math" w:hAnsi="Cambria Math"/>
                      <w:sz w:val="15"/>
                      <w:szCs w:val="15"/>
                    </w:rPr>
                    <m:t>P</m:t>
                  </m:r>
                </m:e>
                <m:sup>
                  <m:r>
                    <w:rPr>
                      <w:rFonts w:ascii="Cambria Math" w:hAnsi="Cambria Math"/>
                      <w:sz w:val="15"/>
                      <w:szCs w:val="15"/>
                    </w:rPr>
                    <m:t>A</m:t>
                  </m:r>
                  <m:r>
                    <w:rPr>
                      <w:rFonts w:ascii="Cambria Math" w:hAnsi="Cambria Math"/>
                      <w:sz w:val="15"/>
                      <w:szCs w:val="15"/>
                    </w:rPr>
                    <m:t>C</m:t>
                  </m:r>
                </m:sup>
              </m:sSup>
            </m:oMath>
          </w:p>
        </w:tc>
        <w:tc>
          <w:tcPr>
            <w:tcW w:w="3898" w:type="dxa"/>
          </w:tcPr>
          <w:p>
            <w:pPr>
              <w:pStyle w:val="TableText"/>
              <w:jc w:val="left"/>
            </w:pPr>
            <w:r>
              <w:t xml:space="preserve">Absorption chiller COP</w:t>
            </w:r>
          </w:p>
        </w:tc>
      </w:tr>
      <w:tr>
        <w:tc>
          <w:tcPr>
            <w:tcW w:w="1020" w:type="dxa"/>
          </w:tcPr>
          <w:p>
            <w:pPr>
              <w:pStyle w:val="TableText"/>
              <w:jc w:val="left"/>
            </w:pPr>
            <m:oMath>
              <m:sSup>
                <m:e>
                  <m:acc>
                    <m:accPr>
                      <m:chr m:val="‾"/>
                    </m:accPr>
                    <m:e>
                      <m:r>
                        <w:rPr>
                          <w:rFonts w:ascii="Cambria Math" w:hAnsi="Cambria Math"/>
                          <w:sz w:val="15"/>
                          <w:szCs w:val="15"/>
                        </w:rPr>
                        <m:t>Q</m:t>
                      </m:r>
                    </m:e>
                  </m:acc>
                </m:e>
                <m:sup>
                  <m:r>
                    <w:rPr>
                      <w:rFonts w:ascii="Cambria Math" w:hAnsi="Cambria Math"/>
                      <w:sz w:val="15"/>
                      <w:szCs w:val="15"/>
                    </w:rPr>
                    <m:t>E</m:t>
                  </m:r>
                  <m:r>
                    <w:rPr>
                      <w:rFonts w:ascii="Cambria Math" w:hAnsi="Cambria Math"/>
                      <w:sz w:val="15"/>
                      <w:szCs w:val="15"/>
                    </w:rPr>
                    <m:t>C</m:t>
                  </m:r>
                </m:sup>
              </m:sSup>
            </m:oMath>
          </w:p>
        </w:tc>
        <w:tc>
          <w:tcPr>
            <w:tcW w:w="3898" w:type="dxa"/>
          </w:tcPr>
          <w:p>
            <w:pPr>
              <w:pStyle w:val="TableText"/>
              <w:jc w:val="left"/>
            </w:pPr>
            <w:r>
              <w:t xml:space="preserve">Cooling capacity of the electric chillers (MW</w:t>
            </w:r>
            <w:r>
              <w:rPr>
                <w:vertAlign w:val="subscript"/>
              </w:rPr>
              <w:t xml:space="preserve">th</w:t>
            </w:r>
            <w:r>
              <w:t xml:space="preserve">)</w:t>
            </w:r>
          </w:p>
        </w:tc>
      </w:tr>
      <w:tr>
        <w:tc>
          <w:tcPr>
            <w:tcW w:w="1020" w:type="dxa"/>
          </w:tcPr>
          <w:p>
            <w:pPr>
              <w:pStyle w:val="TableText"/>
              <w:jc w:val="left"/>
            </w:pPr>
            <m:oMath>
              <m:sSup>
                <m:e>
                  <m:acc>
                    <m:accPr>
                      <m:chr m:val="‾"/>
                    </m:accPr>
                    <m:e>
                      <m:r>
                        <w:rPr>
                          <w:rFonts w:ascii="Cambria Math" w:hAnsi="Cambria Math"/>
                          <w:sz w:val="15"/>
                          <w:szCs w:val="15"/>
                        </w:rPr>
                        <m:t>Q</m:t>
                      </m:r>
                    </m:e>
                  </m:acc>
                </m:e>
                <m:sup>
                  <m:r>
                    <w:rPr>
                      <w:rFonts w:ascii="Cambria Math" w:hAnsi="Cambria Math"/>
                      <w:sz w:val="15"/>
                      <w:szCs w:val="15"/>
                    </w:rPr>
                    <m:t>A</m:t>
                  </m:r>
                  <m:r>
                    <w:rPr>
                      <w:rFonts w:ascii="Cambria Math" w:hAnsi="Cambria Math"/>
                      <w:sz w:val="15"/>
                      <w:szCs w:val="15"/>
                    </w:rPr>
                    <m:t>C</m:t>
                  </m:r>
                </m:sup>
              </m:sSup>
            </m:oMath>
          </w:p>
        </w:tc>
        <w:tc>
          <w:tcPr>
            <w:tcW w:w="3898" w:type="dxa"/>
          </w:tcPr>
          <w:p>
            <w:pPr>
              <w:pStyle w:val="TableText"/>
              <w:jc w:val="left"/>
            </w:pPr>
            <w:r>
              <w:t xml:space="preserve">Cooling capacity of the absorption chiller (MW</w:t>
            </w:r>
            <w:r>
              <w:rPr>
                <w:vertAlign w:val="subscript"/>
              </w:rPr>
              <w:t xml:space="preserve">th</w:t>
            </w:r>
            <w:r>
              <w:t xml:space="preserve">)</w:t>
            </w:r>
          </w:p>
        </w:tc>
      </w:tr>
      <w:tr>
        <w:tc>
          <w:tcPr>
            <w:tcW w:w="1020" w:type="dxa"/>
          </w:tcPr>
          <w:p>
            <w:pPr>
              <w:pStyle w:val="TableText"/>
              <w:jc w:val="left"/>
            </w:pPr>
            <m:oMath>
              <m:sSup>
                <m:e>
                  <m:acc>
                    <m:accPr>
                      <m:chr m:val="‾"/>
                    </m:accPr>
                    <m:e>
                      <m:r>
                        <w:rPr>
                          <w:rFonts w:ascii="Cambria Math" w:hAnsi="Cambria Math"/>
                          <w:sz w:val="15"/>
                          <w:szCs w:val="15"/>
                        </w:rPr>
                        <m:t>Q</m:t>
                      </m:r>
                    </m:e>
                  </m:acc>
                </m:e>
                <m:sup>
                  <m:r>
                    <w:rPr>
                      <w:rFonts w:ascii="Cambria Math" w:hAnsi="Cambria Math"/>
                      <w:sz w:val="15"/>
                      <w:szCs w:val="15"/>
                    </w:rPr>
                    <m:t>T</m:t>
                  </m:r>
                </m:sup>
              </m:sSup>
            </m:oMath>
          </w:p>
        </w:tc>
        <w:tc>
          <w:tcPr>
            <w:tcW w:w="3898" w:type="dxa"/>
          </w:tcPr>
          <w:p>
            <w:pPr>
              <w:pStyle w:val="TableText"/>
              <w:jc w:val="left"/>
            </w:pPr>
            <w:r>
              <w:t xml:space="preserve">TES power rating (MW</w:t>
            </w:r>
            <w:r>
              <w:rPr>
                <w:vertAlign w:val="subscript"/>
              </w:rPr>
              <w:t xml:space="preserve">th</w:t>
            </w:r>
            <w:r>
              <w:t xml:space="preserve">)</w:t>
            </w:r>
          </w:p>
        </w:tc>
      </w:tr>
      <w:tr>
        <w:tc>
          <w:tcPr>
            <w:tcW w:w="1020" w:type="dxa"/>
          </w:tcPr>
          <w:p>
            <w:pPr>
              <w:pStyle w:val="TableText"/>
              <w:jc w:val="left"/>
            </w:pPr>
            <m:oMath>
              <m:sSup>
                <m:e>
                  <m:acc>
                    <m:accPr>
                      <m:chr m:val="‾"/>
                    </m:accPr>
                    <m:e>
                      <m:r>
                        <w:rPr>
                          <w:rFonts w:ascii="Cambria Math" w:hAnsi="Cambria Math"/>
                          <w:sz w:val="15"/>
                          <w:szCs w:val="15"/>
                        </w:rPr>
                        <m:t>P</m:t>
                      </m:r>
                    </m:e>
                  </m:acc>
                </m:e>
                <m:sup>
                  <m:r>
                    <w:rPr>
                      <w:rFonts w:ascii="Cambria Math" w:hAnsi="Cambria Math"/>
                      <w:sz w:val="15"/>
                      <w:szCs w:val="15"/>
                    </w:rPr>
                    <m:t>G</m:t>
                  </m:r>
                  <m:r>
                    <w:rPr>
                      <w:rFonts w:ascii="Cambria Math" w:hAnsi="Cambria Math"/>
                      <w:sz w:val="15"/>
                      <w:szCs w:val="15"/>
                    </w:rPr>
                    <m:t>T</m:t>
                  </m:r>
                </m:sup>
              </m:sSup>
            </m:oMath>
          </w:p>
        </w:tc>
        <w:tc>
          <w:tcPr>
            <w:tcW w:w="3898" w:type="dxa"/>
          </w:tcPr>
          <w:p>
            <w:pPr>
              <w:pStyle w:val="TableText"/>
              <w:jc w:val="left"/>
            </w:pPr>
            <w:r>
              <w:t xml:space="preserve">Gas-engine rating (MW)</w:t>
            </w:r>
          </w:p>
        </w:tc>
      </w:tr>
      <w:tr>
        <w:tc>
          <w:tcPr>
            <w:tcW w:w="1020" w:type="dxa"/>
          </w:tcPr>
          <w:p>
            <w:pPr>
              <w:pStyle w:val="TableText"/>
              <w:jc w:val="left"/>
            </w:pPr>
            <m:oMath>
              <m:sSup>
                <m:e>
                  <m:r>
                    <w:rPr>
                      <w:rFonts w:ascii="Cambria Math" w:hAnsi="Cambria Math"/>
                      <w:sz w:val="15"/>
                      <w:szCs w:val="15"/>
                    </w:rPr>
                    <m:t>R</m:t>
                  </m:r>
                </m:e>
                <m:sup>
                  <m:r>
                    <w:rPr>
                      <w:rFonts w:ascii="Cambria Math" w:hAnsi="Cambria Math"/>
                      <w:sz w:val="15"/>
                      <w:szCs w:val="15"/>
                    </w:rPr>
                    <m:t>G</m:t>
                  </m:r>
                  <m:r>
                    <w:rPr>
                      <w:rFonts w:ascii="Cambria Math" w:hAnsi="Cambria Math"/>
                      <w:sz w:val="15"/>
                      <w:szCs w:val="15"/>
                    </w:rPr>
                    <m:t>T</m:t>
                  </m:r>
                </m:sup>
              </m:sSup>
            </m:oMath>
          </w:p>
        </w:tc>
        <w:tc>
          <w:tcPr>
            <w:tcW w:w="3898" w:type="dxa"/>
          </w:tcPr>
          <w:p>
            <w:pPr>
              <w:pStyle w:val="TableText"/>
              <w:jc w:val="left"/>
            </w:pPr>
            <w:r>
              <w:t xml:space="preserve">Gas-engine ramp limit per step (MW)</w:t>
            </w:r>
          </w:p>
        </w:tc>
      </w:tr>
      <w:tr>
        <w:tc>
          <w:tcPr>
            <w:tcW w:w="1020" w:type="dxa"/>
          </w:tcPr>
          <w:p>
            <w:pPr>
              <w:pStyle w:val="TableText"/>
              <w:jc w:val="left"/>
            </w:pPr>
            <m:oMath>
              <m:sSup>
                <m:e>
                  <m:r>
                    <w:rPr>
                      <w:rFonts w:ascii="Cambria Math" w:hAnsi="Cambria Math"/>
                      <w:sz w:val="15"/>
                      <w:szCs w:val="15"/>
                    </w:rPr>
                    <m:t>k</m:t>
                  </m:r>
                </m:e>
                <m:sup>
                  <m:r>
                    <w:rPr>
                      <w:rFonts w:ascii="Cambria Math" w:hAnsi="Cambria Math"/>
                      <w:sz w:val="15"/>
                      <w:szCs w:val="15"/>
                    </w:rPr>
                    <m:t>h</m:t>
                  </m:r>
                </m:sup>
              </m:sSup>
            </m:oMath>
          </w:p>
        </w:tc>
        <w:tc>
          <w:tcPr>
            <w:tcW w:w="3898" w:type="dxa"/>
          </w:tcPr>
          <w:p>
            <w:pPr>
              <w:pStyle w:val="TableText"/>
              <w:jc w:val="left"/>
            </w:pPr>
            <w:r>
              <w:t xml:space="preserve">Recoverable heat per unit of gas-engine output</w:t>
            </w:r>
          </w:p>
        </w:tc>
      </w:tr>
      <w:tr>
        <w:tc>
          <w:tcPr>
            <w:tcW w:w="1020" w:type="dxa"/>
          </w:tcPr>
          <w:p>
            <w:pPr>
              <w:pStyle w:val="TableText"/>
              <w:jc w:val="left"/>
            </w:pPr>
            <m:oMath>
              <m:sSup>
                <m:e>
                  <m:r>
                    <w:rPr>
                      <w:rFonts w:ascii="Cambria Math" w:hAnsi="Cambria Math"/>
                      <w:sz w:val="15"/>
                      <w:szCs w:val="15"/>
                    </w:rPr>
                    <m:t>η</m:t>
                  </m:r>
                </m:e>
                <m:sup>
                  <m:r>
                    <w:rPr>
                      <w:rFonts w:ascii="Cambria Math" w:hAnsi="Cambria Math"/>
                      <w:sz w:val="15"/>
                      <w:szCs w:val="15"/>
                    </w:rPr>
                    <m:t>G</m:t>
                  </m:r>
                  <m:r>
                    <w:rPr>
                      <w:rFonts w:ascii="Cambria Math" w:hAnsi="Cambria Math"/>
                      <w:sz w:val="15"/>
                      <w:szCs w:val="15"/>
                    </w:rPr>
                    <m:t>T</m:t>
                  </m:r>
                </m:sup>
              </m:sSup>
            </m:oMath>
          </w:p>
        </w:tc>
        <w:tc>
          <w:tcPr>
            <w:tcW w:w="3898" w:type="dxa"/>
          </w:tcPr>
          <w:p>
            <w:pPr>
              <w:pStyle w:val="TableText"/>
              <w:jc w:val="left"/>
            </w:pPr>
            <w:r>
              <w:t xml:space="preserve">Gas-engine electrical efficiency</w:t>
            </w:r>
          </w:p>
        </w:tc>
      </w:tr>
      <w:tr>
        <w:tc>
          <w:tcPr>
            <w:tcW w:w="1020" w:type="dxa"/>
          </w:tcPr>
          <w:p>
            <w:pPr>
              <w:pStyle w:val="TableText"/>
              <w:jc w:val="left"/>
            </w:pPr>
            <m:oMath>
              <m:sSup>
                <m:e>
                  <m:r>
                    <w:rPr>
                      <w:rFonts w:ascii="Cambria Math" w:hAnsi="Cambria Math"/>
                      <w:sz w:val="15"/>
                      <w:szCs w:val="15"/>
                    </w:rPr>
                    <m:t>c</m:t>
                  </m:r>
                </m:e>
                <m:sup>
                  <m:r>
                    <w:rPr>
                      <w:rFonts w:ascii="Cambria Math" w:hAnsi="Cambria Math"/>
                      <w:sz w:val="15"/>
                      <w:szCs w:val="15"/>
                    </w:rPr>
                    <m:t>g</m:t>
                  </m:r>
                  <m:r>
                    <w:rPr>
                      <w:rFonts w:ascii="Cambria Math" w:hAnsi="Cambria Math"/>
                      <w:sz w:val="15"/>
                      <w:szCs w:val="15"/>
                    </w:rPr>
                    <m:t>a</m:t>
                  </m:r>
                  <m:r>
                    <w:rPr>
                      <w:rFonts w:ascii="Cambria Math" w:hAnsi="Cambria Math"/>
                      <w:sz w:val="15"/>
                      <w:szCs w:val="15"/>
                    </w:rPr>
                    <m:t>s</m:t>
                  </m:r>
                </m:sup>
              </m:sSup>
            </m:oMath>
          </w:p>
        </w:tc>
        <w:tc>
          <w:tcPr>
            <w:tcW w:w="3898" w:type="dxa"/>
          </w:tcPr>
          <w:p>
            <w:pPr>
              <w:pStyle w:val="TableText"/>
              <w:jc w:val="left"/>
            </w:pPr>
            <w:r>
              <w:t xml:space="preserve">Gas price (CNY/MWh of fuel)</w:t>
            </w:r>
          </w:p>
        </w:tc>
      </w:tr>
      <w:tr>
        <w:tc>
          <w:tcPr>
            <w:tcW w:w="1020" w:type="dxa"/>
          </w:tcPr>
          <w:p>
            <w:pPr>
              <w:pStyle w:val="TableText"/>
              <w:jc w:val="left"/>
            </w:pPr>
            <m:oMath>
              <m:sSubSup>
                <m:e>
                  <m:acc>
                    <m:accPr>
                      <m:chr m:val="‾"/>
                    </m:accPr>
                    <m:e>
                      <m:r>
                        <w:rPr>
                          <w:rFonts w:ascii="Cambria Math" w:hAnsi="Cambria Math"/>
                          <w:sz w:val="15"/>
                          <w:szCs w:val="15"/>
                        </w:rPr>
                        <m:t>P</m:t>
                      </m:r>
                    </m:e>
                  </m:acc>
                </m:e>
                <m:sub>
                  <m:r>
                    <w:rPr>
                      <w:rFonts w:ascii="Cambria Math" w:hAnsi="Cambria Math"/>
                      <w:sz w:val="15"/>
                      <w:szCs w:val="15"/>
                    </w:rPr>
                    <m:t>t</m:t>
                  </m:r>
                </m:sub>
                <m:sup>
                  <m:r>
                    <w:rPr>
                      <w:rFonts w:ascii="Cambria Math" w:hAnsi="Cambria Math"/>
                      <w:sz w:val="15"/>
                      <w:szCs w:val="15"/>
                    </w:rPr>
                    <m:t>P</m:t>
                  </m:r>
                  <m:r>
                    <w:rPr>
                      <w:rFonts w:ascii="Cambria Math" w:hAnsi="Cambria Math"/>
                      <w:sz w:val="15"/>
                      <w:szCs w:val="15"/>
                    </w:rPr>
                    <m:t>V</m:t>
                  </m:r>
                </m:sup>
              </m:sSubSup>
            </m:oMath>
          </w:p>
        </w:tc>
        <w:tc>
          <w:tcPr>
            <w:tcW w:w="3898" w:type="dxa"/>
          </w:tcPr>
          <w:p>
            <w:pPr>
              <w:pStyle w:val="TableText"/>
              <w:jc w:val="left"/>
            </w:pPr>
            <w:r>
              <w:t xml:space="preserve">Available PV power (MW)</w:t>
            </w:r>
          </w:p>
        </w:tc>
      </w:tr>
      <w:tr>
        <w:tc>
          <w:tcPr>
            <w:tcW w:w="1020" w:type="dxa"/>
          </w:tcPr>
          <w:p>
            <w:pPr>
              <w:pStyle w:val="TableText"/>
              <w:jc w:val="left"/>
            </w:pPr>
            <m:oMath>
              <m:sSub>
                <m:e>
                  <m:r>
                    <w:rPr>
                      <w:rFonts w:ascii="Cambria Math" w:hAnsi="Cambria Math"/>
                      <w:sz w:val="15"/>
                      <w:szCs w:val="15"/>
                    </w:rPr>
                    <m:t>η</m:t>
                  </m:r>
                </m:e>
                <m:sub>
                  <m:r>
                    <w:rPr>
                      <w:rFonts w:ascii="Cambria Math" w:hAnsi="Cambria Math"/>
                      <w:sz w:val="15"/>
                      <w:szCs w:val="15"/>
                    </w:rPr>
                    <m:t>c</m:t>
                  </m:r>
                </m:sub>
              </m:sSub>
            </m:oMath>
          </w:p>
        </w:tc>
        <w:tc>
          <w:tcPr>
            <w:tcW w:w="3898" w:type="dxa"/>
          </w:tcPr>
          <w:p>
            <w:pPr>
              <w:pStyle w:val="TableText"/>
              <w:jc w:val="left"/>
            </w:pPr>
            <w:r>
              <w:t xml:space="preserve">BESS charging efficiency</w:t>
            </w:r>
          </w:p>
        </w:tc>
      </w:tr>
      <w:tr>
        <w:tc>
          <w:tcPr>
            <w:tcW w:w="1020" w:type="dxa"/>
          </w:tcPr>
          <w:p>
            <w:pPr>
              <w:pStyle w:val="TableText"/>
              <w:jc w:val="left"/>
            </w:pPr>
            <m:oMath>
              <m:sSub>
                <m:e>
                  <m:r>
                    <w:rPr>
                      <w:rFonts w:ascii="Cambria Math" w:hAnsi="Cambria Math"/>
                      <w:sz w:val="15"/>
                      <w:szCs w:val="15"/>
                    </w:rPr>
                    <m:t>η</m:t>
                  </m:r>
                </m:e>
                <m:sub>
                  <m:r>
                    <w:rPr>
                      <w:rFonts w:ascii="Cambria Math" w:hAnsi="Cambria Math"/>
                      <w:sz w:val="15"/>
                      <w:szCs w:val="15"/>
                    </w:rPr>
                    <m:t>d</m:t>
                  </m:r>
                </m:sub>
              </m:sSub>
            </m:oMath>
          </w:p>
        </w:tc>
        <w:tc>
          <w:tcPr>
            <w:tcW w:w="3898" w:type="dxa"/>
          </w:tcPr>
          <w:p>
            <w:pPr>
              <w:pStyle w:val="TableText"/>
              <w:jc w:val="left"/>
            </w:pPr>
            <w:r>
              <w:t xml:space="preserve">BESS discharging efficiency</w:t>
            </w:r>
          </w:p>
        </w:tc>
      </w:tr>
      <w:tr>
        <w:tc>
          <w:tcPr>
            <w:tcW w:w="1020" w:type="dxa"/>
          </w:tcPr>
          <w:p>
            <w:pPr>
              <w:pStyle w:val="TableText"/>
              <w:jc w:val="left"/>
            </w:pPr>
            <m:oMath>
              <m:sSup>
                <m:e>
                  <m:r>
                    <w:rPr>
                      <w:rFonts w:ascii="Cambria Math" w:hAnsi="Cambria Math"/>
                      <w:sz w:val="15"/>
                      <w:szCs w:val="15"/>
                    </w:rPr>
                    <m:t>c</m:t>
                  </m:r>
                </m:e>
                <m:sup>
                  <m:r>
                    <w:rPr>
                      <w:rFonts w:ascii="Cambria Math" w:hAnsi="Cambria Math"/>
                      <w:sz w:val="15"/>
                      <w:szCs w:val="15"/>
                    </w:rPr>
                    <m:t>d</m:t>
                  </m:r>
                  <m:r>
                    <w:rPr>
                      <w:rFonts w:ascii="Cambria Math" w:hAnsi="Cambria Math"/>
                      <w:sz w:val="15"/>
                      <w:szCs w:val="15"/>
                    </w:rPr>
                    <m:t>e</m:t>
                  </m:r>
                  <m:r>
                    <w:rPr>
                      <w:rFonts w:ascii="Cambria Math" w:hAnsi="Cambria Math"/>
                      <w:sz w:val="15"/>
                      <w:szCs w:val="15"/>
                    </w:rPr>
                    <m:t>g</m:t>
                  </m:r>
                </m:sup>
              </m:sSup>
            </m:oMath>
          </w:p>
        </w:tc>
        <w:tc>
          <w:tcPr>
            <w:tcW w:w="3898" w:type="dxa"/>
          </w:tcPr>
          <w:p>
            <w:pPr>
              <w:pStyle w:val="TableText"/>
              <w:jc w:val="left"/>
            </w:pPr>
            <w:r>
              <w:t xml:space="preserve">BESS degradation cost (CNY/MWh)</w:t>
            </w:r>
          </w:p>
        </w:tc>
      </w:tr>
      <w:tr>
        <w:tc>
          <w:tcPr>
            <w:tcW w:w="1020" w:type="dxa"/>
          </w:tcPr>
          <w:p>
            <w:pPr>
              <w:pStyle w:val="TableText"/>
              <w:jc w:val="left"/>
            </w:pPr>
            <m:oMath>
              <m:bar>
                <m:barPr>
                  <m:pos m:val="bot"/>
                </m:barPr>
                <m:e>
                  <m:r>
                    <w:rPr>
                      <w:rFonts w:ascii="Cambria Math" w:hAnsi="Cambria Math"/>
                      <w:sz w:val="15"/>
                      <w:szCs w:val="15"/>
                    </w:rPr>
                    <m:t>E</m:t>
                  </m:r>
                </m:e>
              </m:bar>
            </m:oMath>
          </w:p>
        </w:tc>
        <w:tc>
          <w:tcPr>
            <w:tcW w:w="3898" w:type="dxa"/>
          </w:tcPr>
          <w:p>
            <w:pPr>
              <w:pStyle w:val="TableText"/>
              <w:jc w:val="left"/>
            </w:pPr>
            <w:r>
              <w:t xml:space="preserve">Lower bound of the BESS energy (MWh)</w:t>
            </w:r>
          </w:p>
        </w:tc>
      </w:tr>
      <w:tr>
        <w:tc>
          <w:tcPr>
            <w:tcW w:w="1020" w:type="dxa"/>
          </w:tcPr>
          <w:p>
            <w:pPr>
              <w:pStyle w:val="TableText"/>
              <w:jc w:val="left"/>
            </w:pPr>
            <m:oMath>
              <m:acc>
                <m:accPr>
                  <m:chr m:val="‾"/>
                </m:accPr>
                <m:e>
                  <m:r>
                    <w:rPr>
                      <w:rFonts w:ascii="Cambria Math" w:hAnsi="Cambria Math"/>
                      <w:sz w:val="15"/>
                      <w:szCs w:val="15"/>
                    </w:rPr>
                    <m:t>E</m:t>
                  </m:r>
                </m:e>
              </m:acc>
            </m:oMath>
          </w:p>
        </w:tc>
        <w:tc>
          <w:tcPr>
            <w:tcW w:w="3898" w:type="dxa"/>
          </w:tcPr>
          <w:p>
            <w:pPr>
              <w:pStyle w:val="TableText"/>
              <w:jc w:val="left"/>
            </w:pPr>
            <w:r>
              <w:t xml:space="preserve">Upper bound of the BESS energy (MWh)</w:t>
            </w:r>
          </w:p>
        </w:tc>
      </w:tr>
      <w:tr>
        <w:tc>
          <w:tcPr>
            <w:tcW w:w="1020" w:type="dxa"/>
          </w:tcPr>
          <w:p>
            <w:pPr>
              <w:pStyle w:val="TableText"/>
              <w:jc w:val="left"/>
            </w:pPr>
            <m:oMath>
              <m:sSup>
                <m:e>
                  <m:acc>
                    <m:accPr>
                      <m:chr m:val="‾"/>
                    </m:accPr>
                    <m:e>
                      <m:r>
                        <w:rPr>
                          <w:rFonts w:ascii="Cambria Math" w:hAnsi="Cambria Math"/>
                          <w:sz w:val="15"/>
                          <w:szCs w:val="15"/>
                        </w:rPr>
                        <m:t>P</m:t>
                      </m:r>
                    </m:e>
                  </m:acc>
                </m:e>
                <m:sup>
                  <m:r>
                    <w:rPr>
                      <w:rFonts w:ascii="Cambria Math" w:hAnsi="Cambria Math"/>
                      <w:sz w:val="15"/>
                      <w:szCs w:val="15"/>
                    </w:rPr>
                    <m:t>B</m:t>
                  </m:r>
                </m:sup>
              </m:sSup>
            </m:oMath>
          </w:p>
        </w:tc>
        <w:tc>
          <w:tcPr>
            <w:tcW w:w="3898" w:type="dxa"/>
          </w:tcPr>
          <w:p>
            <w:pPr>
              <w:pStyle w:val="TableText"/>
              <w:jc w:val="left"/>
            </w:pPr>
            <w:r>
              <w:t xml:space="preserve">BESS power rating (MW)</w:t>
            </w:r>
          </w:p>
        </w:tc>
      </w:tr>
      <w:tr>
        <w:tc>
          <w:tcPr>
            <w:tcW w:w="1020" w:type="dxa"/>
          </w:tcPr>
          <w:p>
            <w:pPr>
              <w:pStyle w:val="TableText"/>
              <w:jc w:val="left"/>
            </w:pPr>
            <m:oMath>
              <m:sSubSup>
                <m:e>
                  <m:r>
                    <w:rPr>
                      <w:rFonts w:ascii="Cambria Math" w:hAnsi="Cambria Math"/>
                      <w:sz w:val="15"/>
                      <w:szCs w:val="15"/>
                    </w:rPr>
                    <m:t>η</m:t>
                  </m:r>
                </m:e>
                <m:sub>
                  <m:r>
                    <w:rPr>
                      <w:rFonts w:ascii="Cambria Math" w:hAnsi="Cambria Math"/>
                      <w:sz w:val="15"/>
                      <w:szCs w:val="15"/>
                    </w:rPr>
                    <m:t>c</m:t>
                  </m:r>
                </m:sub>
                <m:sup>
                  <m:r>
                    <w:rPr>
                      <w:rFonts w:ascii="Cambria Math" w:hAnsi="Cambria Math"/>
                      <w:sz w:val="15"/>
                      <w:szCs w:val="15"/>
                    </w:rPr>
                    <m:t>T</m:t>
                  </m:r>
                </m:sup>
              </m:sSubSup>
            </m:oMath>
          </w:p>
        </w:tc>
        <w:tc>
          <w:tcPr>
            <w:tcW w:w="3898" w:type="dxa"/>
          </w:tcPr>
          <w:p>
            <w:pPr>
              <w:pStyle w:val="TableText"/>
              <w:jc w:val="left"/>
            </w:pPr>
            <w:r>
              <w:t xml:space="preserve">TES charging efficiency</w:t>
            </w:r>
          </w:p>
        </w:tc>
      </w:tr>
      <w:tr>
        <w:tc>
          <w:tcPr>
            <w:tcW w:w="1020" w:type="dxa"/>
          </w:tcPr>
          <w:p>
            <w:pPr>
              <w:pStyle w:val="TableText"/>
              <w:jc w:val="left"/>
            </w:pPr>
            <m:oMath>
              <m:sSubSup>
                <m:e>
                  <m:r>
                    <w:rPr>
                      <w:rFonts w:ascii="Cambria Math" w:hAnsi="Cambria Math"/>
                      <w:sz w:val="15"/>
                      <w:szCs w:val="15"/>
                    </w:rPr>
                    <m:t>η</m:t>
                  </m:r>
                </m:e>
                <m:sub>
                  <m:r>
                    <w:rPr>
                      <w:rFonts w:ascii="Cambria Math" w:hAnsi="Cambria Math"/>
                      <w:sz w:val="15"/>
                      <w:szCs w:val="15"/>
                    </w:rPr>
                    <m:t>d</m:t>
                  </m:r>
                </m:sub>
                <m:sup>
                  <m:r>
                    <w:rPr>
                      <w:rFonts w:ascii="Cambria Math" w:hAnsi="Cambria Math"/>
                      <w:sz w:val="15"/>
                      <w:szCs w:val="15"/>
                    </w:rPr>
                    <m:t>T</m:t>
                  </m:r>
                </m:sup>
              </m:sSubSup>
            </m:oMath>
          </w:p>
        </w:tc>
        <w:tc>
          <w:tcPr>
            <w:tcW w:w="3898" w:type="dxa"/>
          </w:tcPr>
          <w:p>
            <w:pPr>
              <w:pStyle w:val="TableText"/>
              <w:jc w:val="left"/>
            </w:pPr>
            <w:r>
              <w:t xml:space="preserve">TES discharging efficiency</w:t>
            </w:r>
          </w:p>
        </w:tc>
      </w:tr>
      <w:tr>
        <w:tc>
          <w:tcPr>
            <w:tcW w:w="1020" w:type="dxa"/>
          </w:tcPr>
          <w:p>
            <w:pPr>
              <w:pStyle w:val="TableText"/>
              <w:jc w:val="left"/>
            </w:pPr>
            <m:oMath>
              <m:r>
                <w:rPr>
                  <w:rFonts w:ascii="Cambria Math" w:hAnsi="Cambria Math"/>
                  <w:sz w:val="15"/>
                  <w:szCs w:val="15"/>
                </w:rPr>
                <m:t>σ</m:t>
              </m:r>
            </m:oMath>
          </w:p>
        </w:tc>
        <w:tc>
          <w:tcPr>
            <w:tcW w:w="3898" w:type="dxa"/>
          </w:tcPr>
          <w:p>
            <w:pPr>
              <w:pStyle w:val="TableText"/>
              <w:jc w:val="left"/>
            </w:pPr>
            <w:r>
              <w:t xml:space="preserve">TES hourly loss rate</w:t>
            </w:r>
          </w:p>
        </w:tc>
      </w:tr>
      <w:tr>
        <w:tc>
          <w:tcPr>
            <w:tcW w:w="1020" w:type="dxa"/>
          </w:tcPr>
          <w:p>
            <w:pPr>
              <w:pStyle w:val="TableText"/>
              <w:jc w:val="left"/>
            </w:pPr>
            <m:oMath>
              <m:bar>
                <m:barPr>
                  <m:pos m:val="bot"/>
                </m:barPr>
                <m:e>
                  <m:r>
                    <w:rPr>
                      <w:rFonts w:ascii="Cambria Math" w:hAnsi="Cambria Math"/>
                      <w:sz w:val="15"/>
                      <w:szCs w:val="15"/>
                    </w:rPr>
                    <m:t>S</m:t>
                  </m:r>
                </m:e>
              </m:bar>
            </m:oMath>
          </w:p>
        </w:tc>
        <w:tc>
          <w:tcPr>
            <w:tcW w:w="3898" w:type="dxa"/>
          </w:tcPr>
          <w:p>
            <w:pPr>
              <w:pStyle w:val="TableText"/>
              <w:jc w:val="left"/>
            </w:pPr>
            <w:r>
              <w:t xml:space="preserve">Lower bound of the TES energy (MWh</w:t>
            </w:r>
            <w:r>
              <w:rPr>
                <w:vertAlign w:val="subscript"/>
              </w:rPr>
              <w:t xml:space="preserve">th</w:t>
            </w:r>
            <w:r>
              <w:t xml:space="preserve">)</w:t>
            </w:r>
          </w:p>
        </w:tc>
      </w:tr>
      <w:tr>
        <w:tc>
          <w:tcPr>
            <w:tcW w:w="1020" w:type="dxa"/>
          </w:tcPr>
          <w:p>
            <w:pPr>
              <w:pStyle w:val="TableText"/>
              <w:jc w:val="left"/>
            </w:pPr>
            <m:oMath>
              <m:acc>
                <m:accPr>
                  <m:chr m:val="‾"/>
                </m:accPr>
                <m:e>
                  <m:r>
                    <w:rPr>
                      <w:rFonts w:ascii="Cambria Math" w:hAnsi="Cambria Math"/>
                      <w:sz w:val="15"/>
                      <w:szCs w:val="15"/>
                    </w:rPr>
                    <m:t>S</m:t>
                  </m:r>
                </m:e>
              </m:acc>
            </m:oMath>
          </w:p>
        </w:tc>
        <w:tc>
          <w:tcPr>
            <w:tcW w:w="3898" w:type="dxa"/>
          </w:tcPr>
          <w:p>
            <w:pPr>
              <w:pStyle w:val="TableText"/>
              <w:jc w:val="left"/>
            </w:pPr>
            <w:r>
              <w:t xml:space="preserve">Upper bound of the TES energy (MWh</w:t>
            </w:r>
            <w:r>
              <w:rPr>
                <w:vertAlign w:val="subscript"/>
              </w:rPr>
              <w:t xml:space="preserve">th</w:t>
            </w:r>
            <w:r>
              <w:t xml:space="preserve">)</w:t>
            </w:r>
          </w:p>
        </w:tc>
      </w:tr>
      <w:tr>
        <w:tc>
          <w:tcPr>
            <w:tcW w:w="1020" w:type="dxa"/>
          </w:tcPr>
          <w:p>
            <w:pPr>
              <w:pStyle w:val="TableText"/>
              <w:jc w:val="left"/>
            </w:pPr>
            <m:oMath>
              <m:sSup>
                <m:e>
                  <m:r>
                    <w:rPr>
                      <w:rFonts w:ascii="Cambria Math" w:hAnsi="Cambria Math"/>
                      <w:sz w:val="15"/>
                      <w:szCs w:val="15"/>
                    </w:rPr>
                    <m:t>c</m:t>
                  </m:r>
                </m:e>
                <m:sup>
                  <m:r>
                    <w:rPr>
                      <w:rFonts w:ascii="Cambria Math" w:hAnsi="Cambria Math"/>
                      <w:sz w:val="15"/>
                      <w:szCs w:val="15"/>
                    </w:rPr>
                    <m:t>j</m:t>
                  </m:r>
                  <m:r>
                    <w:rPr>
                      <w:rFonts w:ascii="Cambria Math" w:hAnsi="Cambria Math"/>
                      <w:sz w:val="15"/>
                      <w:szCs w:val="15"/>
                    </w:rPr>
                    <m:t>c</m:t>
                  </m:r>
                  <m:r>
                    <w:rPr>
                      <w:rFonts w:ascii="Cambria Math" w:hAnsi="Cambria Math"/>
                      <w:sz w:val="15"/>
                      <w:szCs w:val="15"/>
                    </w:rPr>
                    <m:t>t</m:t>
                  </m:r>
                </m:sup>
              </m:sSup>
            </m:oMath>
          </w:p>
        </w:tc>
        <w:tc>
          <w:tcPr>
            <w:tcW w:w="3898" w:type="dxa"/>
          </w:tcPr>
          <w:p>
            <w:pPr>
              <w:pStyle w:val="TableText"/>
              <w:jc w:val="left"/>
            </w:pPr>
            <w:r>
              <w:t xml:space="preserve">Delay price of deferred work (CNY per GPU·h·h)</w:t>
            </w:r>
          </w:p>
        </w:tc>
      </w:tr>
      <w:tr>
        <w:tc>
          <w:tcPr>
            <w:tcW w:w="1020" w:type="dxa"/>
          </w:tcPr>
          <w:p>
            <w:pPr>
              <w:pStyle w:val="TableText"/>
              <w:jc w:val="left"/>
            </w:pPr>
            <m:oMath>
              <m:sSup>
                <m:e>
                  <m:r>
                    <w:rPr>
                      <w:rFonts w:ascii="Cambria Math" w:hAnsi="Cambria Math"/>
                      <w:sz w:val="15"/>
                      <w:szCs w:val="15"/>
                    </w:rPr>
                    <m:t>c</m:t>
                  </m:r>
                </m:e>
                <m:sup>
                  <m:r>
                    <w:rPr>
                      <w:rFonts w:ascii="Cambria Math" w:hAnsi="Cambria Math"/>
                      <w:sz w:val="15"/>
                      <w:szCs w:val="15"/>
                    </w:rPr>
                    <m:t>l</m:t>
                  </m:r>
                  <m:r>
                    <w:rPr>
                      <w:rFonts w:ascii="Cambria Math" w:hAnsi="Cambria Math"/>
                      <w:sz w:val="15"/>
                      <w:szCs w:val="15"/>
                    </w:rPr>
                    <m:t>a</m:t>
                  </m:r>
                  <m:r>
                    <w:rPr>
                      <w:rFonts w:ascii="Cambria Math" w:hAnsi="Cambria Math"/>
                      <w:sz w:val="15"/>
                      <w:szCs w:val="15"/>
                    </w:rPr>
                    <m:t>t</m:t>
                  </m:r>
                  <m:r>
                    <w:rPr>
                      <w:rFonts w:ascii="Cambria Math" w:hAnsi="Cambria Math"/>
                      <w:sz w:val="15"/>
                      <w:szCs w:val="15"/>
                    </w:rPr>
                    <m:t>e</m:t>
                  </m:r>
                </m:sup>
              </m:sSup>
            </m:oMath>
          </w:p>
        </w:tc>
        <w:tc>
          <w:tcPr>
            <w:tcW w:w="3898" w:type="dxa"/>
          </w:tcPr>
          <w:p>
            <w:pPr>
              <w:pStyle w:val="TableText"/>
              <w:jc w:val="left"/>
            </w:pPr>
            <w:r>
              <w:t xml:space="preserve">Lateness price of overdue work (CNY per GPU·h·h)</w:t>
            </w:r>
          </w:p>
        </w:tc>
      </w:tr>
      <w:tr>
        <w:tc>
          <w:tcPr>
            <w:tcW w:w="1020" w:type="dxa"/>
          </w:tcPr>
          <w:p>
            <w:pPr>
              <w:pStyle w:val="TableText"/>
              <w:jc w:val="left"/>
            </w:pPr>
            <m:oMath>
              <m:sSup>
                <m:e>
                  <m:r>
                    <w:rPr>
                      <w:rFonts w:ascii="Cambria Math" w:hAnsi="Cambria Math"/>
                      <w:sz w:val="15"/>
                      <w:szCs w:val="15"/>
                    </w:rPr>
                    <m:t>c</m:t>
                  </m:r>
                </m:e>
                <m:sup>
                  <m:r>
                    <w:rPr>
                      <w:rFonts w:ascii="Cambria Math" w:hAnsi="Cambria Math"/>
                      <w:sz w:val="15"/>
                      <w:szCs w:val="15"/>
                    </w:rPr>
                    <m:t>E</m:t>
                  </m:r>
                </m:sup>
              </m:sSup>
            </m:oMath>
          </w:p>
        </w:tc>
        <w:tc>
          <w:tcPr>
            <w:tcW w:w="3898" w:type="dxa"/>
          </w:tcPr>
          <w:p>
            <w:pPr>
              <w:pStyle w:val="TableText"/>
              <w:jc w:val="left"/>
            </w:pPr>
            <w:r>
              <w:t xml:space="preserve">Terminal value of the BESS deficit (CNY/MWh)</w:t>
            </w:r>
          </w:p>
        </w:tc>
      </w:tr>
      <w:tr>
        <w:tc>
          <w:tcPr>
            <w:tcW w:w="1020" w:type="dxa"/>
          </w:tcPr>
          <w:p>
            <w:pPr>
              <w:pStyle w:val="TableText"/>
              <w:jc w:val="left"/>
            </w:pPr>
            <m:oMath>
              <m:sSup>
                <m:e>
                  <m:r>
                    <w:rPr>
                      <w:rFonts w:ascii="Cambria Math" w:hAnsi="Cambria Math"/>
                      <w:sz w:val="15"/>
                      <w:szCs w:val="15"/>
                    </w:rPr>
                    <m:t>c</m:t>
                  </m:r>
                </m:e>
                <m:sup>
                  <m:r>
                    <w:rPr>
                      <w:rFonts w:ascii="Cambria Math" w:hAnsi="Cambria Math"/>
                      <w:sz w:val="15"/>
                      <w:szCs w:val="15"/>
                    </w:rPr>
                    <m:t>S</m:t>
                  </m:r>
                </m:sup>
              </m:sSup>
            </m:oMath>
          </w:p>
        </w:tc>
        <w:tc>
          <w:tcPr>
            <w:tcW w:w="3898" w:type="dxa"/>
          </w:tcPr>
          <w:p>
            <w:pPr>
              <w:pStyle w:val="TableText"/>
              <w:jc w:val="left"/>
            </w:pPr>
            <w:r>
              <w:t xml:space="preserve">Terminal value of the TES deficit (CNY/MWh</w:t>
            </w:r>
            <w:r>
              <w:rPr>
                <w:vertAlign w:val="subscript"/>
              </w:rPr>
              <w:t xml:space="preserve">th</w:t>
            </w:r>
            <w:r>
              <w:t xml:space="preserve">)</w:t>
            </w:r>
          </w:p>
        </w:tc>
      </w:tr>
      <w:tr>
        <w:tc>
          <w:tcPr>
            <w:tcW w:w="1020" w:type="dxa"/>
          </w:tcPr>
          <w:p>
            <w:pPr>
              <w:pStyle w:val="TableText"/>
              <w:jc w:val="left"/>
            </w:pPr>
            <m:oMath>
              <m:sSup>
                <m:e>
                  <m:r>
                    <w:rPr>
                      <w:rFonts w:ascii="Cambria Math" w:hAnsi="Cambria Math"/>
                      <w:sz w:val="15"/>
                      <w:szCs w:val="15"/>
                    </w:rPr>
                    <m:t>c</m:t>
                  </m:r>
                </m:e>
                <m:sup>
                  <m:r>
                    <w:rPr>
                      <w:rFonts w:ascii="Cambria Math" w:hAnsi="Cambria Math"/>
                      <w:sz w:val="15"/>
                      <w:szCs w:val="15"/>
                    </w:rPr>
                    <m:t>B</m:t>
                  </m:r>
                </m:sup>
              </m:sSup>
            </m:oMath>
          </w:p>
        </w:tc>
        <w:tc>
          <w:tcPr>
            <w:tcW w:w="3898" w:type="dxa"/>
          </w:tcPr>
          <w:p>
            <w:pPr>
              <w:pStyle w:val="TableText"/>
              <w:jc w:val="left"/>
            </w:pPr>
            <w:r>
              <w:t xml:space="preserve">Terminal value of the remaining backlog (CNY per GPU·h)</w:t>
            </w:r>
          </w:p>
        </w:tc>
      </w:tr>
      <w:tr>
        <w:tc>
          <w:tcPr>
            <w:tcW w:w="1020" w:type="dxa"/>
          </w:tcPr>
          <w:p>
            <w:pPr>
              <w:pStyle w:val="TableText"/>
              <w:jc w:val="left"/>
            </w:pPr>
            <m:oMath>
              <m:sSubSup>
                <m:e>
                  <m:r>
                    <w:rPr>
                      <w:rFonts w:ascii="Cambria Math" w:hAnsi="Cambria Math"/>
                      <w:sz w:val="15"/>
                      <w:szCs w:val="15"/>
                    </w:rPr>
                    <m:t>E</m:t>
                  </m:r>
                </m:e>
                <m:sub>
                  <m:r>
                    <w:rPr>
                      <w:rFonts w:ascii="Cambria Math" w:hAnsi="Cambria Math"/>
                      <w:sz w:val="15"/>
                      <w:szCs w:val="15"/>
                    </w:rPr>
                    <m:t>t</m:t>
                  </m:r>
                </m:sub>
                <m:sup>
                  <m:r>
                    <w:rPr>
                      <w:rFonts w:ascii="Cambria Math" w:hAnsi="Cambria Math"/>
                      <w:sz w:val="15"/>
                      <w:szCs w:val="15"/>
                    </w:rPr>
                    <m:t>r</m:t>
                  </m:r>
                  <m:r>
                    <w:rPr>
                      <w:rFonts w:ascii="Cambria Math" w:hAnsi="Cambria Math"/>
                      <w:sz w:val="15"/>
                      <w:szCs w:val="15"/>
                    </w:rPr>
                    <m:t>e</m:t>
                  </m:r>
                  <m:r>
                    <w:rPr>
                      <w:rFonts w:ascii="Cambria Math" w:hAnsi="Cambria Math"/>
                      <w:sz w:val="15"/>
                      <w:szCs w:val="15"/>
                    </w:rPr>
                    <m:t>f</m:t>
                  </m:r>
                </m:sup>
              </m:sSubSup>
            </m:oMath>
          </w:p>
        </w:tc>
        <w:tc>
          <w:tcPr>
            <w:tcW w:w="3898" w:type="dxa"/>
          </w:tcPr>
          <w:p>
            <w:pPr>
              <w:pStyle w:val="TableText"/>
              <w:jc w:val="left"/>
            </w:pPr>
            <w:r>
              <w:t xml:space="preserve">BESS energy of the no-DR operation planned day-ahead (MWh)</w:t>
            </w:r>
          </w:p>
        </w:tc>
      </w:tr>
      <w:tr>
        <w:tc>
          <w:tcPr>
            <w:tcW w:w="1020" w:type="dxa"/>
          </w:tcPr>
          <w:p>
            <w:pPr>
              <w:pStyle w:val="TableText"/>
              <w:jc w:val="left"/>
            </w:pPr>
            <m:oMath>
              <m:sSubSup>
                <m:e>
                  <m:r>
                    <w:rPr>
                      <w:rFonts w:ascii="Cambria Math" w:hAnsi="Cambria Math"/>
                      <w:sz w:val="15"/>
                      <w:szCs w:val="15"/>
                    </w:rPr>
                    <m:t>S</m:t>
                  </m:r>
                </m:e>
                <m:sub>
                  <m:r>
                    <w:rPr>
                      <w:rFonts w:ascii="Cambria Math" w:hAnsi="Cambria Math"/>
                      <w:sz w:val="15"/>
                      <w:szCs w:val="15"/>
                    </w:rPr>
                    <m:t>t</m:t>
                  </m:r>
                </m:sub>
                <m:sup>
                  <m:r>
                    <w:rPr>
                      <w:rFonts w:ascii="Cambria Math" w:hAnsi="Cambria Math"/>
                      <w:sz w:val="15"/>
                      <w:szCs w:val="15"/>
                    </w:rPr>
                    <m:t>r</m:t>
                  </m:r>
                  <m:r>
                    <w:rPr>
                      <w:rFonts w:ascii="Cambria Math" w:hAnsi="Cambria Math"/>
                      <w:sz w:val="15"/>
                      <w:szCs w:val="15"/>
                    </w:rPr>
                    <m:t>e</m:t>
                  </m:r>
                  <m:r>
                    <w:rPr>
                      <w:rFonts w:ascii="Cambria Math" w:hAnsi="Cambria Math"/>
                      <w:sz w:val="15"/>
                      <w:szCs w:val="15"/>
                    </w:rPr>
                    <m:t>f</m:t>
                  </m:r>
                </m:sup>
              </m:sSubSup>
            </m:oMath>
          </w:p>
        </w:tc>
        <w:tc>
          <w:tcPr>
            <w:tcW w:w="3898" w:type="dxa"/>
          </w:tcPr>
          <w:p>
            <w:pPr>
              <w:pStyle w:val="TableText"/>
              <w:jc w:val="left"/>
            </w:pPr>
            <w:r>
              <w:t xml:space="preserve">TES energy of the no-DR operation planned day-ahead (MWh</w:t>
            </w:r>
            <w:r>
              <w:rPr>
                <w:vertAlign w:val="subscript"/>
              </w:rPr>
              <w:t xml:space="preserve">th</w:t>
            </w:r>
            <w:r>
              <w:t xml:space="preserve">)</w:t>
            </w:r>
          </w:p>
        </w:tc>
      </w:tr>
      <w:tr>
        <w:tc>
          <w:tcPr>
            <w:tcW w:w="1020" w:type="dxa"/>
          </w:tcPr>
          <w:p>
            <w:pPr>
              <w:pStyle w:val="TableText"/>
              <w:jc w:val="left"/>
            </w:pPr>
            <m:oMath>
              <m:sSup>
                <m:e>
                  <m:r>
                    <w:rPr>
                      <w:rFonts w:ascii="Cambria Math" w:hAnsi="Cambria Math"/>
                      <w:sz w:val="15"/>
                      <w:szCs w:val="15"/>
                    </w:rPr>
                    <m:t>e</m:t>
                  </m:r>
                </m:e>
                <m:sup>
                  <m:r>
                    <w:rPr>
                      <w:rFonts w:ascii="Cambria Math" w:hAnsi="Cambria Math"/>
                      <w:sz w:val="15"/>
                      <w:szCs w:val="15"/>
                    </w:rPr>
                    <m:t>g</m:t>
                  </m:r>
                  <m:r>
                    <w:rPr>
                      <w:rFonts w:ascii="Cambria Math" w:hAnsi="Cambria Math"/>
                      <w:sz w:val="15"/>
                      <w:szCs w:val="15"/>
                    </w:rPr>
                    <m:t>r</m:t>
                  </m:r>
                  <m:r>
                    <w:rPr>
                      <w:rFonts w:ascii="Cambria Math" w:hAnsi="Cambria Math"/>
                      <w:sz w:val="15"/>
                      <w:szCs w:val="15"/>
                    </w:rPr>
                    <m:t>i</m:t>
                  </m:r>
                  <m:r>
                    <w:rPr>
                      <w:rFonts w:ascii="Cambria Math" w:hAnsi="Cambria Math"/>
                      <w:sz w:val="15"/>
                      <w:szCs w:val="15"/>
                    </w:rPr>
                    <m:t>d</m:t>
                  </m:r>
                </m:sup>
              </m:sSup>
            </m:oMath>
          </w:p>
        </w:tc>
        <w:tc>
          <w:tcPr>
            <w:tcW w:w="3898" w:type="dxa"/>
          </w:tcPr>
          <w:p>
            <w:pPr>
              <w:pStyle w:val="TableText"/>
              <w:jc w:val="left"/>
            </w:pPr>
            <w:r>
              <w:t xml:space="preserve">Grid emission factor (t CO</w:t>
            </w:r>
            <w:r>
              <w:rPr>
                <w:vertAlign w:val="subscript"/>
              </w:rPr>
              <w:t xml:space="preserve">2</w:t>
            </w:r>
            <w:r>
              <w:t xml:space="preserve">/MWh)</w:t>
            </w:r>
          </w:p>
        </w:tc>
      </w:tr>
      <w:tr>
        <w:tc>
          <w:tcPr>
            <w:tcW w:w="1020" w:type="dxa"/>
          </w:tcPr>
          <w:p>
            <w:pPr>
              <w:pStyle w:val="TableText"/>
              <w:jc w:val="left"/>
            </w:pPr>
            <m:oMath>
              <m:sSup>
                <m:e>
                  <m:r>
                    <w:rPr>
                      <w:rFonts w:ascii="Cambria Math" w:hAnsi="Cambria Math"/>
                      <w:sz w:val="15"/>
                      <w:szCs w:val="15"/>
                    </w:rPr>
                    <m:t>e</m:t>
                  </m:r>
                </m:e>
                <m:sup>
                  <m:r>
                    <w:rPr>
                      <w:rFonts w:ascii="Cambria Math" w:hAnsi="Cambria Math"/>
                      <w:sz w:val="15"/>
                      <w:szCs w:val="15"/>
                    </w:rPr>
                    <m:t>g</m:t>
                  </m:r>
                  <m:r>
                    <w:rPr>
                      <w:rFonts w:ascii="Cambria Math" w:hAnsi="Cambria Math"/>
                      <w:sz w:val="15"/>
                      <w:szCs w:val="15"/>
                    </w:rPr>
                    <m:t>a</m:t>
                  </m:r>
                  <m:r>
                    <w:rPr>
                      <w:rFonts w:ascii="Cambria Math" w:hAnsi="Cambria Math"/>
                      <w:sz w:val="15"/>
                      <w:szCs w:val="15"/>
                    </w:rPr>
                    <m:t>s</m:t>
                  </m:r>
                </m:sup>
              </m:sSup>
            </m:oMath>
          </w:p>
        </w:tc>
        <w:tc>
          <w:tcPr>
            <w:tcW w:w="3898" w:type="dxa"/>
          </w:tcPr>
          <w:p>
            <w:pPr>
              <w:pStyle w:val="TableText"/>
              <w:jc w:val="left"/>
            </w:pPr>
            <w:r>
              <w:t xml:space="preserve">Emission factor of natural gas (t CO</w:t>
            </w:r>
            <w:r>
              <w:rPr>
                <w:vertAlign w:val="subscript"/>
              </w:rPr>
              <w:t xml:space="preserve">2</w:t>
            </w:r>
            <w:r>
              <w:t xml:space="preserve">/MWh of fuel)</w:t>
            </w:r>
          </w:p>
        </w:tc>
      </w:tr>
      <w:tr>
        <w:tc>
          <w:tcPr>
            <w:tcW w:w="1020" w:type="dxa"/>
          </w:tcPr>
          <w:p>
            <w:pPr>
              <w:pStyle w:val="TableText"/>
              <w:jc w:val="left"/>
            </w:pPr>
            <m:oMath>
              <m:r>
                <w:rPr>
                  <w:rFonts w:ascii="Cambria Math" w:hAnsi="Cambria Math"/>
                  <w:sz w:val="15"/>
                  <w:szCs w:val="15"/>
                </w:rPr>
                <m:t>α</m:t>
              </m:r>
            </m:oMath>
          </w:p>
        </w:tc>
        <w:tc>
          <w:tcPr>
            <w:tcW w:w="3898" w:type="dxa"/>
          </w:tcPr>
          <w:p>
            <w:pPr>
              <w:pStyle w:val="TableText"/>
              <w:jc w:val="left"/>
            </w:pPr>
            <w:r>
              <w:t xml:space="preserve">Compute share of the reduction in the static split of IR-O*</w:t>
            </w:r>
          </w:p>
        </w:tc>
      </w:tr>
      <w:tr>
        <w:tc>
          <w:tcPr>
            <w:tcW w:w="1020" w:type="dxa"/>
          </w:tcPr>
          <w:p>
            <w:pPr>
              <w:pStyle w:val="TableText"/>
              <w:jc w:val="left"/>
            </w:pPr>
            <m:oMath>
              <m:r>
                <w:rPr>
                  <w:rFonts w:ascii="Cambria Math" w:hAnsi="Cambria Math"/>
                  <w:sz w:val="15"/>
                  <w:szCs w:val="15"/>
                </w:rPr>
                <m:t>ρ</m:t>
              </m:r>
            </m:oMath>
          </w:p>
        </w:tc>
        <w:tc>
          <w:tcPr>
            <w:tcW w:w="3898" w:type="dxa"/>
          </w:tcPr>
          <w:p>
            <w:pPr>
              <w:pStyle w:val="TableText"/>
              <w:jc w:val="left"/>
            </w:pPr>
            <w:r>
              <w:t xml:space="preserve">Target reliability of the firm capacity</w:t>
            </w:r>
          </w:p>
        </w:tc>
      </w:tr>
      <w:tr>
        <w:tc>
          <w:tcPr>
            <w:tcW w:w="1020" w:type="dxa"/>
          </w:tcPr>
          <w:p>
            <w:pPr>
              <w:pStyle w:val="TableText"/>
              <w:jc w:val="left"/>
            </w:pPr>
            <m:oMath>
              <m:sSub>
                <m:e>
                  <m:r>
                    <w:rPr>
                      <w:rFonts w:ascii="Cambria Math" w:hAnsi="Cambria Math"/>
                      <w:sz w:val="15"/>
                      <w:szCs w:val="15"/>
                    </w:rPr>
                    <m:t>ϵ</m:t>
                  </m:r>
                </m:e>
                <m:sub>
                  <m:r>
                    <w:rPr>
                      <w:rFonts w:ascii="Cambria Math" w:hAnsi="Cambria Math"/>
                      <w:sz w:val="15"/>
                      <w:szCs w:val="15"/>
                    </w:rPr>
                    <m:t>f</m:t>
                  </m:r>
                </m:sub>
              </m:sSub>
            </m:oMath>
          </w:p>
        </w:tc>
        <w:tc>
          <w:tcPr>
            <w:tcW w:w="3898" w:type="dxa"/>
          </w:tcPr>
          <w:p>
            <w:pPr>
              <w:pStyle w:val="TableText"/>
              <w:jc w:val="left"/>
            </w:pPr>
            <w:r>
              <w:t xml:space="preserve">Metering tolerance of full delivery (2 %)</w:t>
            </w:r>
          </w:p>
        </w:tc>
      </w:tr>
      <w:tr>
        <w:tc>
          <w:tcPr>
            <w:tcW w:w="1020" w:type="dxa"/>
          </w:tcPr>
          <w:p>
            <w:pPr>
              <w:pStyle w:val="TableText"/>
              <w:jc w:val="left"/>
            </w:pPr>
            <m:oMath>
              <m:r>
                <m:rPr>
                  <m:scr m:val="script"/>
                  <m:sty m:val="p"/>
                </m:rPr>
                <w:rPr>
                  <w:rFonts w:ascii="Cambria Math" w:hAnsi="Cambria Math"/>
                  <w:sz w:val="15"/>
                  <w:szCs w:val="15"/>
                </w:rPr>
                <m:t>G</m:t>
              </m:r>
            </m:oMath>
          </w:p>
        </w:tc>
        <w:tc>
          <w:tcPr>
            <w:tcW w:w="3898" w:type="dxa"/>
          </w:tcPr>
          <w:p>
            <w:pPr>
              <w:pStyle w:val="TableText"/>
              <w:jc w:val="left"/>
            </w:pPr>
            <w:r>
              <w:t xml:space="preserve">Commitment grid</w:t>
            </w:r>
          </w:p>
        </w:tc>
      </w:tr>
      <w:tr>
        <w:tc>
          <w:tcPr>
            <w:tcW w:w="1020" w:type="dxa"/>
          </w:tcPr>
          <w:p>
            <w:pPr>
              <w:pStyle w:val="TableText"/>
              <w:jc w:val="left"/>
            </w:pPr>
            <m:oMath>
              <m:sSub>
                <m:e>
                  <m:r>
                    <w:rPr>
                      <w:rFonts w:ascii="Cambria Math" w:hAnsi="Cambria Math"/>
                      <w:sz w:val="15"/>
                      <w:szCs w:val="15"/>
                    </w:rPr>
                    <m:t>Δ</m:t>
                  </m:r>
                </m:e>
                <m:sub>
                  <m:r>
                    <m:rPr>
                      <m:scr m:val="script"/>
                      <m:sty m:val="p"/>
                    </m:rPr>
                    <w:rPr>
                      <w:rFonts w:ascii="Cambria Math" w:hAnsi="Cambria Math"/>
                      <w:sz w:val="15"/>
                      <w:szCs w:val="15"/>
                    </w:rPr>
                    <m:t>G</m:t>
                  </m:r>
                </m:sub>
              </m:sSub>
            </m:oMath>
          </w:p>
        </w:tc>
        <w:tc>
          <w:tcPr>
            <w:tcW w:w="3898" w:type="dxa"/>
          </w:tcPr>
          <w:p>
            <w:pPr>
              <w:pStyle w:val="TableText"/>
              <w:jc w:val="left"/>
            </w:pPr>
            <w:r>
              <w:t xml:space="preserve">Step of the commitment grid (MW)</w:t>
            </w:r>
          </w:p>
        </w:tc>
      </w:tr>
      <w:tr>
        <w:tc>
          <w:tcPr>
            <w:tcW w:w="1020" w:type="dxa"/>
          </w:tcPr>
          <w:p>
            <w:pPr>
              <w:pStyle w:val="TableText"/>
              <w:jc w:val="left"/>
            </w:pPr>
            <m:oMath>
              <m:sSup>
                <m:e>
                  <m:r>
                    <w:rPr>
                      <w:rFonts w:ascii="Cambria Math" w:hAnsi="Cambria Math"/>
                      <w:sz w:val="15"/>
                      <w:szCs w:val="15"/>
                    </w:rPr>
                    <m:t>Ω</m:t>
                  </m:r>
                </m:e>
                <m:sup>
                  <m:r>
                    <w:rPr>
                      <w:rFonts w:ascii="Cambria Math" w:hAnsi="Cambria Math"/>
                      <w:sz w:val="15"/>
                      <w:szCs w:val="15"/>
                    </w:rPr>
                    <m:t>D</m:t>
                  </m:r>
                  <m:r>
                    <w:rPr>
                      <w:rFonts w:ascii="Cambria Math" w:hAnsi="Cambria Math"/>
                      <w:sz w:val="15"/>
                      <w:szCs w:val="15"/>
                    </w:rPr>
                    <m:t>A</m:t>
                  </m:r>
                </m:sup>
              </m:sSup>
            </m:oMath>
          </w:p>
        </w:tc>
        <w:tc>
          <w:tcPr>
            <w:tcW w:w="3898" w:type="dxa"/>
          </w:tcPr>
          <w:p>
            <w:pPr>
              <w:pStyle w:val="TableText"/>
              <w:jc w:val="left"/>
            </w:pPr>
            <w:r>
              <w:t xml:space="preserve">Historical days used day-ahead</w:t>
            </w:r>
          </w:p>
        </w:tc>
      </w:tr>
      <w:tr>
        <w:tc>
          <w:tcPr>
            <w:tcW w:w="1020" w:type="dxa"/>
          </w:tcPr>
          <w:p>
            <w:pPr>
              <w:pStyle w:val="TableText"/>
              <w:jc w:val="left"/>
            </w:pPr>
            <m:oMath>
              <m:r>
                <w:rPr>
                  <w:rFonts w:ascii="Cambria Math" w:hAnsi="Cambria Math"/>
                  <w:sz w:val="15"/>
                  <w:szCs w:val="15"/>
                </w:rPr>
                <m:t>Ω</m:t>
              </m:r>
            </m:oMath>
          </w:p>
        </w:tc>
        <w:tc>
          <w:tcPr>
            <w:tcW w:w="3898" w:type="dxa"/>
          </w:tcPr>
          <w:p>
            <w:pPr>
              <w:pStyle w:val="TableText"/>
              <w:jc w:val="left"/>
            </w:pPr>
            <w:r>
              <w:t xml:space="preserve">Operating (test) days</w:t>
            </w:r>
          </w:p>
        </w:tc>
      </w:tr>
      <w:tr>
        <w:tc>
          <w:tcPr>
            <w:tcW w:w="1020" w:type="dxa"/>
          </w:tcPr>
          <w:p>
            <w:pPr>
              <w:pStyle w:val="TableText"/>
              <w:jc w:val="left"/>
            </w:pPr>
            <m:oMath>
              <m:r>
                <w:rPr>
                  <w:rFonts w:ascii="Cambria Math" w:hAnsi="Cambria Math"/>
                  <w:sz w:val="15"/>
                  <w:szCs w:val="15"/>
                </w:rPr>
                <m:t>N</m:t>
              </m:r>
            </m:oMath>
          </w:p>
        </w:tc>
        <w:tc>
          <w:tcPr>
            <w:tcW w:w="3898" w:type="dxa"/>
          </w:tcPr>
          <w:p>
            <w:pPr>
              <w:pStyle w:val="TableText"/>
              <w:jc w:val="left"/>
            </w:pPr>
            <w:r>
              <w:t xml:space="preserve">Number of historical days</w:t>
            </w:r>
          </w:p>
        </w:tc>
      </w:tr>
      <w:tr>
        <w:tc>
          <w:tcPr>
            <w:tcW w:w="1020" w:type="dxa"/>
          </w:tcPr>
          <w:p>
            <w:pPr>
              <w:pStyle w:val="TableText"/>
              <w:jc w:val="left"/>
            </w:pPr>
            <m:oMath>
              <m:r>
                <w:rPr>
                  <w:rFonts w:ascii="Cambria Math" w:hAnsi="Cambria Math"/>
                  <w:sz w:val="15"/>
                  <w:szCs w:val="15"/>
                </w:rPr>
                <m:t>ε</m:t>
              </m:r>
            </m:oMath>
          </w:p>
        </w:tc>
        <w:tc>
          <w:tcPr>
            <w:tcW w:w="3898" w:type="dxa"/>
          </w:tcPr>
          <w:p>
            <w:pPr>
              <w:pStyle w:val="TableText"/>
              <w:jc w:val="left"/>
            </w:pPr>
            <w:r>
              <w:t xml:space="preserve">Radius of the 1-Wasserstein ambiguity set (MW)</w:t>
            </w:r>
          </w:p>
        </w:tc>
      </w:tr>
      <w:tr>
        <w:tc>
          <w:tcPr>
            <w:tcW w:w="1020" w:type="dxa"/>
          </w:tcPr>
          <w:p>
            <w:pPr>
              <w:pStyle w:val="TableText"/>
              <w:jc w:val="left"/>
            </w:pPr>
            <m:oMath>
              <m:sSub>
                <m:e>
                  <m:r>
                    <w:rPr>
                      <w:rFonts w:ascii="Cambria Math" w:hAnsi="Cambria Math"/>
                      <w:sz w:val="15"/>
                      <w:szCs w:val="15"/>
                    </w:rPr>
                    <m:t>ε</m:t>
                  </m:r>
                </m:e>
                <m:sub>
                  <m:r>
                    <w:rPr>
                      <w:rFonts w:ascii="Cambria Math" w:hAnsi="Cambria Math"/>
                      <w:sz w:val="15"/>
                      <w:szCs w:val="15"/>
                    </w:rPr>
                    <m:t>N</m:t>
                  </m:r>
                </m:sub>
              </m:sSub>
            </m:oMath>
          </w:p>
        </w:tc>
        <w:tc>
          <w:tcPr>
            <w:tcW w:w="3898" w:type="dxa"/>
          </w:tcPr>
          <w:p>
            <w:pPr>
              <w:pStyle w:val="TableText"/>
              <w:jc w:val="left"/>
            </w:pPr>
            <w:r>
              <w:t xml:space="preserve">Expected 1-Wasserstein estimation error (MW)</w:t>
            </w:r>
          </w:p>
        </w:tc>
      </w:tr>
      <w:tr>
        <w:tc>
          <w:tcPr>
            <w:tcW w:w="1020" w:type="dxa"/>
          </w:tcPr>
          <w:p>
            <w:pPr>
              <w:pStyle w:val="TableText"/>
              <w:jc w:val="left"/>
            </w:pPr>
            <m:oMath>
              <m:sSup>
                <m:e>
                  <m:r>
                    <w:rPr>
                      <w:rFonts w:ascii="Cambria Math" w:hAnsi="Cambria Math"/>
                      <w:sz w:val="15"/>
                      <w:szCs w:val="15"/>
                    </w:rPr>
                    <m:t>ϵ</m:t>
                  </m:r>
                </m:e>
                <m:sup>
                  <m:r>
                    <w:rPr>
                      <w:rFonts w:ascii="Cambria Math" w:hAnsi="Cambria Math"/>
                      <w:sz w:val="15"/>
                      <w:szCs w:val="15"/>
                    </w:rPr>
                    <m:t>C</m:t>
                  </m:r>
                </m:sup>
              </m:sSup>
            </m:oMath>
          </w:p>
        </w:tc>
        <w:tc>
          <w:tcPr>
            <w:tcW w:w="3898" w:type="dxa"/>
          </w:tcPr>
          <w:p>
            <w:pPr>
              <w:pStyle w:val="TableText"/>
              <w:jc w:val="left"/>
            </w:pPr>
            <w:r>
              <w:t xml:space="preserve">Weight of the commitment in the two-stage model (CNY/MW)</w:t>
            </w:r>
          </w:p>
        </w:tc>
      </w:tr>
      <w:tr>
        <w:tc>
          <w:tcPr>
            <w:tcW w:w="1020" w:type="dxa"/>
          </w:tcPr>
          <w:p>
            <w:pPr>
              <w:pStyle w:val="TableText"/>
              <w:jc w:val="left"/>
            </w:pPr>
            <m:oMath>
              <m:sSub>
                <m:e>
                  <m:r>
                    <w:rPr>
                      <w:rFonts w:ascii="Cambria Math" w:hAnsi="Cambria Math"/>
                      <w:sz w:val="15"/>
                      <w:szCs w:val="15"/>
                    </w:rPr>
                    <m:t>p</m:t>
                  </m:r>
                </m:e>
                <m:sub>
                  <m:r>
                    <w:rPr>
                      <w:rFonts w:ascii="Cambria Math" w:hAnsi="Cambria Math"/>
                      <w:sz w:val="15"/>
                      <w:szCs w:val="15"/>
                    </w:rPr>
                    <m:t>ω</m:t>
                  </m:r>
                </m:sub>
              </m:sSub>
            </m:oMath>
          </w:p>
        </w:tc>
        <w:tc>
          <w:tcPr>
            <w:tcW w:w="3898" w:type="dxa"/>
          </w:tcPr>
          <w:p>
            <w:pPr>
              <w:pStyle w:val="TableText"/>
              <w:jc w:val="left"/>
            </w:pPr>
            <w:r>
              <w:t xml:space="preserve">Probability of scenario</w:t>
            </w:r>
            <w:r>
              <w:t xml:space="preserve"> </w:t>
            </w:r>
            <m:oMath>
              <m:r>
                <w:rPr>
                  <w:rFonts w:ascii="Cambria Math" w:hAnsi="Cambria Math"/>
                  <w:sz w:val="15"/>
                  <w:szCs w:val="15"/>
                </w:rPr>
                <m:t>ω</m:t>
              </m:r>
            </m:oMath>
          </w:p>
        </w:tc>
      </w:tr>
      <w:tr>
        <w:tc>
          <w:tcPr>
            <w:tcW w:w="1020" w:type="dxa"/>
          </w:tcPr>
          <w:p>
            <w:pPr>
              <w:pStyle w:val="TableText"/>
              <w:jc w:val="left"/>
            </w:pPr>
            <m:oMath>
              <m:r>
                <w:rPr>
                  <w:rFonts w:ascii="Cambria Math" w:hAnsi="Cambria Math"/>
                  <w:sz w:val="15"/>
                  <w:szCs w:val="15"/>
                </w:rPr>
                <m:t>η</m:t>
              </m:r>
            </m:oMath>
          </w:p>
        </w:tc>
        <w:tc>
          <w:tcPr>
            <w:tcW w:w="3898" w:type="dxa"/>
          </w:tcPr>
          <w:p>
            <w:pPr>
              <w:pStyle w:val="TableText"/>
              <w:jc w:val="left"/>
            </w:pPr>
            <w:r>
              <w:t xml:space="preserve">Round-trip efficiency of recharging</w:t>
            </w:r>
          </w:p>
        </w:tc>
      </w:tr>
      <w:tr>
        <w:tc>
          <w:tcPr>
            <w:tcW w:w="1020" w:type="dxa"/>
          </w:tcPr>
          <w:p>
            <w:pPr>
              <w:pStyle w:val="TableText"/>
              <w:jc w:val="left"/>
            </w:pPr>
            <m:oMath>
              <m:r>
                <w:rPr>
                  <w:rFonts w:ascii="Cambria Math" w:hAnsi="Cambria Math"/>
                  <w:sz w:val="15"/>
                  <w:szCs w:val="15"/>
                </w:rPr>
                <m:t>g</m:t>
              </m:r>
            </m:oMath>
          </w:p>
        </w:tc>
        <w:tc>
          <w:tcPr>
            <w:tcW w:w="3898" w:type="dxa"/>
          </w:tcPr>
          <w:p>
            <w:pPr>
              <w:pStyle w:val="TableText"/>
              <w:jc w:val="left"/>
            </w:pPr>
            <w:r>
              <w:t xml:space="preserve">Additional gas-engine output available for recovery (MW)</w:t>
            </w:r>
          </w:p>
        </w:tc>
      </w:tr>
      <w:tr>
        <w:tc>
          <w:tcPr>
            <w:tcW w:w="1020" w:type="dxa"/>
          </w:tcPr>
          <w:p>
            <w:pPr>
              <w:pStyle w:val="TableText"/>
              <w:jc w:val="left"/>
            </w:pPr>
            <m:oMath>
              <m:r>
                <w:rPr>
                  <w:rFonts w:ascii="Cambria Math" w:hAnsi="Cambria Math"/>
                  <w:sz w:val="15"/>
                  <w:szCs w:val="15"/>
                </w:rPr>
                <m:t>L</m:t>
              </m:r>
            </m:oMath>
          </w:p>
        </w:tc>
        <w:tc>
          <w:tcPr>
            <w:tcW w:w="3898" w:type="dxa"/>
          </w:tcPr>
          <w:p>
            <w:pPr>
              <w:pStyle w:val="TableText"/>
              <w:jc w:val="left"/>
            </w:pPr>
            <w:r>
              <w:t xml:space="preserve">Lag bound of the single-class model of Proposition 2 (h)</w:t>
            </w:r>
          </w:p>
        </w:tc>
      </w:tr>
      <w:tr>
        <w:tc>
          <w:tcPr>
            <w:tcW w:w="1020" w:type="dxa"/>
          </w:tcPr>
          <w:p>
            <w:pPr>
              <w:pStyle w:val="TableText"/>
              <w:jc w:val="left"/>
            </w:pPr>
            <m:oMath>
              <m:r>
                <w:rPr>
                  <w:rFonts w:ascii="Cambria Math" w:hAnsi="Cambria Math"/>
                  <w:sz w:val="15"/>
                  <w:szCs w:val="15"/>
                </w:rPr>
                <m:t>h</m:t>
              </m:r>
            </m:oMath>
          </w:p>
        </w:tc>
        <w:tc>
          <w:tcPr>
            <w:tcW w:w="3898" w:type="dxa"/>
          </w:tcPr>
          <w:p>
            <w:pPr>
              <w:pStyle w:val="TableText"/>
              <w:jc w:val="left"/>
            </w:pPr>
            <w:r>
              <w:t xml:space="preserve">Constant channel width in Proposition 2 (MW)</w:t>
            </w:r>
          </w:p>
        </w:tc>
      </w:tr>
    </w:tbl>
    <w:p>
      <w:pPr>
        <w:pStyle w:val="NomHead"/>
      </w:pPr>
      <w:r>
        <w:t xml:space="preserve">Variables</w:t>
      </w:r>
    </w:p>
    <w:tbl>
      <w:tblPr>
        <w:tblStyle w:val="Table"/>
        <w:tblW w:w="4918" w:type="dxa"/>
        <w:jc w:val="start"/>
        <w:tblBorders>
          <w:top w:val="nil"/>
          <w:left w:val="nil"/>
          <w:bottom w:val="nil"/>
          <w:right w:val="nil"/>
          <w:insideH w:val="nil"/>
          <w:insideV w:val="nil"/>
        </w:tblBorders>
        <w:tblLayout w:type="fixed"/>
        <w:tblLook w:firstRow="0" w:lastRow="0" w:firstColumn="0" w:lastColumn="0" w:noHBand="0" w:noVBand="0" w:val="0000"/>
      </w:tblPr>
      <w:tblGrid>
        <w:gridCol w:w="1020"/>
        <w:gridCol w:w="3898"/>
      </w:tblGrid>
      <w:tr>
        <w:tc>
          <w:tcPr>
            <w:tcW w:w="1020" w:type="dxa"/>
          </w:tcPr>
          <w:p>
            <w:pPr>
              <w:pStyle w:val="TableText"/>
              <w:jc w:val="left"/>
            </w:pPr>
            <m:oMath>
              <m:sSub>
                <m:e>
                  <m:r>
                    <w:rPr>
                      <w:rFonts w:ascii="Cambria Math" w:hAnsi="Cambria Math"/>
                      <w:sz w:val="15"/>
                      <w:szCs w:val="15"/>
                    </w:rPr>
                    <m:t>y</m:t>
                  </m:r>
                </m:e>
                <m:sub>
                  <m:r>
                    <w:rPr>
                      <w:rFonts w:ascii="Cambria Math" w:hAnsi="Cambria Math"/>
                      <w:sz w:val="15"/>
                      <w:szCs w:val="15"/>
                    </w:rPr>
                    <m:t>c</m:t>
                  </m:r>
                  <m:r>
                    <m:rPr>
                      <m:sty m:val="p"/>
                    </m:rPr>
                    <w:rPr>
                      <w:rFonts w:ascii="Cambria Math" w:hAnsi="Cambria Math"/>
                      <w:sz w:val="15"/>
                      <w:szCs w:val="15"/>
                    </w:rPr>
                    <m:t>,</m:t>
                  </m:r>
                  <m:r>
                    <w:rPr>
                      <w:rFonts w:ascii="Cambria Math" w:hAnsi="Cambria Math"/>
                      <w:sz w:val="15"/>
                      <w:szCs w:val="15"/>
                    </w:rPr>
                    <m:t>t</m:t>
                  </m:r>
                </m:sub>
              </m:sSub>
            </m:oMath>
          </w:p>
        </w:tc>
        <w:tc>
          <w:tcPr>
            <w:tcW w:w="3898" w:type="dxa"/>
          </w:tcPr>
          <w:p>
            <w:pPr>
              <w:pStyle w:val="TableText"/>
              <w:jc w:val="left"/>
            </w:pPr>
            <w:r>
              <w:t xml:space="preserve">Busy GPUs executing class-</w:t>
            </w:r>
            <m:oMath>
              <m:r>
                <w:rPr>
                  <w:rFonts w:ascii="Cambria Math" w:hAnsi="Cambria Math"/>
                  <w:sz w:val="15"/>
                  <w:szCs w:val="15"/>
                </w:rPr>
                <m:t>c</m:t>
              </m:r>
            </m:oMath>
            <w:r>
              <w:t xml:space="preserve"> </w:t>
            </w:r>
            <w:r>
              <w:t xml:space="preserve">work</w:t>
            </w:r>
          </w:p>
        </w:tc>
      </w:tr>
      <w:tr>
        <w:tc>
          <w:tcPr>
            <w:tcW w:w="1020" w:type="dxa"/>
          </w:tcPr>
          <w:p>
            <w:pPr>
              <w:pStyle w:val="TableText"/>
              <w:jc w:val="left"/>
            </w:pPr>
            <m:oMath>
              <m:sSub>
                <m:e>
                  <m:r>
                    <w:rPr>
                      <w:rFonts w:ascii="Cambria Math" w:hAnsi="Cambria Math"/>
                      <w:sz w:val="15"/>
                      <w:szCs w:val="15"/>
                    </w:rPr>
                    <m:t>B</m:t>
                  </m:r>
                </m:e>
                <m:sub>
                  <m:r>
                    <w:rPr>
                      <w:rFonts w:ascii="Cambria Math" w:hAnsi="Cambria Math"/>
                      <w:sz w:val="15"/>
                      <w:szCs w:val="15"/>
                    </w:rPr>
                    <m:t>c</m:t>
                  </m:r>
                  <m:r>
                    <m:rPr>
                      <m:sty m:val="p"/>
                    </m:rPr>
                    <w:rPr>
                      <w:rFonts w:ascii="Cambria Math" w:hAnsi="Cambria Math"/>
                      <w:sz w:val="15"/>
                      <w:szCs w:val="15"/>
                    </w:rPr>
                    <m:t>,</m:t>
                  </m:r>
                  <m:r>
                    <w:rPr>
                      <w:rFonts w:ascii="Cambria Math" w:hAnsi="Cambria Math"/>
                      <w:sz w:val="15"/>
                      <w:szCs w:val="15"/>
                    </w:rPr>
                    <m:t>t</m:t>
                  </m:r>
                </m:sub>
              </m:sSub>
            </m:oMath>
          </w:p>
        </w:tc>
        <w:tc>
          <w:tcPr>
            <w:tcW w:w="3898" w:type="dxa"/>
          </w:tcPr>
          <w:p>
            <w:pPr>
              <w:pStyle w:val="TableText"/>
              <w:jc w:val="left"/>
            </w:pPr>
            <w:r>
              <w:t xml:space="preserve">Backlog of class</w:t>
            </w:r>
            <w:r>
              <w:t xml:space="preserve"> </w:t>
            </w:r>
            <m:oMath>
              <m:r>
                <w:rPr>
                  <w:rFonts w:ascii="Cambria Math" w:hAnsi="Cambria Math"/>
                  <w:sz w:val="15"/>
                  <w:szCs w:val="15"/>
                </w:rPr>
                <m:t>c</m:t>
              </m:r>
            </m:oMath>
            <w:r>
              <w:t xml:space="preserve"> </w:t>
            </w:r>
            <w:r>
              <w:t xml:space="preserve">(GPU·h)</w:t>
            </w:r>
          </w:p>
        </w:tc>
      </w:tr>
      <w:tr>
        <w:tc>
          <w:tcPr>
            <w:tcW w:w="1020" w:type="dxa"/>
          </w:tcPr>
          <w:p>
            <w:pPr>
              <w:pStyle w:val="TableText"/>
              <w:jc w:val="left"/>
            </w:pPr>
            <m:oMath>
              <m:sSub>
                <m:e>
                  <m:r>
                    <w:rPr>
                      <w:rFonts w:ascii="Cambria Math" w:hAnsi="Cambria Math"/>
                      <w:sz w:val="15"/>
                      <w:szCs w:val="15"/>
                    </w:rPr>
                    <m:t>v</m:t>
                  </m:r>
                </m:e>
                <m:sub>
                  <m:r>
                    <w:rPr>
                      <w:rFonts w:ascii="Cambria Math" w:hAnsi="Cambria Math"/>
                      <w:sz w:val="15"/>
                      <w:szCs w:val="15"/>
                    </w:rPr>
                    <m:t>c</m:t>
                  </m:r>
                  <m:r>
                    <m:rPr>
                      <m:sty m:val="p"/>
                    </m:rPr>
                    <w:rPr>
                      <w:rFonts w:ascii="Cambria Math" w:hAnsi="Cambria Math"/>
                      <w:sz w:val="15"/>
                      <w:szCs w:val="15"/>
                    </w:rPr>
                    <m:t>,</m:t>
                  </m:r>
                  <m:r>
                    <w:rPr>
                      <w:rFonts w:ascii="Cambria Math" w:hAnsi="Cambria Math"/>
                      <w:sz w:val="15"/>
                      <w:szCs w:val="15"/>
                    </w:rPr>
                    <m:t>t</m:t>
                  </m:r>
                </m:sub>
              </m:sSub>
            </m:oMath>
          </w:p>
        </w:tc>
        <w:tc>
          <w:tcPr>
            <w:tcW w:w="3898" w:type="dxa"/>
          </w:tcPr>
          <w:p>
            <w:pPr>
              <w:pStyle w:val="TableText"/>
              <w:jc w:val="left"/>
            </w:pPr>
            <w:r>
              <w:t xml:space="preserve">Overdue work of class</w:t>
            </w:r>
            <w:r>
              <w:t xml:space="preserve"> </w:t>
            </w:r>
            <m:oMath>
              <m:r>
                <w:rPr>
                  <w:rFonts w:ascii="Cambria Math" w:hAnsi="Cambria Math"/>
                  <w:sz w:val="15"/>
                  <w:szCs w:val="15"/>
                </w:rPr>
                <m:t>c</m:t>
              </m:r>
            </m:oMath>
            <w:r>
              <w:t xml:space="preserve"> </w:t>
            </w:r>
            <w:r>
              <w:t xml:space="preserve">(GPU·h)</w:t>
            </w:r>
          </w:p>
        </w:tc>
      </w:tr>
      <w:tr>
        <w:tc>
          <w:tcPr>
            <w:tcW w:w="1020" w:type="dxa"/>
          </w:tcPr>
          <w:p>
            <w:pPr>
              <w:pStyle w:val="TableText"/>
              <w:jc w:val="left"/>
            </w:pPr>
            <m:oMath>
              <m:sSubSup>
                <m:e>
                  <m:r>
                    <w:rPr>
                      <w:rFonts w:ascii="Cambria Math" w:hAnsi="Cambria Math"/>
                      <w:sz w:val="15"/>
                      <w:szCs w:val="15"/>
                    </w:rPr>
                    <m:t>P</m:t>
                  </m:r>
                </m:e>
                <m:sub>
                  <m:r>
                    <w:rPr>
                      <w:rFonts w:ascii="Cambria Math" w:hAnsi="Cambria Math"/>
                      <w:sz w:val="15"/>
                      <w:szCs w:val="15"/>
                    </w:rPr>
                    <m:t>t</m:t>
                  </m:r>
                </m:sub>
                <m:sup>
                  <m:r>
                    <w:rPr>
                      <w:rFonts w:ascii="Cambria Math" w:hAnsi="Cambria Math"/>
                      <w:sz w:val="15"/>
                      <w:szCs w:val="15"/>
                    </w:rPr>
                    <m:t>I</m:t>
                  </m:r>
                  <m:r>
                    <w:rPr>
                      <w:rFonts w:ascii="Cambria Math" w:hAnsi="Cambria Math"/>
                      <w:sz w:val="15"/>
                      <w:szCs w:val="15"/>
                    </w:rPr>
                    <m:t>T</m:t>
                  </m:r>
                </m:sup>
              </m:sSubSup>
            </m:oMath>
          </w:p>
        </w:tc>
        <w:tc>
          <w:tcPr>
            <w:tcW w:w="3898" w:type="dxa"/>
          </w:tcPr>
          <w:p>
            <w:pPr>
              <w:pStyle w:val="TableText"/>
              <w:jc w:val="left"/>
            </w:pPr>
            <w:r>
              <w:t xml:space="preserve">IT power (MW)</w:t>
            </w:r>
          </w:p>
        </w:tc>
      </w:tr>
      <w:tr>
        <w:tc>
          <w:tcPr>
            <w:tcW w:w="1020" w:type="dxa"/>
          </w:tcPr>
          <w:p>
            <w:pPr>
              <w:pStyle w:val="TableText"/>
              <w:jc w:val="left"/>
            </w:pPr>
            <m:oMath>
              <m:sSubSup>
                <m:e>
                  <m:r>
                    <w:rPr>
                      <w:rFonts w:ascii="Cambria Math" w:hAnsi="Cambria Math"/>
                      <w:sz w:val="15"/>
                      <w:szCs w:val="15"/>
                    </w:rPr>
                    <m:t>P</m:t>
                  </m:r>
                </m:e>
                <m:sub>
                  <m:r>
                    <w:rPr>
                      <w:rFonts w:ascii="Cambria Math" w:hAnsi="Cambria Math"/>
                      <w:sz w:val="15"/>
                      <w:szCs w:val="15"/>
                    </w:rPr>
                    <m:t>t</m:t>
                  </m:r>
                </m:sub>
                <m:sup>
                  <m:r>
                    <w:rPr>
                      <w:rFonts w:ascii="Cambria Math" w:hAnsi="Cambria Math"/>
                      <w:sz w:val="15"/>
                      <w:szCs w:val="15"/>
                    </w:rPr>
                    <m:t>g</m:t>
                  </m:r>
                  <m:r>
                    <w:rPr>
                      <w:rFonts w:ascii="Cambria Math" w:hAnsi="Cambria Math"/>
                      <w:sz w:val="15"/>
                      <w:szCs w:val="15"/>
                    </w:rPr>
                    <m:t>r</m:t>
                  </m:r>
                  <m:r>
                    <w:rPr>
                      <w:rFonts w:ascii="Cambria Math" w:hAnsi="Cambria Math"/>
                      <w:sz w:val="15"/>
                      <w:szCs w:val="15"/>
                    </w:rPr>
                    <m:t>i</m:t>
                  </m:r>
                  <m:r>
                    <w:rPr>
                      <w:rFonts w:ascii="Cambria Math" w:hAnsi="Cambria Math"/>
                      <w:sz w:val="15"/>
                      <w:szCs w:val="15"/>
                    </w:rPr>
                    <m:t>d</m:t>
                  </m:r>
                </m:sup>
              </m:sSubSup>
            </m:oMath>
          </w:p>
        </w:tc>
        <w:tc>
          <w:tcPr>
            <w:tcW w:w="3898" w:type="dxa"/>
          </w:tcPr>
          <w:p>
            <w:pPr>
              <w:pStyle w:val="TableText"/>
              <w:jc w:val="left"/>
            </w:pPr>
            <w:r>
              <w:t xml:space="preserve">Grid import (MW)</w:t>
            </w:r>
          </w:p>
        </w:tc>
      </w:tr>
      <w:tr>
        <w:tc>
          <w:tcPr>
            <w:tcW w:w="1020" w:type="dxa"/>
          </w:tcPr>
          <w:p>
            <w:pPr>
              <w:pStyle w:val="TableText"/>
              <w:jc w:val="left"/>
            </w:pPr>
            <m:oMath>
              <m:sSubSup>
                <m:e>
                  <m:r>
                    <w:rPr>
                      <w:rFonts w:ascii="Cambria Math" w:hAnsi="Cambria Math"/>
                      <w:sz w:val="15"/>
                      <w:szCs w:val="15"/>
                    </w:rPr>
                    <m:t>P</m:t>
                  </m:r>
                </m:e>
                <m:sub>
                  <m:r>
                    <w:rPr>
                      <w:rFonts w:ascii="Cambria Math" w:hAnsi="Cambria Math"/>
                      <w:sz w:val="15"/>
                      <w:szCs w:val="15"/>
                    </w:rPr>
                    <m:t>t</m:t>
                  </m:r>
                </m:sub>
                <m:sup>
                  <m:r>
                    <w:rPr>
                      <w:rFonts w:ascii="Cambria Math" w:hAnsi="Cambria Math"/>
                      <w:sz w:val="15"/>
                      <w:szCs w:val="15"/>
                    </w:rPr>
                    <m:t>c</m:t>
                  </m:r>
                  <m:r>
                    <w:rPr>
                      <w:rFonts w:ascii="Cambria Math" w:hAnsi="Cambria Math"/>
                      <w:sz w:val="15"/>
                      <w:szCs w:val="15"/>
                    </w:rPr>
                    <m:t>h</m:t>
                  </m:r>
                </m:sup>
              </m:sSubSup>
            </m:oMath>
          </w:p>
        </w:tc>
        <w:tc>
          <w:tcPr>
            <w:tcW w:w="3898" w:type="dxa"/>
          </w:tcPr>
          <w:p>
            <w:pPr>
              <w:pStyle w:val="TableText"/>
              <w:jc w:val="left"/>
            </w:pPr>
            <w:r>
              <w:t xml:space="preserve">BESS charging power (MW)</w:t>
            </w:r>
          </w:p>
        </w:tc>
      </w:tr>
      <w:tr>
        <w:tc>
          <w:tcPr>
            <w:tcW w:w="1020" w:type="dxa"/>
          </w:tcPr>
          <w:p>
            <w:pPr>
              <w:pStyle w:val="TableText"/>
              <w:jc w:val="left"/>
            </w:pPr>
            <m:oMath>
              <m:sSubSup>
                <m:e>
                  <m:r>
                    <w:rPr>
                      <w:rFonts w:ascii="Cambria Math" w:hAnsi="Cambria Math"/>
                      <w:sz w:val="15"/>
                      <w:szCs w:val="15"/>
                    </w:rPr>
                    <m:t>P</m:t>
                  </m:r>
                </m:e>
                <m:sub>
                  <m:r>
                    <w:rPr>
                      <w:rFonts w:ascii="Cambria Math" w:hAnsi="Cambria Math"/>
                      <w:sz w:val="15"/>
                      <w:szCs w:val="15"/>
                    </w:rPr>
                    <m:t>t</m:t>
                  </m:r>
                </m:sub>
                <m:sup>
                  <m:r>
                    <w:rPr>
                      <w:rFonts w:ascii="Cambria Math" w:hAnsi="Cambria Math"/>
                      <w:sz w:val="15"/>
                      <w:szCs w:val="15"/>
                    </w:rPr>
                    <m:t>d</m:t>
                  </m:r>
                  <m:r>
                    <w:rPr>
                      <w:rFonts w:ascii="Cambria Math" w:hAnsi="Cambria Math"/>
                      <w:sz w:val="15"/>
                      <w:szCs w:val="15"/>
                    </w:rPr>
                    <m:t>i</m:t>
                  </m:r>
                  <m:r>
                    <w:rPr>
                      <w:rFonts w:ascii="Cambria Math" w:hAnsi="Cambria Math"/>
                      <w:sz w:val="15"/>
                      <w:szCs w:val="15"/>
                    </w:rPr>
                    <m:t>s</m:t>
                  </m:r>
                </m:sup>
              </m:sSubSup>
            </m:oMath>
          </w:p>
        </w:tc>
        <w:tc>
          <w:tcPr>
            <w:tcW w:w="3898" w:type="dxa"/>
          </w:tcPr>
          <w:p>
            <w:pPr>
              <w:pStyle w:val="TableText"/>
              <w:jc w:val="left"/>
            </w:pPr>
            <w:r>
              <w:t xml:space="preserve">BESS discharging power (MW)</w:t>
            </w:r>
          </w:p>
        </w:tc>
      </w:tr>
      <w:tr>
        <w:tc>
          <w:tcPr>
            <w:tcW w:w="1020" w:type="dxa"/>
          </w:tcPr>
          <w:p>
            <w:pPr>
              <w:pStyle w:val="TableText"/>
              <w:jc w:val="left"/>
            </w:pPr>
            <m:oMath>
              <m:sSub>
                <m:e>
                  <m:r>
                    <w:rPr>
                      <w:rFonts w:ascii="Cambria Math" w:hAnsi="Cambria Math"/>
                      <w:sz w:val="15"/>
                      <w:szCs w:val="15"/>
                    </w:rPr>
                    <m:t>E</m:t>
                  </m:r>
                </m:e>
                <m:sub>
                  <m:r>
                    <w:rPr>
                      <w:rFonts w:ascii="Cambria Math" w:hAnsi="Cambria Math"/>
                      <w:sz w:val="15"/>
                      <w:szCs w:val="15"/>
                    </w:rPr>
                    <m:t>t</m:t>
                  </m:r>
                </m:sub>
              </m:sSub>
            </m:oMath>
          </w:p>
        </w:tc>
        <w:tc>
          <w:tcPr>
            <w:tcW w:w="3898" w:type="dxa"/>
          </w:tcPr>
          <w:p>
            <w:pPr>
              <w:pStyle w:val="TableText"/>
              <w:jc w:val="left"/>
            </w:pPr>
            <w:r>
              <w:t xml:space="preserve">Energy stored in the BESS (MWh)</w:t>
            </w:r>
          </w:p>
        </w:tc>
      </w:tr>
      <w:tr>
        <w:tc>
          <w:tcPr>
            <w:tcW w:w="1020" w:type="dxa"/>
          </w:tcPr>
          <w:p>
            <w:pPr>
              <w:pStyle w:val="TableText"/>
              <w:jc w:val="left"/>
            </w:pPr>
            <m:oMath>
              <m:sSubSup>
                <m:e>
                  <m:r>
                    <w:rPr>
                      <w:rFonts w:ascii="Cambria Math" w:hAnsi="Cambria Math"/>
                      <w:sz w:val="15"/>
                      <w:szCs w:val="15"/>
                    </w:rPr>
                    <m:t>Q</m:t>
                  </m:r>
                </m:e>
                <m:sub>
                  <m:r>
                    <w:rPr>
                      <w:rFonts w:ascii="Cambria Math" w:hAnsi="Cambria Math"/>
                      <w:sz w:val="15"/>
                      <w:szCs w:val="15"/>
                    </w:rPr>
                    <m:t>t</m:t>
                  </m:r>
                </m:sub>
                <m:sup>
                  <m:r>
                    <w:rPr>
                      <w:rFonts w:ascii="Cambria Math" w:hAnsi="Cambria Math"/>
                      <w:sz w:val="15"/>
                      <w:szCs w:val="15"/>
                    </w:rPr>
                    <m:t>T</m:t>
                  </m:r>
                  <m:r>
                    <w:rPr>
                      <w:rFonts w:ascii="Cambria Math" w:hAnsi="Cambria Math"/>
                      <w:sz w:val="15"/>
                      <w:szCs w:val="15"/>
                    </w:rPr>
                    <m:t>C</m:t>
                  </m:r>
                </m:sup>
              </m:sSubSup>
            </m:oMath>
          </w:p>
        </w:tc>
        <w:tc>
          <w:tcPr>
            <w:tcW w:w="3898" w:type="dxa"/>
          </w:tcPr>
          <w:p>
            <w:pPr>
              <w:pStyle w:val="TableText"/>
              <w:jc w:val="left"/>
            </w:pPr>
            <w:r>
              <w:t xml:space="preserve">TES charging (MW</w:t>
            </w:r>
            <w:r>
              <w:rPr>
                <w:vertAlign w:val="subscript"/>
              </w:rPr>
              <w:t xml:space="preserve">th</w:t>
            </w:r>
            <w:r>
              <w:t xml:space="preserve">)</w:t>
            </w:r>
          </w:p>
        </w:tc>
      </w:tr>
      <w:tr>
        <w:tc>
          <w:tcPr>
            <w:tcW w:w="1020" w:type="dxa"/>
          </w:tcPr>
          <w:p>
            <w:pPr>
              <w:pStyle w:val="TableText"/>
              <w:jc w:val="left"/>
            </w:pPr>
            <m:oMath>
              <m:sSubSup>
                <m:e>
                  <m:r>
                    <w:rPr>
                      <w:rFonts w:ascii="Cambria Math" w:hAnsi="Cambria Math"/>
                      <w:sz w:val="15"/>
                      <w:szCs w:val="15"/>
                    </w:rPr>
                    <m:t>Q</m:t>
                  </m:r>
                </m:e>
                <m:sub>
                  <m:r>
                    <w:rPr>
                      <w:rFonts w:ascii="Cambria Math" w:hAnsi="Cambria Math"/>
                      <w:sz w:val="15"/>
                      <w:szCs w:val="15"/>
                    </w:rPr>
                    <m:t>t</m:t>
                  </m:r>
                </m:sub>
                <m:sup>
                  <m:r>
                    <w:rPr>
                      <w:rFonts w:ascii="Cambria Math" w:hAnsi="Cambria Math"/>
                      <w:sz w:val="15"/>
                      <w:szCs w:val="15"/>
                    </w:rPr>
                    <m:t>T</m:t>
                  </m:r>
                  <m:r>
                    <w:rPr>
                      <w:rFonts w:ascii="Cambria Math" w:hAnsi="Cambria Math"/>
                      <w:sz w:val="15"/>
                      <w:szCs w:val="15"/>
                    </w:rPr>
                    <m:t>D</m:t>
                  </m:r>
                </m:sup>
              </m:sSubSup>
            </m:oMath>
          </w:p>
        </w:tc>
        <w:tc>
          <w:tcPr>
            <w:tcW w:w="3898" w:type="dxa"/>
          </w:tcPr>
          <w:p>
            <w:pPr>
              <w:pStyle w:val="TableText"/>
              <w:jc w:val="left"/>
            </w:pPr>
            <w:r>
              <w:t xml:space="preserve">TES discharging (MW</w:t>
            </w:r>
            <w:r>
              <w:rPr>
                <w:vertAlign w:val="subscript"/>
              </w:rPr>
              <w:t xml:space="preserve">th</w:t>
            </w:r>
            <w:r>
              <w:t xml:space="preserve">)</w:t>
            </w:r>
          </w:p>
        </w:tc>
      </w:tr>
      <w:tr>
        <w:tc>
          <w:tcPr>
            <w:tcW w:w="1020" w:type="dxa"/>
          </w:tcPr>
          <w:p>
            <w:pPr>
              <w:pStyle w:val="TableText"/>
              <w:jc w:val="left"/>
            </w:pPr>
            <m:oMath>
              <m:sSub>
                <m:e>
                  <m:r>
                    <w:rPr>
                      <w:rFonts w:ascii="Cambria Math" w:hAnsi="Cambria Math"/>
                      <w:sz w:val="15"/>
                      <w:szCs w:val="15"/>
                    </w:rPr>
                    <m:t>S</m:t>
                  </m:r>
                </m:e>
                <m:sub>
                  <m:r>
                    <w:rPr>
                      <w:rFonts w:ascii="Cambria Math" w:hAnsi="Cambria Math"/>
                      <w:sz w:val="15"/>
                      <w:szCs w:val="15"/>
                    </w:rPr>
                    <m:t>t</m:t>
                  </m:r>
                </m:sub>
              </m:sSub>
            </m:oMath>
          </w:p>
        </w:tc>
        <w:tc>
          <w:tcPr>
            <w:tcW w:w="3898" w:type="dxa"/>
          </w:tcPr>
          <w:p>
            <w:pPr>
              <w:pStyle w:val="TableText"/>
              <w:jc w:val="left"/>
            </w:pPr>
            <w:r>
              <w:t xml:space="preserve">Cold stored in the TES (MWh</w:t>
            </w:r>
            <w:r>
              <w:rPr>
                <w:vertAlign w:val="subscript"/>
              </w:rPr>
              <w:t xml:space="preserve">th</w:t>
            </w:r>
            <w:r>
              <w:t xml:space="preserve">)</w:t>
            </w:r>
          </w:p>
        </w:tc>
      </w:tr>
      <w:tr>
        <w:tc>
          <w:tcPr>
            <w:tcW w:w="1020" w:type="dxa"/>
          </w:tcPr>
          <w:p>
            <w:pPr>
              <w:pStyle w:val="TableText"/>
              <w:jc w:val="left"/>
            </w:pPr>
            <m:oMath>
              <m:sSubSup>
                <m:e>
                  <m:r>
                    <w:rPr>
                      <w:rFonts w:ascii="Cambria Math" w:hAnsi="Cambria Math"/>
                      <w:sz w:val="15"/>
                      <w:szCs w:val="15"/>
                    </w:rPr>
                    <m:t>P</m:t>
                  </m:r>
                </m:e>
                <m:sub>
                  <m:r>
                    <w:rPr>
                      <w:rFonts w:ascii="Cambria Math" w:hAnsi="Cambria Math"/>
                      <w:sz w:val="15"/>
                      <w:szCs w:val="15"/>
                    </w:rPr>
                    <m:t>t</m:t>
                  </m:r>
                </m:sub>
                <m:sup>
                  <m:r>
                    <w:rPr>
                      <w:rFonts w:ascii="Cambria Math" w:hAnsi="Cambria Math"/>
                      <w:sz w:val="15"/>
                      <w:szCs w:val="15"/>
                    </w:rPr>
                    <m:t>G</m:t>
                  </m:r>
                  <m:r>
                    <w:rPr>
                      <w:rFonts w:ascii="Cambria Math" w:hAnsi="Cambria Math"/>
                      <w:sz w:val="15"/>
                      <w:szCs w:val="15"/>
                    </w:rPr>
                    <m:t>T</m:t>
                  </m:r>
                </m:sup>
              </m:sSubSup>
            </m:oMath>
          </w:p>
        </w:tc>
        <w:tc>
          <w:tcPr>
            <w:tcW w:w="3898" w:type="dxa"/>
          </w:tcPr>
          <w:p>
            <w:pPr>
              <w:pStyle w:val="TableText"/>
              <w:jc w:val="left"/>
            </w:pPr>
            <w:r>
              <w:t xml:space="preserve">Gas-engine output (MW)</w:t>
            </w:r>
          </w:p>
        </w:tc>
      </w:tr>
      <w:tr>
        <w:tc>
          <w:tcPr>
            <w:tcW w:w="1020" w:type="dxa"/>
          </w:tcPr>
          <w:p>
            <w:pPr>
              <w:pStyle w:val="TableText"/>
              <w:jc w:val="left"/>
            </w:pPr>
            <m:oMath>
              <m:sSubSup>
                <m:e>
                  <m:r>
                    <w:rPr>
                      <w:rFonts w:ascii="Cambria Math" w:hAnsi="Cambria Math"/>
                      <w:sz w:val="15"/>
                      <w:szCs w:val="15"/>
                    </w:rPr>
                    <m:t>H</m:t>
                  </m:r>
                </m:e>
                <m:sub>
                  <m:r>
                    <w:rPr>
                      <w:rFonts w:ascii="Cambria Math" w:hAnsi="Cambria Math"/>
                      <w:sz w:val="15"/>
                      <w:szCs w:val="15"/>
                    </w:rPr>
                    <m:t>t</m:t>
                  </m:r>
                </m:sub>
                <m:sup>
                  <m:r>
                    <w:rPr>
                      <w:rFonts w:ascii="Cambria Math" w:hAnsi="Cambria Math"/>
                      <w:sz w:val="15"/>
                      <w:szCs w:val="15"/>
                    </w:rPr>
                    <m:t>A</m:t>
                  </m:r>
                  <m:r>
                    <w:rPr>
                      <w:rFonts w:ascii="Cambria Math" w:hAnsi="Cambria Math"/>
                      <w:sz w:val="15"/>
                      <w:szCs w:val="15"/>
                    </w:rPr>
                    <m:t>C</m:t>
                  </m:r>
                </m:sup>
              </m:sSubSup>
            </m:oMath>
          </w:p>
        </w:tc>
        <w:tc>
          <w:tcPr>
            <w:tcW w:w="3898" w:type="dxa"/>
          </w:tcPr>
          <w:p>
            <w:pPr>
              <w:pStyle w:val="TableText"/>
              <w:jc w:val="left"/>
            </w:pPr>
            <w:r>
              <w:t xml:space="preserve">Heat supplied to the absorption chiller (MW</w:t>
            </w:r>
            <w:r>
              <w:rPr>
                <w:vertAlign w:val="subscript"/>
              </w:rPr>
              <w:t xml:space="preserve">th</w:t>
            </w:r>
            <w:r>
              <w:t xml:space="preserve">)</w:t>
            </w:r>
          </w:p>
        </w:tc>
      </w:tr>
      <w:tr>
        <w:tc>
          <w:tcPr>
            <w:tcW w:w="1020" w:type="dxa"/>
          </w:tcPr>
          <w:p>
            <w:pPr>
              <w:pStyle w:val="TableText"/>
              <w:jc w:val="left"/>
            </w:pPr>
            <m:oMath>
              <m:sSubSup>
                <m:e>
                  <m:r>
                    <w:rPr>
                      <w:rFonts w:ascii="Cambria Math" w:hAnsi="Cambria Math"/>
                      <w:sz w:val="15"/>
                      <w:szCs w:val="15"/>
                    </w:rPr>
                    <m:t>Q</m:t>
                  </m:r>
                </m:e>
                <m:sub>
                  <m:r>
                    <w:rPr>
                      <w:rFonts w:ascii="Cambria Math" w:hAnsi="Cambria Math"/>
                      <w:sz w:val="15"/>
                      <w:szCs w:val="15"/>
                    </w:rPr>
                    <m:t>t</m:t>
                  </m:r>
                </m:sub>
                <m:sup>
                  <m:r>
                    <w:rPr>
                      <w:rFonts w:ascii="Cambria Math" w:hAnsi="Cambria Math"/>
                      <w:sz w:val="15"/>
                      <w:szCs w:val="15"/>
                    </w:rPr>
                    <m:t>E</m:t>
                  </m:r>
                  <m:r>
                    <w:rPr>
                      <w:rFonts w:ascii="Cambria Math" w:hAnsi="Cambria Math"/>
                      <w:sz w:val="15"/>
                      <w:szCs w:val="15"/>
                    </w:rPr>
                    <m:t>C</m:t>
                  </m:r>
                </m:sup>
              </m:sSubSup>
            </m:oMath>
          </w:p>
        </w:tc>
        <w:tc>
          <w:tcPr>
            <w:tcW w:w="3898" w:type="dxa"/>
          </w:tcPr>
          <w:p>
            <w:pPr>
              <w:pStyle w:val="TableText"/>
              <w:jc w:val="left"/>
            </w:pPr>
            <w:r>
              <w:t xml:space="preserve">Electric chiller output (MW</w:t>
            </w:r>
            <w:r>
              <w:rPr>
                <w:vertAlign w:val="subscript"/>
              </w:rPr>
              <w:t xml:space="preserve">th</w:t>
            </w:r>
            <w:r>
              <w:t xml:space="preserve">)</w:t>
            </w:r>
          </w:p>
        </w:tc>
      </w:tr>
      <w:tr>
        <w:tc>
          <w:tcPr>
            <w:tcW w:w="1020" w:type="dxa"/>
          </w:tcPr>
          <w:p>
            <w:pPr>
              <w:pStyle w:val="TableText"/>
              <w:jc w:val="left"/>
            </w:pPr>
            <m:oMath>
              <m:sSubSup>
                <m:e>
                  <m:r>
                    <w:rPr>
                      <w:rFonts w:ascii="Cambria Math" w:hAnsi="Cambria Math"/>
                      <w:sz w:val="15"/>
                      <w:szCs w:val="15"/>
                    </w:rPr>
                    <m:t>P</m:t>
                  </m:r>
                </m:e>
                <m:sub>
                  <m:r>
                    <w:rPr>
                      <w:rFonts w:ascii="Cambria Math" w:hAnsi="Cambria Math"/>
                      <w:sz w:val="15"/>
                      <w:szCs w:val="15"/>
                    </w:rPr>
                    <m:t>t</m:t>
                  </m:r>
                </m:sub>
                <m:sup>
                  <m:r>
                    <w:rPr>
                      <w:rFonts w:ascii="Cambria Math" w:hAnsi="Cambria Math"/>
                      <w:sz w:val="15"/>
                      <w:szCs w:val="15"/>
                    </w:rPr>
                    <m:t>P</m:t>
                  </m:r>
                  <m:r>
                    <w:rPr>
                      <w:rFonts w:ascii="Cambria Math" w:hAnsi="Cambria Math"/>
                      <w:sz w:val="15"/>
                      <w:szCs w:val="15"/>
                    </w:rPr>
                    <m:t>V</m:t>
                  </m:r>
                </m:sup>
              </m:sSubSup>
            </m:oMath>
          </w:p>
        </w:tc>
        <w:tc>
          <w:tcPr>
            <w:tcW w:w="3898" w:type="dxa"/>
          </w:tcPr>
          <w:p>
            <w:pPr>
              <w:pStyle w:val="TableText"/>
              <w:jc w:val="left"/>
            </w:pPr>
            <w:r>
              <w:t xml:space="preserve">PV output (MW)</w:t>
            </w:r>
          </w:p>
        </w:tc>
      </w:tr>
      <w:tr>
        <w:tc>
          <w:tcPr>
            <w:tcW w:w="1020" w:type="dxa"/>
          </w:tcPr>
          <w:p>
            <w:pPr>
              <w:pStyle w:val="TableText"/>
              <w:jc w:val="left"/>
            </w:pPr>
            <m:oMath>
              <m:sSub>
                <m:e>
                  <m:r>
                    <w:rPr>
                      <w:rFonts w:ascii="Cambria Math" w:hAnsi="Cambria Math"/>
                      <w:sz w:val="15"/>
                      <w:szCs w:val="15"/>
                    </w:rPr>
                    <m:t>ψ</m:t>
                  </m:r>
                </m:e>
                <m:sub>
                  <m:r>
                    <w:rPr>
                      <w:rFonts w:ascii="Cambria Math" w:hAnsi="Cambria Math"/>
                      <w:sz w:val="15"/>
                      <w:szCs w:val="15"/>
                    </w:rPr>
                    <m:t>t</m:t>
                  </m:r>
                </m:sub>
              </m:sSub>
            </m:oMath>
          </w:p>
        </w:tc>
        <w:tc>
          <w:tcPr>
            <w:tcW w:w="3898" w:type="dxa"/>
          </w:tcPr>
          <w:p>
            <w:pPr>
              <w:pStyle w:val="TableText"/>
              <w:jc w:val="left"/>
            </w:pPr>
            <w:r>
              <w:t xml:space="preserve">Facility energy per GPU·h of catch-up (MWh)</w:t>
            </w:r>
          </w:p>
        </w:tc>
      </w:tr>
      <w:tr>
        <w:tc>
          <w:tcPr>
            <w:tcW w:w="1020" w:type="dxa"/>
          </w:tcPr>
          <w:p>
            <w:pPr>
              <w:pStyle w:val="TableText"/>
              <w:jc w:val="left"/>
            </w:pPr>
            <m:oMath>
              <m:sSub>
                <m:e>
                  <m:r>
                    <w:rPr>
                      <w:rFonts w:ascii="Cambria Math" w:hAnsi="Cambria Math"/>
                      <w:sz w:val="15"/>
                      <w:szCs w:val="15"/>
                    </w:rPr>
                    <m:t>X</m:t>
                  </m:r>
                </m:e>
                <m:sub>
                  <m:r>
                    <w:rPr>
                      <w:rFonts w:ascii="Cambria Math" w:hAnsi="Cambria Math"/>
                      <w:sz w:val="15"/>
                      <w:szCs w:val="15"/>
                    </w:rPr>
                    <m:t>t</m:t>
                  </m:r>
                </m:sub>
              </m:sSub>
            </m:oMath>
          </w:p>
        </w:tc>
        <w:tc>
          <w:tcPr>
            <w:tcW w:w="3898" w:type="dxa"/>
          </w:tcPr>
          <w:p>
            <w:pPr>
              <w:pStyle w:val="TableText"/>
              <w:jc w:val="left"/>
            </w:pPr>
            <w:r>
              <w:t xml:space="preserve">Computing debt (MWh)</w:t>
            </w:r>
          </w:p>
        </w:tc>
      </w:tr>
      <w:tr>
        <w:tc>
          <w:tcPr>
            <w:tcW w:w="1020" w:type="dxa"/>
          </w:tcPr>
          <w:p>
            <w:pPr>
              <w:pStyle w:val="TableText"/>
              <w:jc w:val="left"/>
            </w:pPr>
            <m:oMath>
              <m:sSub>
                <m:e>
                  <m:r>
                    <m:rPr>
                      <m:sty m:val="b"/>
                    </m:rPr>
                    <w:rPr>
                      <w:rFonts w:ascii="Cambria Math" w:hAnsi="Cambria Math"/>
                      <w:sz w:val="15"/>
                      <w:szCs w:val="15"/>
                    </w:rPr>
                    <m:t>x</m:t>
                  </m:r>
                </m:e>
                <m:sub>
                  <m:sSub>
                    <m:e>
                      <m:r>
                        <w:rPr>
                          <w:rFonts w:ascii="Cambria Math" w:hAnsi="Cambria Math"/>
                          <w:sz w:val="15"/>
                          <w:szCs w:val="15"/>
                        </w:rPr>
                        <m:t>e</m:t>
                      </m:r>
                    </m:e>
                    <m:sub>
                      <m:r>
                        <w:rPr>
                          <w:rFonts w:ascii="Cambria Math" w:hAnsi="Cambria Math"/>
                          <w:sz w:val="15"/>
                          <w:szCs w:val="15"/>
                        </w:rPr>
                        <m:t>k</m:t>
                      </m:r>
                    </m:sub>
                  </m:sSub>
                </m:sub>
              </m:sSub>
            </m:oMath>
          </w:p>
        </w:tc>
        <w:tc>
          <w:tcPr>
            <w:tcW w:w="3898" w:type="dxa"/>
          </w:tcPr>
          <w:p>
            <w:pPr>
              <w:pStyle w:val="TableText"/>
              <w:jc w:val="left"/>
            </w:pPr>
            <w:r>
              <w:t xml:space="preserve">Recovery state at the end of event</w:t>
            </w:r>
            <w:r>
              <w:t xml:space="preserve"> </w:t>
            </w:r>
            <m:oMath>
              <m:r>
                <w:rPr>
                  <w:rFonts w:ascii="Cambria Math" w:hAnsi="Cambria Math"/>
                  <w:sz w:val="15"/>
                  <w:szCs w:val="15"/>
                </w:rPr>
                <m:t>k</m:t>
              </m:r>
            </m:oMath>
          </w:p>
        </w:tc>
      </w:tr>
      <w:tr>
        <w:tc>
          <w:tcPr>
            <w:tcW w:w="1020" w:type="dxa"/>
          </w:tcPr>
          <w:p>
            <w:pPr>
              <w:pStyle w:val="TableText"/>
              <w:jc w:val="left"/>
            </w:pPr>
            <m:oMath>
              <m:sSub>
                <m:e>
                  <m:r>
                    <w:rPr>
                      <w:rFonts w:ascii="Cambria Math" w:hAnsi="Cambria Math"/>
                      <w:sz w:val="15"/>
                      <w:szCs w:val="15"/>
                    </w:rPr>
                    <m:t>H</m:t>
                  </m:r>
                </m:e>
                <m:sub>
                  <m:r>
                    <w:rPr>
                      <w:rFonts w:ascii="Cambria Math" w:hAnsi="Cambria Math"/>
                      <w:sz w:val="15"/>
                      <w:szCs w:val="15"/>
                    </w:rPr>
                    <m:t>k</m:t>
                  </m:r>
                </m:sub>
              </m:sSub>
            </m:oMath>
          </w:p>
        </w:tc>
        <w:tc>
          <w:tcPr>
            <w:tcW w:w="3898" w:type="dxa"/>
          </w:tcPr>
          <w:p>
            <w:pPr>
              <w:pStyle w:val="TableText"/>
              <w:jc w:val="left"/>
            </w:pPr>
            <w:r>
              <w:t xml:space="preserve">Nominal recovery channel between events</w:t>
            </w:r>
            <w:r>
              <w:t xml:space="preserve"> </w:t>
            </w:r>
            <m:oMath>
              <m:r>
                <w:rPr>
                  <w:rFonts w:ascii="Cambria Math" w:hAnsi="Cambria Math"/>
                  <w:sz w:val="15"/>
                  <w:szCs w:val="15"/>
                </w:rPr>
                <m:t>k</m:t>
              </m:r>
            </m:oMath>
            <w:r>
              <w:t xml:space="preserve"> </w:t>
            </w:r>
            <w:r>
              <w:t xml:space="preserve">and</w:t>
            </w:r>
            <w:r>
              <w:t xml:space="preserve"> </w:t>
            </w:r>
            <m:oMath>
              <m:r>
                <w:rPr>
                  <w:rFonts w:ascii="Cambria Math" w:hAnsi="Cambria Math"/>
                  <w:sz w:val="15"/>
                  <w:szCs w:val="15"/>
                </w:rPr>
                <m:t>k</m:t>
              </m:r>
              <m:r>
                <m:rPr>
                  <m:sty m:val="p"/>
                </m:rPr>
                <w:rPr>
                  <w:rFonts w:ascii="Cambria Math" w:hAnsi="Cambria Math"/>
                  <w:sz w:val="15"/>
                  <w:szCs w:val="15"/>
                </w:rPr>
                <m:t>+</m:t>
              </m:r>
              <m:r>
                <w:rPr>
                  <w:rFonts w:ascii="Cambria Math" w:hAnsi="Cambria Math"/>
                  <w:sz w:val="15"/>
                  <w:szCs w:val="15"/>
                </w:rPr>
                <m:t>1</m:t>
              </m:r>
            </m:oMath>
            <w:r>
              <w:t xml:space="preserve"> </w:t>
            </w:r>
            <w:r>
              <w:t xml:space="preserve">(MWh)</w:t>
            </w:r>
          </w:p>
        </w:tc>
      </w:tr>
      <w:tr>
        <w:tc>
          <w:tcPr>
            <w:tcW w:w="1020" w:type="dxa"/>
          </w:tcPr>
          <w:p>
            <w:pPr>
              <w:pStyle w:val="TableText"/>
              <w:jc w:val="left"/>
            </w:pPr>
            <m:oMath>
              <m:sSubSup>
                <m:e>
                  <m:r>
                    <w:rPr>
                      <w:rFonts w:ascii="Cambria Math" w:hAnsi="Cambria Math"/>
                      <w:sz w:val="15"/>
                      <w:szCs w:val="15"/>
                    </w:rPr>
                    <m:t>H</m:t>
                  </m:r>
                </m:e>
                <m:sub>
                  <m:r>
                    <w:rPr>
                      <w:rFonts w:ascii="Cambria Math" w:hAnsi="Cambria Math"/>
                      <w:sz w:val="15"/>
                      <w:szCs w:val="15"/>
                    </w:rPr>
                    <m:t>k</m:t>
                  </m:r>
                </m:sub>
                <m:sup>
                  <m:r>
                    <w:rPr>
                      <w:rFonts w:ascii="Cambria Math" w:hAnsi="Cambria Math"/>
                      <w:sz w:val="15"/>
                      <w:szCs w:val="15"/>
                    </w:rPr>
                    <m:t>a</m:t>
                  </m:r>
                  <m:r>
                    <w:rPr>
                      <w:rFonts w:ascii="Cambria Math" w:hAnsi="Cambria Math"/>
                      <w:sz w:val="15"/>
                      <w:szCs w:val="15"/>
                    </w:rPr>
                    <m:t>c</m:t>
                  </m:r>
                  <m:r>
                    <w:rPr>
                      <w:rFonts w:ascii="Cambria Math" w:hAnsi="Cambria Math"/>
                      <w:sz w:val="15"/>
                      <w:szCs w:val="15"/>
                    </w:rPr>
                    <m:t>t</m:t>
                  </m:r>
                </m:sup>
              </m:sSubSup>
            </m:oMath>
          </w:p>
        </w:tc>
        <w:tc>
          <w:tcPr>
            <w:tcW w:w="3898" w:type="dxa"/>
          </w:tcPr>
          <w:p>
            <w:pPr>
              <w:pStyle w:val="TableText"/>
              <w:jc w:val="left"/>
            </w:pPr>
            <w:r>
              <w:t xml:space="preserve">Actual, state-dependent recovery channel (MWh)</w:t>
            </w:r>
          </w:p>
        </w:tc>
      </w:tr>
      <w:tr>
        <w:tc>
          <w:tcPr>
            <w:tcW w:w="1020" w:type="dxa"/>
          </w:tcPr>
          <w:p>
            <w:pPr>
              <w:pStyle w:val="TableText"/>
              <w:jc w:val="left"/>
            </w:pPr>
            <m:oMath>
              <m:sSubSup>
                <m:e>
                  <m:r>
                    <w:rPr>
                      <w:rFonts w:ascii="Cambria Math" w:hAnsi="Cambria Math"/>
                      <w:sz w:val="15"/>
                      <w:szCs w:val="15"/>
                    </w:rPr>
                    <m:t>D</m:t>
                  </m:r>
                </m:e>
                <m:sub>
                  <m:r>
                    <w:rPr>
                      <w:rFonts w:ascii="Cambria Math" w:hAnsi="Cambria Math"/>
                      <w:sz w:val="15"/>
                      <w:szCs w:val="15"/>
                    </w:rPr>
                    <m:t>t</m:t>
                  </m:r>
                </m:sub>
                <m:sup>
                  <m:r>
                    <w:rPr>
                      <w:rFonts w:ascii="Cambria Math" w:hAnsi="Cambria Math"/>
                      <w:sz w:val="15"/>
                      <w:szCs w:val="15"/>
                    </w:rPr>
                    <m:t>E</m:t>
                  </m:r>
                </m:sup>
              </m:sSubSup>
            </m:oMath>
            <w:r>
              <w:t xml:space="preserve">,</w:t>
            </w:r>
            <w:r>
              <w:t xml:space="preserve"> </w:t>
            </w:r>
            <m:oMath>
              <m:sSubSup>
                <m:e>
                  <m:r>
                    <w:rPr>
                      <w:rFonts w:ascii="Cambria Math" w:hAnsi="Cambria Math"/>
                      <w:sz w:val="15"/>
                      <w:szCs w:val="15"/>
                    </w:rPr>
                    <m:t>D</m:t>
                  </m:r>
                </m:e>
                <m:sub>
                  <m:r>
                    <w:rPr>
                      <w:rFonts w:ascii="Cambria Math" w:hAnsi="Cambria Math"/>
                      <w:sz w:val="15"/>
                      <w:szCs w:val="15"/>
                    </w:rPr>
                    <m:t>t</m:t>
                  </m:r>
                </m:sub>
                <m:sup>
                  <m:r>
                    <w:rPr>
                      <w:rFonts w:ascii="Cambria Math" w:hAnsi="Cambria Math"/>
                      <w:sz w:val="15"/>
                      <w:szCs w:val="15"/>
                    </w:rPr>
                    <m:t>S</m:t>
                  </m:r>
                </m:sup>
              </m:sSubSup>
            </m:oMath>
          </w:p>
        </w:tc>
        <w:tc>
          <w:tcPr>
            <w:tcW w:w="3898" w:type="dxa"/>
          </w:tcPr>
          <w:p>
            <w:pPr>
              <w:pStyle w:val="TableText"/>
              <w:jc w:val="left"/>
            </w:pPr>
            <w:r>
              <w:t xml:space="preserve">Storage debts of the BESS (MWh) and the TES (MWh</w:t>
            </w:r>
            <w:r>
              <w:rPr>
                <w:vertAlign w:val="subscript"/>
              </w:rPr>
              <w:t xml:space="preserve">th</w:t>
            </w:r>
            <w:r>
              <w:t xml:space="preserve">)</w:t>
            </w:r>
          </w:p>
        </w:tc>
      </w:tr>
      <w:tr>
        <w:tc>
          <w:tcPr>
            <w:tcW w:w="1020" w:type="dxa"/>
          </w:tcPr>
          <w:p>
            <w:pPr>
              <w:pStyle w:val="TableText"/>
              <w:jc w:val="left"/>
            </w:pPr>
            <m:oMath>
              <m:r>
                <m:rPr>
                  <m:sty m:val="p"/>
                </m:rPr>
                <w:rPr>
                  <w:rFonts w:ascii="Cambria Math" w:hAnsi="Cambria Math"/>
                  <w:sz w:val="15"/>
                  <w:szCs w:val="15"/>
                </w:rPr>
                <m:t>P</m:t>
              </m:r>
              <m:r>
                <m:rPr>
                  <m:sty m:val="p"/>
                </m:rPr>
                <w:rPr>
                  <w:rFonts w:ascii="Cambria Math" w:hAnsi="Cambria Math"/>
                  <w:sz w:val="15"/>
                  <w:szCs w:val="15"/>
                </w:rPr>
                <m:t>U</m:t>
              </m:r>
              <m:r>
                <m:rPr>
                  <m:sty m:val="p"/>
                </m:rPr>
                <w:rPr>
                  <w:rFonts w:ascii="Cambria Math" w:hAnsi="Cambria Math"/>
                  <w:sz w:val="15"/>
                  <w:szCs w:val="15"/>
                </w:rPr>
                <m:t>E</m:t>
              </m:r>
              <m:d>
                <m:dPr>
                  <m:begChr m:val="("/>
                  <m:sepChr m:val=""/>
                  <m:endChr m:val=")"/>
                  <m:grow/>
                </m:dPr>
                <m:e>
                  <m:r>
                    <m:rPr>
                      <m:scr m:val="script"/>
                      <m:sty m:val="p"/>
                    </m:rPr>
                    <w:rPr>
                      <w:rFonts w:ascii="Cambria Math" w:hAnsi="Cambria Math"/>
                      <w:sz w:val="15"/>
                      <w:szCs w:val="15"/>
                    </w:rPr>
                    <m:t>T</m:t>
                  </m:r>
                  <m:r>
                    <m:rPr>
                      <m:sty m:val="p"/>
                    </m:rPr>
                    <w:rPr>
                      <w:rFonts w:ascii="Cambria Math" w:hAnsi="Cambria Math"/>
                      <w:sz w:val="15"/>
                      <w:szCs w:val="15"/>
                    </w:rPr>
                    <m:t>′</m:t>
                  </m:r>
                </m:e>
              </m:d>
            </m:oMath>
          </w:p>
        </w:tc>
        <w:tc>
          <w:tcPr>
            <w:tcW w:w="3898" w:type="dxa"/>
          </w:tcPr>
          <w:p>
            <w:pPr>
              <w:pStyle w:val="TableText"/>
              <w:jc w:val="left"/>
            </w:pPr>
            <w:r>
              <w:t xml:space="preserve">Electric power usage effectiveness over the period</w:t>
            </w:r>
            <w:r>
              <w:t xml:space="preserve"> </w:t>
            </w:r>
            <m:oMath>
              <m:r>
                <m:rPr>
                  <m:scr m:val="script"/>
                  <m:sty m:val="p"/>
                </m:rPr>
                <w:rPr>
                  <w:rFonts w:ascii="Cambria Math" w:hAnsi="Cambria Math"/>
                  <w:sz w:val="15"/>
                  <w:szCs w:val="15"/>
                </w:rPr>
                <m:t>T</m:t>
              </m:r>
              <m:r>
                <m:rPr>
                  <m:sty m:val="p"/>
                </m:rPr>
                <w:rPr>
                  <w:rFonts w:ascii="Cambria Math" w:hAnsi="Cambria Math"/>
                  <w:sz w:val="15"/>
                  <w:szCs w:val="15"/>
                </w:rPr>
                <m:t>′</m:t>
              </m:r>
            </m:oMath>
          </w:p>
        </w:tc>
      </w:tr>
      <w:tr>
        <w:tc>
          <w:tcPr>
            <w:tcW w:w="1020" w:type="dxa"/>
          </w:tcPr>
          <w:p>
            <w:pPr>
              <w:pStyle w:val="TableText"/>
              <w:jc w:val="left"/>
            </w:pPr>
            <m:oMath>
              <m:sSub>
                <m:e>
                  <m:acc>
                    <m:accPr>
                      <m:chr m:val="‾"/>
                    </m:accPr>
                    <m:e>
                      <m:r>
                        <w:rPr>
                          <w:rFonts w:ascii="Cambria Math" w:hAnsi="Cambria Math"/>
                          <w:sz w:val="15"/>
                          <w:szCs w:val="15"/>
                        </w:rPr>
                        <m:t>r</m:t>
                      </m:r>
                    </m:e>
                  </m:acc>
                </m:e>
                <m:sub>
                  <m:r>
                    <w:rPr>
                      <w:rFonts w:ascii="Cambria Math" w:hAnsi="Cambria Math"/>
                      <w:sz w:val="15"/>
                      <w:szCs w:val="15"/>
                    </w:rPr>
                    <m:t>k</m:t>
                  </m:r>
                </m:sub>
              </m:sSub>
            </m:oMath>
          </w:p>
        </w:tc>
        <w:tc>
          <w:tcPr>
            <w:tcW w:w="3898" w:type="dxa"/>
          </w:tcPr>
          <w:p>
            <w:pPr>
              <w:pStyle w:val="TableText"/>
              <w:jc w:val="left"/>
            </w:pPr>
            <w:r>
              <w:t xml:space="preserve">Average reduction of event</w:t>
            </w:r>
            <w:r>
              <w:t xml:space="preserve"> </w:t>
            </w:r>
            <m:oMath>
              <m:r>
                <w:rPr>
                  <w:rFonts w:ascii="Cambria Math" w:hAnsi="Cambria Math"/>
                  <w:sz w:val="15"/>
                  <w:szCs w:val="15"/>
                </w:rPr>
                <m:t>k</m:t>
              </m:r>
            </m:oMath>
            <w:r>
              <w:t xml:space="preserve"> </w:t>
            </w:r>
            <w:r>
              <w:t xml:space="preserve">against the baseline (MW)</w:t>
            </w:r>
          </w:p>
        </w:tc>
      </w:tr>
      <w:tr>
        <w:tc>
          <w:tcPr>
            <w:tcW w:w="1020" w:type="dxa"/>
          </w:tcPr>
          <w:p>
            <w:pPr>
              <w:pStyle w:val="TableText"/>
              <w:jc w:val="left"/>
            </w:pPr>
            <m:oMath>
              <m:sSub>
                <m:e>
                  <m:r>
                    <w:rPr>
                      <w:rFonts w:ascii="Cambria Math" w:hAnsi="Cambria Math"/>
                      <w:sz w:val="15"/>
                      <w:szCs w:val="15"/>
                    </w:rPr>
                    <m:t>z</m:t>
                  </m:r>
                </m:e>
                <m:sub>
                  <m:r>
                    <w:rPr>
                      <w:rFonts w:ascii="Cambria Math" w:hAnsi="Cambria Math"/>
                      <w:sz w:val="15"/>
                      <w:szCs w:val="15"/>
                    </w:rPr>
                    <m:t>k</m:t>
                  </m:r>
                </m:sub>
              </m:sSub>
            </m:oMath>
          </w:p>
        </w:tc>
        <w:tc>
          <w:tcPr>
            <w:tcW w:w="3898" w:type="dxa"/>
          </w:tcPr>
          <w:p>
            <w:pPr>
              <w:pStyle w:val="TableText"/>
              <w:jc w:val="left"/>
            </w:pPr>
            <w:r>
              <w:t xml:space="preserve">Validity indicator of event</w:t>
            </w:r>
            <w:r>
              <w:t xml:space="preserve"> </w:t>
            </w:r>
            <m:oMath>
              <m:r>
                <w:rPr>
                  <w:rFonts w:ascii="Cambria Math" w:hAnsi="Cambria Math"/>
                  <w:sz w:val="15"/>
                  <w:szCs w:val="15"/>
                </w:rPr>
                <m:t>k</m:t>
              </m:r>
            </m:oMath>
          </w:p>
        </w:tc>
      </w:tr>
      <w:tr>
        <w:tc>
          <w:tcPr>
            <w:tcW w:w="1020" w:type="dxa"/>
          </w:tcPr>
          <w:p>
            <w:pPr>
              <w:pStyle w:val="TableText"/>
              <w:jc w:val="left"/>
            </w:pPr>
            <m:oMath>
              <m:sSub>
                <m:e>
                  <m:r>
                    <w:rPr>
                      <w:rFonts w:ascii="Cambria Math" w:hAnsi="Cambria Math"/>
                      <w:sz w:val="15"/>
                      <w:szCs w:val="15"/>
                    </w:rPr>
                    <m:t>R</m:t>
                  </m:r>
                </m:e>
                <m:sub>
                  <m:r>
                    <w:rPr>
                      <w:rFonts w:ascii="Cambria Math" w:hAnsi="Cambria Math"/>
                      <w:sz w:val="15"/>
                      <w:szCs w:val="15"/>
                    </w:rPr>
                    <m:t>k</m:t>
                  </m:r>
                </m:sub>
              </m:sSub>
            </m:oMath>
          </w:p>
        </w:tc>
        <w:tc>
          <w:tcPr>
            <w:tcW w:w="3898" w:type="dxa"/>
          </w:tcPr>
          <w:p>
            <w:pPr>
              <w:pStyle w:val="TableText"/>
              <w:jc w:val="left"/>
            </w:pPr>
            <w:r>
              <w:t xml:space="preserve">Paid reduction of event</w:t>
            </w:r>
            <w:r>
              <w:t xml:space="preserve"> </w:t>
            </w:r>
            <m:oMath>
              <m:r>
                <w:rPr>
                  <w:rFonts w:ascii="Cambria Math" w:hAnsi="Cambria Math"/>
                  <w:sz w:val="15"/>
                  <w:szCs w:val="15"/>
                </w:rPr>
                <m:t>k</m:t>
              </m:r>
            </m:oMath>
            <w:r>
              <w:t xml:space="preserve"> </w:t>
            </w:r>
            <w:r>
              <w:t xml:space="preserve">(MW)</w:t>
            </w:r>
          </w:p>
        </w:tc>
      </w:tr>
      <w:tr>
        <w:tc>
          <w:tcPr>
            <w:tcW w:w="1020" w:type="dxa"/>
          </w:tcPr>
          <w:p>
            <w:pPr>
              <w:pStyle w:val="TableText"/>
              <w:jc w:val="left"/>
            </w:pPr>
            <m:oMath>
              <m:sSubSup>
                <m:e>
                  <m:r>
                    <w:rPr>
                      <w:rFonts w:ascii="Cambria Math" w:hAnsi="Cambria Math"/>
                      <w:sz w:val="15"/>
                      <w:szCs w:val="15"/>
                    </w:rPr>
                    <m:t>s</m:t>
                  </m:r>
                </m:e>
                <m:sub>
                  <m:r>
                    <w:rPr>
                      <w:rFonts w:ascii="Cambria Math" w:hAnsi="Cambria Math"/>
                      <w:sz w:val="15"/>
                      <w:szCs w:val="15"/>
                    </w:rPr>
                    <m:t>k</m:t>
                  </m:r>
                </m:sub>
                <m:sup>
                  <m:r>
                    <w:rPr>
                      <w:rFonts w:ascii="Cambria Math" w:hAnsi="Cambria Math"/>
                      <w:sz w:val="15"/>
                      <w:szCs w:val="15"/>
                    </w:rPr>
                    <m:t>f</m:t>
                  </m:r>
                </m:sup>
              </m:sSubSup>
            </m:oMath>
          </w:p>
        </w:tc>
        <w:tc>
          <w:tcPr>
            <w:tcW w:w="3898" w:type="dxa"/>
          </w:tcPr>
          <w:p>
            <w:pPr>
              <w:pStyle w:val="TableText"/>
              <w:jc w:val="left"/>
            </w:pPr>
            <w:r>
              <w:t xml:space="preserve">Shortfall of event</w:t>
            </w:r>
            <w:r>
              <w:t xml:space="preserve"> </w:t>
            </w:r>
            <m:oMath>
              <m:r>
                <w:rPr>
                  <w:rFonts w:ascii="Cambria Math" w:hAnsi="Cambria Math"/>
                  <w:sz w:val="15"/>
                  <w:szCs w:val="15"/>
                </w:rPr>
                <m:t>k</m:t>
              </m:r>
            </m:oMath>
            <w:r>
              <w:t xml:space="preserve"> </w:t>
            </w:r>
            <w:r>
              <w:t xml:space="preserve">(MW)</w:t>
            </w:r>
          </w:p>
        </w:tc>
      </w:tr>
      <w:tr>
        <w:tc>
          <w:tcPr>
            <w:tcW w:w="1020" w:type="dxa"/>
          </w:tcPr>
          <w:p>
            <w:pPr>
              <w:pStyle w:val="TableText"/>
              <w:jc w:val="left"/>
            </w:pPr>
            <m:oMath>
              <m:r>
                <w:rPr>
                  <w:rFonts w:ascii="Cambria Math" w:hAnsi="Cambria Math"/>
                  <w:sz w:val="15"/>
                  <w:szCs w:val="15"/>
                </w:rPr>
                <m:t>Δ</m:t>
              </m:r>
              <m:sSubSup>
                <m:e>
                  <m:r>
                    <w:rPr>
                      <w:rFonts w:ascii="Cambria Math" w:hAnsi="Cambria Math"/>
                      <w:sz w:val="15"/>
                      <w:szCs w:val="15"/>
                    </w:rPr>
                    <m:t>P</m:t>
                  </m:r>
                </m:e>
                <m:sub>
                  <m:r>
                    <w:rPr>
                      <w:rFonts w:ascii="Cambria Math" w:hAnsi="Cambria Math"/>
                      <w:sz w:val="15"/>
                      <w:szCs w:val="15"/>
                    </w:rPr>
                    <m:t>k</m:t>
                  </m:r>
                </m:sub>
                <m:sup>
                  <m:r>
                    <w:rPr>
                      <w:rFonts w:ascii="Cambria Math" w:hAnsi="Cambria Math"/>
                      <w:sz w:val="15"/>
                      <w:szCs w:val="15"/>
                    </w:rPr>
                    <m:t>r</m:t>
                  </m:r>
                  <m:r>
                    <w:rPr>
                      <w:rFonts w:ascii="Cambria Math" w:hAnsi="Cambria Math"/>
                      <w:sz w:val="15"/>
                      <w:szCs w:val="15"/>
                    </w:rPr>
                    <m:t>b</m:t>
                  </m:r>
                </m:sup>
              </m:sSubSup>
            </m:oMath>
          </w:p>
        </w:tc>
        <w:tc>
          <w:tcPr>
            <w:tcW w:w="3898" w:type="dxa"/>
          </w:tcPr>
          <w:p>
            <w:pPr>
              <w:pStyle w:val="TableText"/>
              <w:jc w:val="left"/>
            </w:pPr>
            <w:r>
              <w:t xml:space="preserve">Peak post-event rebound of event</w:t>
            </w:r>
            <w:r>
              <w:t xml:space="preserve"> </w:t>
            </w:r>
            <m:oMath>
              <m:r>
                <w:rPr>
                  <w:rFonts w:ascii="Cambria Math" w:hAnsi="Cambria Math"/>
                  <w:sz w:val="15"/>
                  <w:szCs w:val="15"/>
                </w:rPr>
                <m:t>k</m:t>
              </m:r>
            </m:oMath>
            <w:r>
              <w:t xml:space="preserve"> </w:t>
            </w:r>
            <w:r>
              <w:t xml:space="preserve">(MW)</w:t>
            </w:r>
          </w:p>
        </w:tc>
      </w:tr>
      <w:tr>
        <w:tc>
          <w:tcPr>
            <w:tcW w:w="1020" w:type="dxa"/>
          </w:tcPr>
          <w:p>
            <w:pPr>
              <w:pStyle w:val="TableText"/>
              <w:jc w:val="left"/>
            </w:pPr>
            <m:oMath>
              <m:r>
                <w:rPr>
                  <w:rFonts w:ascii="Cambria Math" w:hAnsi="Cambria Math"/>
                  <w:sz w:val="15"/>
                  <w:szCs w:val="15"/>
                </w:rPr>
                <m:t>J</m:t>
              </m:r>
            </m:oMath>
          </w:p>
        </w:tc>
        <w:tc>
          <w:tcPr>
            <w:tcW w:w="3898" w:type="dxa"/>
          </w:tcPr>
          <w:p>
            <w:pPr>
              <w:pStyle w:val="TableText"/>
              <w:jc w:val="left"/>
            </w:pPr>
            <w:r>
              <w:t xml:space="preserve">Comprehensive cost of the DR day (CNY)</w:t>
            </w:r>
          </w:p>
        </w:tc>
      </w:tr>
      <w:tr>
        <w:tc>
          <w:tcPr>
            <w:tcW w:w="1020" w:type="dxa"/>
          </w:tcPr>
          <w:p>
            <w:pPr>
              <w:pStyle w:val="TableText"/>
              <w:jc w:val="left"/>
            </w:pPr>
            <m:oMath>
              <m:sSup>
                <m:e>
                  <m:r>
                    <w:rPr>
                      <w:rFonts w:ascii="Cambria Math" w:hAnsi="Cambria Math"/>
                      <w:sz w:val="15"/>
                      <w:szCs w:val="15"/>
                    </w:rPr>
                    <m:t>J</m:t>
                  </m:r>
                </m:e>
                <m:sup>
                  <m:r>
                    <w:rPr>
                      <w:rFonts w:ascii="Cambria Math" w:hAnsi="Cambria Math"/>
                      <w:sz w:val="15"/>
                      <w:szCs w:val="15"/>
                    </w:rPr>
                    <m:t>o</m:t>
                  </m:r>
                  <m:r>
                    <w:rPr>
                      <w:rFonts w:ascii="Cambria Math" w:hAnsi="Cambria Math"/>
                      <w:sz w:val="15"/>
                      <w:szCs w:val="15"/>
                    </w:rPr>
                    <m:t>p</m:t>
                  </m:r>
                </m:sup>
              </m:sSup>
            </m:oMath>
          </w:p>
        </w:tc>
        <w:tc>
          <w:tcPr>
            <w:tcW w:w="3898" w:type="dxa"/>
          </w:tcPr>
          <w:p>
            <w:pPr>
              <w:pStyle w:val="TableText"/>
              <w:jc w:val="left"/>
            </w:pPr>
            <w:r>
              <w:t xml:space="preserve">Operating cost of electricity, gas and storage degradation (CNY)</w:t>
            </w:r>
          </w:p>
        </w:tc>
      </w:tr>
      <w:tr>
        <w:tc>
          <w:tcPr>
            <w:tcW w:w="1020" w:type="dxa"/>
          </w:tcPr>
          <w:p>
            <w:pPr>
              <w:pStyle w:val="TableText"/>
              <w:jc w:val="left"/>
            </w:pPr>
            <m:oMath>
              <m:sSup>
                <m:e>
                  <m:r>
                    <w:rPr>
                      <w:rFonts w:ascii="Cambria Math" w:hAnsi="Cambria Math"/>
                      <w:sz w:val="15"/>
                      <w:szCs w:val="15"/>
                    </w:rPr>
                    <m:t>J</m:t>
                  </m:r>
                </m:e>
                <m:sup>
                  <m:r>
                    <w:rPr>
                      <w:rFonts w:ascii="Cambria Math" w:hAnsi="Cambria Math"/>
                      <w:sz w:val="15"/>
                      <w:szCs w:val="15"/>
                    </w:rPr>
                    <m:t>q</m:t>
                  </m:r>
                  <m:r>
                    <w:rPr>
                      <w:rFonts w:ascii="Cambria Math" w:hAnsi="Cambria Math"/>
                      <w:sz w:val="15"/>
                      <w:szCs w:val="15"/>
                    </w:rPr>
                    <m:t>o</m:t>
                  </m:r>
                  <m:r>
                    <w:rPr>
                      <w:rFonts w:ascii="Cambria Math" w:hAnsi="Cambria Math"/>
                      <w:sz w:val="15"/>
                      <w:szCs w:val="15"/>
                    </w:rPr>
                    <m:t>s</m:t>
                  </m:r>
                </m:sup>
              </m:sSup>
            </m:oMath>
          </w:p>
        </w:tc>
        <w:tc>
          <w:tcPr>
            <w:tcW w:w="3898" w:type="dxa"/>
          </w:tcPr>
          <w:p>
            <w:pPr>
              <w:pStyle w:val="TableText"/>
              <w:jc w:val="left"/>
            </w:pPr>
            <w:r>
              <w:t xml:space="preserve">Service-quality cost of delayed and overdue work (CNY)</w:t>
            </w:r>
          </w:p>
        </w:tc>
      </w:tr>
      <w:tr>
        <w:tc>
          <w:tcPr>
            <w:tcW w:w="1020" w:type="dxa"/>
          </w:tcPr>
          <w:p>
            <w:pPr>
              <w:pStyle w:val="TableText"/>
              <w:jc w:val="left"/>
            </w:pPr>
            <m:oMath>
              <m:sSup>
                <m:e>
                  <m:r>
                    <w:rPr>
                      <w:rFonts w:ascii="Cambria Math" w:hAnsi="Cambria Math"/>
                      <w:sz w:val="15"/>
                      <w:szCs w:val="15"/>
                    </w:rPr>
                    <m:t>J</m:t>
                  </m:r>
                </m:e>
                <m:sup>
                  <m:r>
                    <w:rPr>
                      <w:rFonts w:ascii="Cambria Math" w:hAnsi="Cambria Math"/>
                      <w:sz w:val="15"/>
                      <w:szCs w:val="15"/>
                    </w:rPr>
                    <m:t>D</m:t>
                  </m:r>
                  <m:r>
                    <w:rPr>
                      <w:rFonts w:ascii="Cambria Math" w:hAnsi="Cambria Math"/>
                      <w:sz w:val="15"/>
                      <w:szCs w:val="15"/>
                    </w:rPr>
                    <m:t>R</m:t>
                  </m:r>
                </m:sup>
              </m:sSup>
            </m:oMath>
          </w:p>
        </w:tc>
        <w:tc>
          <w:tcPr>
            <w:tcW w:w="3898" w:type="dxa"/>
          </w:tcPr>
          <w:p>
            <w:pPr>
              <w:pStyle w:val="TableText"/>
              <w:jc w:val="left"/>
            </w:pPr>
            <w:r>
              <w:t xml:space="preserve">DR revenue (CNY)</w:t>
            </w:r>
          </w:p>
        </w:tc>
      </w:tr>
      <w:tr>
        <w:tc>
          <w:tcPr>
            <w:tcW w:w="1020" w:type="dxa"/>
          </w:tcPr>
          <w:p>
            <w:pPr>
              <w:pStyle w:val="TableText"/>
              <w:jc w:val="left"/>
            </w:pPr>
            <m:oMath>
              <m:sSup>
                <m:e>
                  <m:r>
                    <w:rPr>
                      <w:rFonts w:ascii="Cambria Math" w:hAnsi="Cambria Math"/>
                      <w:sz w:val="15"/>
                      <w:szCs w:val="15"/>
                    </w:rPr>
                    <m:t>J</m:t>
                  </m:r>
                </m:e>
                <m:sup>
                  <m:r>
                    <w:rPr>
                      <w:rFonts w:ascii="Cambria Math" w:hAnsi="Cambria Math"/>
                      <w:sz w:val="15"/>
                      <w:szCs w:val="15"/>
                    </w:rPr>
                    <m:t>s</m:t>
                  </m:r>
                  <m:r>
                    <w:rPr>
                      <w:rFonts w:ascii="Cambria Math" w:hAnsi="Cambria Math"/>
                      <w:sz w:val="15"/>
                      <w:szCs w:val="15"/>
                    </w:rPr>
                    <m:t>f</m:t>
                  </m:r>
                </m:sup>
              </m:sSup>
            </m:oMath>
          </w:p>
        </w:tc>
        <w:tc>
          <w:tcPr>
            <w:tcW w:w="3898" w:type="dxa"/>
          </w:tcPr>
          <w:p>
            <w:pPr>
              <w:pStyle w:val="TableText"/>
              <w:jc w:val="left"/>
            </w:pPr>
            <w:r>
              <w:t xml:space="preserve">Shortfall assessment (CNY)</w:t>
            </w:r>
          </w:p>
        </w:tc>
      </w:tr>
      <w:tr>
        <w:tc>
          <w:tcPr>
            <w:tcW w:w="1020" w:type="dxa"/>
          </w:tcPr>
          <w:p>
            <w:pPr>
              <w:pStyle w:val="TableText"/>
              <w:jc w:val="left"/>
            </w:pPr>
            <m:oMath>
              <m:sSup>
                <m:e>
                  <m:r>
                    <w:rPr>
                      <w:rFonts w:ascii="Cambria Math" w:hAnsi="Cambria Math"/>
                      <w:sz w:val="15"/>
                      <w:szCs w:val="15"/>
                    </w:rPr>
                    <m:t>J</m:t>
                  </m:r>
                </m:e>
                <m:sup>
                  <m:r>
                    <w:rPr>
                      <w:rFonts w:ascii="Cambria Math" w:hAnsi="Cambria Math"/>
                      <w:sz w:val="15"/>
                      <w:szCs w:val="15"/>
                    </w:rPr>
                    <m:t>r</m:t>
                  </m:r>
                  <m:r>
                    <w:rPr>
                      <w:rFonts w:ascii="Cambria Math" w:hAnsi="Cambria Math"/>
                      <w:sz w:val="15"/>
                      <w:szCs w:val="15"/>
                    </w:rPr>
                    <m:t>b</m:t>
                  </m:r>
                </m:sup>
              </m:sSup>
            </m:oMath>
          </w:p>
        </w:tc>
        <w:tc>
          <w:tcPr>
            <w:tcW w:w="3898" w:type="dxa"/>
          </w:tcPr>
          <w:p>
            <w:pPr>
              <w:pStyle w:val="TableText"/>
              <w:jc w:val="left"/>
            </w:pPr>
            <w:r>
              <w:t xml:space="preserve">Rebound assessment (CNY)</w:t>
            </w:r>
          </w:p>
        </w:tc>
      </w:tr>
      <w:tr>
        <w:tc>
          <w:tcPr>
            <w:tcW w:w="1020" w:type="dxa"/>
          </w:tcPr>
          <w:p>
            <w:pPr>
              <w:pStyle w:val="TableText"/>
              <w:jc w:val="left"/>
            </w:pPr>
            <m:oMath>
              <m:sSup>
                <m:e>
                  <m:r>
                    <w:rPr>
                      <w:rFonts w:ascii="Cambria Math" w:hAnsi="Cambria Math"/>
                      <w:sz w:val="15"/>
                      <w:szCs w:val="15"/>
                    </w:rPr>
                    <m:t>J</m:t>
                  </m:r>
                </m:e>
                <m:sup>
                  <m:r>
                    <w:rPr>
                      <w:rFonts w:ascii="Cambria Math" w:hAnsi="Cambria Math"/>
                      <w:sz w:val="15"/>
                      <w:szCs w:val="15"/>
                    </w:rPr>
                    <m:t>t</m:t>
                  </m:r>
                  <m:r>
                    <w:rPr>
                      <w:rFonts w:ascii="Cambria Math" w:hAnsi="Cambria Math"/>
                      <w:sz w:val="15"/>
                      <w:szCs w:val="15"/>
                    </w:rPr>
                    <m:t>e</m:t>
                  </m:r>
                  <m:r>
                    <w:rPr>
                      <w:rFonts w:ascii="Cambria Math" w:hAnsi="Cambria Math"/>
                      <w:sz w:val="15"/>
                      <w:szCs w:val="15"/>
                    </w:rPr>
                    <m:t>r</m:t>
                  </m:r>
                  <m:r>
                    <w:rPr>
                      <w:rFonts w:ascii="Cambria Math" w:hAnsi="Cambria Math"/>
                      <w:sz w:val="15"/>
                      <w:szCs w:val="15"/>
                    </w:rPr>
                    <m:t>m</m:t>
                  </m:r>
                </m:sup>
              </m:sSup>
            </m:oMath>
          </w:p>
        </w:tc>
        <w:tc>
          <w:tcPr>
            <w:tcW w:w="3898" w:type="dxa"/>
          </w:tcPr>
          <w:p>
            <w:pPr>
              <w:pStyle w:val="TableText"/>
              <w:jc w:val="left"/>
            </w:pPr>
            <w:r>
              <w:t xml:space="preserve">Terminal value of the remaining debts (CNY)</w:t>
            </w:r>
          </w:p>
        </w:tc>
      </w:tr>
      <w:tr>
        <w:tc>
          <w:tcPr>
            <w:tcW w:w="1020" w:type="dxa"/>
          </w:tcPr>
          <w:p>
            <w:pPr>
              <w:pStyle w:val="TableText"/>
              <w:jc w:val="left"/>
            </w:pPr>
            <m:oMath>
              <m:r>
                <m:rPr>
                  <m:sty m:val="p"/>
                </m:rPr>
                <w:rPr>
                  <w:rFonts w:ascii="Cambria Math" w:hAnsi="Cambria Math"/>
                  <w:sz w:val="15"/>
                  <w:szCs w:val="15"/>
                </w:rPr>
                <m:t>C</m:t>
              </m:r>
              <m:sSub>
                <m:e>
                  <m:r>
                    <m:rPr>
                      <m:sty m:val="p"/>
                    </m:rPr>
                    <w:rPr>
                      <w:rFonts w:ascii="Cambria Math" w:hAnsi="Cambria Math"/>
                      <w:sz w:val="15"/>
                      <w:szCs w:val="15"/>
                    </w:rPr>
                    <m:t>O</m:t>
                  </m:r>
                </m:e>
                <m:sub>
                  <m:r>
                    <m:rPr>
                      <m:sty m:val="p"/>
                    </m:rPr>
                    <w:rPr>
                      <w:rFonts w:ascii="Cambria Math" w:hAnsi="Cambria Math"/>
                      <w:sz w:val="15"/>
                      <w:szCs w:val="15"/>
                    </w:rPr>
                    <m:t>2</m:t>
                  </m:r>
                </m:sub>
              </m:sSub>
            </m:oMath>
          </w:p>
        </w:tc>
        <w:tc>
          <w:tcPr>
            <w:tcW w:w="3898" w:type="dxa"/>
          </w:tcPr>
          <w:p>
            <w:pPr>
              <w:pStyle w:val="TableText"/>
              <w:jc w:val="left"/>
            </w:pPr>
            <w:r>
              <w:t xml:space="preserve">Daily CO</w:t>
            </w:r>
            <w:r>
              <w:rPr>
                <w:vertAlign w:val="subscript"/>
              </w:rPr>
              <w:t xml:space="preserve">2</w:t>
            </w:r>
            <w:r>
              <w:t xml:space="preserve"> </w:t>
            </w:r>
            <w:r>
              <w:t xml:space="preserve">emissions (t)</w:t>
            </w:r>
          </w:p>
        </w:tc>
      </w:tr>
      <w:tr>
        <w:tc>
          <w:tcPr>
            <w:tcW w:w="1020" w:type="dxa"/>
          </w:tcPr>
          <w:p>
            <w:pPr>
              <w:pStyle w:val="TableText"/>
              <w:jc w:val="left"/>
            </w:pPr>
            <m:oMath>
              <m:sSub>
                <m:e>
                  <m:r>
                    <w:rPr>
                      <w:rFonts w:ascii="Cambria Math" w:hAnsi="Cambria Math"/>
                      <w:sz w:val="15"/>
                      <w:szCs w:val="15"/>
                    </w:rPr>
                    <m:t>u</m:t>
                  </m:r>
                </m:e>
                <m:sub>
                  <m:r>
                    <w:rPr>
                      <w:rFonts w:ascii="Cambria Math" w:hAnsi="Cambria Math"/>
                      <w:sz w:val="15"/>
                      <w:szCs w:val="15"/>
                    </w:rPr>
                    <m:t>ω</m:t>
                  </m:r>
                </m:sub>
              </m:sSub>
              <m:d>
                <m:dPr>
                  <m:begChr m:val="("/>
                  <m:sepChr m:val=""/>
                  <m:endChr m:val=")"/>
                  <m:grow/>
                </m:dPr>
                <m:e>
                  <m:r>
                    <w:rPr>
                      <w:rFonts w:ascii="Cambria Math" w:hAnsi="Cambria Math"/>
                      <w:sz w:val="15"/>
                      <w:szCs w:val="15"/>
                    </w:rPr>
                    <m:t>C</m:t>
                  </m:r>
                </m:e>
              </m:d>
            </m:oMath>
          </w:p>
        </w:tc>
        <w:tc>
          <w:tcPr>
            <w:tcW w:w="3898" w:type="dxa"/>
          </w:tcPr>
          <w:p>
            <w:pPr>
              <w:pStyle w:val="TableText"/>
              <w:jc w:val="left"/>
            </w:pPr>
            <w:r>
              <w:t xml:space="preserve">Full-delivery indicator of realisation</w:t>
            </w:r>
            <w:r>
              <w:t xml:space="preserve"> </w:t>
            </w:r>
            <m:oMath>
              <m:r>
                <w:rPr>
                  <w:rFonts w:ascii="Cambria Math" w:hAnsi="Cambria Math"/>
                  <w:sz w:val="15"/>
                  <w:szCs w:val="15"/>
                </w:rPr>
                <m:t>ω</m:t>
              </m:r>
            </m:oMath>
            <w:r>
              <w:t xml:space="preserve"> </w:t>
            </w:r>
            <w:r>
              <w:t xml:space="preserve">at commitment</w:t>
            </w:r>
            <w:r>
              <w:t xml:space="preserve"> </w:t>
            </w:r>
            <m:oMath>
              <m:r>
                <w:rPr>
                  <w:rFonts w:ascii="Cambria Math" w:hAnsi="Cambria Math"/>
                  <w:sz w:val="15"/>
                  <w:szCs w:val="15"/>
                </w:rPr>
                <m:t>C</m:t>
              </m:r>
            </m:oMath>
          </w:p>
        </w:tc>
      </w:tr>
      <w:tr>
        <w:tc>
          <w:tcPr>
            <w:tcW w:w="1020" w:type="dxa"/>
          </w:tcPr>
          <w:p>
            <w:pPr>
              <w:pStyle w:val="TableText"/>
              <w:jc w:val="left"/>
            </w:pPr>
            <m:oMath>
              <m:sSubSup>
                <m:e>
                  <m:r>
                    <w:rPr>
                      <w:rFonts w:ascii="Cambria Math" w:hAnsi="Cambria Math"/>
                      <w:sz w:val="15"/>
                      <w:szCs w:val="15"/>
                    </w:rPr>
                    <m:t>C</m:t>
                  </m:r>
                </m:e>
                <m:sub>
                  <m:r>
                    <w:rPr>
                      <w:rFonts w:ascii="Cambria Math" w:hAnsi="Cambria Math"/>
                      <w:sz w:val="15"/>
                      <w:szCs w:val="15"/>
                    </w:rPr>
                    <m:t>ρ</m:t>
                  </m:r>
                </m:sub>
                <m:sup>
                  <m:r>
                    <w:rPr>
                      <w:rFonts w:ascii="Cambria Math" w:hAnsi="Cambria Math"/>
                      <w:sz w:val="15"/>
                      <w:szCs w:val="15"/>
                    </w:rPr>
                    <m:t>f</m:t>
                  </m:r>
                  <m:r>
                    <w:rPr>
                      <w:rFonts w:ascii="Cambria Math" w:hAnsi="Cambria Math"/>
                      <w:sz w:val="15"/>
                      <w:szCs w:val="15"/>
                    </w:rPr>
                    <m:t>i</m:t>
                  </m:r>
                  <m:r>
                    <w:rPr>
                      <w:rFonts w:ascii="Cambria Math" w:hAnsi="Cambria Math"/>
                      <w:sz w:val="15"/>
                      <w:szCs w:val="15"/>
                    </w:rPr>
                    <m:t>r</m:t>
                  </m:r>
                  <m:r>
                    <w:rPr>
                      <w:rFonts w:ascii="Cambria Math" w:hAnsi="Cambria Math"/>
                      <w:sz w:val="15"/>
                      <w:szCs w:val="15"/>
                    </w:rPr>
                    <m:t>m</m:t>
                  </m:r>
                </m:sup>
              </m:sSubSup>
            </m:oMath>
          </w:p>
        </w:tc>
        <w:tc>
          <w:tcPr>
            <w:tcW w:w="3898" w:type="dxa"/>
          </w:tcPr>
          <w:p>
            <w:pPr>
              <w:pStyle w:val="TableText"/>
              <w:jc w:val="left"/>
            </w:pPr>
            <w:r>
              <w:t xml:space="preserve">Firm consecutive DR capacity at reliability</w:t>
            </w:r>
            <w:r>
              <w:t xml:space="preserve"> </w:t>
            </w:r>
            <m:oMath>
              <m:r>
                <w:rPr>
                  <w:rFonts w:ascii="Cambria Math" w:hAnsi="Cambria Math"/>
                  <w:sz w:val="15"/>
                  <w:szCs w:val="15"/>
                </w:rPr>
                <m:t>ρ</m:t>
              </m:r>
            </m:oMath>
            <w:r>
              <w:t xml:space="preserve"> </w:t>
            </w:r>
            <w:r>
              <w:t xml:space="preserve">(MW)</w:t>
            </w:r>
          </w:p>
        </w:tc>
      </w:tr>
      <w:tr>
        <w:tc>
          <w:tcPr>
            <w:tcW w:w="1020" w:type="dxa"/>
          </w:tcPr>
          <w:p>
            <w:pPr>
              <w:pStyle w:val="TableText"/>
              <w:jc w:val="left"/>
            </w:pPr>
            <m:oMath>
              <m:sSubSup>
                <m:e>
                  <m:acc>
                    <m:accPr>
                      <m:chr m:val="̂"/>
                    </m:accPr>
                    <m:e>
                      <m:r>
                        <w:rPr>
                          <w:rFonts w:ascii="Cambria Math" w:hAnsi="Cambria Math"/>
                          <w:sz w:val="15"/>
                          <w:szCs w:val="15"/>
                        </w:rPr>
                        <m:t>C</m:t>
                      </m:r>
                    </m:e>
                  </m:acc>
                </m:e>
                <m:sub>
                  <m:r>
                    <w:rPr>
                      <w:rFonts w:ascii="Cambria Math" w:hAnsi="Cambria Math"/>
                      <w:sz w:val="15"/>
                      <w:szCs w:val="15"/>
                    </w:rPr>
                    <m:t>ρ</m:t>
                  </m:r>
                </m:sub>
                <m:sup>
                  <m:r>
                    <w:rPr>
                      <w:rFonts w:ascii="Cambria Math" w:hAnsi="Cambria Math"/>
                      <w:sz w:val="15"/>
                      <w:szCs w:val="15"/>
                    </w:rPr>
                    <m:t>f</m:t>
                  </m:r>
                  <m:r>
                    <w:rPr>
                      <w:rFonts w:ascii="Cambria Math" w:hAnsi="Cambria Math"/>
                      <w:sz w:val="15"/>
                      <w:szCs w:val="15"/>
                    </w:rPr>
                    <m:t>i</m:t>
                  </m:r>
                  <m:r>
                    <w:rPr>
                      <w:rFonts w:ascii="Cambria Math" w:hAnsi="Cambria Math"/>
                      <w:sz w:val="15"/>
                      <w:szCs w:val="15"/>
                    </w:rPr>
                    <m:t>r</m:t>
                  </m:r>
                  <m:r>
                    <w:rPr>
                      <w:rFonts w:ascii="Cambria Math" w:hAnsi="Cambria Math"/>
                      <w:sz w:val="15"/>
                      <w:szCs w:val="15"/>
                    </w:rPr>
                    <m:t>m</m:t>
                  </m:r>
                </m:sup>
              </m:sSubSup>
            </m:oMath>
          </w:p>
        </w:tc>
        <w:tc>
          <w:tcPr>
            <w:tcW w:w="3898" w:type="dxa"/>
          </w:tcPr>
          <w:p>
            <w:pPr>
              <w:pStyle w:val="TableText"/>
              <w:jc w:val="left"/>
            </w:pPr>
            <w:r>
              <w:t xml:space="preserve">SAA estimate of the firm capacity (MW)</w:t>
            </w:r>
          </w:p>
        </w:tc>
      </w:tr>
      <w:tr>
        <w:tc>
          <w:tcPr>
            <w:tcW w:w="1020" w:type="dxa"/>
          </w:tcPr>
          <w:p>
            <w:pPr>
              <w:pStyle w:val="TableText"/>
              <w:jc w:val="left"/>
            </w:pPr>
            <m:oMath>
              <m:sSub>
                <m:e>
                  <m:r>
                    <m:rPr>
                      <m:scr m:val="script"/>
                      <m:sty m:val="p"/>
                    </m:rPr>
                    <w:rPr>
                      <w:rFonts w:ascii="Cambria Math" w:hAnsi="Cambria Math"/>
                      <w:sz w:val="15"/>
                      <w:szCs w:val="15"/>
                    </w:rPr>
                    <m:t>C</m:t>
                  </m:r>
                </m:e>
                <m:sub>
                  <m:r>
                    <w:rPr>
                      <w:rFonts w:ascii="Cambria Math" w:hAnsi="Cambria Math"/>
                      <w:sz w:val="15"/>
                      <w:szCs w:val="15"/>
                    </w:rPr>
                    <m:t>ρ</m:t>
                  </m:r>
                </m:sub>
              </m:sSub>
            </m:oMath>
          </w:p>
        </w:tc>
        <w:tc>
          <w:tcPr>
            <w:tcW w:w="3898" w:type="dxa"/>
          </w:tcPr>
          <w:p>
            <w:pPr>
              <w:pStyle w:val="TableText"/>
              <w:jc w:val="left"/>
            </w:pPr>
            <w:r>
              <w:t xml:space="preserve">Reliability region of the commitments</w:t>
            </w:r>
          </w:p>
        </w:tc>
      </w:tr>
      <w:tr>
        <w:tc>
          <w:tcPr>
            <w:tcW w:w="1020" w:type="dxa"/>
          </w:tcPr>
          <w:p>
            <w:pPr>
              <w:pStyle w:val="TableText"/>
              <w:jc w:val="left"/>
            </w:pPr>
            <m:oMath>
              <m:r>
                <w:rPr>
                  <w:rFonts w:ascii="Cambria Math" w:hAnsi="Cambria Math"/>
                  <w:sz w:val="15"/>
                  <w:szCs w:val="15"/>
                </w:rPr>
                <m:t>Δ</m:t>
              </m:r>
              <m:sSub>
                <m:e>
                  <m:r>
                    <w:rPr>
                      <w:rFonts w:ascii="Cambria Math" w:hAnsi="Cambria Math"/>
                      <w:sz w:val="15"/>
                      <w:szCs w:val="15"/>
                    </w:rPr>
                    <m:t>C</m:t>
                  </m:r>
                </m:e>
                <m:sub>
                  <m:r>
                    <w:rPr>
                      <w:rFonts w:ascii="Cambria Math" w:hAnsi="Cambria Math"/>
                      <w:sz w:val="15"/>
                      <w:szCs w:val="15"/>
                    </w:rPr>
                    <m:t>ρ</m:t>
                  </m:r>
                </m:sub>
              </m:sSub>
            </m:oMath>
          </w:p>
        </w:tc>
        <w:tc>
          <w:tcPr>
            <w:tcW w:w="3898" w:type="dxa"/>
          </w:tcPr>
          <w:p>
            <w:pPr>
              <w:pStyle w:val="TableText"/>
              <w:jc w:val="left"/>
            </w:pPr>
            <w:r>
              <w:t xml:space="preserve">Capacity gain between two strategies (MW)</w:t>
            </w:r>
          </w:p>
        </w:tc>
      </w:tr>
      <w:tr>
        <w:tc>
          <w:tcPr>
            <w:tcW w:w="1020" w:type="dxa"/>
          </w:tcPr>
          <w:p>
            <w:pPr>
              <w:pStyle w:val="TableText"/>
              <w:jc w:val="left"/>
            </w:pPr>
            <m:oMath>
              <m:sSub>
                <m:e>
                  <m:r>
                    <w:rPr>
                      <w:rFonts w:ascii="Cambria Math" w:hAnsi="Cambria Math"/>
                      <w:sz w:val="15"/>
                      <w:szCs w:val="15"/>
                    </w:rPr>
                    <m:t>Γ</m:t>
                  </m:r>
                </m:e>
                <m:sub>
                  <m:r>
                    <w:rPr>
                      <w:rFonts w:ascii="Cambria Math" w:hAnsi="Cambria Math"/>
                      <w:sz w:val="15"/>
                      <w:szCs w:val="15"/>
                    </w:rPr>
                    <m:t>B</m:t>
                  </m:r>
                </m:sub>
              </m:sSub>
            </m:oMath>
          </w:p>
        </w:tc>
        <w:tc>
          <w:tcPr>
            <w:tcW w:w="3898" w:type="dxa"/>
          </w:tcPr>
          <w:p>
            <w:pPr>
              <w:pStyle w:val="TableText"/>
              <w:jc w:val="left"/>
            </w:pPr>
            <w:r>
              <w:t xml:space="preserve">Deliverable reduction of event B (MW)</w:t>
            </w:r>
          </w:p>
        </w:tc>
      </w:tr>
      <w:tr>
        <w:tc>
          <w:tcPr>
            <w:tcW w:w="1020" w:type="dxa"/>
          </w:tcPr>
          <w:p>
            <w:pPr>
              <w:pStyle w:val="TableText"/>
              <w:jc w:val="left"/>
            </w:pPr>
            <m:oMath>
              <m:sSubSup>
                <m:e>
                  <m:r>
                    <w:rPr>
                      <w:rFonts w:ascii="Cambria Math" w:hAnsi="Cambria Math"/>
                      <w:sz w:val="15"/>
                      <w:szCs w:val="15"/>
                    </w:rPr>
                    <m:t>Γ</m:t>
                  </m:r>
                </m:e>
                <m:sub>
                  <m:r>
                    <w:rPr>
                      <w:rFonts w:ascii="Cambria Math" w:hAnsi="Cambria Math"/>
                      <w:sz w:val="15"/>
                      <w:szCs w:val="15"/>
                    </w:rPr>
                    <m:t>B</m:t>
                  </m:r>
                </m:sub>
                <m:sup>
                  <m:r>
                    <w:rPr>
                      <w:rFonts w:ascii="Cambria Math" w:hAnsi="Cambria Math"/>
                      <w:sz w:val="15"/>
                      <w:szCs w:val="15"/>
                    </w:rPr>
                    <m:t>0</m:t>
                  </m:r>
                </m:sup>
              </m:sSubSup>
            </m:oMath>
          </w:p>
        </w:tc>
        <w:tc>
          <w:tcPr>
            <w:tcW w:w="3898" w:type="dxa"/>
          </w:tcPr>
          <w:p>
            <w:pPr>
              <w:pStyle w:val="TableText"/>
              <w:jc w:val="left"/>
            </w:pPr>
            <w:r>
              <w:t xml:space="preserve">Single-event capability of event B (MW)</w:t>
            </w:r>
          </w:p>
        </w:tc>
      </w:tr>
      <w:tr>
        <w:tc>
          <w:tcPr>
            <w:tcW w:w="1020" w:type="dxa"/>
          </w:tcPr>
          <w:p>
            <w:pPr>
              <w:pStyle w:val="TableText"/>
              <w:jc w:val="left"/>
            </w:pPr>
            <m:oMath>
              <m:sSup>
                <m:e>
                  <m:r>
                    <w:rPr>
                      <w:rFonts w:ascii="Cambria Math" w:hAnsi="Cambria Math"/>
                      <w:sz w:val="15"/>
                      <w:szCs w:val="15"/>
                    </w:rPr>
                    <m:t>Γ</m:t>
                  </m:r>
                </m:e>
                <m:sup>
                  <m:r>
                    <w:rPr>
                      <w:rFonts w:ascii="Cambria Math" w:hAnsi="Cambria Math"/>
                      <w:sz w:val="15"/>
                      <w:szCs w:val="15"/>
                    </w:rPr>
                    <m:t>E</m:t>
                  </m:r>
                </m:sup>
              </m:sSup>
            </m:oMath>
          </w:p>
        </w:tc>
        <w:tc>
          <w:tcPr>
            <w:tcW w:w="3898" w:type="dxa"/>
          </w:tcPr>
          <w:p>
            <w:pPr>
              <w:pStyle w:val="TableText"/>
              <w:jc w:val="left"/>
            </w:pPr>
            <w:r>
              <w:t xml:space="preserve">Energy bound of Proposition 1 (MW)</w:t>
            </w:r>
          </w:p>
        </w:tc>
      </w:tr>
      <w:tr>
        <w:tc>
          <w:tcPr>
            <w:tcW w:w="1020" w:type="dxa"/>
          </w:tcPr>
          <w:p>
            <w:pPr>
              <w:pStyle w:val="TableText"/>
              <w:jc w:val="left"/>
            </w:pPr>
            <m:oMath>
              <m:sSup>
                <m:e>
                  <m:r>
                    <w:rPr>
                      <w:rFonts w:ascii="Cambria Math" w:hAnsi="Cambria Math"/>
                      <w:sz w:val="15"/>
                      <w:szCs w:val="15"/>
                    </w:rPr>
                    <m:t>Γ</m:t>
                  </m:r>
                </m:e>
                <m:sup>
                  <m:r>
                    <w:rPr>
                      <w:rFonts w:ascii="Cambria Math" w:hAnsi="Cambria Math"/>
                      <w:sz w:val="15"/>
                      <w:szCs w:val="15"/>
                    </w:rPr>
                    <m:t>P</m:t>
                  </m:r>
                </m:sup>
              </m:sSup>
            </m:oMath>
          </w:p>
        </w:tc>
        <w:tc>
          <w:tcPr>
            <w:tcW w:w="3898" w:type="dxa"/>
          </w:tcPr>
          <w:p>
            <w:pPr>
              <w:pStyle w:val="TableText"/>
              <w:jc w:val="left"/>
            </w:pPr>
            <w:r>
              <w:t xml:space="preserve">Power bound of Proposition 1 (MW)</w:t>
            </w:r>
          </w:p>
        </w:tc>
      </w:tr>
      <w:tr>
        <w:tc>
          <w:tcPr>
            <w:tcW w:w="1020" w:type="dxa"/>
          </w:tcPr>
          <w:p>
            <w:pPr>
              <w:pStyle w:val="TableText"/>
              <w:jc w:val="left"/>
            </w:pPr>
            <m:oMath>
              <m:sSup>
                <m:e>
                  <m:r>
                    <w:rPr>
                      <w:rFonts w:ascii="Cambria Math" w:hAnsi="Cambria Math"/>
                      <w:sz w:val="15"/>
                      <w:szCs w:val="15"/>
                    </w:rPr>
                    <m:t>H</m:t>
                  </m:r>
                </m:e>
                <m:sup>
                  <m:r>
                    <w:rPr>
                      <w:rFonts w:ascii="Cambria Math" w:hAnsi="Cambria Math"/>
                      <w:sz w:val="15"/>
                      <w:szCs w:val="15"/>
                    </w:rPr>
                    <m:t>e</m:t>
                  </m:r>
                  <m:r>
                    <w:rPr>
                      <w:rFonts w:ascii="Cambria Math" w:hAnsi="Cambria Math"/>
                      <w:sz w:val="15"/>
                      <w:szCs w:val="15"/>
                    </w:rPr>
                    <m:t>f</m:t>
                  </m:r>
                  <m:r>
                    <w:rPr>
                      <w:rFonts w:ascii="Cambria Math" w:hAnsi="Cambria Math"/>
                      <w:sz w:val="15"/>
                      <w:szCs w:val="15"/>
                    </w:rPr>
                    <m:t>f</m:t>
                  </m:r>
                </m:sup>
              </m:sSup>
            </m:oMath>
          </w:p>
        </w:tc>
        <w:tc>
          <w:tcPr>
            <w:tcW w:w="3898" w:type="dxa"/>
          </w:tcPr>
          <w:p>
            <w:pPr>
              <w:pStyle w:val="TableText"/>
              <w:jc w:val="left"/>
            </w:pPr>
            <w:r>
              <w:t xml:space="preserve">Effective recovery channel (MWh)</w:t>
            </w:r>
          </w:p>
        </w:tc>
      </w:tr>
      <w:tr>
        <w:tc>
          <w:tcPr>
            <w:tcW w:w="1020" w:type="dxa"/>
          </w:tcPr>
          <w:p>
            <w:pPr>
              <w:pStyle w:val="TableText"/>
              <w:jc w:val="left"/>
            </w:pPr>
            <m:oMath>
              <m:r>
                <m:rPr>
                  <m:scr m:val="script"/>
                  <m:sty m:val="p"/>
                </m:rPr>
                <w:rPr>
                  <w:rFonts w:ascii="Cambria Math" w:hAnsi="Cambria Math"/>
                  <w:sz w:val="15"/>
                  <w:szCs w:val="15"/>
                </w:rPr>
                <m:t>H</m:t>
              </m:r>
            </m:oMath>
          </w:p>
        </w:tc>
        <w:tc>
          <w:tcPr>
            <w:tcW w:w="3898" w:type="dxa"/>
          </w:tcPr>
          <w:p>
            <w:pPr>
              <w:pStyle w:val="TableText"/>
              <w:jc w:val="left"/>
            </w:pPr>
            <w:r>
              <w:t xml:space="preserve">Feasible allocations of the channel to catch-up and recharge</w:t>
            </w:r>
          </w:p>
        </w:tc>
      </w:tr>
      <w:tr>
        <w:tc>
          <w:tcPr>
            <w:tcW w:w="1020" w:type="dxa"/>
          </w:tcPr>
          <w:p>
            <w:pPr>
              <w:pStyle w:val="TableText"/>
              <w:jc w:val="left"/>
            </w:pPr>
            <m:oMath>
              <m:sSubSup>
                <m:e>
                  <m:r>
                    <w:rPr>
                      <w:rFonts w:ascii="Cambria Math" w:hAnsi="Cambria Math"/>
                      <w:sz w:val="15"/>
                      <w:szCs w:val="15"/>
                    </w:rPr>
                    <m:t>X</m:t>
                  </m:r>
                </m:e>
                <m:sub>
                  <m:r>
                    <w:rPr>
                      <w:rFonts w:ascii="Cambria Math" w:hAnsi="Cambria Math"/>
                      <w:sz w:val="15"/>
                      <w:szCs w:val="15"/>
                    </w:rPr>
                    <m:t>A</m:t>
                  </m:r>
                </m:sub>
                <m:sup>
                  <m:r>
                    <w:rPr>
                      <w:rFonts w:ascii="Cambria Math" w:hAnsi="Cambria Math"/>
                      <w:sz w:val="15"/>
                      <w:szCs w:val="15"/>
                    </w:rPr>
                    <m:t>d</m:t>
                  </m:r>
                  <m:r>
                    <w:rPr>
                      <w:rFonts w:ascii="Cambria Math" w:hAnsi="Cambria Math"/>
                      <w:sz w:val="15"/>
                      <w:szCs w:val="15"/>
                    </w:rPr>
                    <m:t>u</m:t>
                  </m:r>
                  <m:r>
                    <w:rPr>
                      <w:rFonts w:ascii="Cambria Math" w:hAnsi="Cambria Math"/>
                      <w:sz w:val="15"/>
                      <w:szCs w:val="15"/>
                    </w:rPr>
                    <m:t>e</m:t>
                  </m:r>
                </m:sup>
              </m:sSubSup>
            </m:oMath>
          </w:p>
        </w:tc>
        <w:tc>
          <w:tcPr>
            <w:tcW w:w="3898" w:type="dxa"/>
          </w:tcPr>
          <w:p>
            <w:pPr>
              <w:pStyle w:val="TableText"/>
              <w:jc w:val="left"/>
            </w:pPr>
            <w:r>
              <w:t xml:space="preserve">Part of the computing debt of event A that falls due before the end of event B (MWh)</w:t>
            </w:r>
          </w:p>
        </w:tc>
      </w:tr>
      <w:tr>
        <w:tc>
          <w:tcPr>
            <w:tcW w:w="1020" w:type="dxa"/>
          </w:tcPr>
          <w:p>
            <w:pPr>
              <w:pStyle w:val="TableText"/>
              <w:jc w:val="left"/>
            </w:pPr>
            <m:oMath>
              <m:sSub>
                <m:e>
                  <m:acc>
                    <m:accPr>
                      <m:chr m:val="‾"/>
                    </m:accPr>
                    <m:e>
                      <m:r>
                        <w:rPr>
                          <w:rFonts w:ascii="Cambria Math" w:hAnsi="Cambria Math"/>
                          <w:sz w:val="15"/>
                          <w:szCs w:val="15"/>
                        </w:rPr>
                        <m:t>X</m:t>
                      </m:r>
                    </m:e>
                  </m:acc>
                </m:e>
                <m:sub>
                  <m:r>
                    <w:rPr>
                      <w:rFonts w:ascii="Cambria Math" w:hAnsi="Cambria Math"/>
                      <w:sz w:val="15"/>
                      <w:szCs w:val="15"/>
                    </w:rPr>
                    <m:t>B</m:t>
                  </m:r>
                </m:sub>
              </m:sSub>
            </m:oMath>
          </w:p>
        </w:tc>
        <w:tc>
          <w:tcPr>
            <w:tcW w:w="3898" w:type="dxa"/>
          </w:tcPr>
          <w:p>
            <w:pPr>
              <w:pStyle w:val="TableText"/>
              <w:jc w:val="left"/>
            </w:pPr>
            <w:r>
              <w:t xml:space="preserve">Deadline-limited virtual capacity at the end of event B (MWh)</w:t>
            </w:r>
          </w:p>
        </w:tc>
      </w:tr>
      <w:tr>
        <w:tc>
          <w:tcPr>
            <w:tcW w:w="1020" w:type="dxa"/>
          </w:tcPr>
          <w:p>
            <w:pPr>
              <w:pStyle w:val="TableText"/>
              <w:jc w:val="left"/>
            </w:pPr>
            <m:oMath>
              <m:sSub>
                <m:e>
                  <m:r>
                    <w:rPr>
                      <w:rFonts w:ascii="Cambria Math" w:hAnsi="Cambria Math"/>
                      <w:sz w:val="15"/>
                      <w:szCs w:val="15"/>
                    </w:rPr>
                    <m:t>E</m:t>
                  </m:r>
                </m:e>
                <m:sub>
                  <m:r>
                    <w:rPr>
                      <w:rFonts w:ascii="Cambria Math" w:hAnsi="Cambria Math"/>
                      <w:sz w:val="15"/>
                      <w:szCs w:val="15"/>
                    </w:rPr>
                    <m:t>s</m:t>
                  </m:r>
                </m:sub>
              </m:sSub>
            </m:oMath>
          </w:p>
        </w:tc>
        <w:tc>
          <w:tcPr>
            <w:tcW w:w="3898" w:type="dxa"/>
          </w:tcPr>
          <w:p>
            <w:pPr>
              <w:pStyle w:val="TableText"/>
              <w:jc w:val="left"/>
            </w:pPr>
            <w:r>
              <w:t xml:space="preserve">Dischargeable energy of the BESS and the TES after event A (MWh)</w:t>
            </w:r>
          </w:p>
        </w:tc>
      </w:tr>
      <w:tr>
        <w:tc>
          <w:tcPr>
            <w:tcW w:w="1020" w:type="dxa"/>
          </w:tcPr>
          <w:p>
            <w:pPr>
              <w:pStyle w:val="TableText"/>
              <w:jc w:val="left"/>
            </w:pPr>
            <m:oMath>
              <m:sSub>
                <m:e>
                  <m:r>
                    <w:rPr>
                      <w:rFonts w:ascii="Cambria Math" w:hAnsi="Cambria Math"/>
                      <w:sz w:val="15"/>
                      <w:szCs w:val="15"/>
                    </w:rPr>
                    <m:t>P</m:t>
                  </m:r>
                </m:e>
                <m:sub>
                  <m:r>
                    <w:rPr>
                      <w:rFonts w:ascii="Cambria Math" w:hAnsi="Cambria Math"/>
                      <w:sz w:val="15"/>
                      <w:szCs w:val="15"/>
                    </w:rPr>
                    <m:t>s</m:t>
                  </m:r>
                </m:sub>
              </m:sSub>
            </m:oMath>
          </w:p>
        </w:tc>
        <w:tc>
          <w:tcPr>
            <w:tcW w:w="3898" w:type="dxa"/>
          </w:tcPr>
          <w:p>
            <w:pPr>
              <w:pStyle w:val="TableText"/>
              <w:jc w:val="left"/>
            </w:pPr>
            <w:r>
              <w:t xml:space="preserve">Discharge power of the BESS and the TES (MW)</w:t>
            </w:r>
          </w:p>
        </w:tc>
      </w:tr>
      <w:tr>
        <w:tc>
          <w:tcPr>
            <w:tcW w:w="1020" w:type="dxa"/>
          </w:tcPr>
          <w:p>
            <w:pPr>
              <w:pStyle w:val="TableText"/>
              <w:jc w:val="left"/>
            </w:pPr>
            <m:oMath>
              <m:sSub>
                <m:e>
                  <m:r>
                    <w:rPr>
                      <w:rFonts w:ascii="Cambria Math" w:hAnsi="Cambria Math"/>
                      <w:sz w:val="15"/>
                      <w:szCs w:val="15"/>
                    </w:rPr>
                    <m:t>p</m:t>
                  </m:r>
                </m:e>
                <m:sub>
                  <m:r>
                    <w:rPr>
                      <w:rFonts w:ascii="Cambria Math" w:hAnsi="Cambria Math"/>
                      <w:sz w:val="15"/>
                      <w:szCs w:val="15"/>
                    </w:rPr>
                    <m:t>f</m:t>
                  </m:r>
                </m:sub>
              </m:sSub>
            </m:oMath>
          </w:p>
        </w:tc>
        <w:tc>
          <w:tcPr>
            <w:tcW w:w="3898" w:type="dxa"/>
          </w:tcPr>
          <w:p>
            <w:pPr>
              <w:pStyle w:val="TableText"/>
              <w:jc w:val="left"/>
            </w:pPr>
            <w:r>
              <w:t xml:space="preserve">Deferrable power that can be paused in event B (MW)</w:t>
            </w:r>
          </w:p>
        </w:tc>
      </w:tr>
      <w:tr>
        <w:tc>
          <w:tcPr>
            <w:tcW w:w="1020" w:type="dxa"/>
          </w:tcPr>
          <w:p>
            <w:pPr>
              <w:pStyle w:val="TableText"/>
              <w:jc w:val="left"/>
            </w:pPr>
            <m:oMath>
              <m:sSup>
                <m:e>
                  <m:r>
                    <w:rPr>
                      <w:rFonts w:ascii="Cambria Math" w:hAnsi="Cambria Math"/>
                      <w:sz w:val="15"/>
                      <w:szCs w:val="15"/>
                    </w:rPr>
                    <m:t>c</m:t>
                  </m:r>
                </m:e>
                <m:sup>
                  <m:r>
                    <m:rPr>
                      <m:lit/>
                      <m:sty m:val="p"/>
                    </m:rPr>
                    <w:rPr>
                      <w:rFonts w:ascii="Cambria Math" w:hAnsi="Cambria Math"/>
                      <w:sz w:val="15"/>
                      <w:szCs w:val="15"/>
                    </w:rPr>
                    <m:t>*</m:t>
                  </m:r>
                </m:sup>
              </m:sSup>
            </m:oMath>
          </w:p>
        </w:tc>
        <w:tc>
          <w:tcPr>
            <w:tcW w:w="3898" w:type="dxa"/>
          </w:tcPr>
          <w:p>
            <w:pPr>
              <w:pStyle w:val="TableText"/>
              <w:jc w:val="left"/>
            </w:pPr>
            <w:r>
              <w:t xml:space="preserve">Necessary catch-up before the next event (MWh)</w:t>
            </w:r>
          </w:p>
        </w:tc>
      </w:tr>
      <w:tr>
        <w:tc>
          <w:tcPr>
            <w:tcW w:w="1020" w:type="dxa"/>
          </w:tcPr>
          <w:p>
            <w:pPr>
              <w:pStyle w:val="TableText"/>
              <w:jc w:val="left"/>
            </w:pPr>
            <m:oMath>
              <m:sSup>
                <m:e>
                  <m:r>
                    <w:rPr>
                      <w:rFonts w:ascii="Cambria Math" w:hAnsi="Cambria Math"/>
                      <w:sz w:val="15"/>
                      <w:szCs w:val="15"/>
                    </w:rPr>
                    <m:t>s</m:t>
                  </m:r>
                </m:e>
                <m:sup>
                  <m:r>
                    <w:rPr>
                      <w:rFonts w:ascii="Cambria Math" w:hAnsi="Cambria Math"/>
                      <w:sz w:val="15"/>
                      <w:szCs w:val="15"/>
                    </w:rPr>
                    <m:t>r</m:t>
                  </m:r>
                  <m:r>
                    <w:rPr>
                      <w:rFonts w:ascii="Cambria Math" w:hAnsi="Cambria Math"/>
                      <w:sz w:val="15"/>
                      <w:szCs w:val="15"/>
                    </w:rPr>
                    <m:t>e</m:t>
                  </m:r>
                  <m:r>
                    <w:rPr>
                      <w:rFonts w:ascii="Cambria Math" w:hAnsi="Cambria Math"/>
                      <w:sz w:val="15"/>
                      <w:szCs w:val="15"/>
                    </w:rPr>
                    <m:t>q</m:t>
                  </m:r>
                </m:sup>
              </m:sSup>
            </m:oMath>
          </w:p>
        </w:tc>
        <w:tc>
          <w:tcPr>
            <w:tcW w:w="3898" w:type="dxa"/>
          </w:tcPr>
          <w:p>
            <w:pPr>
              <w:pStyle w:val="TableText"/>
              <w:jc w:val="left"/>
            </w:pPr>
            <w:r>
              <w:t xml:space="preserve">Necessary recharge before the next event (MWh)</w:t>
            </w:r>
          </w:p>
        </w:tc>
      </w:tr>
      <w:tr>
        <w:tc>
          <w:tcPr>
            <w:tcW w:w="1020" w:type="dxa"/>
          </w:tcPr>
          <w:p>
            <w:pPr>
              <w:pStyle w:val="TableText"/>
              <w:jc w:val="left"/>
            </w:pPr>
            <m:oMath>
              <m:sSubSup>
                <m:e>
                  <m:r>
                    <w:rPr>
                      <w:rFonts w:ascii="Cambria Math" w:hAnsi="Cambria Math"/>
                      <w:sz w:val="15"/>
                      <w:szCs w:val="15"/>
                    </w:rPr>
                    <m:t>λ</m:t>
                  </m:r>
                </m:e>
                <m:sub>
                  <m:r>
                    <w:rPr>
                      <w:rFonts w:ascii="Cambria Math" w:hAnsi="Cambria Math"/>
                      <w:sz w:val="15"/>
                      <w:szCs w:val="15"/>
                    </w:rPr>
                    <m:t>t</m:t>
                  </m:r>
                </m:sub>
                <m:sup>
                  <m:r>
                    <w:rPr>
                      <w:rFonts w:ascii="Cambria Math" w:hAnsi="Cambria Math"/>
                      <w:sz w:val="15"/>
                      <w:szCs w:val="15"/>
                    </w:rPr>
                    <m:t>e</m:t>
                  </m:r>
                  <m:r>
                    <w:rPr>
                      <w:rFonts w:ascii="Cambria Math" w:hAnsi="Cambria Math"/>
                      <w:sz w:val="15"/>
                      <w:szCs w:val="15"/>
                    </w:rPr>
                    <m:t>l</m:t>
                  </m:r>
                </m:sup>
              </m:sSubSup>
            </m:oMath>
          </w:p>
        </w:tc>
        <w:tc>
          <w:tcPr>
            <w:tcW w:w="3898" w:type="dxa"/>
          </w:tcPr>
          <w:p>
            <w:pPr>
              <w:pStyle w:val="TableText"/>
              <w:jc w:val="left"/>
            </w:pPr>
            <w:r>
              <w:t xml:space="preserve">Multiplier of the electric balance, the channel price (CNY/MWh)</w:t>
            </w:r>
          </w:p>
        </w:tc>
      </w:tr>
      <w:tr>
        <w:tc>
          <w:tcPr>
            <w:tcW w:w="1020" w:type="dxa"/>
          </w:tcPr>
          <w:p>
            <w:pPr>
              <w:pStyle w:val="TableText"/>
              <w:jc w:val="left"/>
            </w:pPr>
            <m:oMath>
              <m:sSub>
                <m:e>
                  <m:r>
                    <w:rPr>
                      <w:rFonts w:ascii="Cambria Math" w:hAnsi="Cambria Math"/>
                      <w:sz w:val="15"/>
                      <w:szCs w:val="15"/>
                    </w:rPr>
                    <m:t>χ</m:t>
                  </m:r>
                </m:e>
                <m:sub>
                  <m:r>
                    <w:rPr>
                      <w:rFonts w:ascii="Cambria Math" w:hAnsi="Cambria Math"/>
                      <w:sz w:val="15"/>
                      <w:szCs w:val="15"/>
                    </w:rPr>
                    <m:t>t</m:t>
                  </m:r>
                </m:sub>
              </m:sSub>
            </m:oMath>
          </w:p>
        </w:tc>
        <w:tc>
          <w:tcPr>
            <w:tcW w:w="3898" w:type="dxa"/>
          </w:tcPr>
          <w:p>
            <w:pPr>
              <w:pStyle w:val="TableText"/>
              <w:jc w:val="left"/>
            </w:pPr>
            <w:r>
              <w:t xml:space="preserve">Multiplier of the cooling balance (CNY/MWh</w:t>
            </w:r>
            <w:r>
              <w:rPr>
                <w:vertAlign w:val="subscript"/>
              </w:rPr>
              <w:t xml:space="preserve">th</w:t>
            </w:r>
            <w:r>
              <w:t xml:space="preserve">)</w:t>
            </w:r>
          </w:p>
        </w:tc>
      </w:tr>
      <w:tr>
        <w:tc>
          <w:tcPr>
            <w:tcW w:w="1020" w:type="dxa"/>
          </w:tcPr>
          <w:p>
            <w:pPr>
              <w:pStyle w:val="TableText"/>
              <w:jc w:val="left"/>
            </w:pPr>
            <m:oMath>
              <m:sSubSup>
                <m:e>
                  <m:r>
                    <w:rPr>
                      <w:rFonts w:ascii="Cambria Math" w:hAnsi="Cambria Math"/>
                      <w:sz w:val="15"/>
                      <w:szCs w:val="15"/>
                    </w:rPr>
                    <m:t>λ</m:t>
                  </m:r>
                </m:e>
                <m:sub>
                  <m:r>
                    <w:rPr>
                      <w:rFonts w:ascii="Cambria Math" w:hAnsi="Cambria Math"/>
                      <w:sz w:val="15"/>
                      <w:szCs w:val="15"/>
                    </w:rPr>
                    <m:t>t</m:t>
                  </m:r>
                </m:sub>
                <m:sup>
                  <m:r>
                    <w:rPr>
                      <w:rFonts w:ascii="Cambria Math" w:hAnsi="Cambria Math"/>
                      <w:sz w:val="15"/>
                      <w:szCs w:val="15"/>
                    </w:rPr>
                    <m:t>c</m:t>
                  </m:r>
                  <m:r>
                    <w:rPr>
                      <w:rFonts w:ascii="Cambria Math" w:hAnsi="Cambria Math"/>
                      <w:sz w:val="15"/>
                      <w:szCs w:val="15"/>
                    </w:rPr>
                    <m:t>a</m:t>
                  </m:r>
                  <m:r>
                    <w:rPr>
                      <w:rFonts w:ascii="Cambria Math" w:hAnsi="Cambria Math"/>
                      <w:sz w:val="15"/>
                      <w:szCs w:val="15"/>
                    </w:rPr>
                    <m:t>p</m:t>
                  </m:r>
                </m:sup>
              </m:sSubSup>
            </m:oMath>
          </w:p>
        </w:tc>
        <w:tc>
          <w:tcPr>
            <w:tcW w:w="3898" w:type="dxa"/>
          </w:tcPr>
          <w:p>
            <w:pPr>
              <w:pStyle w:val="TableText"/>
              <w:jc w:val="left"/>
            </w:pPr>
            <w:r>
              <w:t xml:space="preserve">Multiplier of the connection limit (CNY/MWh)</w:t>
            </w:r>
          </w:p>
        </w:tc>
      </w:tr>
      <w:tr>
        <w:tc>
          <w:tcPr>
            <w:tcW w:w="1020" w:type="dxa"/>
          </w:tcPr>
          <w:p>
            <w:pPr>
              <w:pStyle w:val="TableText"/>
              <w:jc w:val="left"/>
            </w:pPr>
            <m:oMath>
              <m:sSubSup>
                <m:e>
                  <m:r>
                    <w:rPr>
                      <w:rFonts w:ascii="Cambria Math" w:hAnsi="Cambria Math"/>
                      <w:sz w:val="15"/>
                      <w:szCs w:val="15"/>
                    </w:rPr>
                    <m:t>λ</m:t>
                  </m:r>
                </m:e>
                <m:sub>
                  <m:r>
                    <w:rPr>
                      <w:rFonts w:ascii="Cambria Math" w:hAnsi="Cambria Math"/>
                      <w:sz w:val="15"/>
                      <w:szCs w:val="15"/>
                    </w:rPr>
                    <m:t>t</m:t>
                  </m:r>
                </m:sub>
                <m:sup>
                  <m:r>
                    <w:rPr>
                      <w:rFonts w:ascii="Cambria Math" w:hAnsi="Cambria Math"/>
                      <w:sz w:val="15"/>
                      <w:szCs w:val="15"/>
                    </w:rPr>
                    <m:t>e</m:t>
                  </m:r>
                  <m:r>
                    <w:rPr>
                      <w:rFonts w:ascii="Cambria Math" w:hAnsi="Cambria Math"/>
                      <w:sz w:val="15"/>
                      <w:szCs w:val="15"/>
                    </w:rPr>
                    <m:t>v</m:t>
                  </m:r>
                </m:sup>
              </m:sSubSup>
            </m:oMath>
          </w:p>
        </w:tc>
        <w:tc>
          <w:tcPr>
            <w:tcW w:w="3898" w:type="dxa"/>
          </w:tcPr>
          <w:p>
            <w:pPr>
              <w:pStyle w:val="TableText"/>
              <w:jc w:val="left"/>
            </w:pPr>
            <w:r>
              <w:t xml:space="preserve">Marginal settlement value of the import in event steps (CNY/MWh)</w:t>
            </w:r>
          </w:p>
        </w:tc>
      </w:tr>
      <w:tr>
        <w:tc>
          <w:tcPr>
            <w:tcW w:w="1020" w:type="dxa"/>
          </w:tcPr>
          <w:p>
            <w:pPr>
              <w:pStyle w:val="TableText"/>
              <w:jc w:val="left"/>
            </w:pPr>
            <m:oMath>
              <m:sSub>
                <m:e>
                  <m:r>
                    <w:rPr>
                      <w:rFonts w:ascii="Cambria Math" w:hAnsi="Cambria Math"/>
                      <w:sz w:val="15"/>
                      <w:szCs w:val="15"/>
                    </w:rPr>
                    <m:t>ν</m:t>
                  </m:r>
                </m:e>
                <m:sub>
                  <m:r>
                    <w:rPr>
                      <w:rFonts w:ascii="Cambria Math" w:hAnsi="Cambria Math"/>
                      <w:sz w:val="15"/>
                      <w:szCs w:val="15"/>
                    </w:rPr>
                    <m:t>t</m:t>
                  </m:r>
                </m:sub>
              </m:sSub>
            </m:oMath>
          </w:p>
        </w:tc>
        <w:tc>
          <w:tcPr>
            <w:tcW w:w="3898" w:type="dxa"/>
          </w:tcPr>
          <w:p>
            <w:pPr>
              <w:pStyle w:val="TableText"/>
              <w:jc w:val="left"/>
            </w:pPr>
            <w:r>
              <w:t xml:space="preserve">Multiplier of the BESS balance (CNY/MWh)</w:t>
            </w:r>
          </w:p>
        </w:tc>
      </w:tr>
      <w:tr>
        <w:tc>
          <w:tcPr>
            <w:tcW w:w="1020" w:type="dxa"/>
          </w:tcPr>
          <w:p>
            <w:pPr>
              <w:pStyle w:val="TableText"/>
              <w:jc w:val="left"/>
            </w:pPr>
            <m:oMath>
              <m:sSub>
                <m:e>
                  <m:r>
                    <w:rPr>
                      <w:rFonts w:ascii="Cambria Math" w:hAnsi="Cambria Math"/>
                      <w:sz w:val="15"/>
                      <w:szCs w:val="15"/>
                    </w:rPr>
                    <m:t>μ</m:t>
                  </m:r>
                </m:e>
                <m:sub>
                  <m:r>
                    <w:rPr>
                      <w:rFonts w:ascii="Cambria Math" w:hAnsi="Cambria Math"/>
                      <w:sz w:val="15"/>
                      <w:szCs w:val="15"/>
                    </w:rPr>
                    <m:t>c</m:t>
                  </m:r>
                  <m:r>
                    <m:rPr>
                      <m:sty m:val="p"/>
                    </m:rPr>
                    <w:rPr>
                      <w:rFonts w:ascii="Cambria Math" w:hAnsi="Cambria Math"/>
                      <w:sz w:val="15"/>
                      <w:szCs w:val="15"/>
                    </w:rPr>
                    <m:t>,</m:t>
                  </m:r>
                  <m:r>
                    <w:rPr>
                      <w:rFonts w:ascii="Cambria Math" w:hAnsi="Cambria Math"/>
                      <w:sz w:val="15"/>
                      <w:szCs w:val="15"/>
                    </w:rPr>
                    <m:t>t</m:t>
                  </m:r>
                </m:sub>
              </m:sSub>
            </m:oMath>
          </w:p>
        </w:tc>
        <w:tc>
          <w:tcPr>
            <w:tcW w:w="3898" w:type="dxa"/>
          </w:tcPr>
          <w:p>
            <w:pPr>
              <w:pStyle w:val="TableText"/>
              <w:jc w:val="left"/>
            </w:pPr>
            <w:r>
              <w:t xml:space="preserve">Multiplier of the class-</w:t>
            </w:r>
            <m:oMath>
              <m:r>
                <w:rPr>
                  <w:rFonts w:ascii="Cambria Math" w:hAnsi="Cambria Math"/>
                  <w:sz w:val="15"/>
                  <w:szCs w:val="15"/>
                </w:rPr>
                <m:t>c</m:t>
              </m:r>
            </m:oMath>
            <w:r>
              <w:t xml:space="preserve"> </w:t>
            </w:r>
            <w:r>
              <w:t xml:space="preserve">backlog balance (CNY per GPU·h)</w:t>
            </w:r>
          </w:p>
        </w:tc>
      </w:tr>
      <w:tr>
        <w:tc>
          <w:tcPr>
            <w:tcW w:w="1020" w:type="dxa"/>
          </w:tcPr>
          <w:p>
            <w:pPr>
              <w:pStyle w:val="TableText"/>
              <w:jc w:val="left"/>
            </w:pPr>
            <m:oMath>
              <m:r>
                <m:rPr>
                  <m:scr m:val="script"/>
                  <m:sty m:val="p"/>
                </m:rPr>
                <w:rPr>
                  <w:rFonts w:ascii="Cambria Math" w:hAnsi="Cambria Math"/>
                  <w:sz w:val="15"/>
                  <w:szCs w:val="15"/>
                </w:rPr>
                <m:t>L</m:t>
              </m:r>
            </m:oMath>
          </w:p>
        </w:tc>
        <w:tc>
          <w:tcPr>
            <w:tcW w:w="3898" w:type="dxa"/>
          </w:tcPr>
          <w:p>
            <w:pPr>
              <w:pStyle w:val="TableText"/>
              <w:jc w:val="left"/>
            </w:pPr>
            <w:r>
              <w:t xml:space="preserve">Lagrangian of the joint recovery model</w:t>
            </w:r>
          </w:p>
        </w:tc>
      </w:tr>
      <w:tr>
        <w:tc>
          <w:tcPr>
            <w:tcW w:w="1020" w:type="dxa"/>
          </w:tcPr>
          <w:p>
            <w:pPr>
              <w:pStyle w:val="TableText"/>
              <w:jc w:val="left"/>
            </w:pPr>
            <m:oMath>
              <m:sSub>
                <m:e>
                  <m:r>
                    <w:rPr>
                      <w:rFonts w:ascii="Cambria Math" w:hAnsi="Cambria Math"/>
                      <w:sz w:val="15"/>
                      <w:szCs w:val="15"/>
                    </w:rPr>
                    <m:t>ξ</m:t>
                  </m:r>
                </m:e>
                <m:sub>
                  <m:r>
                    <w:rPr>
                      <w:rFonts w:ascii="Cambria Math" w:hAnsi="Cambria Math"/>
                      <w:sz w:val="15"/>
                      <w:szCs w:val="15"/>
                    </w:rPr>
                    <m:t>d</m:t>
                  </m:r>
                </m:sub>
              </m:sSub>
            </m:oMath>
          </w:p>
        </w:tc>
        <w:tc>
          <w:tcPr>
            <w:tcW w:w="3898" w:type="dxa"/>
          </w:tcPr>
          <w:p>
            <w:pPr>
              <w:pStyle w:val="TableText"/>
              <w:jc w:val="left"/>
            </w:pPr>
            <w:r>
              <w:t xml:space="preserve">Closed-loop capability of the controller on day</w:t>
            </w:r>
            <w:r>
              <w:t xml:space="preserve"> </w:t>
            </w:r>
            <m:oMath>
              <m:r>
                <w:rPr>
                  <w:rFonts w:ascii="Cambria Math" w:hAnsi="Cambria Math"/>
                  <w:sz w:val="15"/>
                  <w:szCs w:val="15"/>
                </w:rPr>
                <m:t>d</m:t>
              </m:r>
            </m:oMath>
            <w:r>
              <w:t xml:space="preserve"> </w:t>
            </w:r>
            <w:r>
              <w:t xml:space="preserve">(MW)</w:t>
            </w:r>
          </w:p>
        </w:tc>
      </w:tr>
      <w:tr>
        <w:tc>
          <w:tcPr>
            <w:tcW w:w="1020" w:type="dxa"/>
          </w:tcPr>
          <w:p>
            <w:pPr>
              <w:pStyle w:val="TableText"/>
              <w:jc w:val="left"/>
            </w:pPr>
            <m:oMath>
              <m:sSub>
                <m:e>
                  <m:r>
                    <w:rPr>
                      <w:rFonts w:ascii="Cambria Math" w:hAnsi="Cambria Math"/>
                      <w:sz w:val="15"/>
                      <w:szCs w:val="15"/>
                    </w:rPr>
                    <m:t>J</m:t>
                  </m:r>
                </m:e>
                <m:sub>
                  <m:r>
                    <w:rPr>
                      <w:rFonts w:ascii="Cambria Math" w:hAnsi="Cambria Math"/>
                      <w:sz w:val="15"/>
                      <w:szCs w:val="15"/>
                    </w:rPr>
                    <m:t>d</m:t>
                  </m:r>
                </m:sub>
              </m:sSub>
              <m:d>
                <m:dPr>
                  <m:begChr m:val="("/>
                  <m:sepChr m:val=""/>
                  <m:endChr m:val=")"/>
                  <m:grow/>
                </m:dPr>
                <m:e>
                  <m:r>
                    <w:rPr>
                      <w:rFonts w:ascii="Cambria Math" w:hAnsi="Cambria Math"/>
                      <w:sz w:val="15"/>
                      <w:szCs w:val="15"/>
                    </w:rPr>
                    <m:t>C</m:t>
                  </m:r>
                </m:e>
              </m:d>
            </m:oMath>
          </w:p>
        </w:tc>
        <w:tc>
          <w:tcPr>
            <w:tcW w:w="3898" w:type="dxa"/>
          </w:tcPr>
          <w:p>
            <w:pPr>
              <w:pStyle w:val="TableText"/>
              <w:jc w:val="left"/>
            </w:pPr>
            <w:r>
              <w:t xml:space="preserve">Cost of the controller on day</w:t>
            </w:r>
            <w:r>
              <w:t xml:space="preserve"> </w:t>
            </w:r>
            <m:oMath>
              <m:r>
                <w:rPr>
                  <w:rFonts w:ascii="Cambria Math" w:hAnsi="Cambria Math"/>
                  <w:sz w:val="15"/>
                  <w:szCs w:val="15"/>
                </w:rPr>
                <m:t>d</m:t>
              </m:r>
            </m:oMath>
            <w:r>
              <w:t xml:space="preserve"> </w:t>
            </w:r>
            <w:r>
              <w:t xml:space="preserve">at commitment</w:t>
            </w:r>
            <w:r>
              <w:t xml:space="preserve"> </w:t>
            </w:r>
            <m:oMath>
              <m:r>
                <w:rPr>
                  <w:rFonts w:ascii="Cambria Math" w:hAnsi="Cambria Math"/>
                  <w:sz w:val="15"/>
                  <w:szCs w:val="15"/>
                </w:rPr>
                <m:t>C</m:t>
              </m:r>
            </m:oMath>
            <w:r>
              <w:t xml:space="preserve"> </w:t>
            </w:r>
            <w:r>
              <w:t xml:space="preserve">(CNY)</w:t>
            </w:r>
          </w:p>
        </w:tc>
      </w:tr>
      <w:tr>
        <w:tc>
          <w:tcPr>
            <w:tcW w:w="1020" w:type="dxa"/>
          </w:tcPr>
          <w:p>
            <w:pPr>
              <w:pStyle w:val="TableText"/>
              <w:jc w:val="left"/>
            </w:pPr>
            <m:oMath>
              <m:acc>
                <m:accPr>
                  <m:chr m:val="‾"/>
                </m:accPr>
                <m:e>
                  <m:r>
                    <w:rPr>
                      <w:rFonts w:ascii="Cambria Math" w:hAnsi="Cambria Math"/>
                      <w:sz w:val="15"/>
                      <w:szCs w:val="15"/>
                    </w:rPr>
                    <m:t>J</m:t>
                  </m:r>
                </m:e>
              </m:acc>
              <m:d>
                <m:dPr>
                  <m:begChr m:val="("/>
                  <m:sepChr m:val=""/>
                  <m:endChr m:val=")"/>
                  <m:grow/>
                </m:dPr>
                <m:e>
                  <m:r>
                    <w:rPr>
                      <w:rFonts w:ascii="Cambria Math" w:hAnsi="Cambria Math"/>
                      <w:sz w:val="15"/>
                      <w:szCs w:val="15"/>
                    </w:rPr>
                    <m:t>C</m:t>
                  </m:r>
                </m:e>
              </m:d>
            </m:oMath>
          </w:p>
        </w:tc>
        <w:tc>
          <w:tcPr>
            <w:tcW w:w="3898" w:type="dxa"/>
          </w:tcPr>
          <w:p>
            <w:pPr>
              <w:pStyle w:val="TableText"/>
              <w:jc w:val="left"/>
            </w:pPr>
            <w:r>
              <w:t xml:space="preserve">Mean back-tested cost at commitment</w:t>
            </w:r>
            <w:r>
              <w:t xml:space="preserve"> </w:t>
            </w:r>
            <m:oMath>
              <m:r>
                <w:rPr>
                  <w:rFonts w:ascii="Cambria Math" w:hAnsi="Cambria Math"/>
                  <w:sz w:val="15"/>
                  <w:szCs w:val="15"/>
                </w:rPr>
                <m:t>C</m:t>
              </m:r>
            </m:oMath>
            <w:r>
              <w:t xml:space="preserve"> </w:t>
            </w:r>
            <w:r>
              <w:t xml:space="preserve">(CNY)</w:t>
            </w:r>
          </w:p>
        </w:tc>
      </w:tr>
      <w:tr>
        <w:tc>
          <w:tcPr>
            <w:tcW w:w="1020" w:type="dxa"/>
          </w:tcPr>
          <w:p>
            <w:pPr>
              <w:pStyle w:val="TableText"/>
              <w:jc w:val="left"/>
            </w:pPr>
            <m:oMath>
              <m:sSub>
                <m:e>
                  <m:acc>
                    <m:accPr>
                      <m:chr m:val="̂"/>
                    </m:accPr>
                    <m:e>
                      <m:r>
                        <w:rPr>
                          <w:rFonts w:ascii="Cambria Math" w:hAnsi="Cambria Math"/>
                          <w:sz w:val="15"/>
                          <w:szCs w:val="15"/>
                        </w:rPr>
                        <m:t>P</m:t>
                      </m:r>
                    </m:e>
                  </m:acc>
                </m:e>
                <m:sub>
                  <m:r>
                    <w:rPr>
                      <w:rFonts w:ascii="Cambria Math" w:hAnsi="Cambria Math"/>
                      <w:sz w:val="15"/>
                      <w:szCs w:val="15"/>
                    </w:rPr>
                    <m:t>N</m:t>
                  </m:r>
                </m:sub>
              </m:sSub>
            </m:oMath>
          </w:p>
        </w:tc>
        <w:tc>
          <w:tcPr>
            <w:tcW w:w="3898" w:type="dxa"/>
          </w:tcPr>
          <w:p>
            <w:pPr>
              <w:pStyle w:val="TableText"/>
              <w:jc w:val="left"/>
            </w:pPr>
            <w:r>
              <w:t xml:space="preserve">Empirical distribution of the capability</w:t>
            </w:r>
          </w:p>
        </w:tc>
      </w:tr>
      <w:tr>
        <w:tc>
          <w:tcPr>
            <w:tcW w:w="1020" w:type="dxa"/>
          </w:tcPr>
          <w:p>
            <w:pPr>
              <w:pStyle w:val="TableText"/>
              <w:jc w:val="left"/>
            </w:pPr>
            <m:oMath>
              <m:sSub>
                <m:e>
                  <m:r>
                    <m:rPr>
                      <m:scr m:val="script"/>
                      <m:sty m:val="p"/>
                    </m:rPr>
                    <w:rPr>
                      <w:rFonts w:ascii="Cambria Math" w:hAnsi="Cambria Math"/>
                      <w:sz w:val="15"/>
                      <w:szCs w:val="15"/>
                    </w:rPr>
                    <m:t>B</m:t>
                  </m:r>
                </m:e>
                <m:sub>
                  <m:r>
                    <w:rPr>
                      <w:rFonts w:ascii="Cambria Math" w:hAnsi="Cambria Math"/>
                      <w:sz w:val="15"/>
                      <w:szCs w:val="15"/>
                    </w:rPr>
                    <m:t>ε</m:t>
                  </m:r>
                </m:sub>
              </m:sSub>
              <m:d>
                <m:dPr>
                  <m:begChr m:val="("/>
                  <m:sepChr m:val=""/>
                  <m:endChr m:val=")"/>
                  <m:grow/>
                </m:dPr>
                <m:e>
                  <m:sSub>
                    <m:e>
                      <m:acc>
                        <m:accPr>
                          <m:chr m:val="̂"/>
                        </m:accPr>
                        <m:e>
                          <m:r>
                            <w:rPr>
                              <w:rFonts w:ascii="Cambria Math" w:hAnsi="Cambria Math"/>
                              <w:sz w:val="15"/>
                              <w:szCs w:val="15"/>
                            </w:rPr>
                            <m:t>P</m:t>
                          </m:r>
                        </m:e>
                      </m:acc>
                    </m:e>
                    <m:sub>
                      <m:r>
                        <w:rPr>
                          <w:rFonts w:ascii="Cambria Math" w:hAnsi="Cambria Math"/>
                          <w:sz w:val="15"/>
                          <w:szCs w:val="15"/>
                        </w:rPr>
                        <m:t>N</m:t>
                      </m:r>
                    </m:sub>
                  </m:sSub>
                </m:e>
              </m:d>
            </m:oMath>
          </w:p>
        </w:tc>
        <w:tc>
          <w:tcPr>
            <w:tcW w:w="3898" w:type="dxa"/>
          </w:tcPr>
          <w:p>
            <w:pPr>
              <w:pStyle w:val="TableText"/>
              <w:jc w:val="left"/>
            </w:pPr>
            <w:r>
              <w:t xml:space="preserve">1-Wasserstein ambiguity set</w:t>
            </w:r>
          </w:p>
        </w:tc>
      </w:tr>
      <w:tr>
        <w:tc>
          <w:tcPr>
            <w:tcW w:w="1020" w:type="dxa"/>
          </w:tcPr>
          <w:p>
            <w:pPr>
              <w:pStyle w:val="TableText"/>
              <w:jc w:val="left"/>
            </w:pPr>
            <m:oMath>
              <m:sSub>
                <m:e>
                  <m:r>
                    <m:rPr>
                      <m:scr m:val="script"/>
                      <m:sty m:val="p"/>
                    </m:rPr>
                    <w:rPr>
                      <w:rFonts w:ascii="Cambria Math" w:hAnsi="Cambria Math"/>
                      <w:sz w:val="15"/>
                      <w:szCs w:val="15"/>
                    </w:rPr>
                    <m:t>D</m:t>
                  </m:r>
                </m:e>
                <m:sub>
                  <m:r>
                    <w:rPr>
                      <w:rFonts w:ascii="Cambria Math" w:hAnsi="Cambria Math"/>
                      <w:sz w:val="15"/>
                      <w:szCs w:val="15"/>
                    </w:rPr>
                    <m:t>C</m:t>
                  </m:r>
                </m:sub>
              </m:sSub>
            </m:oMath>
          </w:p>
        </w:tc>
        <w:tc>
          <w:tcPr>
            <w:tcW w:w="3898" w:type="dxa"/>
          </w:tcPr>
          <w:p>
            <w:pPr>
              <w:pStyle w:val="TableText"/>
              <w:jc w:val="left"/>
            </w:pPr>
            <w:r>
              <w:t xml:space="preserve">Days that deliver commitment</w:t>
            </w:r>
            <w:r>
              <w:t xml:space="preserve"> </w:t>
            </w:r>
            <m:oMath>
              <m:r>
                <w:rPr>
                  <w:rFonts w:ascii="Cambria Math" w:hAnsi="Cambria Math"/>
                  <w:sz w:val="15"/>
                  <w:szCs w:val="15"/>
                </w:rPr>
                <m:t>C</m:t>
              </m:r>
            </m:oMath>
          </w:p>
        </w:tc>
      </w:tr>
      <w:tr>
        <w:tc>
          <w:tcPr>
            <w:tcW w:w="1020" w:type="dxa"/>
          </w:tcPr>
          <w:p>
            <w:pPr>
              <w:pStyle w:val="TableText"/>
              <w:jc w:val="left"/>
            </w:pPr>
            <m:oMath>
              <m:sSub>
                <m:e>
                  <m:r>
                    <w:rPr>
                      <w:rFonts w:ascii="Cambria Math" w:hAnsi="Cambria Math"/>
                      <w:sz w:val="15"/>
                      <w:szCs w:val="15"/>
                    </w:rPr>
                    <m:t>δ</m:t>
                  </m:r>
                </m:e>
                <m:sub>
                  <m:r>
                    <w:rPr>
                      <w:rFonts w:ascii="Cambria Math" w:hAnsi="Cambria Math"/>
                      <w:sz w:val="15"/>
                      <w:szCs w:val="15"/>
                    </w:rPr>
                    <m:t>d</m:t>
                  </m:r>
                </m:sub>
              </m:sSub>
              <m:d>
                <m:dPr>
                  <m:begChr m:val="("/>
                  <m:sepChr m:val=""/>
                  <m:endChr m:val=")"/>
                  <m:grow/>
                </m:dPr>
                <m:e>
                  <m:r>
                    <w:rPr>
                      <w:rFonts w:ascii="Cambria Math" w:hAnsi="Cambria Math"/>
                      <w:sz w:val="15"/>
                      <w:szCs w:val="15"/>
                    </w:rPr>
                    <m:t>C</m:t>
                  </m:r>
                </m:e>
              </m:d>
            </m:oMath>
          </w:p>
        </w:tc>
        <w:tc>
          <w:tcPr>
            <w:tcW w:w="3898" w:type="dxa"/>
          </w:tcPr>
          <w:p>
            <w:pPr>
              <w:pStyle w:val="TableText"/>
              <w:jc w:val="left"/>
            </w:pPr>
            <w:r>
              <w:t xml:space="preserve">Capability margin of day</w:t>
            </w:r>
            <w:r>
              <w:t xml:space="preserve"> </w:t>
            </w:r>
            <m:oMath>
              <m:r>
                <w:rPr>
                  <w:rFonts w:ascii="Cambria Math" w:hAnsi="Cambria Math"/>
                  <w:sz w:val="15"/>
                  <w:szCs w:val="15"/>
                </w:rPr>
                <m:t>d</m:t>
              </m:r>
            </m:oMath>
            <w:r>
              <w:t xml:space="preserve"> </w:t>
            </w:r>
            <w:r>
              <w:t xml:space="preserve">(MW)</w:t>
            </w:r>
          </w:p>
        </w:tc>
      </w:tr>
      <w:tr>
        <w:tc>
          <w:tcPr>
            <w:tcW w:w="1020" w:type="dxa"/>
          </w:tcPr>
          <w:p>
            <w:pPr>
              <w:pStyle w:val="TableText"/>
              <w:jc w:val="left"/>
            </w:pPr>
            <m:oMath>
              <m:r>
                <w:rPr>
                  <w:rFonts w:ascii="Cambria Math" w:hAnsi="Cambria Math"/>
                  <w:sz w:val="15"/>
                  <w:szCs w:val="15"/>
                </w:rPr>
                <m:t>n</m:t>
              </m:r>
              <m:d>
                <m:dPr>
                  <m:begChr m:val="("/>
                  <m:sepChr m:val=""/>
                  <m:endChr m:val=")"/>
                  <m:grow/>
                </m:dPr>
                <m:e>
                  <m:r>
                    <w:rPr>
                      <w:rFonts w:ascii="Cambria Math" w:hAnsi="Cambria Math"/>
                      <w:sz w:val="15"/>
                      <w:szCs w:val="15"/>
                    </w:rPr>
                    <m:t>C</m:t>
                  </m:r>
                </m:e>
              </m:d>
            </m:oMath>
          </w:p>
        </w:tc>
        <w:tc>
          <w:tcPr>
            <w:tcW w:w="3898" w:type="dxa"/>
          </w:tcPr>
          <w:p>
            <w:pPr>
              <w:pStyle w:val="TableText"/>
              <w:jc w:val="left"/>
            </w:pPr>
            <w:r>
              <w:t xml:space="preserve">Number of days that deliver commitment</w:t>
            </w:r>
            <w:r>
              <w:t xml:space="preserve"> </w:t>
            </w:r>
            <m:oMath>
              <m:r>
                <w:rPr>
                  <w:rFonts w:ascii="Cambria Math" w:hAnsi="Cambria Math"/>
                  <w:sz w:val="15"/>
                  <w:szCs w:val="15"/>
                </w:rPr>
                <m:t>C</m:t>
              </m:r>
            </m:oMath>
          </w:p>
        </w:tc>
      </w:tr>
      <w:tr>
        <w:tc>
          <w:tcPr>
            <w:tcW w:w="1020" w:type="dxa"/>
          </w:tcPr>
          <w:p>
            <w:pPr>
              <w:pStyle w:val="TableText"/>
              <w:jc w:val="left"/>
            </w:pPr>
            <m:oMath>
              <m:r>
                <w:rPr>
                  <w:rFonts w:ascii="Cambria Math" w:hAnsi="Cambria Math"/>
                  <w:sz w:val="15"/>
                  <w:szCs w:val="15"/>
                </w:rPr>
                <m:t>q</m:t>
              </m:r>
              <m:d>
                <m:dPr>
                  <m:begChr m:val="("/>
                  <m:sepChr m:val=""/>
                  <m:endChr m:val=")"/>
                  <m:grow/>
                </m:dPr>
                <m:e>
                  <m:r>
                    <w:rPr>
                      <w:rFonts w:ascii="Cambria Math" w:hAnsi="Cambria Math"/>
                      <w:sz w:val="15"/>
                      <w:szCs w:val="15"/>
                    </w:rPr>
                    <m:t>C</m:t>
                  </m:r>
                </m:e>
              </m:d>
            </m:oMath>
          </w:p>
        </w:tc>
        <w:tc>
          <w:tcPr>
            <w:tcW w:w="3898" w:type="dxa"/>
          </w:tcPr>
          <w:p>
            <w:pPr>
              <w:pStyle w:val="TableText"/>
              <w:jc w:val="left"/>
            </w:pPr>
            <w:r>
              <w:t xml:space="preserve">Slack</w:t>
            </w:r>
            <w:r>
              <w:t xml:space="preserve"> </w:t>
            </w:r>
            <m:oMath>
              <m:r>
                <w:rPr>
                  <w:rFonts w:ascii="Cambria Math" w:hAnsi="Cambria Math"/>
                  <w:sz w:val="15"/>
                  <w:szCs w:val="15"/>
                </w:rPr>
                <m:t>n</m:t>
              </m:r>
              <m:d>
                <m:dPr>
                  <m:begChr m:val="("/>
                  <m:sepChr m:val=""/>
                  <m:endChr m:val=")"/>
                  <m:grow/>
                </m:dPr>
                <m:e>
                  <m:r>
                    <w:rPr>
                      <w:rFonts w:ascii="Cambria Math" w:hAnsi="Cambria Math"/>
                      <w:sz w:val="15"/>
                      <w:szCs w:val="15"/>
                    </w:rPr>
                    <m:t>C</m:t>
                  </m:r>
                </m:e>
              </m:d>
              <m:r>
                <m:rPr>
                  <m:sty m:val="p"/>
                </m:rPr>
                <w:rPr>
                  <w:rFonts w:ascii="Cambria Math" w:hAnsi="Cambria Math"/>
                  <w:sz w:val="15"/>
                  <w:szCs w:val="15"/>
                </w:rPr>
                <m:t>−</m:t>
              </m:r>
              <m:r>
                <w:rPr>
                  <w:rFonts w:ascii="Cambria Math" w:hAnsi="Cambria Math"/>
                  <w:sz w:val="15"/>
                  <w:szCs w:val="15"/>
                </w:rPr>
                <m:t>ρ</m:t>
              </m:r>
              <m:r>
                <w:rPr>
                  <w:rFonts w:ascii="Cambria Math" w:hAnsi="Cambria Math"/>
                  <w:sz w:val="15"/>
                  <w:szCs w:val="15"/>
                </w:rPr>
                <m:t>N</m:t>
              </m:r>
            </m:oMath>
          </w:p>
        </w:tc>
      </w:tr>
      <w:tr>
        <w:tc>
          <w:tcPr>
            <w:tcW w:w="1020" w:type="dxa"/>
          </w:tcPr>
          <w:p>
            <w:pPr>
              <w:pStyle w:val="TableText"/>
              <w:jc w:val="left"/>
            </w:pPr>
            <m:oMath>
              <m:sSub>
                <m:e>
                  <m:r>
                    <w:rPr>
                      <w:rFonts w:ascii="Cambria Math" w:hAnsi="Cambria Math"/>
                      <w:sz w:val="15"/>
                      <w:szCs w:val="15"/>
                    </w:rPr>
                    <m:t>w</m:t>
                  </m:r>
                </m:e>
                <m:sub>
                  <m:r>
                    <w:rPr>
                      <w:rFonts w:ascii="Cambria Math" w:hAnsi="Cambria Math"/>
                      <w:sz w:val="15"/>
                      <w:szCs w:val="15"/>
                    </w:rPr>
                    <m:t>d</m:t>
                  </m:r>
                </m:sub>
              </m:sSub>
            </m:oMath>
          </w:p>
        </w:tc>
        <w:tc>
          <w:tcPr>
            <w:tcW w:w="3898" w:type="dxa"/>
          </w:tcPr>
          <w:p>
            <w:pPr>
              <w:pStyle w:val="TableText"/>
              <w:jc w:val="left"/>
            </w:pPr>
            <w:r>
              <w:t xml:space="preserve">Probability mass moved from day</w:t>
            </w:r>
            <w:r>
              <w:t xml:space="preserve"> </w:t>
            </w:r>
            <m:oMath>
              <m:r>
                <w:rPr>
                  <w:rFonts w:ascii="Cambria Math" w:hAnsi="Cambria Math"/>
                  <w:sz w:val="15"/>
                  <w:szCs w:val="15"/>
                </w:rPr>
                <m:t>d</m:t>
              </m:r>
            </m:oMath>
          </w:p>
        </w:tc>
      </w:tr>
      <w:tr>
        <w:tc>
          <w:tcPr>
            <w:tcW w:w="1020" w:type="dxa"/>
          </w:tcPr>
          <w:p>
            <w:pPr>
              <w:pStyle w:val="TableText"/>
              <w:jc w:val="left"/>
            </w:pPr>
            <m:oMath>
              <m:sSubSup>
                <m:e>
                  <m:r>
                    <w:rPr>
                      <w:rFonts w:ascii="Cambria Math" w:hAnsi="Cambria Math"/>
                      <w:sz w:val="15"/>
                      <w:szCs w:val="15"/>
                    </w:rPr>
                    <m:t>m</m:t>
                  </m:r>
                </m:e>
                <m:sub>
                  <m:r>
                    <w:rPr>
                      <w:rFonts w:ascii="Cambria Math" w:hAnsi="Cambria Math"/>
                      <w:sz w:val="15"/>
                      <w:szCs w:val="15"/>
                    </w:rPr>
                    <m:t>C</m:t>
                  </m:r>
                </m:sub>
                <m:sup>
                  <m:r>
                    <m:rPr>
                      <m:lit/>
                      <m:sty m:val="p"/>
                    </m:rPr>
                    <w:rPr>
                      <w:rFonts w:ascii="Cambria Math" w:hAnsi="Cambria Math"/>
                      <w:sz w:val="15"/>
                      <w:szCs w:val="15"/>
                    </w:rPr>
                    <m:t>*</m:t>
                  </m:r>
                </m:sup>
              </m:sSubSup>
              <m:d>
                <m:dPr>
                  <m:begChr m:val="("/>
                  <m:sepChr m:val=""/>
                  <m:endChr m:val=")"/>
                  <m:grow/>
                </m:dPr>
                <m:e>
                  <m:r>
                    <w:rPr>
                      <w:rFonts w:ascii="Cambria Math" w:hAnsi="Cambria Math"/>
                      <w:sz w:val="15"/>
                      <w:szCs w:val="15"/>
                    </w:rPr>
                    <m:t>ε</m:t>
                  </m:r>
                </m:e>
              </m:d>
            </m:oMath>
          </w:p>
        </w:tc>
        <w:tc>
          <w:tcPr>
            <w:tcW w:w="3898" w:type="dxa"/>
          </w:tcPr>
          <w:p>
            <w:pPr>
              <w:pStyle w:val="TableText"/>
              <w:jc w:val="left"/>
            </w:pPr>
            <w:r>
              <w:t xml:space="preserve">Largest probability mass removable within the transport budget</w:t>
            </w:r>
          </w:p>
        </w:tc>
      </w:tr>
      <w:tr>
        <w:tc>
          <w:tcPr>
            <w:tcW w:w="1020" w:type="dxa"/>
          </w:tcPr>
          <w:p>
            <w:pPr>
              <w:pStyle w:val="TableText"/>
              <w:jc w:val="left"/>
            </w:pPr>
            <m:oMath>
              <m:r>
                <w:rPr>
                  <w:rFonts w:ascii="Cambria Math" w:hAnsi="Cambria Math"/>
                  <w:sz w:val="15"/>
                  <w:szCs w:val="15"/>
                </w:rPr>
                <m:t>λ</m:t>
              </m:r>
            </m:oMath>
          </w:p>
        </w:tc>
        <w:tc>
          <w:tcPr>
            <w:tcW w:w="3898" w:type="dxa"/>
          </w:tcPr>
          <w:p>
            <w:pPr>
              <w:pStyle w:val="TableText"/>
              <w:jc w:val="left"/>
            </w:pPr>
            <w:r>
              <w:t xml:space="preserve">Multiplier of the transport budget</w:t>
            </w:r>
          </w:p>
        </w:tc>
      </w:tr>
      <w:tr>
        <w:tc>
          <w:tcPr>
            <w:tcW w:w="1020" w:type="dxa"/>
          </w:tcPr>
          <w:p>
            <w:pPr>
              <w:pStyle w:val="TableText"/>
              <w:jc w:val="left"/>
            </w:pPr>
            <m:oMath>
              <m:sSubSup>
                <m:e>
                  <m:r>
                    <w:rPr>
                      <w:rFonts w:ascii="Cambria Math" w:hAnsi="Cambria Math"/>
                      <w:sz w:val="15"/>
                      <w:szCs w:val="15"/>
                    </w:rPr>
                    <m:t>C</m:t>
                  </m:r>
                </m:e>
                <m:sub>
                  <m:r>
                    <w:rPr>
                      <w:rFonts w:ascii="Cambria Math" w:hAnsi="Cambria Math"/>
                      <w:sz w:val="15"/>
                      <w:szCs w:val="15"/>
                    </w:rPr>
                    <m:t>ρ</m:t>
                  </m:r>
                </m:sub>
                <m:sup>
                  <m:r>
                    <w:rPr>
                      <w:rFonts w:ascii="Cambria Math" w:hAnsi="Cambria Math"/>
                      <w:sz w:val="15"/>
                      <w:szCs w:val="15"/>
                    </w:rPr>
                    <m:t>D</m:t>
                  </m:r>
                  <m:r>
                    <w:rPr>
                      <w:rFonts w:ascii="Cambria Math" w:hAnsi="Cambria Math"/>
                      <w:sz w:val="15"/>
                      <w:szCs w:val="15"/>
                    </w:rPr>
                    <m:t>R</m:t>
                  </m:r>
                  <m:r>
                    <w:rPr>
                      <w:rFonts w:ascii="Cambria Math" w:hAnsi="Cambria Math"/>
                      <w:sz w:val="15"/>
                      <w:szCs w:val="15"/>
                    </w:rPr>
                    <m:t>O</m:t>
                  </m:r>
                </m:sup>
              </m:sSubSup>
              <m:d>
                <m:dPr>
                  <m:begChr m:val="("/>
                  <m:sepChr m:val=""/>
                  <m:endChr m:val=")"/>
                  <m:grow/>
                </m:dPr>
                <m:e>
                  <m:r>
                    <w:rPr>
                      <w:rFonts w:ascii="Cambria Math" w:hAnsi="Cambria Math"/>
                      <w:sz w:val="15"/>
                      <w:szCs w:val="15"/>
                    </w:rPr>
                    <m:t>ε</m:t>
                  </m:r>
                </m:e>
              </m:d>
            </m:oMath>
          </w:p>
        </w:tc>
        <w:tc>
          <w:tcPr>
            <w:tcW w:w="3898" w:type="dxa"/>
          </w:tcPr>
          <w:p>
            <w:pPr>
              <w:pStyle w:val="TableText"/>
              <w:jc w:val="left"/>
            </w:pPr>
            <w:r>
              <w:t xml:space="preserve">Distributionally robust firm capacity (MW)</w:t>
            </w:r>
          </w:p>
        </w:tc>
      </w:tr>
      <w:tr>
        <w:tc>
          <w:tcPr>
            <w:tcW w:w="1020" w:type="dxa"/>
          </w:tcPr>
          <w:p>
            <w:pPr>
              <w:pStyle w:val="TableText"/>
              <w:jc w:val="left"/>
            </w:pPr>
            <m:oMath>
              <m:sSub>
                <m:e>
                  <m:r>
                    <w:rPr>
                      <w:rFonts w:ascii="Cambria Math" w:hAnsi="Cambria Math"/>
                      <w:sz w:val="15"/>
                      <w:szCs w:val="15"/>
                    </w:rPr>
                    <m:t>Φ</m:t>
                  </m:r>
                </m:e>
                <m:sub>
                  <m:r>
                    <w:rPr>
                      <w:rFonts w:ascii="Cambria Math" w:hAnsi="Cambria Math"/>
                      <w:sz w:val="15"/>
                      <w:szCs w:val="15"/>
                    </w:rPr>
                    <m:t>ρ</m:t>
                  </m:r>
                </m:sub>
              </m:sSub>
              <m:d>
                <m:dPr>
                  <m:begChr m:val="("/>
                  <m:sepChr m:val=""/>
                  <m:endChr m:val=")"/>
                  <m:grow/>
                </m:dPr>
                <m:e>
                  <m:r>
                    <w:rPr>
                      <w:rFonts w:ascii="Cambria Math" w:hAnsi="Cambria Math"/>
                      <w:sz w:val="15"/>
                      <w:szCs w:val="15"/>
                    </w:rPr>
                    <m:t>C</m:t>
                  </m:r>
                </m:e>
              </m:d>
            </m:oMath>
          </w:p>
        </w:tc>
        <w:tc>
          <w:tcPr>
            <w:tcW w:w="3898" w:type="dxa"/>
          </w:tcPr>
          <w:p>
            <w:pPr>
              <w:pStyle w:val="TableText"/>
              <w:jc w:val="left"/>
            </w:pPr>
            <w:r>
              <w:t xml:space="preserve">Robust reliability margin (MW)</w:t>
            </w:r>
          </w:p>
        </w:tc>
      </w:tr>
      <w:tr>
        <w:tc>
          <w:tcPr>
            <w:tcW w:w="1020" w:type="dxa"/>
          </w:tcPr>
          <w:p>
            <w:pPr>
              <w:pStyle w:val="TableText"/>
              <w:jc w:val="left"/>
            </w:pPr>
            <m:oMath>
              <m:sSup>
                <m:e>
                  <m:r>
                    <w:rPr>
                      <w:rFonts w:ascii="Cambria Math" w:hAnsi="Cambria Math"/>
                      <w:sz w:val="15"/>
                      <w:szCs w:val="15"/>
                    </w:rPr>
                    <m:t>C</m:t>
                  </m:r>
                </m:e>
                <m:sup>
                  <m:r>
                    <m:rPr>
                      <m:lit/>
                      <m:sty m:val="p"/>
                    </m:rPr>
                    <w:rPr>
                      <w:rFonts w:ascii="Cambria Math" w:hAnsi="Cambria Math"/>
                      <w:sz w:val="15"/>
                      <w:szCs w:val="15"/>
                    </w:rPr>
                    <m:t>*</m:t>
                  </m:r>
                </m:sup>
              </m:sSup>
            </m:oMath>
          </w:p>
        </w:tc>
        <w:tc>
          <w:tcPr>
            <w:tcW w:w="3898" w:type="dxa"/>
          </w:tcPr>
          <w:p>
            <w:pPr>
              <w:pStyle w:val="TableText"/>
              <w:jc w:val="left"/>
            </w:pPr>
            <w:r>
              <w:t xml:space="preserve">Cost-optimal day-ahead commitment (MW)</w:t>
            </w:r>
          </w:p>
        </w:tc>
      </w:tr>
      <w:tr>
        <w:tc>
          <w:tcPr>
            <w:tcW w:w="1020" w:type="dxa"/>
          </w:tcPr>
          <w:p>
            <w:pPr>
              <w:pStyle w:val="TableText"/>
              <w:jc w:val="left"/>
            </w:pPr>
            <m:oMath>
              <m:sSub>
                <m:e>
                  <m:acc>
                    <m:accPr>
                      <m:chr m:val="̂"/>
                    </m:accPr>
                    <m:e>
                      <m:r>
                        <m:rPr>
                          <m:sty m:val="b"/>
                        </m:rPr>
                        <w:rPr>
                          <w:rFonts w:ascii="Cambria Math" w:hAnsi="Cambria Math"/>
                          <w:sz w:val="15"/>
                          <w:szCs w:val="15"/>
                        </w:rPr>
                        <m:t>x</m:t>
                      </m:r>
                    </m:e>
                  </m:acc>
                </m:e>
                <m:sub>
                  <m:r>
                    <w:rPr>
                      <w:rFonts w:ascii="Cambria Math" w:hAnsi="Cambria Math"/>
                      <w:sz w:val="15"/>
                      <w:szCs w:val="15"/>
                    </w:rPr>
                    <m:t>t</m:t>
                  </m:r>
                </m:sub>
              </m:sSub>
            </m:oMath>
          </w:p>
        </w:tc>
        <w:tc>
          <w:tcPr>
            <w:tcW w:w="3898" w:type="dxa"/>
          </w:tcPr>
          <w:p>
            <w:pPr>
              <w:pStyle w:val="TableText"/>
              <w:jc w:val="left"/>
            </w:pPr>
            <w:r>
              <w:t xml:space="preserve">Measured recovery state at step</w:t>
            </w:r>
            <w:r>
              <w:t xml:space="preserve"> </w:t>
            </w:r>
            <m:oMath>
              <m:r>
                <w:rPr>
                  <w:rFonts w:ascii="Cambria Math" w:hAnsi="Cambria Math"/>
                  <w:sz w:val="15"/>
                  <w:szCs w:val="15"/>
                </w:rPr>
                <m:t>t</m:t>
              </m:r>
            </m:oMath>
          </w:p>
        </w:tc>
      </w:tr>
      <w:tr>
        <w:tc>
          <w:tcPr>
            <w:tcW w:w="1020" w:type="dxa"/>
          </w:tcPr>
          <w:p>
            <w:pPr>
              <w:pStyle w:val="TableText"/>
              <w:jc w:val="left"/>
            </w:pPr>
            <m:oMath>
              <m:sSub>
                <m:e>
                  <m:acc>
                    <m:accPr>
                      <m:chr m:val="̂"/>
                    </m:accPr>
                    <m:e>
                      <m:r>
                        <m:rPr>
                          <m:sty m:val="b"/>
                        </m:rPr>
                        <w:rPr>
                          <w:rFonts w:ascii="Cambria Math" w:hAnsi="Cambria Math"/>
                          <w:sz w:val="15"/>
                          <w:szCs w:val="15"/>
                        </w:rPr>
                        <m:t>w</m:t>
                      </m:r>
                    </m:e>
                  </m:acc>
                </m:e>
                <m:sub>
                  <m:r>
                    <m:rPr>
                      <m:sty m:val="p"/>
                    </m:rPr>
                    <w:rPr>
                      <w:rFonts w:ascii="Cambria Math" w:hAnsi="Cambria Math"/>
                      <w:sz w:val="15"/>
                      <w:szCs w:val="15"/>
                    </w:rPr>
                    <m:t>⋅</m:t>
                  </m:r>
                  <m:r>
                    <m:rPr>
                      <m:sty m:val="p"/>
                    </m:rPr>
                    <w:rPr>
                      <w:rFonts w:ascii="Cambria Math" w:hAnsi="Cambria Math"/>
                      <w:sz w:val="15"/>
                      <w:szCs w:val="15"/>
                    </w:rPr>
                    <m:t>|</m:t>
                  </m:r>
                  <m:r>
                    <w:rPr>
                      <w:rFonts w:ascii="Cambria Math" w:hAnsi="Cambria Math"/>
                      <w:sz w:val="15"/>
                      <w:szCs w:val="15"/>
                    </w:rPr>
                    <m:t>t</m:t>
                  </m:r>
                </m:sub>
              </m:sSub>
            </m:oMath>
          </w:p>
        </w:tc>
        <w:tc>
          <w:tcPr>
            <w:tcW w:w="3898" w:type="dxa"/>
          </w:tcPr>
          <w:p>
            <w:pPr>
              <w:pStyle w:val="TableText"/>
              <w:jc w:val="left"/>
            </w:pPr>
            <w:r>
              <w:t xml:space="preserve">Forecasts available at step</w:t>
            </w:r>
            <w:r>
              <w:t xml:space="preserve"> </w:t>
            </w:r>
            <m:oMath>
              <m:r>
                <w:rPr>
                  <w:rFonts w:ascii="Cambria Math" w:hAnsi="Cambria Math"/>
                  <w:sz w:val="15"/>
                  <w:szCs w:val="15"/>
                </w:rPr>
                <m:t>t</m:t>
              </m:r>
            </m:oMath>
          </w:p>
        </w:tc>
      </w:tr>
      <w:tr>
        <w:tc>
          <w:tcPr>
            <w:tcW w:w="1020" w:type="dxa"/>
          </w:tcPr>
          <w:p>
            <w:pPr>
              <w:pStyle w:val="TableText"/>
              <w:jc w:val="left"/>
            </w:pPr>
            <m:oMath>
              <m:r>
                <m:rPr>
                  <m:sty m:val="b"/>
                </m:rPr>
                <w:rPr>
                  <w:rFonts w:ascii="Cambria Math" w:hAnsi="Cambria Math"/>
                  <w:sz w:val="15"/>
                  <w:szCs w:val="15"/>
                </w:rPr>
                <m:t>u</m:t>
              </m:r>
            </m:oMath>
          </w:p>
        </w:tc>
        <w:tc>
          <w:tcPr>
            <w:tcW w:w="3898" w:type="dxa"/>
          </w:tcPr>
          <w:p>
            <w:pPr>
              <w:pStyle w:val="TableText"/>
              <w:jc w:val="left"/>
            </w:pPr>
            <w:r>
              <w:t xml:space="preserve">Decisions of the MPC over its horizon</w:t>
            </w:r>
          </w:p>
        </w:tc>
      </w:tr>
      <w:tr>
        <w:tc>
          <w:tcPr>
            <w:tcW w:w="1020" w:type="dxa"/>
          </w:tcPr>
          <w:p>
            <w:pPr>
              <w:pStyle w:val="TableText"/>
              <w:jc w:val="left"/>
            </w:pPr>
            <m:oMath>
              <m:sSub>
                <m:e>
                  <m:r>
                    <m:rPr>
                      <m:scr m:val="script"/>
                      <m:sty m:val="p"/>
                    </m:rPr>
                    <w:rPr>
                      <w:rFonts w:ascii="Cambria Math" w:hAnsi="Cambria Math"/>
                      <w:sz w:val="15"/>
                      <w:szCs w:val="15"/>
                    </w:rPr>
                    <m:t>U</m:t>
                  </m:r>
                </m:e>
                <m:sub>
                  <m:r>
                    <w:rPr>
                      <w:rFonts w:ascii="Cambria Math" w:hAnsi="Cambria Math"/>
                      <w:sz w:val="15"/>
                      <w:szCs w:val="15"/>
                    </w:rPr>
                    <m:t>t</m:t>
                  </m:r>
                </m:sub>
              </m:sSub>
            </m:oMath>
          </w:p>
        </w:tc>
        <w:tc>
          <w:tcPr>
            <w:tcW w:w="3898" w:type="dxa"/>
          </w:tcPr>
          <w:p>
            <w:pPr>
              <w:pStyle w:val="TableText"/>
              <w:jc w:val="left"/>
            </w:pPr>
            <w:r>
              <w:t xml:space="preserve">Feasible set of the MPC problem at step</w:t>
            </w:r>
            <w:r>
              <w:t xml:space="preserve"> </w:t>
            </w:r>
            <m:oMath>
              <m:r>
                <w:rPr>
                  <w:rFonts w:ascii="Cambria Math" w:hAnsi="Cambria Math"/>
                  <w:sz w:val="15"/>
                  <w:szCs w:val="15"/>
                </w:rPr>
                <m:t>t</m:t>
              </m:r>
            </m:oMath>
          </w:p>
        </w:tc>
      </w:tr>
    </w:tbl>
    <w:bookmarkEnd w:id="20"/>
    <w:bookmarkStart w:id="21" w:name="introduction"/>
    <w:p>
      <w:pPr>
        <w:pStyle w:val="Heading1"/>
      </w:pPr>
      <w:r>
        <w:t xml:space="preserve">1. Introduction</w:t>
      </w:r>
    </w:p>
    <w:p>
      <w:pPr>
        <w:pStyle w:val="FirstParagraph"/>
      </w:pPr>
      <w:r>
        <w:t xml:space="preserve">The rapid growth of artificial intelligence (AI) is reshaping electricity demand. The International Energy Agency projects global data-center consumption to rise from about 415 TWh in 2024 to about 945 TWh by 2030 [1], and data centers already account for 4.4 % of electricity use in the United States [2]. Grid connection capacity has become the binding constraint for new AI campuses [3], and load flexibility is increasingly treated as a condition for faster interconnection: curtailing large loads for 0.25–1 % of the year would accommodate 76–126 GW of new load in 22 US balancing areas [4]. AI data centers (AIDCs) are already operated as grid-interactive assets. A field demonstration in Phoenix reduced the power of a production GPU cluster by 25 % for three hours without violating service levels [5], and utilities have signed demand-response (DR) agreements that target machine-learning workloads [6]. DR programs reward this flexibility at increasing frequency. In Jiangsu, China, the 2024 implementation rules allow up to two agreed DR events per day plus rapid peak-shaving calls at short notice, settled on the average reduction against a five-day baseline [7]. Consecutive events within one evening peak are therefore the normal operating condition of a DR-participating AIDC.</w:t>
      </w:r>
    </w:p>
    <w:p>
      <w:pPr>
        <w:pStyle w:val="BodyText"/>
      </w:pPr>
      <w:r>
        <w:t xml:space="preserve">Each event leaves recovery debts behind. Deferred training and batch work accumulates as a backlog that must be completed before its service deadline, and the storage that covered part of the reduction must be recharged. Both debts are repaid by drawing power above the baseline through the same grid headroom before the next event starts. The reduction that an AIDC can deliver in the next event is therefore decided by how it recovers from the previous one, and this cross-event coupling determines how much flexibility the grid can count on.</w:t>
      </w:r>
    </w:p>
    <w:p>
      <w:pPr>
        <w:pStyle w:val="BodyText"/>
      </w:pPr>
      <w:r>
        <w:t xml:space="preserve">In the area of data-center DR and computing flexibility, workload shifting and local generation were introduced by Liu et al. [8] and reviewed in [9,10]. Recent studies quantify the flexibility of AI workloads: Acun et al. reported 18–55 % power flexibility of AI data centers [11], Wang et al. reshaped the power profiles of large language model workloads to provide load flexibility [12], Du et al. added inference quantization as a DR lever [13], Chen and Zheng showed that deferring workloads reduces interconnection cost with diminishing returns in the delay window [14], and Williams et al. framed power-flexible AI data centers as grid-responsive compute [15]. In</w:t>
      </w:r>
      <w:r>
        <w:t xml:space="preserve"> </w:t>
      </w:r>
      <w:r>
        <w:rPr>
          <w:iCs/>
          <w:i/>
        </w:rPr>
        <w:t xml:space="preserve">Applied Energy</w:t>
      </w:r>
      <w:r>
        <w:t xml:space="preserve">, data-center load models for DR [16], the DR potential of liquid-cooled data centers [17], a four-level joint dispatch of data-center DR [18], energy sharing in data-center clusters with integrated demand response [19] and multi-energy portfolios of zero-carbon data-center buildings under proactive DR programs [20] have been developed. Overall, existing studies evaluate the curtailment capability of a single event, whereas the recovery state that one event passes on to the next remains insufficiently explored.</w:t>
      </w:r>
    </w:p>
    <w:p>
      <w:pPr>
        <w:pStyle w:val="BodyText"/>
      </w:pPr>
      <w:r>
        <w:t xml:space="preserve">In the area of computing–energy coupling in data-center integrated energy systems (IES), data centers increasingly operate with combined cooling, heating and power (CCHP), cold storage and batteries [21,22]. Zhang et al. coupled computing and electricity in a bi-level capacity planning model of a data-center cluster under supply–demand uncertainty [23], Liu scheduled an internet data center together with a regional integrated energy system through electricity–heat–water coupling [24], and the cooling and waste-heat recovery of data centers have been optimised with model predictive control and thermal storage [25] and with physics-guided reinforcement learning and aquifer thermal storage [26]. Batteries support the online operation of distributed data centers under uncertain workloads and prices [27], the risk-aware coordinated scheduling of AI data centers with decoupled multi-layer workload models [28] and the operation of hyperscale AI data centers under connect-and-manage interconnection [29], and the reliability impact of energy-system flexibility on data centers has been quantified in [30]. These studies capture the coupling between computing, power and heat within a scheduling period. Overall, they treat the computing backlog and the state of charge as internal operating states rather than as debts that are inherited across DR events and decide the next deliverable reduction.</w:t>
      </w:r>
    </w:p>
    <w:p>
      <w:pPr>
        <w:pStyle w:val="BodyText"/>
      </w:pPr>
      <w:r>
        <w:t xml:space="preserve">In the area of deliverability and commitment of flexible resources, aggregate flexibility models describe the power–energy envelope of homogeneous devices [31], and Evans et al. derived recovery guarantees for aggregated energy storage that must be restored between service requests [32]. Li distinguished eligible AI workloads from dependable load relief [33], and the scenario approach provides probabilistic guarantees for closed-loop constraint satisfaction [34]. The delivered reduction is measured against a customer baseline, whose estimation error enters the settlement directly [35,36]. Distributionally robust chance constraints over Wasserstein ambiguity sets offer data-driven reliability guarantees [37,38] and secure end-user flexibility for independent aggregators [39]. Their two-stage form, solved by column-and-constraint generation [40], evaluates the second stage with perfect recourse and therefore measures physical capability rather than the deliverability of the controller that operates the resource. Overall, recovery guarantees have been developed for one type of resource with one type of debt, whereas an AIDC holds two heterogeneous debts at once: computing debt is lossless but deadline-bound, storage debt is lossy but has no deadline, and both compete for the same recovery channel.</w:t>
      </w:r>
    </w:p>
    <w:p>
      <w:pPr>
        <w:pStyle w:val="BodyText"/>
      </w:pPr>
      <w:r>
        <w:t xml:space="preserve">Despite substantial progress in data-center DR, computing–energy coupling and flexibility commitment, three research gaps remain. First, the heterogeneous recovery debts that one DR event leaves for the next, and their competition for a shared grid connection, have not been modelled in an AIDC integrated energy system. Second, for AIDCs there is no capacity metric of what a given controller delivers in every event of a consecutive-DR day, and commitments derived from physical capability overstate it. Third, coordinated scheduling that exploits cross-event foresight during recovery is lacking, and its value relative to coordination alone, the conditions under which it is valuable and its equivalent in battery and connection capacity are unknown. Consequently, a framework that sizes and delivers the consecutive DR commitments of an AIDC from its recovery is still lacking. Table 1 contrasts this study with the three closest research directions.</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TableCaption"/>
      </w:pPr>
      <w:r>
        <w:rPr>
          <w:bCs/>
          <w:b/>
        </w:rPr>
        <w:t xml:space="preserve">Table 1</w:t>
      </w:r>
      <w:r>
        <w:br/>
      </w:r>
      <w:r>
        <w:t xml:space="preserve">Positioning of this study against the closest research directions.</w:t>
      </w:r>
    </w:p>
    <w:tbl>
      <w:tblPr>
        <w:tblStyle w:val="Table"/>
        <w:tblW w:w="10206" w:type="dxa"/>
        <w:jc w:val="start"/>
        <w:tblBorders>
          <w:top w:val="single" w:sz="6" w:space="0" w:color="000000"/>
          <w:bottom w:val="single" w:sz="6" w:space="0" w:color="000000"/>
        </w:tblBorders>
        <w:tblLayout w:type="fixed"/>
        <w:tblLook w:firstRow="1" w:lastRow="0" w:firstColumn="0" w:lastColumn="0" w:noHBand="0" w:noVBand="0" w:val="0020"/>
      </w:tblPr>
      <w:tblGrid>
        <w:gridCol w:w="2279"/>
        <w:gridCol w:w="4015"/>
        <w:gridCol w:w="3912"/>
      </w:tblGrid>
      <w:tr>
        <w:trPr>
          <w:tblHeader w:val="true"/>
        </w:trPr>
        <w:tc>
          <w:tcPr>
            <w:tcW w:w="2279" w:type="dxa"/>
            <w:tcBorders>
              <w:bottom w:val="single" w:sz="4" w:space="0" w:color="000000"/>
            </w:tcBorders>
          </w:tcPr>
          <w:p>
            <w:pPr>
              <w:pStyle w:val="TableText"/>
              <w:jc w:val="left"/>
            </w:pPr>
            <w:r>
              <w:t xml:space="preserve">Research direction</w:t>
            </w:r>
          </w:p>
        </w:tc>
        <w:tc>
          <w:tcPr>
            <w:tcW w:w="4015" w:type="dxa"/>
            <w:tcBorders>
              <w:bottom w:val="single" w:sz="4" w:space="0" w:color="000000"/>
            </w:tcBorders>
          </w:tcPr>
          <w:p>
            <w:pPr>
              <w:pStyle w:val="TableText"/>
              <w:jc w:val="left"/>
            </w:pPr>
            <w:r>
              <w:t xml:space="preserve">Focus of existing studies</w:t>
            </w:r>
          </w:p>
        </w:tc>
        <w:tc>
          <w:tcPr>
            <w:tcW w:w="3912" w:type="dxa"/>
            <w:tcBorders>
              <w:bottom w:val="single" w:sz="4" w:space="0" w:color="000000"/>
            </w:tcBorders>
          </w:tcPr>
          <w:p>
            <w:pPr>
              <w:pStyle w:val="TableText"/>
              <w:jc w:val="left"/>
            </w:pPr>
            <w:r>
              <w:t xml:space="preserve">Increment of this study</w:t>
            </w:r>
          </w:p>
        </w:tc>
      </w:tr>
      <w:tr>
        <w:tc>
          <w:tcPr>
            <w:tcW w:w="2279" w:type="dxa"/>
          </w:tcPr>
          <w:p>
            <w:pPr>
              <w:pStyle w:val="TableText"/>
              <w:jc w:val="left"/>
            </w:pPr>
            <w:r>
              <w:t xml:space="preserve">AI workload modelling and computing–storage scheduling</w:t>
            </w:r>
          </w:p>
        </w:tc>
        <w:tc>
          <w:tcPr>
            <w:tcW w:w="4015" w:type="dxa"/>
          </w:tcPr>
          <w:p>
            <w:pPr>
              <w:pStyle w:val="TableText"/>
              <w:jc w:val="left"/>
            </w:pPr>
            <w:r>
              <w:t xml:space="preserve">Power flexibility of AI workloads in a single event and real-time regulation of computing and batteries [11–13,28]</w:t>
            </w:r>
          </w:p>
        </w:tc>
        <w:tc>
          <w:tcPr>
            <w:tcW w:w="3912" w:type="dxa"/>
          </w:tcPr>
          <w:p>
            <w:pPr>
              <w:pStyle w:val="TableText"/>
              <w:jc w:val="left"/>
            </w:pPr>
            <w:r>
              <w:t xml:space="preserve">Recovery state that one event passes on to the next, and its effect on the next deliverable reduction</w:t>
            </w:r>
          </w:p>
        </w:tc>
      </w:tr>
      <w:tr>
        <w:tc>
          <w:tcPr>
            <w:tcW w:w="2279" w:type="dxa"/>
          </w:tcPr>
          <w:p>
            <w:pPr>
              <w:pStyle w:val="TableText"/>
              <w:jc w:val="left"/>
            </w:pPr>
            <w:r>
              <w:t xml:space="preserve">Flexibility envelopes and recovery guarantees</w:t>
            </w:r>
          </w:p>
        </w:tc>
        <w:tc>
          <w:tcPr>
            <w:tcW w:w="4015" w:type="dxa"/>
          </w:tcPr>
          <w:p>
            <w:pPr>
              <w:pStyle w:val="TableText"/>
              <w:jc w:val="left"/>
            </w:pPr>
            <w:r>
              <w:t xml:space="preserve">Power–energy envelopes and recovery guarantees for one type of resource and debt [31,32], dependable AI load relief [33]</w:t>
            </w:r>
          </w:p>
        </w:tc>
        <w:tc>
          <w:tcPr>
            <w:tcW w:w="3912" w:type="dxa"/>
          </w:tcPr>
          <w:p>
            <w:pPr>
              <w:pStyle w:val="TableText"/>
              <w:jc w:val="left"/>
            </w:pPr>
            <w:r>
              <w:t xml:space="preserve">Two heterogeneous debts, deadline-bound computing and lossy storage, sharing one recovery channel with CCHP and cold storage</w:t>
            </w:r>
          </w:p>
        </w:tc>
      </w:tr>
      <w:tr>
        <w:tc>
          <w:tcPr>
            <w:tcW w:w="2279" w:type="dxa"/>
          </w:tcPr>
          <w:p>
            <w:pPr>
              <w:pStyle w:val="TableText"/>
              <w:jc w:val="left"/>
            </w:pPr>
            <w:r>
              <w:t xml:space="preserve">Dependable operation and commitments of data centers</w:t>
            </w:r>
          </w:p>
        </w:tc>
        <w:tc>
          <w:tcPr>
            <w:tcW w:w="4015" w:type="dxa"/>
          </w:tcPr>
          <w:p>
            <w:pPr>
              <w:pStyle w:val="TableText"/>
              <w:jc w:val="left"/>
            </w:pPr>
            <w:r>
              <w:t xml:space="preserve">Computing service under supply limits [29,30]; chance-constrained and two-stage commitments with perfect recourse [37,39,40]</w:t>
            </w:r>
          </w:p>
        </w:tc>
        <w:tc>
          <w:tcPr>
            <w:tcW w:w="3912" w:type="dxa"/>
          </w:tcPr>
          <w:p>
            <w:pPr>
              <w:pStyle w:val="TableText"/>
              <w:jc w:val="left"/>
            </w:pPr>
            <w:r>
              <w:t xml:space="preserve">Consecutive DR commitments sized by the closed-loop capability of the controller that delivers them</w:t>
            </w:r>
          </w:p>
        </w:tc>
      </w:tr>
    </w:tbl>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p>
      <w:pPr>
        <w:pStyle w:val="BodyText"/>
      </w:pPr>
      <w:r>
        <w:t xml:space="preserve">To address these gaps, this paper develops a recovery-aware coordinated scheduling framework for consecutive DR of an AIDC integrated energy system. The framework models the recovery debts of every event, commits the firm consecutive capacity of the controller day-ahead and delivers it with cross-event joint recovery in real time. The main contributions are summarised as follows.</w:t>
      </w:r>
    </w:p>
    <w:p>
      <w:pPr>
        <w:numPr>
          <w:ilvl w:val="0"/>
          <w:numId w:val="1001"/>
        </w:numPr>
      </w:pPr>
      <w:r>
        <w:t xml:space="preserve">A cross-event heterogeneous recovery model of the AIDC integrated energy system is developed. Deadline-bound computing backlogs of three workload classes and lossy battery and cold-storage deficits are modelled as recovery debts that share one grid recovery channel, coupled with the electric, cooling and heat balances of the CCHP-based energy system and the Jiangsu settlement rules. Three propositions bound the deliverable reduction of the next event, give the closed-form minimum recovery interval together with the conditions under which joint recovery is valuable, and show from the Karush–Kuhn–Tucker conditions that a single channel price values both debts.</w:t>
      </w:r>
    </w:p>
    <w:p>
      <w:pPr>
        <w:numPr>
          <w:ilvl w:val="0"/>
          <w:numId w:val="1001"/>
        </w:numPr>
      </w:pPr>
      <w:r>
        <w:t xml:space="preserve">A firm consecutive DR capacity metric and its distributionally robust commitment are proposed. The firm capacity is the largest uniform commitment delivered in full in every event with a prescribed probability, generalised to a multi-event reliability region. The day-ahead commitment is derived from the closed-loop capability of the controller on historical days with a distributionally robust chance constraint over a 1-Wasserstein ambiguity set; a fractional-knapsack representation and its linear-programming dual reformulate the worst-case failure probability, and Proposition 4 solves the robust capacity exactly by sorting. Wasserstein ambiguity sets are an established tool [37], and controller-dependent deliverability has been studied for aggregated storage [32] and AI workloads [33]; the contribution here is to apply the robust commitment to the closed-loop capability of a controller that delivers consecutive events with heterogeneous debts. Unlike a perfect-recourse two-stage commitment, which measures physical capability, the robust commitment refers to the controller that operates the resource, and its reliability is reported at three levels: the guarantee within the ambiguity set, the full-delivery share on independent operating days and the statistical confidence bound of that share.</w:t>
      </w:r>
    </w:p>
    <w:p>
      <w:pPr>
        <w:numPr>
          <w:ilvl w:val="0"/>
          <w:numId w:val="1001"/>
        </w:numPr>
      </w:pPr>
      <w:r>
        <w:t xml:space="preserve">A recovery-aware coordinated scheduling framework is established and validated at the system level. The robust commitment is coupled with an intraday cross-event joint recovery model predictive controller (MPC). A controlled comparison with independent recovery under a tuned split, one-way and iterative two-way price coordination, staged joint recovery and event-by-event joint recovery on 26 operating days separates the value of coordination, of the joint allocation of the recovery channel and of cross-event foresight, converts the capacity gain into equivalent battery energy and connection capacity, and quantifies the contribution of the gas engine, absorption chiller and cold storage together with the energy efficiency and emissions of the facility. Sensitivity analyses test the results for less flexible computing work, shorter prediction horizons, lower DR prices and higher delay costs, 78 test realisations and a DR day in another month.</w:t>
      </w:r>
    </w:p>
    <w:bookmarkEnd w:id="21"/>
    <w:bookmarkStart w:id="28" w:name="X4b47d81680232e22087feddeed7b8e8b1817a88"/>
    <w:p>
      <w:pPr>
        <w:pStyle w:val="Heading1"/>
      </w:pPr>
      <w:r>
        <w:t xml:space="preserve">2. System architecture and consecutive demand response problem</w:t>
      </w:r>
    </w:p>
    <w:bookmarkStart w:id="25" w:name="X19c379fc22397849b52caef4175bd42364c9649"/>
    <w:p>
      <w:pPr>
        <w:pStyle w:val="Heading2"/>
      </w:pPr>
      <w:r>
        <w:t xml:space="preserve">2.1. Physical architecture of the AIDC integrated energy system</w:t>
      </w:r>
    </w:p>
    <w:p>
      <w:pPr>
        <w:pStyle w:val="FirstParagraph"/>
      </w:pPr>
      <w:r>
        <w:t xml:space="preserve">The AIDC integrated energy system considered in this paper couples computing, power, heat and cooling (Fig. 1a). It consists of four subsystems. The energy supply subsystem comprises the grid connection with limit</w:t>
      </w:r>
      <w:r>
        <w:t xml:space="preserve"> </w:t>
      </w:r>
      <m:oMath>
        <m:sSup>
          <m:e>
            <m:r>
              <w:rPr>
                <w:rFonts w:ascii="Cambria Math" w:hAnsi="Cambria Math"/>
                <w:sz w:val="19"/>
                <w:szCs w:val="19"/>
              </w:rPr>
              <m:t>P</m:t>
            </m:r>
          </m:e>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p>
      </m:oMath>
      <w:r>
        <w:t xml:space="preserve"> </w:t>
      </w:r>
      <w:r>
        <w:t xml:space="preserve">and 8 MWp of rooftop and adjacent PV. The energy conversion and storage subsystem comprises a 3 MW gas engine whose recovered heat drives a single-effect absorption chiller (CCHP) and a 6 MW/12 MWh BESS. The cooling subsystem comprises electric chillers, whose COP depends on the ambient temperature, the absorption chiller and a 10 MWh chilled-water TES. The computing subsystem hosts 16 000 H100-class GPUs in 2 000 eight-GPU nodes; its load consists of online inference and non-deferrable training (Flex 0) and three classes of deferrable training and batch work (C1–C3) that tolerate a delay up to their lag bounds</w:t>
      </w:r>
      <w:r>
        <w:t xml:space="preserve"> </w:t>
      </w:r>
      <m:oMath>
        <m:sSub>
          <m:e>
            <m:r>
              <w:rPr>
                <w:rFonts w:ascii="Cambria Math" w:hAnsi="Cambria Math"/>
                <w:sz w:val="19"/>
                <w:szCs w:val="19"/>
              </w:rPr>
              <m:t>L</m:t>
            </m:r>
          </m:e>
          <m:sub>
            <m:r>
              <w:rPr>
                <w:rFonts w:ascii="Cambria Math" w:hAnsi="Cambria Math"/>
                <w:sz w:val="19"/>
                <w:szCs w:val="19"/>
              </w:rPr>
              <m:t>c</m:t>
            </m:r>
          </m:sub>
        </m:sSub>
      </m:oMath>
      <w:r>
        <w:t xml:space="preserve"> </w:t>
      </w:r>
      <w:r>
        <w:t xml:space="preserve">= 0.5, 1.5 and 3 h, following the flexibility tiers of industrial AI-DR programs [5]. A dispatch layer sets the day-ahead DR commitments and operates all flexible resources in real time.</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6477000" cy="3245738"/>
            <wp:effectExtent b="0" l="0" r="0" t="0"/>
            <wp:docPr descr="" title="" id="23" name="Picture"/>
            <a:graphic>
              <a:graphicData uri="http://schemas.openxmlformats.org/drawingml/2006/picture">
                <pic:pic>
                  <pic:nvPicPr>
                    <pic:cNvPr descr="/home/user/datacenter/paper/figures/Fig1_system_recovery_channel.png" id="24" name="Picture"/>
                    <pic:cNvPicPr>
                      <a:picLocks noChangeArrowheads="1" noChangeAspect="1"/>
                    </pic:cNvPicPr>
                  </pic:nvPicPr>
                  <pic:blipFill>
                    <a:blip r:embed="rId22"/>
                    <a:stretch>
                      <a:fillRect/>
                    </a:stretch>
                  </pic:blipFill>
                  <pic:spPr bwMode="auto">
                    <a:xfrm>
                      <a:off x="0" y="0"/>
                      <a:ext cx="6477000" cy="3245738"/>
                    </a:xfrm>
                    <a:prstGeom prst="rect">
                      <a:avLst/>
                    </a:prstGeom>
                    <a:noFill/>
                    <a:ln w="9525">
                      <a:noFill/>
                      <a:headEnd/>
                      <a:tailEnd/>
                    </a:ln>
                  </pic:spPr>
                </pic:pic>
              </a:graphicData>
            </a:graphic>
          </wp:inline>
        </w:drawing>
      </w:r>
    </w:p>
    <w:p>
      <w:pPr>
        <w:pStyle w:val="FigureCaption"/>
      </w:pPr>
      <w:r>
        <w:rPr>
          <w:bCs/>
          <w:b/>
        </w:rPr>
        <w:t xml:space="preserve">Fig. 1.</w:t>
      </w:r>
      <w:r>
        <w:t xml:space="preserve"> </w:t>
      </w:r>
      <w:r>
        <w:t xml:space="preserve">Physical architecture and recovery channel. (a) AI data-center integrated energy system with its energy supply (grid connection, PV), conversion and storage (gas engine with heat recovery, BESS), cooling supply (absorption chiller, electric chillers, chilled-water TES) and computing (online inference and non-deferrable training, three deferrable classes C1–C3 with lag bounds 0.5, 1.5 and 3 h) subsystems on one AC bus; the DR operator, the day-ahead commitment and the intraday controller form the dispatch layer. Markers 1–4 on the flow paths trace the closed computing–energy–thermal loop: (1) deferrable work sets the IT power, (2) the IT heat sets the cooling load, (3) chiller power and recovered heat return to the electric balance and (4) the grid import is settled against the baseline. (b) Two consecutive DR events: after the first event, computing catch-up and storage recharge are repaid through one recovery channel between the baseline and the connection limit (nominal channel (1); the actual channel (2) is measured against the no-DR import of the day).</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25"/>
    <w:bookmarkStart w:id="26" w:name="X06d03e586c1959c69f77f5cb60231839d3a1a62"/>
    <w:p>
      <w:pPr>
        <w:pStyle w:val="Heading2"/>
      </w:pPr>
      <w:r>
        <w:t xml:space="preserve">2.2. Computing–energy–thermal coupling mechanism</w:t>
      </w:r>
    </w:p>
    <w:p>
      <w:pPr>
        <w:pStyle w:val="FirstParagraph"/>
      </w:pPr>
      <w:r>
        <w:t xml:space="preserve">The four subsystems are coupled through three energy flows that close one loop (markers 1–4 in Fig. 1a). (i) Computing–electricity: every busy GPU draws dynamic power, so the scheduling of deferrable work sets the IT power, and every deferred GPU·h acts as a lossless virtual discharge that must be recharged before its deadline. (ii) Electricity–cooling: the IT power is dissipated as heat, which the electric chillers, the absorption chiller and the TES remove; the chiller power, divided by a COP that falls with the ambient temperature, returns to the electric balance. (iii) Heat recovery: the exhaust heat of the gas engine drives the absorption chiller, so one MW of engine output displaces both grid import and chiller power. Through these flows, deferring computing work, discharging the BESS, discharging the TES and running the gas engine all act on the same grid import, which is the quantity that the DR operator settles, and all draw on the same headroom when the debts are repaid. The recovery channel is therefore a system-level resource that the four subsystems share.</w:t>
      </w:r>
    </w:p>
    <w:bookmarkEnd w:id="26"/>
    <w:bookmarkStart w:id="27" w:name="consecutive-dr-events-and-recovery-debts"/>
    <w:p>
      <w:pPr>
        <w:pStyle w:val="Heading2"/>
      </w:pPr>
      <w:r>
        <w:t xml:space="preserve">2.3. Consecutive DR events and recovery debts</w:t>
      </w:r>
    </w:p>
    <w:p>
      <w:pPr>
        <w:pStyle w:val="FirstParagraph"/>
      </w:pPr>
      <w:r>
        <w:t xml:space="preserve">A DR operator confirms events</w:t>
      </w:r>
      <w:r>
        <w:t xml:space="preserve"> </w:t>
      </w:r>
      <m:oMath>
        <m:r>
          <w:rPr>
            <w:rFonts w:ascii="Cambria Math" w:hAnsi="Cambria Math"/>
            <w:sz w:val="19"/>
            <w:szCs w:val="19"/>
          </w:rPr>
          <m:t>k</m:t>
        </m:r>
        <m:r>
          <m:rPr>
            <m:sty m:val="p"/>
          </m:rPr>
          <w:rPr>
            <w:rFonts w:ascii="Cambria Math" w:hAnsi="Cambria Math"/>
            <w:sz w:val="19"/>
            <w:szCs w:val="19"/>
          </w:rPr>
          <m:t>∈</m:t>
        </m:r>
        <m:r>
          <m:rPr>
            <m:scr m:val="script"/>
            <m:sty m:val="p"/>
          </m:rPr>
          <w:rPr>
            <w:rFonts w:ascii="Cambria Math" w:hAnsi="Cambria Math"/>
            <w:sz w:val="19"/>
            <w:szCs w:val="19"/>
          </w:rPr>
          <m:t>K</m:t>
        </m:r>
      </m:oMath>
      <w:r>
        <w:t xml:space="preserve"> </w:t>
      </w:r>
      <w:r>
        <w:t xml:space="preserve">with commitments</w:t>
      </w:r>
      <w:r>
        <w:t xml:space="preserve"> </w:t>
      </w:r>
      <m:oMath>
        <m:sSub>
          <m:e>
            <m:r>
              <w:rPr>
                <w:rFonts w:ascii="Cambria Math" w:hAnsi="Cambria Math"/>
                <w:sz w:val="19"/>
                <w:szCs w:val="19"/>
              </w:rPr>
              <m:t>C</m:t>
            </m:r>
          </m:e>
          <m:sub>
            <m:r>
              <w:rPr>
                <w:rFonts w:ascii="Cambria Math" w:hAnsi="Cambria Math"/>
                <w:sz w:val="19"/>
                <w:szCs w:val="19"/>
              </w:rPr>
              <m:t>k</m:t>
            </m:r>
          </m:sub>
        </m:sSub>
      </m:oMath>
      <w:r>
        <w:t xml:space="preserve">. Under the Jiangsu rules [7], an event is valid when the average reduction against the five-day baseline reaches 80 % of the commitment, and the payment is proportional to the reduction up to 120 % of the commitment. The unit price of agreed response is cleared by bidding below a cap of 3 CNY/kWh, which the base case assumes. The rules pay nothing for an invalid event and levy no monetary penalty on a shortfall; to represent the cost of non-performance, this paper assesses a shortfall at</w:t>
      </w:r>
      <w:r>
        <w:t xml:space="preserve"> </w:t>
      </w:r>
      <m:oMath>
        <m:r>
          <w:rPr>
            <w:rFonts w:ascii="Cambria Math" w:hAnsi="Cambria Math"/>
            <w:sz w:val="19"/>
            <w:szCs w:val="19"/>
          </w:rPr>
          <m:t>κ</m:t>
        </m:r>
      </m:oMath>
      <w:r>
        <w:t xml:space="preserve"> </w:t>
      </w:r>
      <w:r>
        <w:t xml:space="preserve">times the event price, a modelling assumption (</w:t>
      </w:r>
      <m:oMath>
        <m:r>
          <w:rPr>
            <w:rFonts w:ascii="Cambria Math" w:hAnsi="Cambria Math"/>
            <w:sz w:val="19"/>
            <w:szCs w:val="19"/>
          </w:rPr>
          <m:t>κ</m:t>
        </m:r>
      </m:oMath>
      <w:r>
        <w:t xml:space="preserve"> </w:t>
      </w:r>
      <w:r>
        <w:t xml:space="preserve">= 1 in the base case; Section 5.10.3 examines lower prices, higher delay costs and</w:t>
      </w:r>
      <w:r>
        <w:t xml:space="preserve"> </w:t>
      </w:r>
      <m:oMath>
        <m:r>
          <w:rPr>
            <w:rFonts w:ascii="Cambria Math" w:hAnsi="Cambria Math"/>
            <w:sz w:val="19"/>
            <w:szCs w:val="19"/>
          </w:rPr>
          <m:t>κ</m:t>
        </m:r>
      </m:oMath>
      <w:r>
        <w:t xml:space="preserve"> </w:t>
      </w:r>
      <w:r>
        <w:t xml:space="preserve">= 0). Three event scenarios are studied (Section 5.1): two agreed one-hour events at 17:00 and 19:00 (S1, the rule-compliant base case), the same events with the interval shortened to 30 min (S2), and a high-stress extension with a third, rapid peak-shaving event at 21:00 announced 3 h ahead (S3).</w:t>
      </w:r>
    </w:p>
    <w:p>
      <w:pPr>
        <w:pStyle w:val="BodyText"/>
      </w:pPr>
      <w:r>
        <w:t xml:space="preserve">During event</w:t>
      </w:r>
      <w:r>
        <w:t xml:space="preserve"> </w:t>
      </w:r>
      <m:oMath>
        <m:r>
          <w:rPr>
            <w:rFonts w:ascii="Cambria Math" w:hAnsi="Cambria Math"/>
            <w:sz w:val="19"/>
            <w:szCs w:val="19"/>
          </w:rPr>
          <m:t>k</m:t>
        </m:r>
      </m:oMath>
      <w:r>
        <w:t xml:space="preserve">, the AIDC defers class-</w:t>
      </w:r>
      <m:oMath>
        <m:r>
          <w:rPr>
            <w:rFonts w:ascii="Cambria Math" w:hAnsi="Cambria Math"/>
            <w:sz w:val="19"/>
            <w:szCs w:val="19"/>
          </w:rPr>
          <m:t>c</m:t>
        </m:r>
      </m:oMath>
      <w:r>
        <w:t xml:space="preserve"> </w:t>
      </w:r>
      <w:r>
        <w:t xml:space="preserve">work and discharges storage. At the end of the event it holds the recovery state</w:t>
      </w:r>
      <w:r>
        <w:t xml:space="preserve"> </w:t>
      </w:r>
      <m:oMath>
        <m:sSub>
          <m:e>
            <m:r>
              <m:rPr>
                <m:sty m:val="b"/>
              </m:rPr>
              <w:rPr>
                <w:rFonts w:ascii="Cambria Math" w:hAnsi="Cambria Math"/>
                <w:sz w:val="19"/>
                <w:szCs w:val="19"/>
              </w:rPr>
              <m:t>x</m:t>
            </m:r>
          </m:e>
          <m:sub>
            <m:sSub>
              <m:e>
                <m:r>
                  <w:rPr>
                    <w:rFonts w:ascii="Cambria Math" w:hAnsi="Cambria Math"/>
                    <w:sz w:val="19"/>
                    <w:szCs w:val="19"/>
                  </w:rPr>
                  <m:t>e</m:t>
                </m:r>
              </m:e>
              <m:sub>
                <m:r>
                  <w:rPr>
                    <w:rFonts w:ascii="Cambria Math" w:hAnsi="Cambria Math"/>
                    <w:sz w:val="19"/>
                    <w:szCs w:val="19"/>
                  </w:rPr>
                  <m:t>k</m:t>
                </m:r>
              </m:sub>
            </m:sSub>
          </m:sub>
        </m:sSub>
        <m:r>
          <m:rPr>
            <m:sty m:val="p"/>
          </m:rPr>
          <w:rPr>
            <w:rFonts w:ascii="Cambria Math" w:hAnsi="Cambria Math"/>
            <w:sz w:val="19"/>
            <w:szCs w:val="19"/>
          </w:rPr>
          <m:t>=</m:t>
        </m:r>
        <m:d>
          <m:dPr>
            <m:begChr m:val="("/>
            <m:sepChr m:val=""/>
            <m:endChr m:val=")"/>
            <m:grow/>
          </m:dPr>
          <m:e>
            <m:sSub>
              <m:e>
                <m:r>
                  <w:rPr>
                    <w:rFonts w:ascii="Cambria Math" w:hAnsi="Cambria Math"/>
                    <w:sz w:val="19"/>
                    <w:szCs w:val="19"/>
                  </w:rPr>
                  <m:t>B</m:t>
                </m:r>
              </m:e>
              <m:sub>
                <m:r>
                  <w:rPr>
                    <w:rFonts w:ascii="Cambria Math" w:hAnsi="Cambria Math"/>
                    <w:sz w:val="19"/>
                    <w:szCs w:val="19"/>
                  </w:rPr>
                  <m:t>1</m:t>
                </m:r>
              </m:sub>
            </m:sSub>
            <m:r>
              <m:rPr>
                <m:sty m:val="p"/>
              </m:rPr>
              <w:rPr>
                <w:rFonts w:ascii="Cambria Math" w:hAnsi="Cambria Math"/>
                <w:sz w:val="19"/>
                <w:szCs w:val="19"/>
              </w:rPr>
              <m:t>,</m:t>
            </m:r>
            <m:sSub>
              <m:e>
                <m:r>
                  <w:rPr>
                    <w:rFonts w:ascii="Cambria Math" w:hAnsi="Cambria Math"/>
                    <w:sz w:val="19"/>
                    <w:szCs w:val="19"/>
                  </w:rPr>
                  <m:t>B</m:t>
                </m:r>
              </m:e>
              <m:sub>
                <m:r>
                  <w:rPr>
                    <w:rFonts w:ascii="Cambria Math" w:hAnsi="Cambria Math"/>
                    <w:sz w:val="19"/>
                    <w:szCs w:val="19"/>
                  </w:rPr>
                  <m:t>2</m:t>
                </m:r>
              </m:sub>
            </m:sSub>
            <m:r>
              <m:rPr>
                <m:sty m:val="p"/>
              </m:rPr>
              <w:rPr>
                <w:rFonts w:ascii="Cambria Math" w:hAnsi="Cambria Math"/>
                <w:sz w:val="19"/>
                <w:szCs w:val="19"/>
              </w:rPr>
              <m:t>,</m:t>
            </m:r>
            <m:sSub>
              <m:e>
                <m:r>
                  <w:rPr>
                    <w:rFonts w:ascii="Cambria Math" w:hAnsi="Cambria Math"/>
                    <w:sz w:val="19"/>
                    <w:szCs w:val="19"/>
                  </w:rPr>
                  <m:t>B</m:t>
                </m:r>
              </m:e>
              <m:sub>
                <m:r>
                  <w:rPr>
                    <w:rFonts w:ascii="Cambria Math" w:hAnsi="Cambria Math"/>
                    <w:sz w:val="19"/>
                    <w:szCs w:val="19"/>
                  </w:rPr>
                  <m:t>3</m:t>
                </m:r>
              </m:sub>
            </m:sSub>
            <m:r>
              <m:rPr>
                <m:sty m:val="p"/>
              </m:rPr>
              <w:rPr>
                <w:rFonts w:ascii="Cambria Math" w:hAnsi="Cambria Math"/>
                <w:sz w:val="19"/>
                <w:szCs w:val="19"/>
              </w:rPr>
              <m:t>,</m:t>
            </m:r>
            <m:r>
              <w:rPr>
                <w:rFonts w:ascii="Cambria Math" w:hAnsi="Cambria Math"/>
                <w:sz w:val="19"/>
                <w:szCs w:val="19"/>
              </w:rPr>
              <m:t>E</m:t>
            </m:r>
            <m:r>
              <m:rPr>
                <m:sty m:val="p"/>
              </m:rPr>
              <w:rPr>
                <w:rFonts w:ascii="Cambria Math" w:hAnsi="Cambria Math"/>
                <w:sz w:val="19"/>
                <w:szCs w:val="19"/>
              </w:rPr>
              <m:t>,</m:t>
            </m:r>
            <m:r>
              <w:rPr>
                <w:rFonts w:ascii="Cambria Math" w:hAnsi="Cambria Math"/>
                <w:sz w:val="19"/>
                <w:szCs w:val="19"/>
              </w:rPr>
              <m:t>S</m:t>
            </m:r>
          </m:e>
        </m:d>
      </m:oMath>
      <w:r>
        <w:t xml:space="preserve">: the backlogs are deadline-bound computing debts, and the deficits of the stored energy and cold below their no-DR reference trajectories (Section 3.2) are lossy storage debts. Both are repaid between events by importing power above the baseline (Fig. 1b), so both compete for the recovery channel</w:t>
      </w:r>
    </w:p>
    <w:p>
      <w:pPr>
        <w:pStyle w:val="Equation"/>
      </w:pPr>
      <w:r>
        <w:tab/>
      </w:r>
      <m:oMath>
        <m:sSub>
          <m:e>
            <m:r>
              <w:rPr>
                <w:rFonts w:ascii="Cambria Math" w:hAnsi="Cambria Math"/>
                <w:sz w:val="19"/>
                <w:szCs w:val="19"/>
              </w:rPr>
              <m:t>H</m:t>
            </m:r>
          </m:e>
          <m:sub>
            <m:r>
              <w:rPr>
                <w:rFonts w:ascii="Cambria Math" w:hAnsi="Cambria Math"/>
                <w:sz w:val="19"/>
                <w:szCs w:val="19"/>
              </w:rPr>
              <m:t>k</m:t>
            </m:r>
          </m:sub>
        </m:sSub>
        <m:r>
          <m:rPr>
            <m:sty m:val="p"/>
          </m:rPr>
          <w:rPr>
            <w:rFonts w:ascii="Cambria Math" w:hAnsi="Cambria Math"/>
            <w:sz w:val="19"/>
            <w:szCs w:val="19"/>
          </w:rPr>
          <m:t>=</m:t>
        </m:r>
        <m:nary>
          <m:naryPr>
            <m:chr m:val="∑"/>
            <m:limLoc m:val="undOvr"/>
            <m:subHide m:val="off"/>
            <m:supHide m:val="off"/>
          </m:naryPr>
          <m:sub>
            <m:r>
              <w:rPr>
                <w:rFonts w:ascii="Cambria Math" w:hAnsi="Cambria Math"/>
                <w:sz w:val="19"/>
                <w:szCs w:val="19"/>
              </w:rPr>
              <m:t>t</m:t>
            </m:r>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1</m:t>
            </m:r>
          </m:sub>
          <m:sup>
            <m:sSub>
              <m:e>
                <m:r>
                  <w:rPr>
                    <w:rFonts w:ascii="Cambria Math" w:hAnsi="Cambria Math"/>
                    <w:sz w:val="19"/>
                    <w:szCs w:val="19"/>
                  </w:rPr>
                  <m:t>s</m:t>
                </m:r>
              </m:e>
              <m:sub>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1</m:t>
            </m:r>
          </m:sup>
          <m:e>
            <m:r>
              <m:rPr>
                <m:sty m:val="p"/>
              </m:rPr>
              <w:rPr>
                <w:rFonts w:ascii="Cambria Math" w:hAnsi="Cambria Math"/>
                <w:sz w:val="19"/>
                <w:szCs w:val="19"/>
              </w:rPr>
              <m:t>max</m:t>
            </m:r>
          </m:e>
        </m:nary>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b</m:t>
            </m:r>
            <m:r>
              <w:rPr>
                <w:rFonts w:ascii="Cambria Math" w:hAnsi="Cambria Math"/>
                <w:sz w:val="19"/>
                <w:szCs w:val="19"/>
              </w:rPr>
              <m:t>a</m:t>
            </m:r>
            <m:r>
              <w:rPr>
                <w:rFonts w:ascii="Cambria Math" w:hAnsi="Cambria Math"/>
                <w:sz w:val="19"/>
                <w:szCs w:val="19"/>
              </w:rPr>
              <m:t>s</m:t>
            </m:r>
            <m:r>
              <w:rPr>
                <w:rFonts w:ascii="Cambria Math" w:hAnsi="Cambria Math"/>
                <w:sz w:val="19"/>
                <w:szCs w:val="19"/>
              </w:rPr>
              <m:t>e</m:t>
            </m:r>
          </m:sup>
        </m:sSubSup>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oMath>
      <w:r>
        <w:tab/>
      </w:r>
      <w:r>
        <w:t xml:space="preserve">(1)</w:t>
      </w:r>
    </w:p>
    <w:p>
      <w:pPr>
        <w:pStyle w:val="BodyText"/>
      </w:pPr>
      <w:r>
        <w:t xml:space="preserve">Because it is measured against the baseline, which is known day-ahead,</w:t>
      </w:r>
      <w:r>
        <w:t xml:space="preserve"> </w:t>
      </w:r>
      <m:oMath>
        <m:sSub>
          <m:e>
            <m:r>
              <w:rPr>
                <w:rFonts w:ascii="Cambria Math" w:hAnsi="Cambria Math"/>
                <w:sz w:val="19"/>
                <w:szCs w:val="19"/>
              </w:rPr>
              <m:t>H</m:t>
            </m:r>
          </m:e>
          <m:sub>
            <m:r>
              <w:rPr>
                <w:rFonts w:ascii="Cambria Math" w:hAnsi="Cambria Math"/>
                <w:sz w:val="19"/>
                <w:szCs w:val="19"/>
              </w:rPr>
              <m:t>k</m:t>
            </m:r>
          </m:sub>
        </m:sSub>
      </m:oMath>
      <w:r>
        <w:t xml:space="preserve"> </w:t>
      </w:r>
      <w:r>
        <w:t xml:space="preserve">is the nominal channel. The channel that is physically available on the operating day is the state-dependent actual channel</w:t>
      </w:r>
    </w:p>
    <w:p>
      <w:pPr>
        <w:pStyle w:val="Equation"/>
      </w:pPr>
      <w:r>
        <w:tab/>
      </w:r>
      <m:oMath>
        <m:sSubSup>
          <m:e>
            <m:r>
              <w:rPr>
                <w:rFonts w:ascii="Cambria Math" w:hAnsi="Cambria Math"/>
                <w:sz w:val="19"/>
                <w:szCs w:val="19"/>
              </w:rPr>
              <m:t>H</m:t>
            </m:r>
          </m:e>
          <m:sub>
            <m:r>
              <w:rPr>
                <w:rFonts w:ascii="Cambria Math" w:hAnsi="Cambria Math"/>
                <w:sz w:val="19"/>
                <w:szCs w:val="19"/>
              </w:rPr>
              <m:t>k</m:t>
            </m:r>
          </m:sub>
          <m:sup>
            <m:r>
              <w:rPr>
                <w:rFonts w:ascii="Cambria Math" w:hAnsi="Cambria Math"/>
                <w:sz w:val="19"/>
                <w:szCs w:val="19"/>
              </w:rPr>
              <m:t>a</m:t>
            </m:r>
            <m:r>
              <w:rPr>
                <w:rFonts w:ascii="Cambria Math" w:hAnsi="Cambria Math"/>
                <w:sz w:val="19"/>
                <w:szCs w:val="19"/>
              </w:rPr>
              <m:t>c</m:t>
            </m:r>
            <m:r>
              <w:rPr>
                <w:rFonts w:ascii="Cambria Math" w:hAnsi="Cambria Math"/>
                <w:sz w:val="19"/>
                <w:szCs w:val="19"/>
              </w:rPr>
              <m:t>t</m:t>
            </m:r>
          </m:sup>
        </m:sSubSup>
        <m:r>
          <m:rPr>
            <m:sty m:val="p"/>
          </m:rPr>
          <w:rPr>
            <w:rFonts w:ascii="Cambria Math" w:hAnsi="Cambria Math"/>
            <w:sz w:val="19"/>
            <w:szCs w:val="19"/>
          </w:rPr>
          <m:t>=</m:t>
        </m:r>
        <m:nary>
          <m:naryPr>
            <m:chr m:val="∑"/>
            <m:limLoc m:val="undOvr"/>
            <m:subHide m:val="off"/>
            <m:supHide m:val="off"/>
          </m:naryPr>
          <m:sub>
            <m:r>
              <w:rPr>
                <w:rFonts w:ascii="Cambria Math" w:hAnsi="Cambria Math"/>
                <w:sz w:val="19"/>
                <w:szCs w:val="19"/>
              </w:rPr>
              <m:t>t</m:t>
            </m:r>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1</m:t>
            </m:r>
          </m:sub>
          <m:sup>
            <m:sSub>
              <m:e>
                <m:r>
                  <w:rPr>
                    <w:rFonts w:ascii="Cambria Math" w:hAnsi="Cambria Math"/>
                    <w:sz w:val="19"/>
                    <w:szCs w:val="19"/>
                  </w:rPr>
                  <m:t>s</m:t>
                </m:r>
              </m:e>
              <m:sub>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1</m:t>
            </m:r>
          </m:sup>
          <m:e>
            <m:r>
              <m:rPr>
                <m:sty m:val="p"/>
              </m:rPr>
              <w:rPr>
                <w:rFonts w:ascii="Cambria Math" w:hAnsi="Cambria Math"/>
                <w:sz w:val="19"/>
                <w:szCs w:val="19"/>
              </w:rPr>
              <m:t>max</m:t>
            </m:r>
          </m:e>
        </m:nary>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n</m:t>
            </m:r>
            <m:r>
              <w:rPr>
                <w:rFonts w:ascii="Cambria Math" w:hAnsi="Cambria Math"/>
                <w:sz w:val="19"/>
                <w:szCs w:val="19"/>
              </w:rPr>
              <m:t>o</m:t>
            </m:r>
            <m:r>
              <w:rPr>
                <w:rFonts w:ascii="Cambria Math" w:hAnsi="Cambria Math"/>
                <w:sz w:val="19"/>
                <w:szCs w:val="19"/>
              </w:rPr>
              <m:t>D</m:t>
            </m:r>
            <m:r>
              <w:rPr>
                <w:rFonts w:ascii="Cambria Math" w:hAnsi="Cambria Math"/>
                <w:sz w:val="19"/>
                <w:szCs w:val="19"/>
              </w:rPr>
              <m:t>R</m:t>
            </m:r>
          </m:sup>
        </m:sSubSup>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oMath>
      <w:r>
        <w:tab/>
      </w:r>
      <w:r>
        <w:t xml:space="preserve">(2)</w:t>
      </w:r>
    </w:p>
    <w:p>
      <w:pPr>
        <w:pStyle w:val="BodyText"/>
      </w:pPr>
      <w:r>
        <w:t xml:space="preserve">where</w:t>
      </w:r>
      <w:r>
        <w:t xml:space="preserve"> </w:t>
      </w:r>
      <m:oMath>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n</m:t>
            </m:r>
            <m:r>
              <w:rPr>
                <w:rFonts w:ascii="Cambria Math" w:hAnsi="Cambria Math"/>
                <w:sz w:val="19"/>
                <w:szCs w:val="19"/>
              </w:rPr>
              <m:t>o</m:t>
            </m:r>
            <m:r>
              <w:rPr>
                <w:rFonts w:ascii="Cambria Math" w:hAnsi="Cambria Math"/>
                <w:sz w:val="19"/>
                <w:szCs w:val="19"/>
              </w:rPr>
              <m:t>D</m:t>
            </m:r>
            <m:r>
              <w:rPr>
                <w:rFonts w:ascii="Cambria Math" w:hAnsi="Cambria Math"/>
                <w:sz w:val="19"/>
                <w:szCs w:val="19"/>
              </w:rPr>
              <m:t>R</m:t>
            </m:r>
          </m:sup>
        </m:sSubSup>
      </m:oMath>
      <w:r>
        <w:t xml:space="preserve"> </w:t>
      </w:r>
      <w:r>
        <w:t xml:space="preserve">is the import of the no-DR operation on the realised computing load, inference load, PV output and chiller COP. The two coincide when the no-DR import equals the baseline and otherwise differ by the baseline error; Section 5.1.3 compares them on the operating days. The scheduling problem is to decide which debt to repay first so that the reduction deliverable in event</w:t>
      </w:r>
      <w:r>
        <w:t xml:space="preserve">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1</m:t>
        </m:r>
      </m:oMath>
      <w:r>
        <w:t xml:space="preserve"> </w:t>
      </w:r>
      <w:r>
        <w:t xml:space="preserve">is maximised; the commitment problem is to determine how much consecutive capacity the AIDC can firmly offer when recovery is coordinated across events.</w:t>
      </w:r>
    </w:p>
    <w:bookmarkEnd w:id="27"/>
    <w:bookmarkEnd w:id="28"/>
    <w:bookmarkStart w:id="39" w:name="Xd3bf797e97a624b18ac1d02a3608b2fe7491d8f"/>
    <w:p>
      <w:pPr>
        <w:pStyle w:val="Heading1"/>
      </w:pPr>
      <w:r>
        <w:t xml:space="preserve">3. Cross-event recovery model of the AIDC integrated energy system</w:t>
      </w:r>
    </w:p>
    <w:p>
      <w:pPr>
        <w:pStyle w:val="FirstParagraph"/>
      </w:pPr>
      <w:r>
        <w:t xml:space="preserve">This section formulates the operation of the AIDC integrated energy system over a DR day as a mixed-integer linear program (MILP) with a 15-min step</w:t>
      </w:r>
      <w:r>
        <w:t xml:space="preserve"> </w:t>
      </w:r>
      <m:oMath>
        <m:r>
          <w:rPr>
            <w:rFonts w:ascii="Cambria Math" w:hAnsi="Cambria Math"/>
            <w:sz w:val="19"/>
            <w:szCs w:val="19"/>
          </w:rPr>
          <m:t>Δ</m:t>
        </m:r>
        <m:r>
          <w:rPr>
            <w:rFonts w:ascii="Cambria Math" w:hAnsi="Cambria Math"/>
            <w:sz w:val="19"/>
            <w:szCs w:val="19"/>
          </w:rPr>
          <m:t>t</m:t>
        </m:r>
      </m:oMath>
      <w:r>
        <w:t xml:space="preserve">. The model underlies both the intraday controller and the closed-loop capability of Section 4, and its theoretical properties (Section 3.7) explain how the recovery of one event shapes the next.</w:t>
      </w:r>
    </w:p>
    <w:bookmarkStart w:id="29" w:name="it-power-and-computing-backlog-model"/>
    <w:p>
      <w:pPr>
        <w:pStyle w:val="Heading2"/>
      </w:pPr>
      <w:r>
        <w:t xml:space="preserve">3.1. IT power and computing backlog model</w:t>
      </w:r>
    </w:p>
    <w:p>
      <w:pPr>
        <w:pStyle w:val="FirstParagraph"/>
      </w:pPr>
      <w:r>
        <w:t xml:space="preserve">The IT power follows the number of busy GPUs. With the idle and other IT power collected in</w:t>
      </w:r>
      <w:r>
        <w:t xml:space="preserve"> </w:t>
      </w:r>
      <m:oMath>
        <m:sSup>
          <m:e>
            <m:r>
              <w:rPr>
                <w:rFonts w:ascii="Cambria Math" w:hAnsi="Cambria Math"/>
                <w:sz w:val="19"/>
                <w:szCs w:val="19"/>
              </w:rPr>
              <m:t>P</m:t>
            </m:r>
          </m:e>
          <m:sup>
            <m:r>
              <w:rPr>
                <w:rFonts w:ascii="Cambria Math" w:hAnsi="Cambria Math"/>
                <w:sz w:val="19"/>
                <w:szCs w:val="19"/>
              </w:rPr>
              <m:t>f</m:t>
            </m:r>
            <m:r>
              <w:rPr>
                <w:rFonts w:ascii="Cambria Math" w:hAnsi="Cambria Math"/>
                <w:sz w:val="19"/>
                <w:szCs w:val="19"/>
              </w:rPr>
              <m:t>i</m:t>
            </m:r>
            <m:r>
              <w:rPr>
                <w:rFonts w:ascii="Cambria Math" w:hAnsi="Cambria Math"/>
                <w:sz w:val="19"/>
                <w:szCs w:val="19"/>
              </w:rPr>
              <m:t>x</m:t>
            </m:r>
          </m:sup>
        </m:sSup>
        <m:r>
          <m:rPr>
            <m:sty m:val="p"/>
          </m:rPr>
          <w:rPr>
            <w:rFonts w:ascii="Cambria Math" w:hAnsi="Cambria Math"/>
            <w:sz w:val="19"/>
            <w:szCs w:val="19"/>
          </w:rPr>
          <m:t>=</m:t>
        </m:r>
        <m:sSup>
          <m:e>
            <m:r>
              <w:rPr>
                <w:rFonts w:ascii="Cambria Math" w:hAnsi="Cambria Math"/>
                <w:sz w:val="19"/>
                <w:szCs w:val="19"/>
              </w:rPr>
              <m:t>N</m:t>
            </m:r>
          </m:e>
          <m:sup>
            <m:r>
              <w:rPr>
                <w:rFonts w:ascii="Cambria Math" w:hAnsi="Cambria Math"/>
                <w:sz w:val="19"/>
                <w:szCs w:val="19"/>
              </w:rPr>
              <m:t>G</m:t>
            </m:r>
            <m:r>
              <w:rPr>
                <w:rFonts w:ascii="Cambria Math" w:hAnsi="Cambria Math"/>
                <w:sz w:val="19"/>
                <w:szCs w:val="19"/>
              </w:rPr>
              <m:t>P</m:t>
            </m:r>
            <m:r>
              <w:rPr>
                <w:rFonts w:ascii="Cambria Math" w:hAnsi="Cambria Math"/>
                <w:sz w:val="19"/>
                <w:szCs w:val="19"/>
              </w:rPr>
              <m:t>U</m:t>
            </m:r>
          </m:sup>
        </m:sSup>
        <m:sSup>
          <m:e>
            <m:r>
              <w:rPr>
                <w:rFonts w:ascii="Cambria Math" w:hAnsi="Cambria Math"/>
                <w:sz w:val="19"/>
                <w:szCs w:val="19"/>
              </w:rPr>
              <m:t>p</m:t>
            </m:r>
          </m:e>
          <m:sup>
            <m:r>
              <w:rPr>
                <w:rFonts w:ascii="Cambria Math" w:hAnsi="Cambria Math"/>
                <w:sz w:val="19"/>
                <w:szCs w:val="19"/>
              </w:rPr>
              <m:t>i</m:t>
            </m:r>
            <m:r>
              <w:rPr>
                <w:rFonts w:ascii="Cambria Math" w:hAnsi="Cambria Math"/>
                <w:sz w:val="19"/>
                <w:szCs w:val="19"/>
              </w:rPr>
              <m:t>d</m:t>
            </m:r>
            <m:r>
              <w:rPr>
                <w:rFonts w:ascii="Cambria Math" w:hAnsi="Cambria Math"/>
                <w:sz w:val="19"/>
                <w:szCs w:val="19"/>
              </w:rPr>
              <m:t>l</m:t>
            </m:r>
            <m:r>
              <w:rPr>
                <w:rFonts w:ascii="Cambria Math" w:hAnsi="Cambria Math"/>
                <w:sz w:val="19"/>
                <w:szCs w:val="19"/>
              </w:rPr>
              <m:t>e</m:t>
            </m:r>
          </m:sup>
        </m:sSup>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o</m:t>
            </m:r>
            <m:r>
              <w:rPr>
                <w:rFonts w:ascii="Cambria Math" w:hAnsi="Cambria Math"/>
                <w:sz w:val="19"/>
                <w:szCs w:val="19"/>
              </w:rPr>
              <m:t>t</m:t>
            </m:r>
            <m:r>
              <w:rPr>
                <w:rFonts w:ascii="Cambria Math" w:hAnsi="Cambria Math"/>
                <w:sz w:val="19"/>
                <w:szCs w:val="19"/>
              </w:rPr>
              <m:t>h</m:t>
            </m:r>
          </m:sup>
        </m:sSup>
      </m:oMath>
      <w:r>
        <w:t xml:space="preserve">, it is</w:t>
      </w:r>
    </w:p>
    <w:p>
      <w:pPr>
        <w:pStyle w:val="Equation"/>
      </w:pPr>
      <w:r>
        <w:tab/>
      </w:r>
      <m:oMath>
        <m:m>
          <m:mPr>
            <m:baseJc m:val="center"/>
            <m:plcHide m:val="on"/>
            <m:mcs>
              <m:mc>
                <m:mcPr>
                  <m:count m:val="1"/>
                  <m:mcJc m:val="right"/>
                </m:mcPr>
              </m:mc>
              <m:mc>
                <m:mcPr>
                  <m:count m:val="1"/>
                  <m:mcJc m:val="left"/>
                </m:mcPr>
              </m:mc>
            </m:mcs>
          </m:mPr>
          <m:mr>
            <m:e>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I</m:t>
                  </m:r>
                  <m:r>
                    <w:rPr>
                      <w:rFonts w:ascii="Cambria Math" w:hAnsi="Cambria Math"/>
                      <w:sz w:val="19"/>
                      <w:szCs w:val="19"/>
                    </w:rPr>
                    <m:t>T</m:t>
                  </m:r>
                </m:sup>
              </m:sSubSup>
              <m:r>
                <m:rPr>
                  <m:sty m:val="p"/>
                </m:rPr>
                <w:rPr>
                  <w:rFonts w:ascii="Cambria Math" w:hAnsi="Cambria Math"/>
                  <w:sz w:val="19"/>
                  <w:szCs w:val="19"/>
                </w:rPr>
                <m:t>=</m:t>
              </m:r>
              <m:r>
                <w:rPr>
                  <w:rFonts w:ascii="Cambria Math" w:hAnsi="Cambria Math"/>
                  <w:sz w:val="19"/>
                  <w:szCs w:val="19"/>
                </w:rPr>
                <m:t>​</m:t>
              </m:r>
            </m:e>
            <m:e>
              <m:sSup>
                <m:e>
                  <m:r>
                    <w:rPr>
                      <w:rFonts w:ascii="Cambria Math" w:hAnsi="Cambria Math"/>
                      <w:sz w:val="19"/>
                      <w:szCs w:val="19"/>
                    </w:rPr>
                    <m:t>P</m:t>
                  </m:r>
                </m:e>
                <m:sup>
                  <m:r>
                    <w:rPr>
                      <w:rFonts w:ascii="Cambria Math" w:hAnsi="Cambria Math"/>
                      <w:sz w:val="19"/>
                      <w:szCs w:val="19"/>
                    </w:rPr>
                    <m:t>f</m:t>
                  </m:r>
                  <m:r>
                    <w:rPr>
                      <w:rFonts w:ascii="Cambria Math" w:hAnsi="Cambria Math"/>
                      <w:sz w:val="19"/>
                      <w:szCs w:val="19"/>
                    </w:rPr>
                    <m:t>i</m:t>
                  </m:r>
                  <m:r>
                    <w:rPr>
                      <w:rFonts w:ascii="Cambria Math" w:hAnsi="Cambria Math"/>
                      <w:sz w:val="19"/>
                      <w:szCs w:val="19"/>
                    </w:rPr>
                    <m:t>x</m:t>
                  </m:r>
                </m:sup>
              </m:sSup>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d</m:t>
                  </m:r>
                  <m:r>
                    <w:rPr>
                      <w:rFonts w:ascii="Cambria Math" w:hAnsi="Cambria Math"/>
                      <w:sz w:val="19"/>
                      <w:szCs w:val="19"/>
                    </w:rPr>
                    <m:t>y</m:t>
                  </m:r>
                  <m:r>
                    <w:rPr>
                      <w:rFonts w:ascii="Cambria Math" w:hAnsi="Cambria Math"/>
                      <w:sz w:val="19"/>
                      <w:szCs w:val="19"/>
                    </w:rPr>
                    <m:t>n</m:t>
                  </m:r>
                </m:sup>
              </m:sSup>
              <m:r>
                <m:rPr>
                  <m:sty m:val="p"/>
                </m:rPr>
                <w:rPr>
                  <w:rFonts w:ascii="Cambria Math" w:hAnsi="Cambria Math"/>
                  <w:sz w:val="19"/>
                  <w:szCs w:val="19"/>
                </w:rPr>
                <m:t>(</m:t>
              </m:r>
              <m:sSup>
                <m:e>
                  <m:r>
                    <w:rPr>
                      <w:rFonts w:ascii="Cambria Math" w:hAnsi="Cambria Math"/>
                      <w:sz w:val="19"/>
                      <w:szCs w:val="19"/>
                    </w:rPr>
                    <m:t>κ</m:t>
                  </m:r>
                </m:e>
                <m:sup>
                  <m:r>
                    <w:rPr>
                      <w:rFonts w:ascii="Cambria Math" w:hAnsi="Cambria Math"/>
                      <w:sz w:val="19"/>
                      <w:szCs w:val="19"/>
                    </w:rPr>
                    <m:t>i</m:t>
                  </m:r>
                  <m:r>
                    <w:rPr>
                      <w:rFonts w:ascii="Cambria Math" w:hAnsi="Cambria Math"/>
                      <w:sz w:val="19"/>
                      <w:szCs w:val="19"/>
                    </w:rPr>
                    <m:t>n</m:t>
                  </m:r>
                  <m:r>
                    <w:rPr>
                      <w:rFonts w:ascii="Cambria Math" w:hAnsi="Cambria Math"/>
                      <w:sz w:val="19"/>
                      <w:szCs w:val="19"/>
                    </w:rPr>
                    <m:t>f</m:t>
                  </m:r>
                </m:sup>
              </m:sSup>
              <m:sSubSup>
                <m:e>
                  <m:r>
                    <w:rPr>
                      <w:rFonts w:ascii="Cambria Math" w:hAnsi="Cambria Math"/>
                      <w:sz w:val="19"/>
                      <w:szCs w:val="19"/>
                    </w:rPr>
                    <m:t>G</m:t>
                  </m:r>
                </m:e>
                <m:sub>
                  <m:r>
                    <w:rPr>
                      <w:rFonts w:ascii="Cambria Math" w:hAnsi="Cambria Math"/>
                      <w:sz w:val="19"/>
                      <w:szCs w:val="19"/>
                    </w:rPr>
                    <m:t>t</m:t>
                  </m:r>
                </m:sub>
                <m:sup>
                  <m:r>
                    <w:rPr>
                      <w:rFonts w:ascii="Cambria Math" w:hAnsi="Cambria Math"/>
                      <w:sz w:val="19"/>
                      <w:szCs w:val="19"/>
                    </w:rPr>
                    <m:t>i</m:t>
                  </m:r>
                  <m:r>
                    <w:rPr>
                      <w:rFonts w:ascii="Cambria Math" w:hAnsi="Cambria Math"/>
                      <w:sz w:val="19"/>
                      <w:szCs w:val="19"/>
                    </w:rPr>
                    <m:t>n</m:t>
                  </m:r>
                  <m:r>
                    <w:rPr>
                      <w:rFonts w:ascii="Cambria Math" w:hAnsi="Cambria Math"/>
                      <w:sz w:val="19"/>
                      <w:szCs w:val="19"/>
                    </w:rPr>
                    <m:t>f</m:t>
                  </m:r>
                </m:sup>
              </m:sSubSup>
              <m:r>
                <m:rPr>
                  <m:sty m:val="p"/>
                </m:rPr>
                <w:rPr>
                  <w:rFonts w:ascii="Cambria Math" w:hAnsi="Cambria Math"/>
                  <w:sz w:val="19"/>
                  <w:szCs w:val="19"/>
                </w:rPr>
                <m:t>+</m:t>
              </m:r>
              <m:sSubSup>
                <m:e>
                  <m:r>
                    <w:rPr>
                      <w:rFonts w:ascii="Cambria Math" w:hAnsi="Cambria Math"/>
                      <w:sz w:val="19"/>
                      <w:szCs w:val="19"/>
                    </w:rPr>
                    <m:t>G</m:t>
                  </m:r>
                </m:e>
                <m:sub>
                  <m:r>
                    <w:rPr>
                      <w:rFonts w:ascii="Cambria Math" w:hAnsi="Cambria Math"/>
                      <w:sz w:val="19"/>
                      <w:szCs w:val="19"/>
                    </w:rPr>
                    <m:t>t</m:t>
                  </m:r>
                </m:sub>
                <m:sup>
                  <m:r>
                    <w:rPr>
                      <w:rFonts w:ascii="Cambria Math" w:hAnsi="Cambria Math"/>
                      <w:sz w:val="19"/>
                      <w:szCs w:val="19"/>
                    </w:rPr>
                    <m:t>f</m:t>
                  </m:r>
                  <m:r>
                    <w:rPr>
                      <w:rFonts w:ascii="Cambria Math" w:hAnsi="Cambria Math"/>
                      <w:sz w:val="19"/>
                      <w:szCs w:val="19"/>
                    </w:rPr>
                    <m:t>i</m:t>
                  </m:r>
                  <m:r>
                    <w:rPr>
                      <w:rFonts w:ascii="Cambria Math" w:hAnsi="Cambria Math"/>
                      <w:sz w:val="19"/>
                      <w:szCs w:val="19"/>
                    </w:rPr>
                    <m:t>x</m:t>
                  </m:r>
                </m:sup>
              </m:sSubSup>
            </m:e>
          </m:mr>
          <m:mr>
            <m:e/>
            <m:e>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sSub>
                    <m:e>
                      <m:r>
                        <w:rPr>
                          <w:rFonts w:ascii="Cambria Math" w:hAnsi="Cambria Math"/>
                          <w:sz w:val="19"/>
                          <w:szCs w:val="19"/>
                        </w:rPr>
                        <m:t>y</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nary>
              <m:r>
                <m:rPr>
                  <m:sty m:val="p"/>
                </m:rPr>
                <w:rPr>
                  <w:rFonts w:ascii="Cambria Math" w:hAnsi="Cambria Math"/>
                  <w:sz w:val="19"/>
                  <w:szCs w:val="19"/>
                </w:rPr>
                <m:t>)</m:t>
              </m:r>
              <m:r>
                <m:rPr>
                  <m:sty m:val="p"/>
                </m:rPr>
                <w:rPr>
                  <w:rFonts w:ascii="Cambria Math" w:hAnsi="Cambria Math"/>
                  <w:sz w:val="19"/>
                  <w:szCs w:val="19"/>
                </w:rPr>
                <m:t>,</m:t>
              </m:r>
            </m:e>
          </m:mr>
        </m:m>
      </m:oMath>
      <w:r>
        <w:tab/>
      </w:r>
      <w:r>
        <w:t xml:space="preserve">(3)</w:t>
      </w:r>
    </w:p>
    <w:p>
      <w:pPr>
        <w:pStyle w:val="BodyText"/>
      </w:pPr>
      <w:r>
        <w:t xml:space="preserve">where online inference draws the fraction</w:t>
      </w:r>
      <w:r>
        <w:t xml:space="preserve"> </w:t>
      </w:r>
      <m:oMath>
        <m:sSup>
          <m:e>
            <m:r>
              <w:rPr>
                <w:rFonts w:ascii="Cambria Math" w:hAnsi="Cambria Math"/>
                <w:sz w:val="19"/>
                <w:szCs w:val="19"/>
              </w:rPr>
              <m:t>κ</m:t>
            </m:r>
          </m:e>
          <m:sup>
            <m:r>
              <w:rPr>
                <w:rFonts w:ascii="Cambria Math" w:hAnsi="Cambria Math"/>
                <w:sz w:val="19"/>
                <w:szCs w:val="19"/>
              </w:rPr>
              <m:t>i</m:t>
            </m:r>
            <m:r>
              <w:rPr>
                <w:rFonts w:ascii="Cambria Math" w:hAnsi="Cambria Math"/>
                <w:sz w:val="19"/>
                <w:szCs w:val="19"/>
              </w:rPr>
              <m:t>n</m:t>
            </m:r>
            <m:r>
              <w:rPr>
                <w:rFonts w:ascii="Cambria Math" w:hAnsi="Cambria Math"/>
                <w:sz w:val="19"/>
                <w:szCs w:val="19"/>
              </w:rPr>
              <m:t>f</m:t>
            </m:r>
          </m:sup>
        </m:sSup>
      </m:oMath>
      <w:r>
        <w:t xml:space="preserve"> </w:t>
      </w:r>
      <w:r>
        <w:t xml:space="preserve">of the dynamic power of a training GPU. Deferred work of class</w:t>
      </w:r>
      <w:r>
        <w:t xml:space="preserve"> </w:t>
      </w:r>
      <m:oMath>
        <m:r>
          <w:rPr>
            <w:rFonts w:ascii="Cambria Math" w:hAnsi="Cambria Math"/>
            <w:sz w:val="19"/>
            <w:szCs w:val="19"/>
          </w:rPr>
          <m:t>c</m:t>
        </m:r>
      </m:oMath>
      <w:r>
        <w:t xml:space="preserve"> </w:t>
      </w:r>
      <w:r>
        <w:t xml:space="preserve">accumulates in the backlog</w:t>
      </w:r>
    </w:p>
    <w:p>
      <w:pPr>
        <w:pStyle w:val="Equation"/>
      </w:pPr>
      <w:r>
        <w:tab/>
      </w:r>
      <m:oMath>
        <m:sSub>
          <m:e>
            <m:r>
              <w:rPr>
                <w:rFonts w:ascii="Cambria Math" w:hAnsi="Cambria Math"/>
                <w:sz w:val="19"/>
                <w:szCs w:val="19"/>
              </w:rPr>
              <m:t>B</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B</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d>
          <m:dPr>
            <m:begChr m:val="("/>
            <m:sepChr m:val=""/>
            <m:endChr m:val=")"/>
            <m:grow/>
          </m:dPr>
          <m:e>
            <m:sSub>
              <m:e>
                <m:r>
                  <w:rPr>
                    <w:rFonts w:ascii="Cambria Math" w:hAnsi="Cambria Math"/>
                    <w:sz w:val="19"/>
                    <w:szCs w:val="19"/>
                  </w:rPr>
                  <m:t>a</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y</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d>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oMath>
      <w:r>
        <w:tab/>
      </w:r>
      <w:r>
        <w:t xml:space="preserve">(4)</w:t>
      </w:r>
    </w:p>
    <w:p>
      <w:pPr>
        <w:pStyle w:val="BodyText"/>
      </w:pPr>
      <w:r>
        <w:t xml:space="preserve">which is bounded by the deadlines of the work,</w:t>
      </w:r>
    </w:p>
    <w:p>
      <w:pPr>
        <w:pStyle w:val="Equation"/>
      </w:pPr>
      <w:r>
        <w:tab/>
      </w:r>
      <m:oMath>
        <m:r>
          <w:rPr>
            <w:rFonts w:ascii="Cambria Math" w:hAnsi="Cambria Math"/>
            <w:sz w:val="19"/>
            <w:szCs w:val="19"/>
          </w:rPr>
          <m:t>0</m:t>
        </m:r>
        <m:r>
          <m:rPr>
            <m:sty m:val="p"/>
          </m:rPr>
          <w:rPr>
            <w:rFonts w:ascii="Cambria Math" w:hAnsi="Cambria Math"/>
            <w:sz w:val="19"/>
            <w:szCs w:val="19"/>
          </w:rPr>
          <m:t>≤</m:t>
        </m:r>
        <m:sSub>
          <m:e>
            <m:r>
              <w:rPr>
                <w:rFonts w:ascii="Cambria Math" w:hAnsi="Cambria Math"/>
                <w:sz w:val="19"/>
                <w:szCs w:val="19"/>
              </w:rPr>
              <m:t>B</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sSub>
          <m:e>
            <m:acc>
              <m:accPr>
                <m:chr m:val="‾"/>
              </m:accPr>
              <m:e>
                <m:r>
                  <w:rPr>
                    <w:rFonts w:ascii="Cambria Math" w:hAnsi="Cambria Math"/>
                    <w:sz w:val="19"/>
                    <w:szCs w:val="19"/>
                  </w:rPr>
                  <m:t>B</m:t>
                </m:r>
              </m:e>
            </m:acc>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d>
          <m:dPr>
            <m:begChr m:val="("/>
            <m:sepChr m:val=""/>
            <m:endChr m:val=")"/>
            <m:grow/>
          </m:dPr>
          <m:e>
            <m:sSub>
              <m:e>
                <m:r>
                  <w:rPr>
                    <w:rFonts w:ascii="Cambria Math" w:hAnsi="Cambria Math"/>
                    <w:sz w:val="19"/>
                    <w:szCs w:val="19"/>
                  </w:rPr>
                  <m:t>L</m:t>
                </m:r>
              </m:e>
              <m:sub>
                <m:r>
                  <w:rPr>
                    <w:rFonts w:ascii="Cambria Math" w:hAnsi="Cambria Math"/>
                    <w:sz w:val="19"/>
                    <w:szCs w:val="19"/>
                  </w:rPr>
                  <m:t>c</m:t>
                </m:r>
              </m:sub>
            </m:sSub>
          </m:e>
        </m:d>
        <m:r>
          <m:rPr>
            <m:sty m:val="p"/>
          </m:rPr>
          <w:rPr>
            <w:rFonts w:ascii="Cambria Math" w:hAnsi="Cambria Math"/>
            <w:sz w:val="19"/>
            <w:szCs w:val="19"/>
          </w:rPr>
          <m:t>+</m:t>
        </m:r>
        <m:sSub>
          <m:e>
            <m:r>
              <w:rPr>
                <w:rFonts w:ascii="Cambria Math" w:hAnsi="Cambria Math"/>
                <w:sz w:val="19"/>
                <w:szCs w:val="19"/>
              </w:rPr>
              <m:t>v</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v</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tab/>
      </w:r>
      <w:r>
        <w:t xml:space="preserve">(5)</w:t>
      </w:r>
    </w:p>
    <w:p>
      <w:pPr>
        <w:pStyle w:val="BodyText"/>
      </w:pPr>
      <w:r>
        <w:t xml:space="preserve">where</w:t>
      </w:r>
      <w:r>
        <w:t xml:space="preserve"> </w:t>
      </w:r>
      <m:oMath>
        <m:sSub>
          <m:e>
            <m:acc>
              <m:accPr>
                <m:chr m:val="‾"/>
              </m:accPr>
              <m:e>
                <m:r>
                  <w:rPr>
                    <w:rFonts w:ascii="Cambria Math" w:hAnsi="Cambria Math"/>
                    <w:sz w:val="19"/>
                    <w:szCs w:val="19"/>
                  </w:rPr>
                  <m:t>B</m:t>
                </m:r>
              </m:e>
            </m:acc>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d>
          <m:dPr>
            <m:begChr m:val="("/>
            <m:sepChr m:val=""/>
            <m:endChr m:val=")"/>
            <m:grow/>
          </m:dPr>
          <m:e>
            <m:sSub>
              <m:e>
                <m:r>
                  <w:rPr>
                    <w:rFonts w:ascii="Cambria Math" w:hAnsi="Cambria Math"/>
                    <w:sz w:val="19"/>
                    <w:szCs w:val="19"/>
                  </w:rPr>
                  <m:t>L</m:t>
                </m:r>
              </m:e>
              <m:sub>
                <m:r>
                  <w:rPr>
                    <w:rFonts w:ascii="Cambria Math" w:hAnsi="Cambria Math"/>
                    <w:sz w:val="19"/>
                    <w:szCs w:val="19"/>
                  </w:rPr>
                  <m:t>c</m:t>
                </m:r>
              </m:sub>
            </m:sSub>
          </m:e>
        </m:d>
      </m:oMath>
      <w:r>
        <w:t xml:space="preserve"> </w:t>
      </w:r>
      <w:r>
        <w:t xml:space="preserve">is the work that arrived within the last</w:t>
      </w:r>
      <w:r>
        <w:t xml:space="preserve"> </w:t>
      </w:r>
      <m:oMath>
        <m:sSub>
          <m:e>
            <m:r>
              <w:rPr>
                <w:rFonts w:ascii="Cambria Math" w:hAnsi="Cambria Math"/>
                <w:sz w:val="19"/>
                <w:szCs w:val="19"/>
              </w:rPr>
              <m:t>L</m:t>
            </m:r>
          </m:e>
          <m:sub>
            <m:r>
              <w:rPr>
                <w:rFonts w:ascii="Cambria Math" w:hAnsi="Cambria Math"/>
                <w:sz w:val="19"/>
                <w:szCs w:val="19"/>
              </w:rPr>
              <m:t>c</m:t>
            </m:r>
          </m:sub>
        </m:sSub>
      </m:oMath>
      <w:r>
        <w:t xml:space="preserve"> </w:t>
      </w:r>
      <w:r>
        <w:t xml:space="preserve">hours and is therefore not yet due, and</w:t>
      </w:r>
      <w:r>
        <w:t xml:space="preserve"> </w:t>
      </w:r>
      <m:oMath>
        <m:sSub>
          <m:e>
            <m:r>
              <w:rPr>
                <w:rFonts w:ascii="Cambria Math" w:hAnsi="Cambria Math"/>
                <w:sz w:val="19"/>
                <w:szCs w:val="19"/>
              </w:rPr>
              <m:t>v</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oMath>
      <w:r>
        <w:t xml:space="preserve"> </w:t>
      </w:r>
      <w:r>
        <w:t xml:space="preserve">is overdue work priced at</w:t>
      </w:r>
      <w:r>
        <w:t xml:space="preserve"> </w:t>
      </w:r>
      <m:oMath>
        <m:sSup>
          <m:e>
            <m:r>
              <w:rPr>
                <w:rFonts w:ascii="Cambria Math" w:hAnsi="Cambria Math"/>
                <w:sz w:val="19"/>
                <w:szCs w:val="19"/>
              </w:rPr>
              <m:t>c</m:t>
            </m:r>
          </m:e>
          <m:sup>
            <m:r>
              <w:rPr>
                <w:rFonts w:ascii="Cambria Math" w:hAnsi="Cambria Math"/>
                <w:sz w:val="19"/>
                <w:szCs w:val="19"/>
              </w:rPr>
              <m:t>l</m:t>
            </m:r>
            <m:r>
              <w:rPr>
                <w:rFonts w:ascii="Cambria Math" w:hAnsi="Cambria Math"/>
                <w:sz w:val="19"/>
                <w:szCs w:val="19"/>
              </w:rPr>
              <m:t>a</m:t>
            </m:r>
            <m:r>
              <w:rPr>
                <w:rFonts w:ascii="Cambria Math" w:hAnsi="Cambria Math"/>
                <w:sz w:val="19"/>
                <w:szCs w:val="19"/>
              </w:rPr>
              <m:t>t</m:t>
            </m:r>
            <m:r>
              <w:rPr>
                <w:rFonts w:ascii="Cambria Math" w:hAnsi="Cambria Math"/>
                <w:sz w:val="19"/>
                <w:szCs w:val="19"/>
              </w:rPr>
              <m:t>e</m:t>
            </m:r>
          </m:sup>
        </m:sSup>
      </m:oMath>
      <w:r>
        <w:t xml:space="preserve">. The schedulable GPUs are limited by the utilisation cap</w:t>
      </w:r>
      <w:r>
        <w:t xml:space="preserve"> </w:t>
      </w:r>
      <m:oMath>
        <m:sSup>
          <m:e>
            <m:r>
              <w:rPr>
                <w:rFonts w:ascii="Cambria Math" w:hAnsi="Cambria Math"/>
                <w:sz w:val="19"/>
                <w:szCs w:val="19"/>
              </w:rPr>
              <m:t>u</m:t>
            </m:r>
          </m:e>
          <m:sup>
            <m:r>
              <w:rPr>
                <w:rFonts w:ascii="Cambria Math" w:hAnsi="Cambria Math"/>
                <w:sz w:val="19"/>
                <w:szCs w:val="19"/>
              </w:rPr>
              <m:t>m</m:t>
            </m:r>
            <m:r>
              <w:rPr>
                <w:rFonts w:ascii="Cambria Math" w:hAnsi="Cambria Math"/>
                <w:sz w:val="19"/>
                <w:szCs w:val="19"/>
              </w:rPr>
              <m:t>a</m:t>
            </m:r>
            <m:r>
              <w:rPr>
                <w:rFonts w:ascii="Cambria Math" w:hAnsi="Cambria Math"/>
                <w:sz w:val="19"/>
                <w:szCs w:val="19"/>
              </w:rPr>
              <m:t>x</m:t>
            </m:r>
          </m:sup>
        </m:sSup>
      </m:oMath>
      <w:r>
        <w:t xml:space="preserve">,</w:t>
      </w:r>
    </w:p>
    <w:p>
      <w:pPr>
        <w:pStyle w:val="Equation"/>
      </w:pPr>
      <w:r>
        <w:tab/>
      </w:r>
      <m:oMath>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sSub>
              <m:e>
                <m:r>
                  <w:rPr>
                    <w:rFonts w:ascii="Cambria Math" w:hAnsi="Cambria Math"/>
                    <w:sz w:val="19"/>
                    <w:szCs w:val="19"/>
                  </w:rPr>
                  <m:t>y</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nary>
        <m:r>
          <m:rPr>
            <m:sty m:val="p"/>
          </m:rPr>
          <w:rPr>
            <w:rFonts w:ascii="Cambria Math" w:hAnsi="Cambria Math"/>
            <w:sz w:val="19"/>
            <w:szCs w:val="19"/>
          </w:rPr>
          <m:t>≤</m:t>
        </m:r>
        <m:sSup>
          <m:e>
            <m:r>
              <w:rPr>
                <w:rFonts w:ascii="Cambria Math" w:hAnsi="Cambria Math"/>
                <w:sz w:val="19"/>
                <w:szCs w:val="19"/>
              </w:rPr>
              <m:t>u</m:t>
            </m:r>
          </m:e>
          <m:sup>
            <m:r>
              <w:rPr>
                <w:rFonts w:ascii="Cambria Math" w:hAnsi="Cambria Math"/>
                <w:sz w:val="19"/>
                <w:szCs w:val="19"/>
              </w:rPr>
              <m:t>m</m:t>
            </m:r>
            <m:r>
              <w:rPr>
                <w:rFonts w:ascii="Cambria Math" w:hAnsi="Cambria Math"/>
                <w:sz w:val="19"/>
                <w:szCs w:val="19"/>
              </w:rPr>
              <m:t>a</m:t>
            </m:r>
            <m:r>
              <w:rPr>
                <w:rFonts w:ascii="Cambria Math" w:hAnsi="Cambria Math"/>
                <w:sz w:val="19"/>
                <w:szCs w:val="19"/>
              </w:rPr>
              <m:t>x</m:t>
            </m:r>
          </m:sup>
        </m:sSup>
        <m:sSup>
          <m:e>
            <m:r>
              <w:rPr>
                <w:rFonts w:ascii="Cambria Math" w:hAnsi="Cambria Math"/>
                <w:sz w:val="19"/>
                <w:szCs w:val="19"/>
              </w:rPr>
              <m:t>N</m:t>
            </m:r>
          </m:e>
          <m:sup>
            <m:r>
              <w:rPr>
                <w:rFonts w:ascii="Cambria Math" w:hAnsi="Cambria Math"/>
                <w:sz w:val="19"/>
                <w:szCs w:val="19"/>
              </w:rPr>
              <m:t>G</m:t>
            </m:r>
            <m:r>
              <w:rPr>
                <w:rFonts w:ascii="Cambria Math" w:hAnsi="Cambria Math"/>
                <w:sz w:val="19"/>
                <w:szCs w:val="19"/>
              </w:rPr>
              <m:t>P</m:t>
            </m:r>
            <m:r>
              <w:rPr>
                <w:rFonts w:ascii="Cambria Math" w:hAnsi="Cambria Math"/>
                <w:sz w:val="19"/>
                <w:szCs w:val="19"/>
              </w:rPr>
              <m:t>U</m:t>
            </m:r>
          </m:sup>
        </m:sSup>
        <m:r>
          <m:rPr>
            <m:sty m:val="p"/>
          </m:rPr>
          <w:rPr>
            <w:rFonts w:ascii="Cambria Math" w:hAnsi="Cambria Math"/>
            <w:sz w:val="19"/>
            <w:szCs w:val="19"/>
          </w:rPr>
          <m:t>−</m:t>
        </m:r>
        <m:sSubSup>
          <m:e>
            <m:r>
              <w:rPr>
                <w:rFonts w:ascii="Cambria Math" w:hAnsi="Cambria Math"/>
                <w:sz w:val="19"/>
                <w:szCs w:val="19"/>
              </w:rPr>
              <m:t>G</m:t>
            </m:r>
          </m:e>
          <m:sub>
            <m:r>
              <w:rPr>
                <w:rFonts w:ascii="Cambria Math" w:hAnsi="Cambria Math"/>
                <w:sz w:val="19"/>
                <w:szCs w:val="19"/>
              </w:rPr>
              <m:t>t</m:t>
            </m:r>
          </m:sub>
          <m:sup>
            <m:r>
              <w:rPr>
                <w:rFonts w:ascii="Cambria Math" w:hAnsi="Cambria Math"/>
                <w:sz w:val="19"/>
                <w:szCs w:val="19"/>
              </w:rPr>
              <m:t>i</m:t>
            </m:r>
            <m:r>
              <w:rPr>
                <w:rFonts w:ascii="Cambria Math" w:hAnsi="Cambria Math"/>
                <w:sz w:val="19"/>
                <w:szCs w:val="19"/>
              </w:rPr>
              <m:t>n</m:t>
            </m:r>
            <m:r>
              <w:rPr>
                <w:rFonts w:ascii="Cambria Math" w:hAnsi="Cambria Math"/>
                <w:sz w:val="19"/>
                <w:szCs w:val="19"/>
              </w:rPr>
              <m:t>f</m:t>
            </m:r>
          </m:sup>
        </m:sSubSup>
        <m:r>
          <m:rPr>
            <m:sty m:val="p"/>
          </m:rPr>
          <w:rPr>
            <w:rFonts w:ascii="Cambria Math" w:hAnsi="Cambria Math"/>
            <w:sz w:val="19"/>
            <w:szCs w:val="19"/>
          </w:rPr>
          <m:t>−</m:t>
        </m:r>
        <m:sSubSup>
          <m:e>
            <m:r>
              <w:rPr>
                <w:rFonts w:ascii="Cambria Math" w:hAnsi="Cambria Math"/>
                <w:sz w:val="19"/>
                <w:szCs w:val="19"/>
              </w:rPr>
              <m:t>G</m:t>
            </m:r>
          </m:e>
          <m:sub>
            <m:r>
              <w:rPr>
                <w:rFonts w:ascii="Cambria Math" w:hAnsi="Cambria Math"/>
                <w:sz w:val="19"/>
                <w:szCs w:val="19"/>
              </w:rPr>
              <m:t>t</m:t>
            </m:r>
          </m:sub>
          <m:sup>
            <m:r>
              <w:rPr>
                <w:rFonts w:ascii="Cambria Math" w:hAnsi="Cambria Math"/>
                <w:sz w:val="19"/>
                <w:szCs w:val="19"/>
              </w:rPr>
              <m:t>f</m:t>
            </m:r>
            <m:r>
              <w:rPr>
                <w:rFonts w:ascii="Cambria Math" w:hAnsi="Cambria Math"/>
                <w:sz w:val="19"/>
                <w:szCs w:val="19"/>
              </w:rPr>
              <m:t>i</m:t>
            </m:r>
            <m:r>
              <w:rPr>
                <w:rFonts w:ascii="Cambria Math" w:hAnsi="Cambria Math"/>
                <w:sz w:val="19"/>
                <w:szCs w:val="19"/>
              </w:rPr>
              <m:t>x</m:t>
            </m:r>
          </m:sup>
        </m:sSubSup>
        <m:r>
          <m:rPr>
            <m:sty m:val="p"/>
          </m:rPr>
          <w:rPr>
            <w:rFonts w:ascii="Cambria Math" w:hAnsi="Cambria Math"/>
            <w:sz w:val="19"/>
            <w:szCs w:val="19"/>
          </w:rPr>
          <m:t>.</m:t>
        </m:r>
      </m:oMath>
      <w:r>
        <w:tab/>
      </w:r>
      <w:r>
        <w:t xml:space="preserve">(6)</w:t>
      </w:r>
    </w:p>
    <w:p>
      <w:pPr>
        <w:pStyle w:val="BodyText"/>
      </w:pPr>
      <w:r>
        <w:t xml:space="preserve">Each GPU·h of backlog requires the facility energy</w:t>
      </w:r>
    </w:p>
    <w:p>
      <w:pPr>
        <w:pStyle w:val="Equation"/>
      </w:pPr>
      <w:r>
        <w:tab/>
      </w:r>
      <m:oMath>
        <m:sSub>
          <m:e>
            <m:r>
              <w:rPr>
                <w:rFonts w:ascii="Cambria Math" w:hAnsi="Cambria Math"/>
                <w:sz w:val="19"/>
                <w:szCs w:val="19"/>
              </w:rPr>
              <m:t>ψ</m:t>
            </m:r>
          </m:e>
          <m:sub>
            <m:r>
              <w:rPr>
                <w:rFonts w:ascii="Cambria Math" w:hAnsi="Cambria Math"/>
                <w:sz w:val="19"/>
                <w:szCs w:val="19"/>
              </w:rPr>
              <m:t>t</m:t>
            </m:r>
          </m:sub>
        </m:sSub>
        <m:r>
          <m:rPr>
            <m:sty m:val="p"/>
          </m:rPr>
          <w:rPr>
            <w:rFonts w:ascii="Cambria Math" w:hAnsi="Cambria Math"/>
            <w:sz w:val="19"/>
            <w:szCs w:val="19"/>
          </w:rPr>
          <m:t>=</m:t>
        </m:r>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ζ</m:t>
            </m:r>
            <m:r>
              <m:rPr>
                <m:sty m:val="p"/>
              </m:rPr>
              <w:rPr>
                <w:rFonts w:ascii="Cambria Math" w:hAnsi="Cambria Math"/>
                <w:sz w:val="19"/>
                <w:szCs w:val="19"/>
              </w:rPr>
              <m:t>+</m:t>
            </m:r>
            <m:r>
              <w:rPr>
                <w:rFonts w:ascii="Cambria Math" w:hAnsi="Cambria Math"/>
                <w:sz w:val="19"/>
                <w:szCs w:val="19"/>
              </w:rPr>
              <m:t>θ</m:t>
            </m:r>
            <m:r>
              <m:rPr>
                <m:sty m:val="p"/>
              </m:rPr>
              <w:rPr>
                <w:rFonts w:ascii="Cambria Math" w:hAnsi="Cambria Math"/>
                <w:sz w:val="19"/>
                <w:szCs w:val="19"/>
              </w:rPr>
              <m:t>/</m:t>
            </m:r>
            <m:sSub>
              <m:e>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e>
              <m:sub>
                <m:r>
                  <w:rPr>
                    <w:rFonts w:ascii="Cambria Math" w:hAnsi="Cambria Math"/>
                    <w:sz w:val="19"/>
                    <w:szCs w:val="19"/>
                  </w:rPr>
                  <m:t>t</m:t>
                </m:r>
              </m:sub>
            </m:sSub>
          </m:e>
        </m:d>
        <m:r>
          <w:rPr>
            <w:rFonts w:ascii="Cambria Math" w:hAnsi="Cambria Math"/>
            <w:sz w:val="19"/>
            <w:szCs w:val="19"/>
          </w:rPr>
          <m:t> </m:t>
        </m:r>
        <m:sSup>
          <m:e>
            <m:r>
              <w:rPr>
                <w:rFonts w:ascii="Cambria Math" w:hAnsi="Cambria Math"/>
                <w:sz w:val="19"/>
                <w:szCs w:val="19"/>
              </w:rPr>
              <m:t>p</m:t>
            </m:r>
          </m:e>
          <m:sup>
            <m:r>
              <w:rPr>
                <w:rFonts w:ascii="Cambria Math" w:hAnsi="Cambria Math"/>
                <w:sz w:val="19"/>
                <w:szCs w:val="19"/>
              </w:rPr>
              <m:t>d</m:t>
            </m:r>
            <m:r>
              <w:rPr>
                <w:rFonts w:ascii="Cambria Math" w:hAnsi="Cambria Math"/>
                <w:sz w:val="19"/>
                <w:szCs w:val="19"/>
              </w:rPr>
              <m:t>y</m:t>
            </m:r>
            <m:r>
              <w:rPr>
                <w:rFonts w:ascii="Cambria Math" w:hAnsi="Cambria Math"/>
                <w:sz w:val="19"/>
                <w:szCs w:val="19"/>
              </w:rPr>
              <m:t>n</m:t>
            </m:r>
          </m:sup>
        </m:sSup>
      </m:oMath>
      <w:r>
        <w:tab/>
      </w:r>
      <w:r>
        <w:t xml:space="preserve">(7)</w:t>
      </w:r>
    </w:p>
    <w:p>
      <w:pPr>
        <w:pStyle w:val="BodyText"/>
      </w:pPr>
      <w:r>
        <w:t xml:space="preserve">when it is caught up, including distribution losses and cooling, so the computing debt</w:t>
      </w:r>
    </w:p>
    <w:p>
      <w:pPr>
        <w:pStyle w:val="Equation"/>
      </w:pPr>
      <w:r>
        <w:tab/>
      </w:r>
      <m:oMath>
        <m:sSub>
          <m:e>
            <m:r>
              <w:rPr>
                <w:rFonts w:ascii="Cambria Math" w:hAnsi="Cambria Math"/>
                <w:sz w:val="19"/>
                <w:szCs w:val="19"/>
              </w:rPr>
              <m:t>X</m:t>
            </m:r>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ψ</m:t>
            </m:r>
          </m:e>
          <m:sub>
            <m:r>
              <w:rPr>
                <w:rFonts w:ascii="Cambria Math" w:hAnsi="Cambria Math"/>
                <w:sz w:val="19"/>
                <w:szCs w:val="19"/>
              </w:rPr>
              <m:t>t</m:t>
            </m:r>
          </m:sub>
        </m:sSub>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sSub>
              <m:e>
                <m:r>
                  <w:rPr>
                    <w:rFonts w:ascii="Cambria Math" w:hAnsi="Cambria Math"/>
                    <w:sz w:val="19"/>
                    <w:szCs w:val="19"/>
                  </w:rPr>
                  <m:t>B</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nary>
      </m:oMath>
      <w:r>
        <w:tab/>
      </w:r>
      <w:r>
        <w:t xml:space="preserve">(8)</w:t>
      </w:r>
    </w:p>
    <w:p>
      <w:pPr>
        <w:pStyle w:val="BodyText"/>
      </w:pPr>
      <w:r>
        <w:t xml:space="preserve">behaves like the discharge of a lossless virtual storage whose recharge has deadlines.</w:t>
      </w:r>
    </w:p>
    <w:bookmarkEnd w:id="29"/>
    <w:bookmarkStart w:id="30" w:name="electrochemical-and-cold-storage-model"/>
    <w:p>
      <w:pPr>
        <w:pStyle w:val="Heading2"/>
      </w:pPr>
      <w:r>
        <w:t xml:space="preserve">3.2. Electrochemical and cold storage model</w:t>
      </w:r>
    </w:p>
    <w:p>
      <w:pPr>
        <w:pStyle w:val="FirstParagraph"/>
      </w:pPr>
      <w:r>
        <w:t xml:space="preserve">The BESS evolves as</w:t>
      </w:r>
    </w:p>
    <w:p>
      <w:pPr>
        <w:pStyle w:val="Equation"/>
      </w:pPr>
      <w:r>
        <w:tab/>
      </w:r>
      <m:oMath>
        <m:sSub>
          <m:e>
            <m:r>
              <w:rPr>
                <w:rFonts w:ascii="Cambria Math" w:hAnsi="Cambria Math"/>
                <w:sz w:val="19"/>
                <w:szCs w:val="19"/>
              </w:rPr>
              <m:t>E</m:t>
            </m:r>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d>
          <m:dPr>
            <m:begChr m:val="("/>
            <m:sepChr m:val=""/>
            <m:endChr m:val=")"/>
            <m:grow/>
          </m:dPr>
          <m:e>
            <m:sSub>
              <m:e>
                <m:r>
                  <w:rPr>
                    <w:rFonts w:ascii="Cambria Math" w:hAnsi="Cambria Math"/>
                    <w:sz w:val="19"/>
                    <w:szCs w:val="19"/>
                  </w:rPr>
                  <m:t>η</m:t>
                </m:r>
              </m:e>
              <m:sub>
                <m:r>
                  <w:rPr>
                    <w:rFonts w:ascii="Cambria Math" w:hAnsi="Cambria Math"/>
                    <w:sz w:val="19"/>
                    <w:szCs w:val="19"/>
                  </w:rPr>
                  <m:t>c</m:t>
                </m:r>
              </m:sub>
            </m:sSub>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h</m:t>
                </m:r>
              </m:sup>
            </m:sSubSup>
            <m:r>
              <m:rPr>
                <m:sty m:val="p"/>
              </m:rPr>
              <w:rPr>
                <w:rFonts w:ascii="Cambria Math" w:hAnsi="Cambria Math"/>
                <w:sz w:val="19"/>
                <w:szCs w:val="19"/>
              </w:rPr>
              <m:t>−</m:t>
            </m:r>
            <m:f>
              <m:fPr>
                <m:type m:val="bar"/>
              </m:fPr>
              <m:num>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d</m:t>
                    </m:r>
                    <m:r>
                      <w:rPr>
                        <w:rFonts w:ascii="Cambria Math" w:hAnsi="Cambria Math"/>
                        <w:sz w:val="19"/>
                        <w:szCs w:val="19"/>
                      </w:rPr>
                      <m:t>i</m:t>
                    </m:r>
                    <m:r>
                      <w:rPr>
                        <w:rFonts w:ascii="Cambria Math" w:hAnsi="Cambria Math"/>
                        <w:sz w:val="19"/>
                        <w:szCs w:val="19"/>
                      </w:rPr>
                      <m:t>s</m:t>
                    </m:r>
                  </m:sup>
                </m:sSubSup>
              </m:num>
              <m:den>
                <m:sSub>
                  <m:e>
                    <m:r>
                      <w:rPr>
                        <w:rFonts w:ascii="Cambria Math" w:hAnsi="Cambria Math"/>
                        <w:sz w:val="19"/>
                        <w:szCs w:val="19"/>
                      </w:rPr>
                      <m:t>η</m:t>
                    </m:r>
                  </m:e>
                  <m:sub>
                    <m:r>
                      <w:rPr>
                        <w:rFonts w:ascii="Cambria Math" w:hAnsi="Cambria Math"/>
                        <w:sz w:val="19"/>
                        <w:szCs w:val="19"/>
                      </w:rPr>
                      <m:t>d</m:t>
                    </m:r>
                  </m:sub>
                </m:sSub>
              </m:den>
            </m:f>
          </m:e>
        </m:d>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oMath>
      <w:r>
        <w:tab/>
      </w:r>
      <w:r>
        <w:t xml:space="preserve">(9)</w:t>
      </w:r>
    </w:p>
    <w:p>
      <w:pPr>
        <w:pStyle w:val="Equation"/>
      </w:pPr>
      <w:r>
        <w:tab/>
      </w:r>
      <m:oMath>
        <m:bar>
          <m:barPr>
            <m:pos m:val="bot"/>
          </m:barPr>
          <m:e>
            <m:r>
              <w:rPr>
                <w:rFonts w:ascii="Cambria Math" w:hAnsi="Cambria Math"/>
                <w:sz w:val="19"/>
                <w:szCs w:val="19"/>
              </w:rPr>
              <m:t>E</m:t>
            </m:r>
          </m:e>
        </m:bar>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t</m:t>
            </m:r>
          </m:sub>
        </m:sSub>
        <m:r>
          <m:rPr>
            <m:sty m:val="p"/>
          </m:rPr>
          <w:rPr>
            <w:rFonts w:ascii="Cambria Math" w:hAnsi="Cambria Math"/>
            <w:sz w:val="19"/>
            <w:szCs w:val="19"/>
          </w:rPr>
          <m:t>≤</m:t>
        </m:r>
        <m:acc>
          <m:accPr>
            <m:chr m:val="‾"/>
          </m:accPr>
          <m:e>
            <m:r>
              <w:rPr>
                <w:rFonts w:ascii="Cambria Math" w:hAnsi="Cambria Math"/>
                <w:sz w:val="19"/>
                <w:szCs w:val="19"/>
              </w:rPr>
              <m:t>E</m:t>
            </m:r>
          </m:e>
        </m:acc>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h</m:t>
            </m:r>
          </m:sup>
        </m:sSubSup>
        <m:r>
          <m:rPr>
            <m:sty m:val="p"/>
          </m:rPr>
          <w:rPr>
            <w:rFonts w:ascii="Cambria Math" w:hAnsi="Cambria Math"/>
            <w:sz w:val="19"/>
            <w:szCs w:val="19"/>
          </w:rPr>
          <m:t>,</m:t>
        </m:r>
        <m:r>
          <w:rPr>
            <w:rFonts w:ascii="Cambria Math" w:hAnsi="Cambria Math"/>
            <w:sz w:val="19"/>
            <w:szCs w:val="19"/>
          </w:rPr>
          <m:t> </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d</m:t>
            </m:r>
            <m:r>
              <w:rPr>
                <w:rFonts w:ascii="Cambria Math" w:hAnsi="Cambria Math"/>
                <w:sz w:val="19"/>
                <w:szCs w:val="19"/>
              </w:rPr>
              <m:t>i</m:t>
            </m:r>
            <m:r>
              <w:rPr>
                <w:rFonts w:ascii="Cambria Math" w:hAnsi="Cambria Math"/>
                <w:sz w:val="19"/>
                <w:szCs w:val="19"/>
              </w:rPr>
              <m:t>s</m:t>
            </m:r>
          </m:sup>
        </m:sSubSup>
        <m:r>
          <m:rPr>
            <m:sty m:val="p"/>
          </m:rPr>
          <w:rPr>
            <w:rFonts w:ascii="Cambria Math" w:hAnsi="Cambria Math"/>
            <w:sz w:val="19"/>
            <w:szCs w:val="19"/>
          </w:rPr>
          <m:t>≤</m:t>
        </m:r>
        <m:sSup>
          <m:e>
            <m:acc>
              <m:accPr>
                <m:chr m:val="‾"/>
              </m:accPr>
              <m:e>
                <m:r>
                  <w:rPr>
                    <w:rFonts w:ascii="Cambria Math" w:hAnsi="Cambria Math"/>
                    <w:sz w:val="19"/>
                    <w:szCs w:val="19"/>
                  </w:rPr>
                  <m:t>P</m:t>
                </m:r>
              </m:e>
            </m:acc>
          </m:e>
          <m:sup>
            <m:r>
              <w:rPr>
                <w:rFonts w:ascii="Cambria Math" w:hAnsi="Cambria Math"/>
                <w:sz w:val="19"/>
                <w:szCs w:val="19"/>
              </w:rPr>
              <m:t>B</m:t>
            </m:r>
          </m:sup>
        </m:sSup>
        <m:r>
          <m:rPr>
            <m:sty m:val="p"/>
          </m:rPr>
          <w:rPr>
            <w:rFonts w:ascii="Cambria Math" w:hAnsi="Cambria Math"/>
            <w:sz w:val="19"/>
            <w:szCs w:val="19"/>
          </w:rPr>
          <m:t>,</m:t>
        </m:r>
      </m:oMath>
      <w:r>
        <w:tab/>
      </w:r>
      <w:r>
        <w:t xml:space="preserve">(10)</w:t>
      </w:r>
    </w:p>
    <w:p>
      <w:pPr>
        <w:pStyle w:val="BodyText"/>
      </w:pPr>
      <w:r>
        <w:t xml:space="preserve">and the chilled-water TES as</w:t>
      </w:r>
    </w:p>
    <w:p>
      <w:pPr>
        <w:pStyle w:val="Equation"/>
      </w:pPr>
      <w:r>
        <w:tab/>
      </w:r>
      <m:oMath>
        <m:m>
          <m:mPr>
            <m:baseJc m:val="center"/>
            <m:plcHide m:val="on"/>
            <m:mcs>
              <m:mc>
                <m:mcPr>
                  <m:count m:val="1"/>
                  <m:mcJc m:val="right"/>
                </m:mcPr>
              </m:mc>
              <m:mc>
                <m:mcPr>
                  <m:count m:val="1"/>
                  <m:mcJc m:val="left"/>
                </m:mcPr>
              </m:mc>
            </m:mcs>
          </m:mPr>
          <m:mr>
            <m:e>
              <m:sSub>
                <m:e>
                  <m:r>
                    <w:rPr>
                      <w:rFonts w:ascii="Cambria Math" w:hAnsi="Cambria Math"/>
                      <w:sz w:val="19"/>
                      <w:szCs w:val="19"/>
                    </w:rPr>
                    <m:t>S</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m:t>
              </m:r>
            </m:e>
            <m:e>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σ</m:t>
                  </m:r>
                  <m:r>
                    <w:rPr>
                      <w:rFonts w:ascii="Cambria Math" w:hAnsi="Cambria Math"/>
                      <w:sz w:val="19"/>
                      <w:szCs w:val="19"/>
                    </w:rPr>
                    <m:t>Δ</m:t>
                  </m:r>
                  <m:r>
                    <w:rPr>
                      <w:rFonts w:ascii="Cambria Math" w:hAnsi="Cambria Math"/>
                      <w:sz w:val="19"/>
                      <w:szCs w:val="19"/>
                    </w:rPr>
                    <m:t>t</m:t>
                  </m:r>
                </m:e>
              </m:d>
              <m:r>
                <w:rPr>
                  <w:rFonts w:ascii="Cambria Math" w:hAnsi="Cambria Math"/>
                  <w:sz w:val="19"/>
                  <w:szCs w:val="19"/>
                </w:rPr>
                <m:t> </m:t>
              </m:r>
              <m:sSub>
                <m:e>
                  <m:r>
                    <w:rPr>
                      <w:rFonts w:ascii="Cambria Math" w:hAnsi="Cambria Math"/>
                      <w:sz w:val="19"/>
                      <w:szCs w:val="19"/>
                    </w:rPr>
                    <m:t>S</m:t>
                  </m:r>
                </m:e>
                <m:sub>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sub>
              </m:sSub>
            </m:e>
          </m:mr>
          <m:mr>
            <m:e/>
            <m:e>
              <m:r>
                <m:rPr>
                  <m:sty m:val="p"/>
                </m:rPr>
                <w:rPr>
                  <w:rFonts w:ascii="Cambria Math" w:hAnsi="Cambria Math"/>
                  <w:sz w:val="19"/>
                  <w:szCs w:val="19"/>
                </w:rPr>
                <m:t>+</m:t>
              </m:r>
              <m:d>
                <m:dPr>
                  <m:begChr m:val="("/>
                  <m:sepChr m:val=""/>
                  <m:endChr m:val=")"/>
                  <m:grow/>
                </m:dPr>
                <m:e>
                  <m:sSubSup>
                    <m:e>
                      <m:r>
                        <w:rPr>
                          <w:rFonts w:ascii="Cambria Math" w:hAnsi="Cambria Math"/>
                          <w:sz w:val="19"/>
                          <w:szCs w:val="19"/>
                        </w:rPr>
                        <m:t>η</m:t>
                      </m:r>
                    </m:e>
                    <m:sub>
                      <m:r>
                        <w:rPr>
                          <w:rFonts w:ascii="Cambria Math" w:hAnsi="Cambria Math"/>
                          <w:sz w:val="19"/>
                          <w:szCs w:val="19"/>
                        </w:rPr>
                        <m:t>c</m:t>
                      </m:r>
                    </m:sub>
                    <m:sup>
                      <m:r>
                        <w:rPr>
                          <w:rFonts w:ascii="Cambria Math" w:hAnsi="Cambria Math"/>
                          <w:sz w:val="19"/>
                          <w:szCs w:val="19"/>
                        </w:rPr>
                        <m:t>T</m:t>
                      </m:r>
                    </m:sup>
                  </m:sSubSup>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C</m:t>
                      </m:r>
                    </m:sup>
                  </m:sSubSup>
                  <m:r>
                    <m:rPr>
                      <m:sty m:val="p"/>
                    </m:rPr>
                    <w:rPr>
                      <w:rFonts w:ascii="Cambria Math" w:hAnsi="Cambria Math"/>
                      <w:sz w:val="19"/>
                      <w:szCs w:val="19"/>
                    </w:rPr>
                    <m:t>−</m:t>
                  </m:r>
                  <m:f>
                    <m:fPr>
                      <m:type m:val="bar"/>
                    </m:fPr>
                    <m:num>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D</m:t>
                          </m:r>
                        </m:sup>
                      </m:sSubSup>
                    </m:num>
                    <m:den>
                      <m:sSubSup>
                        <m:e>
                          <m:r>
                            <w:rPr>
                              <w:rFonts w:ascii="Cambria Math" w:hAnsi="Cambria Math"/>
                              <w:sz w:val="19"/>
                              <w:szCs w:val="19"/>
                            </w:rPr>
                            <m:t>η</m:t>
                          </m:r>
                        </m:e>
                        <m:sub>
                          <m:r>
                            <w:rPr>
                              <w:rFonts w:ascii="Cambria Math" w:hAnsi="Cambria Math"/>
                              <w:sz w:val="19"/>
                              <w:szCs w:val="19"/>
                            </w:rPr>
                            <m:t>d</m:t>
                          </m:r>
                        </m:sub>
                        <m:sup>
                          <m:r>
                            <w:rPr>
                              <w:rFonts w:ascii="Cambria Math" w:hAnsi="Cambria Math"/>
                              <w:sz w:val="19"/>
                              <w:szCs w:val="19"/>
                            </w:rPr>
                            <m:t>T</m:t>
                          </m:r>
                        </m:sup>
                      </m:sSubSup>
                    </m:den>
                  </m:f>
                </m:e>
              </m:d>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e>
          </m:mr>
        </m:m>
      </m:oMath>
      <w:r>
        <w:tab/>
      </w:r>
      <w:r>
        <w:t xml:space="preserve">(11)</w:t>
      </w:r>
    </w:p>
    <w:p>
      <w:pPr>
        <w:pStyle w:val="Equation"/>
      </w:pPr>
      <w:r>
        <w:tab/>
      </w:r>
      <m:oMath>
        <m:bar>
          <m:barPr>
            <m:pos m:val="bot"/>
          </m:barPr>
          <m:e>
            <m:r>
              <w:rPr>
                <w:rFonts w:ascii="Cambria Math" w:hAnsi="Cambria Math"/>
                <w:sz w:val="19"/>
                <w:szCs w:val="19"/>
              </w:rPr>
              <m:t>S</m:t>
            </m:r>
          </m:e>
        </m:bar>
        <m:r>
          <m:rPr>
            <m:sty m:val="p"/>
          </m:rPr>
          <w:rPr>
            <w:rFonts w:ascii="Cambria Math" w:hAnsi="Cambria Math"/>
            <w:sz w:val="19"/>
            <w:szCs w:val="19"/>
          </w:rPr>
          <m:t>≤</m:t>
        </m:r>
        <m:sSub>
          <m:e>
            <m:r>
              <w:rPr>
                <w:rFonts w:ascii="Cambria Math" w:hAnsi="Cambria Math"/>
                <w:sz w:val="19"/>
                <w:szCs w:val="19"/>
              </w:rPr>
              <m:t>S</m:t>
            </m:r>
          </m:e>
          <m:sub>
            <m:r>
              <w:rPr>
                <w:rFonts w:ascii="Cambria Math" w:hAnsi="Cambria Math"/>
                <w:sz w:val="19"/>
                <w:szCs w:val="19"/>
              </w:rPr>
              <m:t>t</m:t>
            </m:r>
          </m:sub>
        </m:sSub>
        <m:r>
          <m:rPr>
            <m:sty m:val="p"/>
          </m:rPr>
          <w:rPr>
            <w:rFonts w:ascii="Cambria Math" w:hAnsi="Cambria Math"/>
            <w:sz w:val="19"/>
            <w:szCs w:val="19"/>
          </w:rPr>
          <m:t>≤</m:t>
        </m:r>
        <m:acc>
          <m:accPr>
            <m:chr m:val="‾"/>
          </m:accPr>
          <m:e>
            <m:r>
              <w:rPr>
                <w:rFonts w:ascii="Cambria Math" w:hAnsi="Cambria Math"/>
                <w:sz w:val="19"/>
                <w:szCs w:val="19"/>
              </w:rPr>
              <m:t>S</m:t>
            </m:r>
          </m:e>
        </m:acc>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C</m:t>
            </m:r>
          </m:sup>
        </m:sSubSup>
        <m:r>
          <m:rPr>
            <m:sty m:val="p"/>
          </m:rPr>
          <w:rPr>
            <w:rFonts w:ascii="Cambria Math" w:hAnsi="Cambria Math"/>
            <w:sz w:val="19"/>
            <w:szCs w:val="19"/>
          </w:rPr>
          <m:t>,</m:t>
        </m:r>
        <m:r>
          <w:rPr>
            <w:rFonts w:ascii="Cambria Math" w:hAnsi="Cambria Math"/>
            <w:sz w:val="19"/>
            <w:szCs w:val="19"/>
          </w:rPr>
          <m:t> </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D</m:t>
            </m:r>
          </m:sup>
        </m:sSubSup>
        <m:r>
          <m:rPr>
            <m:sty m:val="p"/>
          </m:rPr>
          <w:rPr>
            <w:rFonts w:ascii="Cambria Math" w:hAnsi="Cambria Math"/>
            <w:sz w:val="19"/>
            <w:szCs w:val="19"/>
          </w:rPr>
          <m:t>≤</m:t>
        </m:r>
        <m:sSup>
          <m:e>
            <m:acc>
              <m:accPr>
                <m:chr m:val="‾"/>
              </m:accPr>
              <m:e>
                <m:r>
                  <w:rPr>
                    <w:rFonts w:ascii="Cambria Math" w:hAnsi="Cambria Math"/>
                    <w:sz w:val="19"/>
                    <w:szCs w:val="19"/>
                  </w:rPr>
                  <m:t>Q</m:t>
                </m:r>
              </m:e>
            </m:acc>
          </m:e>
          <m:sup>
            <m:r>
              <w:rPr>
                <w:rFonts w:ascii="Cambria Math" w:hAnsi="Cambria Math"/>
                <w:sz w:val="19"/>
                <w:szCs w:val="19"/>
              </w:rPr>
              <m:t>T</m:t>
            </m:r>
          </m:sup>
        </m:sSup>
        <m:r>
          <m:rPr>
            <m:sty m:val="p"/>
          </m:rPr>
          <w:rPr>
            <w:rFonts w:ascii="Cambria Math" w:hAnsi="Cambria Math"/>
            <w:sz w:val="19"/>
            <w:szCs w:val="19"/>
          </w:rPr>
          <m:t>.</m:t>
        </m:r>
      </m:oMath>
      <w:r>
        <w:tab/>
      </w:r>
      <w:r>
        <w:t xml:space="preserve">(12)</w:t>
      </w:r>
    </w:p>
    <w:p>
      <w:pPr>
        <w:pStyle w:val="BodyText"/>
      </w:pPr>
      <w:r>
        <w:t xml:space="preserve">The storage debts are measured against the reference trajectories</w:t>
      </w:r>
      <w:r>
        <w:t xml:space="preserve"> </w:t>
      </w:r>
      <m:oMath>
        <m:sSubSup>
          <m:e>
            <m:r>
              <w:rPr>
                <w:rFonts w:ascii="Cambria Math" w:hAnsi="Cambria Math"/>
                <w:sz w:val="19"/>
                <w:szCs w:val="19"/>
              </w:rPr>
              <m:t>E</m:t>
            </m:r>
          </m:e>
          <m:sub>
            <m:r>
              <w:rPr>
                <w:rFonts w:ascii="Cambria Math" w:hAnsi="Cambria Math"/>
                <w:sz w:val="19"/>
                <w:szCs w:val="19"/>
              </w:rPr>
              <m:t>t</m:t>
            </m:r>
          </m:sub>
          <m:sup>
            <m:r>
              <w:rPr>
                <w:rFonts w:ascii="Cambria Math" w:hAnsi="Cambria Math"/>
                <w:sz w:val="19"/>
                <w:szCs w:val="19"/>
              </w:rPr>
              <m:t>r</m:t>
            </m:r>
            <m:r>
              <w:rPr>
                <w:rFonts w:ascii="Cambria Math" w:hAnsi="Cambria Math"/>
                <w:sz w:val="19"/>
                <w:szCs w:val="19"/>
              </w:rPr>
              <m:t>e</m:t>
            </m:r>
            <m:r>
              <w:rPr>
                <w:rFonts w:ascii="Cambria Math" w:hAnsi="Cambria Math"/>
                <w:sz w:val="19"/>
                <w:szCs w:val="19"/>
              </w:rPr>
              <m:t>f</m:t>
            </m:r>
          </m:sup>
        </m:sSubSup>
      </m:oMath>
      <w:r>
        <w:t xml:space="preserve"> </w:t>
      </w:r>
      <w:r>
        <w:t xml:space="preserve">and</w:t>
      </w:r>
      <w:r>
        <w:t xml:space="preserve"> </w:t>
      </w:r>
      <m:oMath>
        <m:sSubSup>
          <m:e>
            <m:r>
              <w:rPr>
                <w:rFonts w:ascii="Cambria Math" w:hAnsi="Cambria Math"/>
                <w:sz w:val="19"/>
                <w:szCs w:val="19"/>
              </w:rPr>
              <m:t>S</m:t>
            </m:r>
          </m:e>
          <m:sub>
            <m:r>
              <w:rPr>
                <w:rFonts w:ascii="Cambria Math" w:hAnsi="Cambria Math"/>
                <w:sz w:val="19"/>
                <w:szCs w:val="19"/>
              </w:rPr>
              <m:t>t</m:t>
            </m:r>
          </m:sub>
          <m:sup>
            <m:r>
              <w:rPr>
                <w:rFonts w:ascii="Cambria Math" w:hAnsi="Cambria Math"/>
                <w:sz w:val="19"/>
                <w:szCs w:val="19"/>
              </w:rPr>
              <m:t>r</m:t>
            </m:r>
            <m:r>
              <w:rPr>
                <w:rFonts w:ascii="Cambria Math" w:hAnsi="Cambria Math"/>
                <w:sz w:val="19"/>
                <w:szCs w:val="19"/>
              </w:rPr>
              <m:t>e</m:t>
            </m:r>
            <m:r>
              <w:rPr>
                <w:rFonts w:ascii="Cambria Math" w:hAnsi="Cambria Math"/>
                <w:sz w:val="19"/>
                <w:szCs w:val="19"/>
              </w:rPr>
              <m:t>f</m:t>
            </m:r>
          </m:sup>
        </m:sSubSup>
      </m:oMath>
      <w:r>
        <w:t xml:space="preserve"> </w:t>
      </w:r>
      <w:r>
        <w:t xml:space="preserve">of the no-DR operation planned day-ahead,</w:t>
      </w:r>
    </w:p>
    <w:p>
      <w:pPr>
        <w:pStyle w:val="Equation"/>
      </w:pPr>
      <w:r>
        <w:tab/>
      </w:r>
      <m:oMath>
        <m:sSubSup>
          <m:e>
            <m:r>
              <w:rPr>
                <w:rFonts w:ascii="Cambria Math" w:hAnsi="Cambria Math"/>
                <w:sz w:val="19"/>
                <w:szCs w:val="19"/>
              </w:rPr>
              <m:t>D</m:t>
            </m:r>
          </m:e>
          <m:sub>
            <m:r>
              <w:rPr>
                <w:rFonts w:ascii="Cambria Math" w:hAnsi="Cambria Math"/>
                <w:sz w:val="19"/>
                <w:szCs w:val="19"/>
              </w:rPr>
              <m:t>t</m:t>
            </m:r>
          </m:sub>
          <m:sup>
            <m:r>
              <w:rPr>
                <w:rFonts w:ascii="Cambria Math" w:hAnsi="Cambria Math"/>
                <w:sz w:val="19"/>
                <w:szCs w:val="19"/>
              </w:rPr>
              <m:t>E</m:t>
            </m:r>
          </m:sup>
        </m:sSubSup>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sSubSup>
          <m:e>
            <m:r>
              <w:rPr>
                <w:rFonts w:ascii="Cambria Math" w:hAnsi="Cambria Math"/>
                <w:sz w:val="19"/>
                <w:szCs w:val="19"/>
              </w:rPr>
              <m:t>E</m:t>
            </m:r>
          </m:e>
          <m:sub>
            <m:r>
              <w:rPr>
                <w:rFonts w:ascii="Cambria Math" w:hAnsi="Cambria Math"/>
                <w:sz w:val="19"/>
                <w:szCs w:val="19"/>
              </w:rPr>
              <m:t>t</m:t>
            </m:r>
          </m:sub>
          <m:sup>
            <m:r>
              <w:rPr>
                <w:rFonts w:ascii="Cambria Math" w:hAnsi="Cambria Math"/>
                <w:sz w:val="19"/>
                <w:szCs w:val="19"/>
              </w:rPr>
              <m:t>r</m:t>
            </m:r>
            <m:r>
              <w:rPr>
                <w:rFonts w:ascii="Cambria Math" w:hAnsi="Cambria Math"/>
                <w:sz w:val="19"/>
                <w:szCs w:val="19"/>
              </w:rPr>
              <m:t>e</m:t>
            </m:r>
            <m:r>
              <w:rPr>
                <w:rFonts w:ascii="Cambria Math" w:hAnsi="Cambria Math"/>
                <w:sz w:val="19"/>
                <w:szCs w:val="19"/>
              </w:rPr>
              <m:t>f</m:t>
            </m:r>
          </m:sup>
        </m:sSubSup>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  </m:t>
        </m:r>
        <m:sSubSup>
          <m:e>
            <m:r>
              <w:rPr>
                <w:rFonts w:ascii="Cambria Math" w:hAnsi="Cambria Math"/>
                <w:sz w:val="19"/>
                <w:szCs w:val="19"/>
              </w:rPr>
              <m:t>D</m:t>
            </m:r>
          </m:e>
          <m:sub>
            <m:r>
              <w:rPr>
                <w:rFonts w:ascii="Cambria Math" w:hAnsi="Cambria Math"/>
                <w:sz w:val="19"/>
                <w:szCs w:val="19"/>
              </w:rPr>
              <m:t>t</m:t>
            </m:r>
          </m:sub>
          <m:sup>
            <m:r>
              <w:rPr>
                <w:rFonts w:ascii="Cambria Math" w:hAnsi="Cambria Math"/>
                <w:sz w:val="19"/>
                <w:szCs w:val="19"/>
              </w:rPr>
              <m:t>S</m:t>
            </m:r>
          </m:sup>
        </m:sSubSup>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sSubSup>
          <m:e>
            <m:r>
              <w:rPr>
                <w:rFonts w:ascii="Cambria Math" w:hAnsi="Cambria Math"/>
                <w:sz w:val="19"/>
                <w:szCs w:val="19"/>
              </w:rPr>
              <m:t>S</m:t>
            </m:r>
          </m:e>
          <m:sub>
            <m:r>
              <w:rPr>
                <w:rFonts w:ascii="Cambria Math" w:hAnsi="Cambria Math"/>
                <w:sz w:val="19"/>
                <w:szCs w:val="19"/>
              </w:rPr>
              <m:t>t</m:t>
            </m:r>
          </m:sub>
          <m:sup>
            <m:r>
              <w:rPr>
                <w:rFonts w:ascii="Cambria Math" w:hAnsi="Cambria Math"/>
                <w:sz w:val="19"/>
                <w:szCs w:val="19"/>
              </w:rPr>
              <m:t>r</m:t>
            </m:r>
            <m:r>
              <w:rPr>
                <w:rFonts w:ascii="Cambria Math" w:hAnsi="Cambria Math"/>
                <w:sz w:val="19"/>
                <w:szCs w:val="19"/>
              </w:rPr>
              <m:t>e</m:t>
            </m:r>
            <m:r>
              <w:rPr>
                <w:rFonts w:ascii="Cambria Math" w:hAnsi="Cambria Math"/>
                <w:sz w:val="19"/>
                <w:szCs w:val="19"/>
              </w:rPr>
              <m:t>f</m:t>
            </m:r>
          </m:sup>
        </m:sSubSup>
        <m:r>
          <m:rPr>
            <m:sty m:val="p"/>
          </m:rPr>
          <w:rPr>
            <w:rFonts w:ascii="Cambria Math" w:hAnsi="Cambria Math"/>
            <w:sz w:val="19"/>
            <w:szCs w:val="19"/>
          </w:rPr>
          <m:t>−</m:t>
        </m:r>
        <m:sSub>
          <m:e>
            <m:r>
              <w:rPr>
                <w:rFonts w:ascii="Cambria Math" w:hAnsi="Cambria Math"/>
                <w:sz w:val="19"/>
                <w:szCs w:val="19"/>
              </w:rPr>
              <m:t>S</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r>
          <m:rPr>
            <m:sty m:val="p"/>
          </m:rPr>
          <w:rPr>
            <w:rFonts w:ascii="Cambria Math" w:hAnsi="Cambria Math"/>
            <w:sz w:val="19"/>
            <w:szCs w:val="19"/>
          </w:rPr>
          <m:t>,</m:t>
        </m:r>
      </m:oMath>
      <w:r>
        <w:tab/>
      </w:r>
      <w:r>
        <w:t xml:space="preserve">(13)</w:t>
      </w:r>
    </w:p>
    <w:p>
      <w:pPr>
        <w:pStyle w:val="BodyText"/>
      </w:pPr>
      <w:r>
        <w:t xml:space="preserve">so that only the energy and cold that DR has drawn below normal operation count as debt, not the free room up to</w:t>
      </w:r>
      <w:r>
        <w:t xml:space="preserve"> </w:t>
      </w:r>
      <m:oMath>
        <m:acc>
          <m:accPr>
            <m:chr m:val="‾"/>
          </m:accPr>
          <m:e>
            <m:r>
              <w:rPr>
                <w:rFonts w:ascii="Cambria Math" w:hAnsi="Cambria Math"/>
                <w:sz w:val="19"/>
                <w:szCs w:val="19"/>
              </w:rPr>
              <m:t>E</m:t>
            </m:r>
          </m:e>
        </m:acc>
      </m:oMath>
      <w:r>
        <w:t xml:space="preserve"> </w:t>
      </w:r>
      <w:r>
        <w:t xml:space="preserve">and</w:t>
      </w:r>
      <w:r>
        <w:t xml:space="preserve"> </w:t>
      </w:r>
      <m:oMath>
        <m:acc>
          <m:accPr>
            <m:chr m:val="‾"/>
          </m:accPr>
          <m:e>
            <m:r>
              <w:rPr>
                <w:rFonts w:ascii="Cambria Math" w:hAnsi="Cambria Math"/>
                <w:sz w:val="19"/>
                <w:szCs w:val="19"/>
              </w:rPr>
              <m:t>S</m:t>
            </m:r>
          </m:e>
        </m:acc>
      </m:oMath>
      <w:r>
        <w:t xml:space="preserve">. These debts are lossy: every MWh drawn for recharging returns only the round-trip efficiency in the next event.</w:t>
      </w:r>
    </w:p>
    <w:bookmarkEnd w:id="30"/>
    <w:bookmarkStart w:id="31" w:name="Xbffd6b660ccccbccedcdc35d6f3b6538bf762fd"/>
    <w:p>
      <w:pPr>
        <w:pStyle w:val="Heading2"/>
      </w:pPr>
      <w:r>
        <w:t xml:space="preserve">3.3. CCHP, cooling supply and grid interaction model</w:t>
      </w:r>
    </w:p>
    <w:p>
      <w:pPr>
        <w:pStyle w:val="FirstParagraph"/>
      </w:pPr>
      <w:r>
        <w:t xml:space="preserve">The heat of the IT equipment,</w:t>
      </w:r>
      <w:r>
        <w:t xml:space="preserve"> </w:t>
      </w:r>
      <m:oMath>
        <m:r>
          <w:rPr>
            <w:rFonts w:ascii="Cambria Math" w:hAnsi="Cambria Math"/>
            <w:sz w:val="19"/>
            <w:szCs w:val="19"/>
          </w:rPr>
          <m:t>θ</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I</m:t>
            </m:r>
            <m:r>
              <w:rPr>
                <w:rFonts w:ascii="Cambria Math" w:hAnsi="Cambria Math"/>
                <w:sz w:val="19"/>
                <w:szCs w:val="19"/>
              </w:rPr>
              <m:t>T</m:t>
            </m:r>
          </m:sup>
        </m:sSubSup>
      </m:oMath>
      <w:r>
        <w:t xml:space="preserve">, and the base cooling load</w:t>
      </w:r>
      <w:r>
        <w:t xml:space="preserve"> </w:t>
      </w:r>
      <m:oMath>
        <m:sSub>
          <m:e>
            <m:r>
              <w:rPr>
                <w:rFonts w:ascii="Cambria Math" w:hAnsi="Cambria Math"/>
                <w:sz w:val="19"/>
                <w:szCs w:val="19"/>
              </w:rPr>
              <m:t>Q</m:t>
            </m:r>
          </m:e>
          <m:sub>
            <m:r>
              <w:rPr>
                <w:rFonts w:ascii="Cambria Math" w:hAnsi="Cambria Math"/>
                <w:sz w:val="19"/>
                <w:szCs w:val="19"/>
              </w:rPr>
              <m:t>0</m:t>
            </m:r>
          </m:sub>
        </m:sSub>
      </m:oMath>
      <w:r>
        <w:t xml:space="preserve"> </w:t>
      </w:r>
      <w:r>
        <w:t xml:space="preserve">are removed by the electric chillers, the absorption chiller driven by recovered heat and the TES,</w:t>
      </w:r>
    </w:p>
    <w:p>
      <w:pPr>
        <w:pStyle w:val="Equation"/>
      </w:pPr>
      <w:r>
        <w:tab/>
      </w:r>
      <m:oMath>
        <m:m>
          <m:mPr>
            <m:baseJc m:val="center"/>
            <m:plcHide m:val="on"/>
            <m:mcs>
              <m:mc>
                <m:mcPr>
                  <m:count m:val="1"/>
                  <m:mcJc m:val="right"/>
                </m:mcPr>
              </m:mc>
              <m:mc>
                <m:mcPr>
                  <m:count m:val="1"/>
                  <m:mcJc m:val="left"/>
                </m:mcPr>
              </m:mc>
            </m:mcs>
          </m:mPr>
          <m:mr>
            <m:e/>
            <m:e>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C</m:t>
                  </m:r>
                </m:sup>
              </m:sSubSup>
              <m:r>
                <m:rPr>
                  <m:sty m:val="p"/>
                </m:rPr>
                <w:rPr>
                  <w:rFonts w:ascii="Cambria Math" w:hAnsi="Cambria Math"/>
                  <w:sz w:val="19"/>
                  <w:szCs w:val="19"/>
                </w:rPr>
                <m:t>+</m:t>
              </m:r>
              <m:sSup>
                <m:e>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e>
                <m:sup>
                  <m:r>
                    <w:rPr>
                      <w:rFonts w:ascii="Cambria Math" w:hAnsi="Cambria Math"/>
                      <w:sz w:val="19"/>
                      <w:szCs w:val="19"/>
                    </w:rPr>
                    <m:t>A</m:t>
                  </m:r>
                  <m:r>
                    <w:rPr>
                      <w:rFonts w:ascii="Cambria Math" w:hAnsi="Cambria Math"/>
                      <w:sz w:val="19"/>
                      <w:szCs w:val="19"/>
                    </w:rPr>
                    <m:t>C</m:t>
                  </m:r>
                </m:sup>
              </m:sSup>
              <m:sSubSup>
                <m:e>
                  <m:r>
                    <w:rPr>
                      <w:rFonts w:ascii="Cambria Math" w:hAnsi="Cambria Math"/>
                      <w:sz w:val="19"/>
                      <w:szCs w:val="19"/>
                    </w:rPr>
                    <m:t>H</m:t>
                  </m:r>
                </m:e>
                <m:sub>
                  <m:r>
                    <w:rPr>
                      <w:rFonts w:ascii="Cambria Math" w:hAnsi="Cambria Math"/>
                      <w:sz w:val="19"/>
                      <w:szCs w:val="19"/>
                    </w:rPr>
                    <m:t>t</m:t>
                  </m:r>
                </m:sub>
                <m:sup>
                  <m:r>
                    <w:rPr>
                      <w:rFonts w:ascii="Cambria Math" w:hAnsi="Cambria Math"/>
                      <w:sz w:val="19"/>
                      <w:szCs w:val="19"/>
                    </w:rPr>
                    <m:t>A</m:t>
                  </m:r>
                  <m:r>
                    <w:rPr>
                      <w:rFonts w:ascii="Cambria Math" w:hAnsi="Cambria Math"/>
                      <w:sz w:val="19"/>
                      <w:szCs w:val="19"/>
                    </w:rPr>
                    <m:t>C</m:t>
                  </m:r>
                </m:sup>
              </m:sSubSup>
              <m:r>
                <m:rPr>
                  <m:sty m:val="p"/>
                </m:rPr>
                <w:rPr>
                  <w:rFonts w:ascii="Cambria Math" w:hAnsi="Cambria Math"/>
                  <w:sz w:val="19"/>
                  <w:szCs w:val="19"/>
                </w:rPr>
                <m:t>+</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D</m:t>
                  </m:r>
                </m:sup>
              </m:sSubSup>
              <m:r>
                <m:rPr>
                  <m:sty m:val="p"/>
                </m:rPr>
                <w:rPr>
                  <w:rFonts w:ascii="Cambria Math" w:hAnsi="Cambria Math"/>
                  <w:sz w:val="19"/>
                  <w:szCs w:val="19"/>
                </w:rPr>
                <m:t>−</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C</m:t>
                  </m:r>
                </m:sup>
              </m:sSubSup>
            </m:e>
          </m:mr>
          <m:mr>
            <m:e/>
            <m:e>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θ</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I</m:t>
                  </m:r>
                  <m:r>
                    <w:rPr>
                      <w:rFonts w:ascii="Cambria Math" w:hAnsi="Cambria Math"/>
                      <w:sz w:val="19"/>
                      <w:szCs w:val="19"/>
                    </w:rPr>
                    <m:t>T</m:t>
                  </m:r>
                </m:sup>
              </m:sSubSup>
              <m:r>
                <m:rPr>
                  <m:sty m:val="p"/>
                </m:rPr>
                <w:rPr>
                  <w:rFonts w:ascii="Cambria Math" w:hAnsi="Cambria Math"/>
                  <w:sz w:val="19"/>
                  <w:szCs w:val="19"/>
                </w:rPr>
                <m:t>+</m:t>
              </m:r>
              <m:sSub>
                <m:e>
                  <m:r>
                    <w:rPr>
                      <w:rFonts w:ascii="Cambria Math" w:hAnsi="Cambria Math"/>
                      <w:sz w:val="19"/>
                      <w:szCs w:val="19"/>
                    </w:rPr>
                    <m:t>Q</m:t>
                  </m:r>
                </m:e>
                <m:sub>
                  <m:r>
                    <w:rPr>
                      <w:rFonts w:ascii="Cambria Math" w:hAnsi="Cambria Math"/>
                      <w:sz w:val="19"/>
                      <w:szCs w:val="19"/>
                    </w:rPr>
                    <m:t>0</m:t>
                  </m:r>
                </m:sub>
              </m:sSub>
              <m:r>
                <m:rPr>
                  <m:sty m:val="p"/>
                </m:rPr>
                <w:rPr>
                  <w:rFonts w:ascii="Cambria Math" w:hAnsi="Cambria Math"/>
                  <w:sz w:val="19"/>
                  <w:szCs w:val="19"/>
                </w:rPr>
                <m:t>,</m:t>
              </m:r>
            </m:e>
          </m:mr>
        </m:m>
      </m:oMath>
      <w:r>
        <w:tab/>
      </w:r>
      <w:r>
        <w:t xml:space="preserve">(14)</w:t>
      </w:r>
    </w:p>
    <w:p>
      <w:pPr>
        <w:pStyle w:val="BodyText"/>
      </w:pPr>
      <w:r>
        <w:t xml:space="preserve">where the heat supplied to the absorption chiller is limited by the recoverable heat of the gas engine,</w:t>
      </w:r>
    </w:p>
    <w:p>
      <w:pPr>
        <w:pStyle w:val="Equation"/>
      </w:pPr>
      <w:r>
        <w:tab/>
      </w:r>
      <m:oMath>
        <m:sSubSup>
          <m:e>
            <m:r>
              <w:rPr>
                <w:rFonts w:ascii="Cambria Math" w:hAnsi="Cambria Math"/>
                <w:sz w:val="19"/>
                <w:szCs w:val="19"/>
              </w:rPr>
              <m:t>H</m:t>
            </m:r>
          </m:e>
          <m:sub>
            <m:r>
              <w:rPr>
                <w:rFonts w:ascii="Cambria Math" w:hAnsi="Cambria Math"/>
                <w:sz w:val="19"/>
                <w:szCs w:val="19"/>
              </w:rPr>
              <m:t>t</m:t>
            </m:r>
          </m:sub>
          <m:sup>
            <m:r>
              <w:rPr>
                <w:rFonts w:ascii="Cambria Math" w:hAnsi="Cambria Math"/>
                <w:sz w:val="19"/>
                <w:szCs w:val="19"/>
              </w:rPr>
              <m:t>A</m:t>
            </m:r>
            <m:r>
              <w:rPr>
                <w:rFonts w:ascii="Cambria Math" w:hAnsi="Cambria Math"/>
                <w:sz w:val="19"/>
                <w:szCs w:val="19"/>
              </w:rPr>
              <m:t>C</m:t>
            </m:r>
          </m:sup>
        </m:sSubSup>
        <m:r>
          <m:rPr>
            <m:sty m:val="p"/>
          </m:rPr>
          <w:rPr>
            <w:rFonts w:ascii="Cambria Math" w:hAnsi="Cambria Math"/>
            <w:sz w:val="19"/>
            <w:szCs w:val="19"/>
          </w:rPr>
          <m:t>≤</m:t>
        </m:r>
        <m:sSup>
          <m:e>
            <m:r>
              <w:rPr>
                <w:rFonts w:ascii="Cambria Math" w:hAnsi="Cambria Math"/>
                <w:sz w:val="19"/>
                <w:szCs w:val="19"/>
              </w:rPr>
              <m:t>k</m:t>
            </m:r>
          </m:e>
          <m:sup>
            <m:r>
              <w:rPr>
                <w:rFonts w:ascii="Cambria Math" w:hAnsi="Cambria Math"/>
                <w:sz w:val="19"/>
                <w:szCs w:val="19"/>
              </w:rPr>
              <m:t>h</m:t>
            </m:r>
          </m:sup>
        </m:sSup>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T</m:t>
            </m:r>
          </m:sup>
        </m:sSubSup>
        <m:r>
          <m:rPr>
            <m:sty m:val="p"/>
          </m:rPr>
          <w:rPr>
            <w:rFonts w:ascii="Cambria Math" w:hAnsi="Cambria Math"/>
            <w:sz w:val="19"/>
            <w:szCs w:val="19"/>
          </w:rPr>
          <m:t>.</m:t>
        </m:r>
      </m:oMath>
      <w:r>
        <w:tab/>
      </w:r>
      <w:r>
        <w:t xml:space="preserve">(15)</w:t>
      </w:r>
    </w:p>
    <w:p>
      <w:pPr>
        <w:pStyle w:val="BodyText"/>
      </w:pPr>
      <w:r>
        <w:t xml:space="preserve">The electric balance includes the distribution losses, the auxiliary load and the chiller power,</w:t>
      </w:r>
    </w:p>
    <w:p>
      <w:pPr>
        <w:pStyle w:val="Equation"/>
      </w:pPr>
      <w:r>
        <w:tab/>
      </w:r>
      <m:oMath>
        <m:m>
          <m:mPr>
            <m:baseJc m:val="center"/>
            <m:plcHide m:val="on"/>
            <m:mcs>
              <m:mc>
                <m:mcPr>
                  <m:count m:val="1"/>
                  <m:mcJc m:val="right"/>
                </m:mcPr>
              </m:mc>
              <m:mc>
                <m:mcPr>
                  <m:count m:val="1"/>
                  <m:mcJc m:val="left"/>
                </m:mcPr>
              </m:mc>
            </m:mcs>
          </m:mPr>
          <m:mr>
            <m:e/>
            <m:e>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P</m:t>
                  </m:r>
                  <m:r>
                    <w:rPr>
                      <w:rFonts w:ascii="Cambria Math" w:hAnsi="Cambria Math"/>
                      <w:sz w:val="19"/>
                      <w:szCs w:val="19"/>
                    </w:rPr>
                    <m:t>V</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T</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d</m:t>
                  </m:r>
                  <m:r>
                    <w:rPr>
                      <w:rFonts w:ascii="Cambria Math" w:hAnsi="Cambria Math"/>
                      <w:sz w:val="19"/>
                      <w:szCs w:val="19"/>
                    </w:rPr>
                    <m:t>i</m:t>
                  </m:r>
                  <m:r>
                    <w:rPr>
                      <w:rFonts w:ascii="Cambria Math" w:hAnsi="Cambria Math"/>
                      <w:sz w:val="19"/>
                      <w:szCs w:val="19"/>
                    </w:rPr>
                    <m:t>s</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h</m:t>
                  </m:r>
                </m:sup>
              </m:sSubSup>
            </m:e>
          </m:mr>
          <m:mr>
            <m:e/>
            <m:e>
              <m:r>
                <w:rPr>
                  <w:rFonts w:ascii="Cambria Math" w:hAnsi="Cambria Math"/>
                  <w:sz w:val="19"/>
                  <w:szCs w:val="19"/>
                </w:rPr>
                <m:t>  </m:t>
              </m:r>
              <m:r>
                <m:rPr>
                  <m:sty m:val="p"/>
                </m:rPr>
                <w:rPr>
                  <w:rFonts w:ascii="Cambria Math" w:hAnsi="Cambria Math"/>
                  <w:sz w:val="19"/>
                  <w:szCs w:val="19"/>
                </w:rPr>
                <m:t>=</m:t>
              </m:r>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ζ</m:t>
                  </m:r>
                </m:e>
              </m:d>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I</m:t>
                  </m:r>
                  <m:r>
                    <w:rPr>
                      <w:rFonts w:ascii="Cambria Math" w:hAnsi="Cambria Math"/>
                      <w:sz w:val="19"/>
                      <w:szCs w:val="19"/>
                    </w:rPr>
                    <m:t>T</m:t>
                  </m:r>
                </m:sup>
              </m:sSubSup>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a</m:t>
                  </m:r>
                  <m:r>
                    <w:rPr>
                      <w:rFonts w:ascii="Cambria Math" w:hAnsi="Cambria Math"/>
                      <w:sz w:val="19"/>
                      <w:szCs w:val="19"/>
                    </w:rPr>
                    <m:t>u</m:t>
                  </m:r>
                  <m:r>
                    <w:rPr>
                      <w:rFonts w:ascii="Cambria Math" w:hAnsi="Cambria Math"/>
                      <w:sz w:val="19"/>
                      <w:szCs w:val="19"/>
                    </w:rPr>
                    <m:t>x</m:t>
                  </m:r>
                </m:sup>
              </m:sSup>
              <m:r>
                <m:rPr>
                  <m:sty m:val="p"/>
                </m:rPr>
                <w:rPr>
                  <w:rFonts w:ascii="Cambria Math" w:hAnsi="Cambria Math"/>
                  <w:sz w:val="19"/>
                  <w:szCs w:val="19"/>
                </w:rPr>
                <m:t>+</m:t>
              </m:r>
              <m:f>
                <m:fPr>
                  <m:type m:val="bar"/>
                </m:fPr>
                <m:num>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C</m:t>
                      </m:r>
                    </m:sup>
                  </m:sSubSup>
                </m:num>
                <m:den>
                  <m:sSub>
                    <m:e>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e>
                    <m:sub>
                      <m:r>
                        <w:rPr>
                          <w:rFonts w:ascii="Cambria Math" w:hAnsi="Cambria Math"/>
                          <w:sz w:val="19"/>
                          <w:szCs w:val="19"/>
                        </w:rPr>
                        <m:t>t</m:t>
                      </m:r>
                    </m:sub>
                  </m:sSub>
                </m:den>
              </m:f>
              <m:r>
                <m:rPr>
                  <m:sty m:val="p"/>
                </m:rPr>
                <w:rPr>
                  <w:rFonts w:ascii="Cambria Math" w:hAnsi="Cambria Math"/>
                  <w:sz w:val="19"/>
                  <w:szCs w:val="19"/>
                </w:rPr>
                <m:t>.</m:t>
              </m:r>
            </m:e>
          </m:mr>
        </m:m>
      </m:oMath>
      <w:r>
        <w:tab/>
      </w:r>
      <w:r>
        <w:t xml:space="preserve">(16)</w:t>
      </w:r>
    </w:p>
    <w:p>
      <w:pPr>
        <w:pStyle w:val="BodyText"/>
      </w:pPr>
      <w:r>
        <w:t xml:space="preserve">The grid import respects the connection limit and a minimum import,</w:t>
      </w:r>
    </w:p>
    <w:p>
      <w:pPr>
        <w:pStyle w:val="Equation"/>
      </w:pPr>
      <w:r>
        <w:tab/>
      </w:r>
      <m:oMath>
        <m:sSup>
          <m:e>
            <m:r>
              <w:rPr>
                <w:rFonts w:ascii="Cambria Math" w:hAnsi="Cambria Math"/>
                <w:sz w:val="19"/>
                <w:szCs w:val="19"/>
              </w:rPr>
              <m:t>P</m:t>
            </m:r>
          </m:e>
          <m:sup>
            <m:r>
              <w:rPr>
                <w:rFonts w:ascii="Cambria Math" w:hAnsi="Cambria Math"/>
                <w:sz w:val="19"/>
                <w:szCs w:val="19"/>
              </w:rPr>
              <m:t>m</m:t>
            </m:r>
            <m:r>
              <w:rPr>
                <w:rFonts w:ascii="Cambria Math" w:hAnsi="Cambria Math"/>
                <w:sz w:val="19"/>
                <w:szCs w:val="19"/>
              </w:rPr>
              <m:t>i</m:t>
            </m:r>
            <m:r>
              <w:rPr>
                <w:rFonts w:ascii="Cambria Math" w:hAnsi="Cambria Math"/>
                <w:sz w:val="19"/>
                <w:szCs w:val="19"/>
              </w:rPr>
              <m:t>n</m:t>
            </m:r>
          </m:sup>
        </m:s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p>
        <m:r>
          <m:rPr>
            <m:sty m:val="p"/>
          </m:rPr>
          <w:rPr>
            <w:rFonts w:ascii="Cambria Math" w:hAnsi="Cambria Math"/>
            <w:sz w:val="19"/>
            <w:szCs w:val="19"/>
          </w:rPr>
          <m:t>,</m:t>
        </m:r>
      </m:oMath>
      <w:r>
        <w:tab/>
      </w:r>
      <w:r>
        <w:t xml:space="preserve">(17)</w:t>
      </w:r>
    </w:p>
    <w:p>
      <w:pPr>
        <w:pStyle w:val="BodyText"/>
      </w:pPr>
      <w:r>
        <w:t xml:space="preserve">the gas engine its rating and ramp limit,</w:t>
      </w:r>
    </w:p>
    <w:p>
      <w:pPr>
        <w:pStyle w:val="Equation"/>
      </w:pPr>
      <w:r>
        <w:tab/>
      </w:r>
      <m:oMath>
        <m:r>
          <w:rPr>
            <w:rFonts w:ascii="Cambria Math" w:hAnsi="Cambria Math"/>
            <w:sz w:val="19"/>
            <w:szCs w:val="19"/>
          </w:rPr>
          <m:t>0</m:t>
        </m:r>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T</m:t>
            </m:r>
          </m:sup>
        </m:sSubSup>
        <m:r>
          <m:rPr>
            <m:sty m:val="p"/>
          </m:rPr>
          <w:rPr>
            <w:rFonts w:ascii="Cambria Math" w:hAnsi="Cambria Math"/>
            <w:sz w:val="19"/>
            <w:szCs w:val="19"/>
          </w:rPr>
          <m:t>≤</m:t>
        </m:r>
        <m:sSup>
          <m:e>
            <m:acc>
              <m:accPr>
                <m:chr m:val="‾"/>
              </m:accPr>
              <m:e>
                <m:r>
                  <w:rPr>
                    <w:rFonts w:ascii="Cambria Math" w:hAnsi="Cambria Math"/>
                    <w:sz w:val="19"/>
                    <w:szCs w:val="19"/>
                  </w:rPr>
                  <m:t>P</m:t>
                </m:r>
              </m:e>
            </m:acc>
          </m:e>
          <m:sup>
            <m:r>
              <w:rPr>
                <w:rFonts w:ascii="Cambria Math" w:hAnsi="Cambria Math"/>
                <w:sz w:val="19"/>
                <w:szCs w:val="19"/>
              </w:rPr>
              <m:t>G</m:t>
            </m:r>
            <m:r>
              <w:rPr>
                <w:rFonts w:ascii="Cambria Math" w:hAnsi="Cambria Math"/>
                <w:sz w:val="19"/>
                <w:szCs w:val="19"/>
              </w:rPr>
              <m:t>T</m:t>
            </m:r>
          </m:sup>
        </m:sSup>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T</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sub>
          <m:sup>
            <m:r>
              <w:rPr>
                <w:rFonts w:ascii="Cambria Math" w:hAnsi="Cambria Math"/>
                <w:sz w:val="19"/>
                <w:szCs w:val="19"/>
              </w:rPr>
              <m:t>G</m:t>
            </m:r>
            <m:r>
              <w:rPr>
                <w:rFonts w:ascii="Cambria Math" w:hAnsi="Cambria Math"/>
                <w:sz w:val="19"/>
                <w:szCs w:val="19"/>
              </w:rPr>
              <m:t>T</m:t>
            </m:r>
          </m:sup>
        </m:sSubSup>
        <m:r>
          <m:rPr>
            <m:sty m:val="p"/>
          </m:rPr>
          <w:rPr>
            <w:rFonts w:ascii="Cambria Math" w:hAnsi="Cambria Math"/>
            <w:sz w:val="19"/>
            <w:szCs w:val="19"/>
          </w:rPr>
          <m:t>|</m:t>
        </m:r>
        <m:r>
          <m:rPr>
            <m:sty m:val="p"/>
          </m:rPr>
          <w:rPr>
            <w:rFonts w:ascii="Cambria Math" w:hAnsi="Cambria Math"/>
            <w:sz w:val="19"/>
            <w:szCs w:val="19"/>
          </w:rPr>
          <m:t>≤</m:t>
        </m:r>
        <m:sSup>
          <m:e>
            <m:r>
              <w:rPr>
                <w:rFonts w:ascii="Cambria Math" w:hAnsi="Cambria Math"/>
                <w:sz w:val="19"/>
                <w:szCs w:val="19"/>
              </w:rPr>
              <m:t>R</m:t>
            </m:r>
          </m:e>
          <m:sup>
            <m:r>
              <w:rPr>
                <w:rFonts w:ascii="Cambria Math" w:hAnsi="Cambria Math"/>
                <w:sz w:val="19"/>
                <w:szCs w:val="19"/>
              </w:rPr>
              <m:t>G</m:t>
            </m:r>
            <m:r>
              <w:rPr>
                <w:rFonts w:ascii="Cambria Math" w:hAnsi="Cambria Math"/>
                <w:sz w:val="19"/>
                <w:szCs w:val="19"/>
              </w:rPr>
              <m:t>T</m:t>
            </m:r>
          </m:sup>
        </m:sSup>
        <m:r>
          <m:rPr>
            <m:sty m:val="p"/>
          </m:rPr>
          <w:rPr>
            <w:rFonts w:ascii="Cambria Math" w:hAnsi="Cambria Math"/>
            <w:sz w:val="19"/>
            <w:szCs w:val="19"/>
          </w:rPr>
          <m:t>,</m:t>
        </m:r>
      </m:oMath>
      <w:r>
        <w:tab/>
      </w:r>
      <w:r>
        <w:t xml:space="preserve">(18)</w:t>
      </w:r>
    </w:p>
    <w:p>
      <w:pPr>
        <w:pStyle w:val="BodyText"/>
      </w:pPr>
      <w:r>
        <w:t xml:space="preserve">the PV the available power,</w:t>
      </w:r>
    </w:p>
    <w:p>
      <w:pPr>
        <w:pStyle w:val="Equation"/>
      </w:pPr>
      <w:r>
        <w:tab/>
      </w:r>
      <m:oMath>
        <m:r>
          <w:rPr>
            <w:rFonts w:ascii="Cambria Math" w:hAnsi="Cambria Math"/>
            <w:sz w:val="19"/>
            <w:szCs w:val="19"/>
          </w:rPr>
          <m:t>0</m:t>
        </m:r>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P</m:t>
            </m:r>
            <m:r>
              <w:rPr>
                <w:rFonts w:ascii="Cambria Math" w:hAnsi="Cambria Math"/>
                <w:sz w:val="19"/>
                <w:szCs w:val="19"/>
              </w:rPr>
              <m:t>V</m:t>
            </m:r>
          </m:sup>
        </m:sSubSup>
        <m:r>
          <m:rPr>
            <m:sty m:val="p"/>
          </m:rPr>
          <w:rPr>
            <w:rFonts w:ascii="Cambria Math" w:hAnsi="Cambria Math"/>
            <w:sz w:val="19"/>
            <w:szCs w:val="19"/>
          </w:rPr>
          <m:t>≤</m:t>
        </m:r>
        <m:sSubSup>
          <m:e>
            <m:acc>
              <m:accPr>
                <m:chr m:val="‾"/>
              </m:accPr>
              <m:e>
                <m:r>
                  <w:rPr>
                    <w:rFonts w:ascii="Cambria Math" w:hAnsi="Cambria Math"/>
                    <w:sz w:val="19"/>
                    <w:szCs w:val="19"/>
                  </w:rPr>
                  <m:t>P</m:t>
                </m:r>
              </m:e>
            </m:acc>
          </m:e>
          <m:sub>
            <m:r>
              <w:rPr>
                <w:rFonts w:ascii="Cambria Math" w:hAnsi="Cambria Math"/>
                <w:sz w:val="19"/>
                <w:szCs w:val="19"/>
              </w:rPr>
              <m:t>t</m:t>
            </m:r>
          </m:sub>
          <m:sup>
            <m:r>
              <w:rPr>
                <w:rFonts w:ascii="Cambria Math" w:hAnsi="Cambria Math"/>
                <w:sz w:val="19"/>
                <w:szCs w:val="19"/>
              </w:rPr>
              <m:t>P</m:t>
            </m:r>
            <m:r>
              <w:rPr>
                <w:rFonts w:ascii="Cambria Math" w:hAnsi="Cambria Math"/>
                <w:sz w:val="19"/>
                <w:szCs w:val="19"/>
              </w:rPr>
              <m:t>V</m:t>
            </m:r>
          </m:sup>
        </m:sSubSup>
        <m:r>
          <m:rPr>
            <m:sty m:val="p"/>
          </m:rPr>
          <w:rPr>
            <w:rFonts w:ascii="Cambria Math" w:hAnsi="Cambria Math"/>
            <w:sz w:val="19"/>
            <w:szCs w:val="19"/>
          </w:rPr>
          <m:t>,</m:t>
        </m:r>
      </m:oMath>
      <w:r>
        <w:tab/>
      </w:r>
      <w:r>
        <w:t xml:space="preserve">(19)</w:t>
      </w:r>
    </w:p>
    <w:p>
      <w:pPr>
        <w:pStyle w:val="BodyText"/>
      </w:pPr>
      <w:r>
        <w:t xml:space="preserve">and the chillers their capacities,</w:t>
      </w:r>
    </w:p>
    <w:p>
      <w:pPr>
        <w:pStyle w:val="Equation"/>
      </w:pPr>
      <w:r>
        <w:tab/>
      </w:r>
      <m:oMath>
        <m:r>
          <w:rPr>
            <w:rFonts w:ascii="Cambria Math" w:hAnsi="Cambria Math"/>
            <w:sz w:val="19"/>
            <w:szCs w:val="19"/>
          </w:rPr>
          <m:t>0</m:t>
        </m:r>
        <m:r>
          <m:rPr>
            <m:sty m:val="p"/>
          </m:rPr>
          <w:rPr>
            <w:rFonts w:ascii="Cambria Math" w:hAnsi="Cambria Math"/>
            <w:sz w:val="19"/>
            <w:szCs w:val="19"/>
          </w:rPr>
          <m:t>≤</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C</m:t>
            </m:r>
          </m:sup>
        </m:sSubSup>
        <m:r>
          <m:rPr>
            <m:sty m:val="p"/>
          </m:rPr>
          <w:rPr>
            <w:rFonts w:ascii="Cambria Math" w:hAnsi="Cambria Math"/>
            <w:sz w:val="19"/>
            <w:szCs w:val="19"/>
          </w:rPr>
          <m:t>≤</m:t>
        </m:r>
        <m:sSup>
          <m:e>
            <m:acc>
              <m:accPr>
                <m:chr m:val="‾"/>
              </m:accPr>
              <m:e>
                <m:r>
                  <w:rPr>
                    <w:rFonts w:ascii="Cambria Math" w:hAnsi="Cambria Math"/>
                    <w:sz w:val="19"/>
                    <w:szCs w:val="19"/>
                  </w:rPr>
                  <m:t>Q</m:t>
                </m:r>
              </m:e>
            </m:acc>
          </m:e>
          <m:sup>
            <m:r>
              <w:rPr>
                <w:rFonts w:ascii="Cambria Math" w:hAnsi="Cambria Math"/>
                <w:sz w:val="19"/>
                <w:szCs w:val="19"/>
              </w:rPr>
              <m:t>E</m:t>
            </m:r>
            <m:r>
              <w:rPr>
                <w:rFonts w:ascii="Cambria Math" w:hAnsi="Cambria Math"/>
                <w:sz w:val="19"/>
                <w:szCs w:val="19"/>
              </w:rPr>
              <m:t>C</m:t>
            </m:r>
          </m:sup>
        </m:sSup>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sSup>
          <m:e>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e>
          <m:sup>
            <m:r>
              <w:rPr>
                <w:rFonts w:ascii="Cambria Math" w:hAnsi="Cambria Math"/>
                <w:sz w:val="19"/>
                <w:szCs w:val="19"/>
              </w:rPr>
              <m:t>A</m:t>
            </m:r>
            <m:r>
              <w:rPr>
                <w:rFonts w:ascii="Cambria Math" w:hAnsi="Cambria Math"/>
                <w:sz w:val="19"/>
                <w:szCs w:val="19"/>
              </w:rPr>
              <m:t>C</m:t>
            </m:r>
          </m:sup>
        </m:sSup>
        <m:sSubSup>
          <m:e>
            <m:r>
              <w:rPr>
                <w:rFonts w:ascii="Cambria Math" w:hAnsi="Cambria Math"/>
                <w:sz w:val="19"/>
                <w:szCs w:val="19"/>
              </w:rPr>
              <m:t>H</m:t>
            </m:r>
          </m:e>
          <m:sub>
            <m:r>
              <w:rPr>
                <w:rFonts w:ascii="Cambria Math" w:hAnsi="Cambria Math"/>
                <w:sz w:val="19"/>
                <w:szCs w:val="19"/>
              </w:rPr>
              <m:t>t</m:t>
            </m:r>
          </m:sub>
          <m:sup>
            <m:r>
              <w:rPr>
                <w:rFonts w:ascii="Cambria Math" w:hAnsi="Cambria Math"/>
                <w:sz w:val="19"/>
                <w:szCs w:val="19"/>
              </w:rPr>
              <m:t>A</m:t>
            </m:r>
            <m:r>
              <w:rPr>
                <w:rFonts w:ascii="Cambria Math" w:hAnsi="Cambria Math"/>
                <w:sz w:val="19"/>
                <w:szCs w:val="19"/>
              </w:rPr>
              <m:t>C</m:t>
            </m:r>
          </m:sup>
        </m:sSubSup>
        <m:r>
          <m:rPr>
            <m:sty m:val="p"/>
          </m:rPr>
          <w:rPr>
            <w:rFonts w:ascii="Cambria Math" w:hAnsi="Cambria Math"/>
            <w:sz w:val="19"/>
            <w:szCs w:val="19"/>
          </w:rPr>
          <m:t>≤</m:t>
        </m:r>
        <m:sSup>
          <m:e>
            <m:acc>
              <m:accPr>
                <m:chr m:val="‾"/>
              </m:accPr>
              <m:e>
                <m:r>
                  <w:rPr>
                    <w:rFonts w:ascii="Cambria Math" w:hAnsi="Cambria Math"/>
                    <w:sz w:val="19"/>
                    <w:szCs w:val="19"/>
                  </w:rPr>
                  <m:t>Q</m:t>
                </m:r>
              </m:e>
            </m:acc>
          </m:e>
          <m:sup>
            <m:r>
              <w:rPr>
                <w:rFonts w:ascii="Cambria Math" w:hAnsi="Cambria Math"/>
                <w:sz w:val="19"/>
                <w:szCs w:val="19"/>
              </w:rPr>
              <m:t>A</m:t>
            </m:r>
            <m:r>
              <w:rPr>
                <w:rFonts w:ascii="Cambria Math" w:hAnsi="Cambria Math"/>
                <w:sz w:val="19"/>
                <w:szCs w:val="19"/>
              </w:rPr>
              <m:t>C</m:t>
            </m:r>
          </m:sup>
        </m:sSup>
        <m:r>
          <m:rPr>
            <m:sty m:val="p"/>
          </m:rPr>
          <w:rPr>
            <w:rFonts w:ascii="Cambria Math" w:hAnsi="Cambria Math"/>
            <w:sz w:val="19"/>
            <w:szCs w:val="19"/>
          </w:rPr>
          <m:t>.</m:t>
        </m:r>
      </m:oMath>
      <w:r>
        <w:tab/>
      </w:r>
      <w:r>
        <w:t xml:space="preserve">(20)</w:t>
      </w:r>
    </w:p>
    <w:p>
      <w:pPr>
        <w:pStyle w:val="BodyText"/>
      </w:pPr>
      <w:r>
        <w:t xml:space="preserve">Through (14)–(20), deferring computing work lowers both the IT power and the chiller power, and recovered heat and stored cold widen the headroom</w:t>
      </w:r>
      <w:r>
        <w:t xml:space="preserve"> </w:t>
      </w:r>
      <m:oMath>
        <m:sSup>
          <m:e>
            <m:r>
              <w:rPr>
                <w:rFonts w:ascii="Cambria Math" w:hAnsi="Cambria Math"/>
                <w:sz w:val="19"/>
                <w:szCs w:val="19"/>
              </w:rPr>
              <m:t>P</m:t>
            </m:r>
          </m:e>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oMath>
      <w:r>
        <w:t xml:space="preserve"> </w:t>
      </w:r>
      <w:r>
        <w:t xml:space="preserve">on which recovery draws. The coupling of the computing debt to the electric balance through</w:t>
      </w:r>
      <w:r>
        <w:t xml:space="preserve"> </w:t>
      </w:r>
      <m:oMath>
        <m:sSub>
          <m:e>
            <m:r>
              <w:rPr>
                <w:rFonts w:ascii="Cambria Math" w:hAnsi="Cambria Math"/>
                <w:sz w:val="19"/>
                <w:szCs w:val="19"/>
              </w:rPr>
              <m:t>ψ</m:t>
            </m:r>
          </m:e>
          <m:sub>
            <m:r>
              <w:rPr>
                <w:rFonts w:ascii="Cambria Math" w:hAnsi="Cambria Math"/>
                <w:sz w:val="19"/>
                <w:szCs w:val="19"/>
              </w:rPr>
              <m:t>t</m:t>
            </m:r>
          </m:sub>
        </m:sSub>
      </m:oMath>
      <w:r>
        <w:t xml:space="preserve"> </w:t>
      </w:r>
      <w:r>
        <w:t xml:space="preserve">is what makes the backlog compete with the storage for the recovery channel (1).</w:t>
      </w:r>
    </w:p>
    <w:bookmarkEnd w:id="31"/>
    <w:bookmarkStart w:id="32" w:name="settlement-of-consecutive-dr-events"/>
    <w:p>
      <w:pPr>
        <w:pStyle w:val="Heading2"/>
      </w:pPr>
      <w:r>
        <w:t xml:space="preserve">3.4. Settlement of consecutive DR events</w:t>
      </w:r>
    </w:p>
    <w:p>
      <w:pPr>
        <w:pStyle w:val="FirstParagraph"/>
      </w:pPr>
      <w:r>
        <w:t xml:space="preserve">The average reduction of event</w:t>
      </w:r>
      <w:r>
        <w:t xml:space="preserve"> </w:t>
      </w:r>
      <m:oMath>
        <m:r>
          <w:rPr>
            <w:rFonts w:ascii="Cambria Math" w:hAnsi="Cambria Math"/>
            <w:sz w:val="19"/>
            <w:szCs w:val="19"/>
          </w:rPr>
          <m:t>k</m:t>
        </m:r>
      </m:oMath>
      <w:r>
        <w:t xml:space="preserve"> </w:t>
      </w:r>
      <w:r>
        <w:t xml:space="preserve">against the baseline is</w:t>
      </w:r>
    </w:p>
    <w:p>
      <w:pPr>
        <w:pStyle w:val="Equation"/>
      </w:pPr>
      <w:r>
        <w:tab/>
      </w:r>
      <m:oMath>
        <m:sSub>
          <m:e>
            <m:acc>
              <m:accPr>
                <m:chr m:val="‾"/>
              </m:accPr>
              <m:e>
                <m:r>
                  <w:rPr>
                    <w:rFonts w:ascii="Cambria Math" w:hAnsi="Cambria Math"/>
                    <w:sz w:val="19"/>
                    <w:szCs w:val="19"/>
                  </w:rPr>
                  <m:t>r</m:t>
                </m:r>
              </m:e>
            </m:acc>
          </m:e>
          <m:sub>
            <m:r>
              <w:rPr>
                <w:rFonts w:ascii="Cambria Math" w:hAnsi="Cambria Math"/>
                <w:sz w:val="19"/>
                <w:szCs w:val="19"/>
              </w:rPr>
              <m:t>k</m:t>
            </m:r>
          </m:sub>
        </m:sSub>
        <m:r>
          <m:rPr>
            <m:sty m:val="p"/>
          </m:rPr>
          <w:rPr>
            <w:rFonts w:ascii="Cambria Math" w:hAnsi="Cambria Math"/>
            <w:sz w:val="19"/>
            <w:szCs w:val="19"/>
          </w:rPr>
          <m:t>=</m:t>
        </m:r>
        <m:f>
          <m:fPr>
            <m:type m:val="bar"/>
          </m:fPr>
          <m:num>
            <m:r>
              <w:rPr>
                <w:rFonts w:ascii="Cambria Math" w:hAnsi="Cambria Math"/>
                <w:sz w:val="19"/>
                <w:szCs w:val="19"/>
              </w:rPr>
              <m:t>1</m:t>
            </m:r>
          </m:num>
          <m:den>
            <m:sSub>
              <m:e>
                <m:r>
                  <w:rPr>
                    <w:rFonts w:ascii="Cambria Math" w:hAnsi="Cambria Math"/>
                    <w:sz w:val="19"/>
                    <w:szCs w:val="19"/>
                  </w:rPr>
                  <m:t>D</m:t>
                </m:r>
              </m:e>
              <m:sub>
                <m:r>
                  <w:rPr>
                    <w:rFonts w:ascii="Cambria Math" w:hAnsi="Cambria Math"/>
                    <w:sz w:val="19"/>
                    <w:szCs w:val="19"/>
                  </w:rPr>
                  <m:t>k</m:t>
                </m:r>
              </m:sub>
            </m:sSub>
          </m:den>
        </m:f>
        <m:nary>
          <m:naryPr>
            <m:chr m:val="∑"/>
            <m:limLoc m:val="undOvr"/>
            <m:subHide m:val="off"/>
            <m:supHide m:val="on"/>
          </m:naryPr>
          <m:sub>
            <m:r>
              <w:rPr>
                <w:rFonts w:ascii="Cambria Math" w:hAnsi="Cambria Math"/>
                <w:sz w:val="19"/>
                <w:szCs w:val="19"/>
              </w:rPr>
              <m:t>t</m:t>
            </m:r>
            <m:r>
              <m:rPr>
                <m:sty m:val="p"/>
              </m:rPr>
              <w:rPr>
                <w:rFonts w:ascii="Cambria Math" w:hAnsi="Cambria Math"/>
                <w:sz w:val="19"/>
                <w:szCs w:val="19"/>
              </w:rPr>
              <m:t>∈</m:t>
            </m:r>
            <m:sSub>
              <m:e>
                <m:r>
                  <m:rPr>
                    <m:scr m:val="script"/>
                    <m:sty m:val="p"/>
                  </m:rPr>
                  <w:rPr>
                    <w:rFonts w:ascii="Cambria Math" w:hAnsi="Cambria Math"/>
                    <w:sz w:val="19"/>
                    <w:szCs w:val="19"/>
                  </w:rPr>
                  <m:t>T</m:t>
                </m:r>
              </m:e>
              <m:sub>
                <m:r>
                  <w:rPr>
                    <w:rFonts w:ascii="Cambria Math" w:hAnsi="Cambria Math"/>
                    <w:sz w:val="19"/>
                    <w:szCs w:val="19"/>
                  </w:rPr>
                  <m:t>k</m:t>
                </m:r>
              </m:sub>
            </m:sSub>
          </m:sub>
          <m:sup>
            <m:r>
              <w:rPr>
                <w:rFonts w:ascii="Cambria Math" w:hAnsi="Cambria Math"/>
                <w:sz w:val="19"/>
                <w:szCs w:val="19"/>
              </w:rPr>
              <m:t>​</m:t>
            </m:r>
          </m:sup>
          <m:e>
            <m:d>
              <m:dPr>
                <m:begChr m:val="("/>
                <m:sepChr m:val=""/>
                <m:endChr m:val=")"/>
                <m:grow/>
              </m:dPr>
              <m:e>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b</m:t>
                    </m:r>
                    <m:r>
                      <w:rPr>
                        <w:rFonts w:ascii="Cambria Math" w:hAnsi="Cambria Math"/>
                        <w:sz w:val="19"/>
                        <w:szCs w:val="19"/>
                      </w:rPr>
                      <m:t>a</m:t>
                    </m:r>
                    <m:r>
                      <w:rPr>
                        <w:rFonts w:ascii="Cambria Math" w:hAnsi="Cambria Math"/>
                        <w:sz w:val="19"/>
                        <w:szCs w:val="19"/>
                      </w:rPr>
                      <m:t>s</m:t>
                    </m:r>
                    <m:r>
                      <w:rPr>
                        <w:rFonts w:ascii="Cambria Math" w:hAnsi="Cambria Math"/>
                        <w:sz w:val="19"/>
                        <w:szCs w:val="19"/>
                      </w:rPr>
                      <m:t>e</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e>
            </m:d>
          </m:e>
        </m:nary>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oMath>
      <w:r>
        <w:tab/>
      </w:r>
      <w:r>
        <w:t xml:space="preserve">(21)</w:t>
      </w:r>
    </w:p>
    <w:p>
      <w:pPr>
        <w:pStyle w:val="BodyText"/>
      </w:pPr>
      <w:r>
        <w:t xml:space="preserve">With the validity indicator</w:t>
      </w:r>
      <w:r>
        <w:t xml:space="preserve"> </w:t>
      </w:r>
      <m:oMath>
        <m:sSub>
          <m:e>
            <m:r>
              <w:rPr>
                <w:rFonts w:ascii="Cambria Math" w:hAnsi="Cambria Math"/>
                <w:sz w:val="19"/>
                <w:szCs w:val="19"/>
              </w:rPr>
              <m:t>z</m:t>
            </m:r>
          </m:e>
          <m:sub>
            <m:r>
              <w:rPr>
                <w:rFonts w:ascii="Cambria Math" w:hAnsi="Cambria Math"/>
                <w:sz w:val="19"/>
                <w:szCs w:val="19"/>
              </w:rPr>
              <m:t>k</m:t>
            </m:r>
          </m:sub>
        </m:sSub>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t xml:space="preserve">, the paid reduction</w:t>
      </w:r>
      <w:r>
        <w:t xml:space="preserve"> </w:t>
      </w:r>
      <m:oMath>
        <m:sSub>
          <m:e>
            <m:r>
              <w:rPr>
                <w:rFonts w:ascii="Cambria Math" w:hAnsi="Cambria Math"/>
                <w:sz w:val="19"/>
                <w:szCs w:val="19"/>
              </w:rPr>
              <m:t>R</m:t>
            </m:r>
          </m:e>
          <m:sub>
            <m:r>
              <w:rPr>
                <w:rFonts w:ascii="Cambria Math" w:hAnsi="Cambria Math"/>
                <w:sz w:val="19"/>
                <w:szCs w:val="19"/>
              </w:rPr>
              <m:t>k</m:t>
            </m:r>
          </m:sub>
        </m:sSub>
      </m:oMath>
      <w:r>
        <w:t xml:space="preserve"> </w:t>
      </w:r>
      <w:r>
        <w:t xml:space="preserve">and the shortfall</w:t>
      </w:r>
      <w:r>
        <w:t xml:space="preserve"> </w:t>
      </w:r>
      <m:oMath>
        <m:sSubSup>
          <m:e>
            <m:r>
              <w:rPr>
                <w:rFonts w:ascii="Cambria Math" w:hAnsi="Cambria Math"/>
                <w:sz w:val="19"/>
                <w:szCs w:val="19"/>
              </w:rPr>
              <m:t>s</m:t>
            </m:r>
          </m:e>
          <m:sub>
            <m:r>
              <w:rPr>
                <w:rFonts w:ascii="Cambria Math" w:hAnsi="Cambria Math"/>
                <w:sz w:val="19"/>
                <w:szCs w:val="19"/>
              </w:rPr>
              <m:t>k</m:t>
            </m:r>
          </m:sub>
          <m:sup>
            <m:r>
              <w:rPr>
                <w:rFonts w:ascii="Cambria Math" w:hAnsi="Cambria Math"/>
                <w:sz w:val="19"/>
                <w:szCs w:val="19"/>
              </w:rPr>
              <m:t>f</m:t>
            </m:r>
          </m:sup>
        </m:sSubSup>
      </m:oMath>
      <w:r>
        <w:t xml:space="preserve">, the Jiangsu settlement reads</w:t>
      </w:r>
    </w:p>
    <w:p>
      <w:pPr>
        <w:pStyle w:val="Equation"/>
      </w:pPr>
      <w:r>
        <w:tab/>
      </w:r>
      <m:oMath>
        <m:sSub>
          <m:e>
            <m:acc>
              <m:accPr>
                <m:chr m:val="‾"/>
              </m:accPr>
              <m:e>
                <m:r>
                  <w:rPr>
                    <w:rFonts w:ascii="Cambria Math" w:hAnsi="Cambria Math"/>
                    <w:sz w:val="19"/>
                    <w:szCs w:val="19"/>
                  </w:rPr>
                  <m:t>r</m:t>
                </m:r>
              </m:e>
            </m:acc>
          </m:e>
          <m:sub>
            <m:r>
              <w:rPr>
                <w:rFonts w:ascii="Cambria Math" w:hAnsi="Cambria Math"/>
                <w:sz w:val="19"/>
                <w:szCs w:val="19"/>
              </w:rPr>
              <m:t>k</m:t>
            </m:r>
          </m:sub>
        </m:sSub>
        <m:r>
          <m:rPr>
            <m:sty m:val="p"/>
          </m:rPr>
          <w:rPr>
            <w:rFonts w:ascii="Cambria Math" w:hAnsi="Cambria Math"/>
            <w:sz w:val="19"/>
            <w:szCs w:val="19"/>
          </w:rPr>
          <m:t>≥</m:t>
        </m:r>
        <m:sSub>
          <m:e>
            <m:r>
              <w:rPr>
                <w:rFonts w:ascii="Cambria Math" w:hAnsi="Cambria Math"/>
                <w:sz w:val="19"/>
                <w:szCs w:val="19"/>
              </w:rPr>
              <m:t>z</m:t>
            </m:r>
          </m:e>
          <m:sub>
            <m:r>
              <w:rPr>
                <w:rFonts w:ascii="Cambria Math" w:hAnsi="Cambria Math"/>
                <w:sz w:val="19"/>
                <w:szCs w:val="19"/>
              </w:rPr>
              <m:t>k</m:t>
            </m:r>
          </m:sub>
        </m:sSub>
        <m:r>
          <w:rPr>
            <w:rFonts w:ascii="Cambria Math" w:hAnsi="Cambria Math"/>
            <w:sz w:val="19"/>
            <w:szCs w:val="19"/>
          </w:rPr>
          <m:t> </m:t>
        </m:r>
        <m:d>
          <m:dPr>
            <m:begChr m:val="("/>
            <m:sepChr m:val=""/>
            <m:endChr m:val=")"/>
            <m:grow/>
          </m:dPr>
          <m:e>
            <m:r>
              <w:rPr>
                <w:rFonts w:ascii="Cambria Math" w:hAnsi="Cambria Math"/>
                <w:sz w:val="19"/>
                <w:szCs w:val="19"/>
              </w:rPr>
              <m:t>0.8</m:t>
            </m:r>
            <m:r>
              <w:rPr>
                <w:rFonts w:ascii="Cambria Math" w:hAnsi="Cambria Math"/>
                <w:sz w:val="19"/>
                <w:szCs w:val="19"/>
              </w:rPr>
              <m:t> </m:t>
            </m:r>
            <m:sSub>
              <m:e>
                <m:r>
                  <w:rPr>
                    <w:rFonts w:ascii="Cambria Math" w:hAnsi="Cambria Math"/>
                    <w:sz w:val="19"/>
                    <w:szCs w:val="19"/>
                  </w:rPr>
                  <m:t>C</m:t>
                </m:r>
              </m:e>
              <m:sub>
                <m:r>
                  <w:rPr>
                    <w:rFonts w:ascii="Cambria Math" w:hAnsi="Cambria Math"/>
                    <w:sz w:val="19"/>
                    <w:szCs w:val="19"/>
                  </w:rPr>
                  <m:t>k</m:t>
                </m:r>
              </m:sub>
            </m:sSub>
            <m:r>
              <m:rPr>
                <m:sty m:val="p"/>
              </m:rPr>
              <w:rPr>
                <w:rFonts w:ascii="Cambria Math" w:hAnsi="Cambria Math"/>
                <w:sz w:val="19"/>
                <w:szCs w:val="19"/>
              </w:rPr>
              <m:t>+</m:t>
            </m:r>
            <m:sSup>
              <m:e>
                <m:r>
                  <w:rPr>
                    <w:rFonts w:ascii="Cambria Math" w:hAnsi="Cambria Math"/>
                    <w:sz w:val="19"/>
                    <w:szCs w:val="19"/>
                  </w:rPr>
                  <m:t>δ</m:t>
                </m:r>
              </m:e>
              <m:sup>
                <m:r>
                  <w:rPr>
                    <w:rFonts w:ascii="Cambria Math" w:hAnsi="Cambria Math"/>
                    <w:sz w:val="19"/>
                    <w:szCs w:val="19"/>
                  </w:rPr>
                  <m:t>v</m:t>
                </m:r>
                <m:r>
                  <w:rPr>
                    <w:rFonts w:ascii="Cambria Math" w:hAnsi="Cambria Math"/>
                    <w:sz w:val="19"/>
                    <w:szCs w:val="19"/>
                  </w:rPr>
                  <m:t>a</m:t>
                </m:r>
                <m:r>
                  <w:rPr>
                    <w:rFonts w:ascii="Cambria Math" w:hAnsi="Cambria Math"/>
                    <w:sz w:val="19"/>
                    <w:szCs w:val="19"/>
                  </w:rPr>
                  <m:t>l</m:t>
                </m:r>
              </m:sup>
            </m:sSup>
          </m:e>
        </m:d>
        <m:r>
          <m:rPr>
            <m:sty m:val="p"/>
          </m:rPr>
          <w:rPr>
            <w:rFonts w:ascii="Cambria Math" w:hAnsi="Cambria Math"/>
            <w:sz w:val="19"/>
            <w:szCs w:val="19"/>
          </w:rPr>
          <m:t>−</m:t>
        </m:r>
        <m:r>
          <w:rPr>
            <w:rFonts w:ascii="Cambria Math" w:hAnsi="Cambria Math"/>
            <w:sz w:val="19"/>
            <w:szCs w:val="19"/>
          </w:rPr>
          <m:t>M</m:t>
        </m:r>
        <m:d>
          <m:dPr>
            <m:begChr m:val="("/>
            <m:sepChr m:val=""/>
            <m:endChr m:val=")"/>
            <m:grow/>
          </m:dPr>
          <m:e>
            <m:r>
              <w:rPr>
                <w:rFonts w:ascii="Cambria Math" w:hAnsi="Cambria Math"/>
                <w:sz w:val="19"/>
                <w:szCs w:val="19"/>
              </w:rPr>
              <m:t>1</m:t>
            </m:r>
            <m:r>
              <m:rPr>
                <m:sty m:val="p"/>
              </m:rPr>
              <w:rPr>
                <w:rFonts w:ascii="Cambria Math" w:hAnsi="Cambria Math"/>
                <w:sz w:val="19"/>
                <w:szCs w:val="19"/>
              </w:rPr>
              <m:t>−</m:t>
            </m:r>
            <m:sSub>
              <m:e>
                <m:r>
                  <w:rPr>
                    <w:rFonts w:ascii="Cambria Math" w:hAnsi="Cambria Math"/>
                    <w:sz w:val="19"/>
                    <w:szCs w:val="19"/>
                  </w:rPr>
                  <m:t>z</m:t>
                </m:r>
              </m:e>
              <m:sub>
                <m:r>
                  <w:rPr>
                    <w:rFonts w:ascii="Cambria Math" w:hAnsi="Cambria Math"/>
                    <w:sz w:val="19"/>
                    <w:szCs w:val="19"/>
                  </w:rPr>
                  <m:t>k</m:t>
                </m:r>
              </m:sub>
            </m:sSub>
          </m:e>
        </m:d>
        <m:r>
          <m:rPr>
            <m:sty m:val="p"/>
          </m:rPr>
          <w:rPr>
            <w:rFonts w:ascii="Cambria Math" w:hAnsi="Cambria Math"/>
            <w:sz w:val="19"/>
            <w:szCs w:val="19"/>
          </w:rPr>
          <m:t>,</m:t>
        </m:r>
      </m:oMath>
      <w:r>
        <w:tab/>
      </w:r>
      <w:r>
        <w:t xml:space="preserve">(22)</w:t>
      </w:r>
    </w:p>
    <w:p>
      <w:pPr>
        <w:pStyle w:val="Equation"/>
      </w:pPr>
      <w:r>
        <w:tab/>
      </w:r>
      <m:oMath>
        <m:r>
          <w:rPr>
            <w:rFonts w:ascii="Cambria Math" w:hAnsi="Cambria Math"/>
            <w:sz w:val="19"/>
            <w:szCs w:val="19"/>
          </w:rPr>
          <m:t>0</m:t>
        </m:r>
        <m:r>
          <m:rPr>
            <m:sty m:val="p"/>
          </m:rPr>
          <w:rPr>
            <w:rFonts w:ascii="Cambria Math" w:hAnsi="Cambria Math"/>
            <w:sz w:val="19"/>
            <w:szCs w:val="19"/>
          </w:rPr>
          <m:t>≤</m:t>
        </m:r>
        <m:sSub>
          <m:e>
            <m:r>
              <w:rPr>
                <w:rFonts w:ascii="Cambria Math" w:hAnsi="Cambria Math"/>
                <w:sz w:val="19"/>
                <w:szCs w:val="19"/>
              </w:rPr>
              <m:t>R</m:t>
            </m:r>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1.2</m:t>
        </m:r>
        <m:r>
          <w:rPr>
            <w:rFonts w:ascii="Cambria Math" w:hAnsi="Cambria Math"/>
            <w:sz w:val="19"/>
            <w:szCs w:val="19"/>
          </w:rPr>
          <m:t> </m:t>
        </m:r>
        <m:sSub>
          <m:e>
            <m:r>
              <w:rPr>
                <w:rFonts w:ascii="Cambria Math" w:hAnsi="Cambria Math"/>
                <w:sz w:val="19"/>
                <w:szCs w:val="19"/>
              </w:rPr>
              <m:t>C</m:t>
            </m:r>
          </m:e>
          <m:sub>
            <m:r>
              <w:rPr>
                <w:rFonts w:ascii="Cambria Math" w:hAnsi="Cambria Math"/>
                <w:sz w:val="19"/>
                <w:szCs w:val="19"/>
              </w:rPr>
              <m:t>k</m:t>
            </m:r>
          </m:sub>
        </m:sSub>
        <m:sSub>
          <m:e>
            <m:r>
              <w:rPr>
                <w:rFonts w:ascii="Cambria Math" w:hAnsi="Cambria Math"/>
                <w:sz w:val="19"/>
                <w:szCs w:val="19"/>
              </w:rPr>
              <m:t>z</m:t>
            </m:r>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R</m:t>
            </m:r>
          </m:e>
          <m:sub>
            <m:r>
              <w:rPr>
                <w:rFonts w:ascii="Cambria Math" w:hAnsi="Cambria Math"/>
                <w:sz w:val="19"/>
                <w:szCs w:val="19"/>
              </w:rPr>
              <m:t>k</m:t>
            </m:r>
          </m:sub>
        </m:sSub>
        <m:r>
          <m:rPr>
            <m:sty m:val="p"/>
          </m:rPr>
          <w:rPr>
            <w:rFonts w:ascii="Cambria Math" w:hAnsi="Cambria Math"/>
            <w:sz w:val="19"/>
            <w:szCs w:val="19"/>
          </w:rPr>
          <m:t>≤</m:t>
        </m:r>
        <m:sSub>
          <m:e>
            <m:acc>
              <m:accPr>
                <m:chr m:val="‾"/>
              </m:accPr>
              <m:e>
                <m:r>
                  <w:rPr>
                    <w:rFonts w:ascii="Cambria Math" w:hAnsi="Cambria Math"/>
                    <w:sz w:val="19"/>
                    <w:szCs w:val="19"/>
                  </w:rPr>
                  <m:t>r</m:t>
                </m:r>
              </m:e>
            </m:acc>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M</m:t>
        </m:r>
        <m:d>
          <m:dPr>
            <m:begChr m:val="("/>
            <m:sepChr m:val=""/>
            <m:endChr m:val=")"/>
            <m:grow/>
          </m:dPr>
          <m:e>
            <m:r>
              <w:rPr>
                <w:rFonts w:ascii="Cambria Math" w:hAnsi="Cambria Math"/>
                <w:sz w:val="19"/>
                <w:szCs w:val="19"/>
              </w:rPr>
              <m:t>1</m:t>
            </m:r>
            <m:r>
              <m:rPr>
                <m:sty m:val="p"/>
              </m:rPr>
              <w:rPr>
                <w:rFonts w:ascii="Cambria Math" w:hAnsi="Cambria Math"/>
                <w:sz w:val="19"/>
                <w:szCs w:val="19"/>
              </w:rPr>
              <m:t>−</m:t>
            </m:r>
            <m:sSub>
              <m:e>
                <m:r>
                  <w:rPr>
                    <w:rFonts w:ascii="Cambria Math" w:hAnsi="Cambria Math"/>
                    <w:sz w:val="19"/>
                    <w:szCs w:val="19"/>
                  </w:rPr>
                  <m:t>z</m:t>
                </m:r>
              </m:e>
              <m:sub>
                <m:r>
                  <w:rPr>
                    <w:rFonts w:ascii="Cambria Math" w:hAnsi="Cambria Math"/>
                    <w:sz w:val="19"/>
                    <w:szCs w:val="19"/>
                  </w:rPr>
                  <m:t>k</m:t>
                </m:r>
              </m:sub>
            </m:sSub>
          </m:e>
        </m:d>
        <m:r>
          <m:rPr>
            <m:sty m:val="p"/>
          </m:rPr>
          <w:rPr>
            <w:rFonts w:ascii="Cambria Math" w:hAnsi="Cambria Math"/>
            <w:sz w:val="19"/>
            <w:szCs w:val="19"/>
          </w:rPr>
          <m:t>,</m:t>
        </m:r>
      </m:oMath>
      <w:r>
        <w:tab/>
      </w:r>
      <w:r>
        <w:t xml:space="preserve">(23)</w:t>
      </w:r>
    </w:p>
    <w:p>
      <w:pPr>
        <w:pStyle w:val="Equation"/>
      </w:pPr>
      <w:r>
        <w:tab/>
      </w:r>
      <m:oMath>
        <m:sSubSup>
          <m:e>
            <m:r>
              <w:rPr>
                <w:rFonts w:ascii="Cambria Math" w:hAnsi="Cambria Math"/>
                <w:sz w:val="19"/>
                <w:szCs w:val="19"/>
              </w:rPr>
              <m:t>s</m:t>
            </m:r>
          </m:e>
          <m:sub>
            <m:r>
              <w:rPr>
                <w:rFonts w:ascii="Cambria Math" w:hAnsi="Cambria Math"/>
                <w:sz w:val="19"/>
                <w:szCs w:val="19"/>
              </w:rPr>
              <m:t>k</m:t>
            </m:r>
          </m:sub>
          <m:sup>
            <m:r>
              <w:rPr>
                <w:rFonts w:ascii="Cambria Math" w:hAnsi="Cambria Math"/>
                <w:sz w:val="19"/>
                <w:szCs w:val="19"/>
              </w:rPr>
              <m:t>f</m:t>
            </m:r>
          </m:sup>
        </m:sSubSup>
        <m:r>
          <m:rPr>
            <m:sty m:val="p"/>
          </m:rPr>
          <w:rPr>
            <w:rFonts w:ascii="Cambria Math" w:hAnsi="Cambria Math"/>
            <w:sz w:val="19"/>
            <w:szCs w:val="19"/>
          </w:rPr>
          <m:t>≥</m:t>
        </m:r>
        <m:sSub>
          <m:e>
            <m:r>
              <w:rPr>
                <w:rFonts w:ascii="Cambria Math" w:hAnsi="Cambria Math"/>
                <w:sz w:val="19"/>
                <w:szCs w:val="19"/>
              </w:rPr>
              <m:t>C</m:t>
            </m:r>
          </m:e>
          <m:sub>
            <m:r>
              <w:rPr>
                <w:rFonts w:ascii="Cambria Math" w:hAnsi="Cambria Math"/>
                <w:sz w:val="19"/>
                <w:szCs w:val="19"/>
              </w:rPr>
              <m:t>k</m:t>
            </m:r>
          </m:sub>
        </m:sSub>
        <m:r>
          <m:rPr>
            <m:sty m:val="p"/>
          </m:rPr>
          <w:rPr>
            <w:rFonts w:ascii="Cambria Math" w:hAnsi="Cambria Math"/>
            <w:sz w:val="19"/>
            <w:szCs w:val="19"/>
          </w:rPr>
          <m:t>−</m:t>
        </m:r>
        <m:sSub>
          <m:e>
            <m:acc>
              <m:accPr>
                <m:chr m:val="‾"/>
              </m:accPr>
              <m:e>
                <m:r>
                  <w:rPr>
                    <w:rFonts w:ascii="Cambria Math" w:hAnsi="Cambria Math"/>
                    <w:sz w:val="19"/>
                    <w:szCs w:val="19"/>
                  </w:rPr>
                  <m:t>r</m:t>
                </m:r>
              </m:e>
            </m:acc>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  </m:t>
        </m:r>
        <m:sSubSup>
          <m:e>
            <m:r>
              <w:rPr>
                <w:rFonts w:ascii="Cambria Math" w:hAnsi="Cambria Math"/>
                <w:sz w:val="19"/>
                <w:szCs w:val="19"/>
              </w:rPr>
              <m:t>s</m:t>
            </m:r>
          </m:e>
          <m:sub>
            <m:r>
              <w:rPr>
                <w:rFonts w:ascii="Cambria Math" w:hAnsi="Cambria Math"/>
                <w:sz w:val="19"/>
                <w:szCs w:val="19"/>
              </w:rPr>
              <m:t>k</m:t>
            </m:r>
          </m:sub>
          <m:sup>
            <m:r>
              <w:rPr>
                <w:rFonts w:ascii="Cambria Math" w:hAnsi="Cambria Math"/>
                <w:sz w:val="19"/>
                <w:szCs w:val="19"/>
              </w:rPr>
              <m:t>f</m:t>
            </m:r>
          </m:sup>
        </m:sSubSup>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tab/>
      </w:r>
      <w:r>
        <w:t xml:space="preserve">(24)</w:t>
      </w:r>
    </w:p>
    <w:p>
      <w:pPr>
        <w:pStyle w:val="BodyText"/>
      </w:pPr>
      <w:r>
        <w:t xml:space="preserve">where</w:t>
      </w:r>
      <w:r>
        <w:t xml:space="preserve"> </w:t>
      </w:r>
      <m:oMath>
        <m:sSup>
          <m:e>
            <m:r>
              <w:rPr>
                <w:rFonts w:ascii="Cambria Math" w:hAnsi="Cambria Math"/>
                <w:sz w:val="19"/>
                <w:szCs w:val="19"/>
              </w:rPr>
              <m:t>δ</m:t>
            </m:r>
          </m:e>
          <m:sup>
            <m:r>
              <w:rPr>
                <w:rFonts w:ascii="Cambria Math" w:hAnsi="Cambria Math"/>
                <w:sz w:val="19"/>
                <w:szCs w:val="19"/>
              </w:rPr>
              <m:t>v</m:t>
            </m:r>
            <m:r>
              <w:rPr>
                <w:rFonts w:ascii="Cambria Math" w:hAnsi="Cambria Math"/>
                <w:sz w:val="19"/>
                <w:szCs w:val="19"/>
              </w:rPr>
              <m:t>a</m:t>
            </m:r>
            <m:r>
              <w:rPr>
                <w:rFonts w:ascii="Cambria Math" w:hAnsi="Cambria Math"/>
                <w:sz w:val="19"/>
                <w:szCs w:val="19"/>
              </w:rPr>
              <m:t>l</m:t>
            </m:r>
          </m:sup>
        </m:sSup>
      </m:oMath>
      <w:r>
        <w:t xml:space="preserve"> </w:t>
      </w:r>
      <w:r>
        <w:t xml:space="preserve">is a planning margin above the 80 % threshold and the big-M terms deactivate the payment constraints of an invalid event. The Jiangsu rules contain no post-event assessment. To examine one as a policy parameter (Section 5.9.2), the peak rebound of event</w:t>
      </w:r>
      <w:r>
        <w:t xml:space="preserve"> </w:t>
      </w:r>
      <m:oMath>
        <m:r>
          <w:rPr>
            <w:rFonts w:ascii="Cambria Math" w:hAnsi="Cambria Math"/>
            <w:sz w:val="19"/>
            <w:szCs w:val="19"/>
          </w:rPr>
          <m:t>k</m:t>
        </m:r>
      </m:oMath>
      <w:r>
        <w:t xml:space="preserve"> </w:t>
      </w:r>
      <w:r>
        <w:t xml:space="preserve">above the baseline in the post-event window</w:t>
      </w:r>
      <w:r>
        <w:t xml:space="preserve"> </w:t>
      </w:r>
      <m:oMath>
        <m:sSub>
          <m:e>
            <m:r>
              <m:rPr>
                <m:scr m:val="script"/>
                <m:sty m:val="p"/>
              </m:rPr>
              <w:rPr>
                <w:rFonts w:ascii="Cambria Math" w:hAnsi="Cambria Math"/>
                <w:sz w:val="19"/>
                <w:szCs w:val="19"/>
              </w:rPr>
              <m:t>W</m:t>
            </m:r>
          </m:e>
          <m:sub>
            <m:r>
              <w:rPr>
                <w:rFonts w:ascii="Cambria Math" w:hAnsi="Cambria Math"/>
                <w:sz w:val="19"/>
                <w:szCs w:val="19"/>
              </w:rPr>
              <m:t>k</m:t>
            </m:r>
          </m:sub>
        </m:sSub>
      </m:oMath>
      <w:r>
        <w:t xml:space="preserve"> </w:t>
      </w:r>
      <w:r>
        <w:t xml:space="preserve">(2 h) is bounded by</w:t>
      </w:r>
    </w:p>
    <w:p>
      <w:pPr>
        <w:pStyle w:val="Equation"/>
      </w:pPr>
      <w:r>
        <w:tab/>
      </w:r>
      <m:oMath>
        <m:r>
          <w:rPr>
            <w:rFonts w:ascii="Cambria Math" w:hAnsi="Cambria Math"/>
            <w:sz w:val="19"/>
            <w:szCs w:val="19"/>
          </w:rPr>
          <m:t>Δ</m:t>
        </m:r>
        <m:sSubSup>
          <m:e>
            <m:r>
              <w:rPr>
                <w:rFonts w:ascii="Cambria Math" w:hAnsi="Cambria Math"/>
                <w:sz w:val="19"/>
                <w:szCs w:val="19"/>
              </w:rPr>
              <m:t>P</m:t>
            </m:r>
          </m:e>
          <m:sub>
            <m:r>
              <w:rPr>
                <w:rFonts w:ascii="Cambria Math" w:hAnsi="Cambria Math"/>
                <w:sz w:val="19"/>
                <w:szCs w:val="19"/>
              </w:rPr>
              <m:t>k</m:t>
            </m:r>
          </m:sub>
          <m:sup>
            <m:r>
              <w:rPr>
                <w:rFonts w:ascii="Cambria Math" w:hAnsi="Cambria Math"/>
                <w:sz w:val="19"/>
                <w:szCs w:val="19"/>
              </w:rPr>
              <m:t>r</m:t>
            </m:r>
            <m:r>
              <w:rPr>
                <w:rFonts w:ascii="Cambria Math" w:hAnsi="Cambria Math"/>
                <w:sz w:val="19"/>
                <w:szCs w:val="19"/>
              </w:rPr>
              <m:t>b</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b</m:t>
            </m:r>
            <m:r>
              <w:rPr>
                <w:rFonts w:ascii="Cambria Math" w:hAnsi="Cambria Math"/>
                <w:sz w:val="19"/>
                <w:szCs w:val="19"/>
              </w:rPr>
              <m:t>a</m:t>
            </m:r>
            <m:r>
              <w:rPr>
                <w:rFonts w:ascii="Cambria Math" w:hAnsi="Cambria Math"/>
                <w:sz w:val="19"/>
                <w:szCs w:val="19"/>
              </w:rPr>
              <m:t>s</m:t>
            </m:r>
            <m:r>
              <w:rPr>
                <w:rFonts w:ascii="Cambria Math" w:hAnsi="Cambria Math"/>
                <w:sz w:val="19"/>
                <w:szCs w:val="19"/>
              </w:rPr>
              <m:t>e</m:t>
            </m:r>
          </m:sup>
        </m:sSubSup>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sSub>
          <m:e>
            <m:r>
              <m:rPr>
                <m:scr m:val="script"/>
                <m:sty m:val="p"/>
              </m:rPr>
              <w:rPr>
                <w:rFonts w:ascii="Cambria Math" w:hAnsi="Cambria Math"/>
                <w:sz w:val="19"/>
                <w:szCs w:val="19"/>
              </w:rPr>
              <m:t>W</m:t>
            </m:r>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Δ</m:t>
        </m:r>
        <m:sSubSup>
          <m:e>
            <m:r>
              <w:rPr>
                <w:rFonts w:ascii="Cambria Math" w:hAnsi="Cambria Math"/>
                <w:sz w:val="19"/>
                <w:szCs w:val="19"/>
              </w:rPr>
              <m:t>P</m:t>
            </m:r>
          </m:e>
          <m:sub>
            <m:r>
              <w:rPr>
                <w:rFonts w:ascii="Cambria Math" w:hAnsi="Cambria Math"/>
                <w:sz w:val="19"/>
                <w:szCs w:val="19"/>
              </w:rPr>
              <m:t>k</m:t>
            </m:r>
          </m:sub>
          <m:sup>
            <m:r>
              <w:rPr>
                <w:rFonts w:ascii="Cambria Math" w:hAnsi="Cambria Math"/>
                <w:sz w:val="19"/>
                <w:szCs w:val="19"/>
              </w:rPr>
              <m:t>r</m:t>
            </m:r>
            <m:r>
              <w:rPr>
                <w:rFonts w:ascii="Cambria Math" w:hAnsi="Cambria Math"/>
                <w:sz w:val="19"/>
                <w:szCs w:val="19"/>
              </w:rPr>
              <m:t>b</m:t>
            </m:r>
          </m:sup>
        </m:sSubSup>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tab/>
      </w:r>
      <w:r>
        <w:t xml:space="preserve">(25)</w:t>
      </w:r>
    </w:p>
    <w:p>
      <w:pPr>
        <w:pStyle w:val="BodyText"/>
      </w:pPr>
      <w:r>
        <w:t xml:space="preserve">and priced at</w:t>
      </w:r>
      <w:r>
        <w:t xml:space="preserve"> </w:t>
      </w:r>
      <m:oMath>
        <m:sSup>
          <m:e>
            <m:r>
              <w:rPr>
                <w:rFonts w:ascii="Cambria Math" w:hAnsi="Cambria Math"/>
                <w:sz w:val="19"/>
                <w:szCs w:val="19"/>
              </w:rPr>
              <m:t>c</m:t>
            </m:r>
          </m:e>
          <m:sup>
            <m:r>
              <w:rPr>
                <w:rFonts w:ascii="Cambria Math" w:hAnsi="Cambria Math"/>
                <w:sz w:val="19"/>
                <w:szCs w:val="19"/>
              </w:rPr>
              <m:t>r</m:t>
            </m:r>
            <m:r>
              <w:rPr>
                <w:rFonts w:ascii="Cambria Math" w:hAnsi="Cambria Math"/>
                <w:sz w:val="19"/>
                <w:szCs w:val="19"/>
              </w:rPr>
              <m:t>b</m:t>
            </m:r>
          </m:sup>
        </m:sSup>
      </m:oMath>
      <w:r>
        <w:t xml:space="preserve"> </w:t>
      </w:r>
      <w:r>
        <w:t xml:space="preserve">per event, with</w:t>
      </w:r>
      <w:r>
        <w:t xml:space="preserve"> </w:t>
      </w:r>
      <m:oMath>
        <m:sSup>
          <m:e>
            <m:r>
              <w:rPr>
                <w:rFonts w:ascii="Cambria Math" w:hAnsi="Cambria Math"/>
                <w:sz w:val="19"/>
                <w:szCs w:val="19"/>
              </w:rPr>
              <m:t>c</m:t>
            </m:r>
          </m:e>
          <m:sup>
            <m:r>
              <w:rPr>
                <w:rFonts w:ascii="Cambria Math" w:hAnsi="Cambria Math"/>
                <w:sz w:val="19"/>
                <w:szCs w:val="19"/>
              </w:rPr>
              <m:t>r</m:t>
            </m:r>
            <m:r>
              <w:rPr>
                <w:rFonts w:ascii="Cambria Math" w:hAnsi="Cambria Math"/>
                <w:sz w:val="19"/>
                <w:szCs w:val="19"/>
              </w:rPr>
              <m:t>b</m:t>
            </m:r>
          </m:sup>
        </m:sSup>
        <m:r>
          <m:rPr>
            <m:sty m:val="p"/>
          </m:rPr>
          <w:rPr>
            <w:rFonts w:ascii="Cambria Math" w:hAnsi="Cambria Math"/>
            <w:sz w:val="19"/>
            <w:szCs w:val="19"/>
          </w:rPr>
          <m:t>=</m:t>
        </m:r>
        <m:r>
          <w:rPr>
            <w:rFonts w:ascii="Cambria Math" w:hAnsi="Cambria Math"/>
            <w:sz w:val="19"/>
            <w:szCs w:val="19"/>
          </w:rPr>
          <m:t>0</m:t>
        </m:r>
      </m:oMath>
      <w:r>
        <w:t xml:space="preserve"> </w:t>
      </w:r>
      <w:r>
        <w:t xml:space="preserve">in the base case. The rule that the load during an event may not exceed the baseline maximum and the connection limit (17) carry slacks with large penalties in the planning model, which keep every MPC step feasible under forecast errors; the plant replay enforces the physical limits (Section 4.2).</w:t>
      </w:r>
    </w:p>
    <w:bookmarkEnd w:id="32"/>
    <w:bookmarkStart w:id="33" w:name="Xec932e7f4457b2ff93dd474e78ace5f55980fd8"/>
    <w:p>
      <w:pPr>
        <w:pStyle w:val="Heading2"/>
      </w:pPr>
      <w:r>
        <w:t xml:space="preserve">3.5. Comprehensive cost objective and energy–carbon indicators</w:t>
      </w:r>
    </w:p>
    <w:p>
      <w:pPr>
        <w:pStyle w:val="FirstParagraph"/>
      </w:pPr>
      <w:r>
        <w:t xml:space="preserve">The operator minimises the comprehensive cost of the DR day,</w:t>
      </w:r>
    </w:p>
    <w:p>
      <w:pPr>
        <w:pStyle w:val="Equation"/>
      </w:pPr>
      <w:r>
        <w:tab/>
      </w:r>
      <m:oMath>
        <m:r>
          <w:rPr>
            <w:rFonts w:ascii="Cambria Math" w:hAnsi="Cambria Math"/>
            <w:sz w:val="19"/>
            <w:szCs w:val="19"/>
          </w:rPr>
          <m:t>J</m:t>
        </m:r>
        <m:r>
          <m:rPr>
            <m:sty m:val="p"/>
          </m:rPr>
          <w:rPr>
            <w:rFonts w:ascii="Cambria Math" w:hAnsi="Cambria Math"/>
            <w:sz w:val="19"/>
            <w:szCs w:val="19"/>
          </w:rPr>
          <m:t>=</m:t>
        </m:r>
        <m:sSup>
          <m:e>
            <m:r>
              <w:rPr>
                <w:rFonts w:ascii="Cambria Math" w:hAnsi="Cambria Math"/>
                <w:sz w:val="19"/>
                <w:szCs w:val="19"/>
              </w:rPr>
              <m:t>J</m:t>
            </m:r>
          </m:e>
          <m:sup>
            <m:r>
              <w:rPr>
                <w:rFonts w:ascii="Cambria Math" w:hAnsi="Cambria Math"/>
                <w:sz w:val="19"/>
                <w:szCs w:val="19"/>
              </w:rPr>
              <m:t>o</m:t>
            </m:r>
            <m:r>
              <w:rPr>
                <w:rFonts w:ascii="Cambria Math" w:hAnsi="Cambria Math"/>
                <w:sz w:val="19"/>
                <w:szCs w:val="19"/>
              </w:rPr>
              <m:t>p</m:t>
            </m:r>
          </m:sup>
        </m:sSup>
        <m:r>
          <m:rPr>
            <m:sty m:val="p"/>
          </m:rPr>
          <w:rPr>
            <w:rFonts w:ascii="Cambria Math" w:hAnsi="Cambria Math"/>
            <w:sz w:val="19"/>
            <w:szCs w:val="19"/>
          </w:rPr>
          <m:t>+</m:t>
        </m:r>
        <m:sSup>
          <m:e>
            <m:r>
              <w:rPr>
                <w:rFonts w:ascii="Cambria Math" w:hAnsi="Cambria Math"/>
                <w:sz w:val="19"/>
                <w:szCs w:val="19"/>
              </w:rPr>
              <m:t>J</m:t>
            </m:r>
          </m:e>
          <m:sup>
            <m:r>
              <w:rPr>
                <w:rFonts w:ascii="Cambria Math" w:hAnsi="Cambria Math"/>
                <w:sz w:val="19"/>
                <w:szCs w:val="19"/>
              </w:rPr>
              <m:t>q</m:t>
            </m:r>
            <m:r>
              <w:rPr>
                <w:rFonts w:ascii="Cambria Math" w:hAnsi="Cambria Math"/>
                <w:sz w:val="19"/>
                <w:szCs w:val="19"/>
              </w:rPr>
              <m:t>o</m:t>
            </m:r>
            <m:r>
              <w:rPr>
                <w:rFonts w:ascii="Cambria Math" w:hAnsi="Cambria Math"/>
                <w:sz w:val="19"/>
                <w:szCs w:val="19"/>
              </w:rPr>
              <m:t>s</m:t>
            </m:r>
          </m:sup>
        </m:sSup>
        <m:r>
          <m:rPr>
            <m:sty m:val="p"/>
          </m:rPr>
          <w:rPr>
            <w:rFonts w:ascii="Cambria Math" w:hAnsi="Cambria Math"/>
            <w:sz w:val="19"/>
            <w:szCs w:val="19"/>
          </w:rPr>
          <m:t>−</m:t>
        </m:r>
        <m:sSup>
          <m:e>
            <m:r>
              <w:rPr>
                <w:rFonts w:ascii="Cambria Math" w:hAnsi="Cambria Math"/>
                <w:sz w:val="19"/>
                <w:szCs w:val="19"/>
              </w:rPr>
              <m:t>J</m:t>
            </m:r>
          </m:e>
          <m:sup>
            <m:r>
              <w:rPr>
                <w:rFonts w:ascii="Cambria Math" w:hAnsi="Cambria Math"/>
                <w:sz w:val="19"/>
                <w:szCs w:val="19"/>
              </w:rPr>
              <m:t>D</m:t>
            </m:r>
            <m:r>
              <w:rPr>
                <w:rFonts w:ascii="Cambria Math" w:hAnsi="Cambria Math"/>
                <w:sz w:val="19"/>
                <w:szCs w:val="19"/>
              </w:rPr>
              <m:t>R</m:t>
            </m:r>
          </m:sup>
        </m:sSup>
        <m:r>
          <m:rPr>
            <m:sty m:val="p"/>
          </m:rPr>
          <w:rPr>
            <w:rFonts w:ascii="Cambria Math" w:hAnsi="Cambria Math"/>
            <w:sz w:val="19"/>
            <w:szCs w:val="19"/>
          </w:rPr>
          <m:t>+</m:t>
        </m:r>
        <m:sSup>
          <m:e>
            <m:r>
              <w:rPr>
                <w:rFonts w:ascii="Cambria Math" w:hAnsi="Cambria Math"/>
                <w:sz w:val="19"/>
                <w:szCs w:val="19"/>
              </w:rPr>
              <m:t>J</m:t>
            </m:r>
          </m:e>
          <m:sup>
            <m:r>
              <w:rPr>
                <w:rFonts w:ascii="Cambria Math" w:hAnsi="Cambria Math"/>
                <w:sz w:val="19"/>
                <w:szCs w:val="19"/>
              </w:rPr>
              <m:t>s</m:t>
            </m:r>
            <m:r>
              <w:rPr>
                <w:rFonts w:ascii="Cambria Math" w:hAnsi="Cambria Math"/>
                <w:sz w:val="19"/>
                <w:szCs w:val="19"/>
              </w:rPr>
              <m:t>f</m:t>
            </m:r>
          </m:sup>
        </m:sSup>
        <m:r>
          <m:rPr>
            <m:sty m:val="p"/>
          </m:rPr>
          <w:rPr>
            <w:rFonts w:ascii="Cambria Math" w:hAnsi="Cambria Math"/>
            <w:sz w:val="19"/>
            <w:szCs w:val="19"/>
          </w:rPr>
          <m:t>+</m:t>
        </m:r>
        <m:sSup>
          <m:e>
            <m:r>
              <w:rPr>
                <w:rFonts w:ascii="Cambria Math" w:hAnsi="Cambria Math"/>
                <w:sz w:val="19"/>
                <w:szCs w:val="19"/>
              </w:rPr>
              <m:t>J</m:t>
            </m:r>
          </m:e>
          <m:sup>
            <m:r>
              <w:rPr>
                <w:rFonts w:ascii="Cambria Math" w:hAnsi="Cambria Math"/>
                <w:sz w:val="19"/>
                <w:szCs w:val="19"/>
              </w:rPr>
              <m:t>r</m:t>
            </m:r>
            <m:r>
              <w:rPr>
                <w:rFonts w:ascii="Cambria Math" w:hAnsi="Cambria Math"/>
                <w:sz w:val="19"/>
                <w:szCs w:val="19"/>
              </w:rPr>
              <m:t>b</m:t>
            </m:r>
          </m:sup>
        </m:sSup>
        <m:r>
          <m:rPr>
            <m:sty m:val="p"/>
          </m:rPr>
          <w:rPr>
            <w:rFonts w:ascii="Cambria Math" w:hAnsi="Cambria Math"/>
            <w:sz w:val="19"/>
            <w:szCs w:val="19"/>
          </w:rPr>
          <m:t>+</m:t>
        </m:r>
        <m:sSup>
          <m:e>
            <m:r>
              <w:rPr>
                <w:rFonts w:ascii="Cambria Math" w:hAnsi="Cambria Math"/>
                <w:sz w:val="19"/>
                <w:szCs w:val="19"/>
              </w:rPr>
              <m:t>J</m:t>
            </m:r>
          </m:e>
          <m:sup>
            <m:r>
              <w:rPr>
                <w:rFonts w:ascii="Cambria Math" w:hAnsi="Cambria Math"/>
                <w:sz w:val="19"/>
                <w:szCs w:val="19"/>
              </w:rPr>
              <m:t>t</m:t>
            </m:r>
            <m:r>
              <w:rPr>
                <w:rFonts w:ascii="Cambria Math" w:hAnsi="Cambria Math"/>
                <w:sz w:val="19"/>
                <w:szCs w:val="19"/>
              </w:rPr>
              <m:t>e</m:t>
            </m:r>
            <m:r>
              <w:rPr>
                <w:rFonts w:ascii="Cambria Math" w:hAnsi="Cambria Math"/>
                <w:sz w:val="19"/>
                <w:szCs w:val="19"/>
              </w:rPr>
              <m:t>r</m:t>
            </m:r>
            <m:r>
              <w:rPr>
                <w:rFonts w:ascii="Cambria Math" w:hAnsi="Cambria Math"/>
                <w:sz w:val="19"/>
                <w:szCs w:val="19"/>
              </w:rPr>
              <m:t>m</m:t>
            </m:r>
          </m:sup>
        </m:sSup>
        <m:r>
          <m:rPr>
            <m:sty m:val="p"/>
          </m:rPr>
          <w:rPr>
            <w:rFonts w:ascii="Cambria Math" w:hAnsi="Cambria Math"/>
            <w:sz w:val="19"/>
            <w:szCs w:val="19"/>
          </w:rPr>
          <m:t>,</m:t>
        </m:r>
      </m:oMath>
      <w:r>
        <w:tab/>
      </w:r>
      <w:r>
        <w:t xml:space="preserve">(26)</w:t>
      </w:r>
    </w:p>
    <w:p>
      <w:pPr>
        <w:pStyle w:val="BodyText"/>
      </w:pPr>
      <w:r>
        <w:t xml:space="preserve">which comprises the operating cost of electricity, gas and storage degradation,</w:t>
      </w:r>
    </w:p>
    <w:p>
      <w:pPr>
        <w:pStyle w:val="Equation"/>
      </w:pPr>
      <w:r>
        <w:tab/>
      </w:r>
      <m:oMath>
        <m:m>
          <m:mPr>
            <m:baseJc m:val="center"/>
            <m:plcHide m:val="on"/>
            <m:mcs>
              <m:mc>
                <m:mcPr>
                  <m:count m:val="1"/>
                  <m:mcJc m:val="right"/>
                </m:mcPr>
              </m:mc>
              <m:mc>
                <m:mcPr>
                  <m:count m:val="1"/>
                  <m:mcJc m:val="left"/>
                </m:mcPr>
              </m:mc>
            </m:mcs>
          </m:mPr>
          <m:mr>
            <m:e>
              <m:sSup>
                <m:e>
                  <m:r>
                    <w:rPr>
                      <w:rFonts w:ascii="Cambria Math" w:hAnsi="Cambria Math"/>
                      <w:sz w:val="19"/>
                      <w:szCs w:val="19"/>
                    </w:rPr>
                    <m:t>J</m:t>
                  </m:r>
                </m:e>
                <m:sup>
                  <m:r>
                    <w:rPr>
                      <w:rFonts w:ascii="Cambria Math" w:hAnsi="Cambria Math"/>
                      <w:sz w:val="19"/>
                      <w:szCs w:val="19"/>
                    </w:rPr>
                    <m:t>o</m:t>
                  </m:r>
                  <m:r>
                    <w:rPr>
                      <w:rFonts w:ascii="Cambria Math" w:hAnsi="Cambria Math"/>
                      <w:sz w:val="19"/>
                      <w:szCs w:val="19"/>
                    </w:rPr>
                    <m:t>p</m:t>
                  </m:r>
                </m:sup>
              </m:sSup>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t</m:t>
                  </m:r>
                </m:sub>
                <m:sup>
                  <m:r>
                    <w:rPr>
                      <w:rFonts w:ascii="Cambria Math" w:hAnsi="Cambria Math"/>
                      <w:sz w:val="19"/>
                      <w:szCs w:val="19"/>
                    </w:rPr>
                    <m:t>​</m:t>
                  </m:r>
                </m:sup>
                <m:e>
                  <m:r>
                    <m:rPr>
                      <m:sty m:val="p"/>
                    </m:rPr>
                    <w:rPr>
                      <w:rFonts w:ascii="Cambria Math" w:hAnsi="Cambria Math"/>
                      <w:sz w:val="19"/>
                      <w:szCs w:val="19"/>
                    </w:rPr>
                    <m:t>[</m:t>
                  </m:r>
                </m:e>
              </m:nary>
            </m:e>
            <m:e>
              <m:sSub>
                <m:e>
                  <m:r>
                    <w:rPr>
                      <w:rFonts w:ascii="Cambria Math" w:hAnsi="Cambria Math"/>
                      <w:sz w:val="19"/>
                      <w:szCs w:val="19"/>
                    </w:rPr>
                    <m:t>π</m:t>
                  </m:r>
                </m:e>
                <m:sub>
                  <m:r>
                    <w:rPr>
                      <w:rFonts w:ascii="Cambria Math" w:hAnsi="Cambria Math"/>
                      <w:sz w:val="19"/>
                      <w:szCs w:val="19"/>
                    </w:rPr>
                    <m:t>t</m:t>
                  </m:r>
                </m:sub>
              </m:sSub>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r>
                <m:rPr>
                  <m:sty m:val="p"/>
                </m:rPr>
                <w:rPr>
                  <w:rFonts w:ascii="Cambria Math" w:hAnsi="Cambria Math"/>
                  <w:sz w:val="19"/>
                  <w:szCs w:val="19"/>
                </w:rPr>
                <m:t>+</m:t>
              </m:r>
              <m:f>
                <m:fPr>
                  <m:type m:val="bar"/>
                </m:fPr>
                <m:num>
                  <m:sSup>
                    <m:e>
                      <m:r>
                        <w:rPr>
                          <w:rFonts w:ascii="Cambria Math" w:hAnsi="Cambria Math"/>
                          <w:sz w:val="19"/>
                          <w:szCs w:val="19"/>
                        </w:rPr>
                        <m:t>c</m:t>
                      </m:r>
                    </m:e>
                    <m:sup>
                      <m:r>
                        <w:rPr>
                          <w:rFonts w:ascii="Cambria Math" w:hAnsi="Cambria Math"/>
                          <w:sz w:val="19"/>
                          <w:szCs w:val="19"/>
                        </w:rPr>
                        <m:t>g</m:t>
                      </m:r>
                      <m:r>
                        <w:rPr>
                          <w:rFonts w:ascii="Cambria Math" w:hAnsi="Cambria Math"/>
                          <w:sz w:val="19"/>
                          <w:szCs w:val="19"/>
                        </w:rPr>
                        <m:t>a</m:t>
                      </m:r>
                      <m:r>
                        <w:rPr>
                          <w:rFonts w:ascii="Cambria Math" w:hAnsi="Cambria Math"/>
                          <w:sz w:val="19"/>
                          <w:szCs w:val="19"/>
                        </w:rPr>
                        <m:t>s</m:t>
                      </m:r>
                    </m:sup>
                  </m:sSup>
                </m:num>
                <m:den>
                  <m:sSup>
                    <m:e>
                      <m:r>
                        <w:rPr>
                          <w:rFonts w:ascii="Cambria Math" w:hAnsi="Cambria Math"/>
                          <w:sz w:val="19"/>
                          <w:szCs w:val="19"/>
                        </w:rPr>
                        <m:t>η</m:t>
                      </m:r>
                    </m:e>
                    <m:sup>
                      <m:r>
                        <w:rPr>
                          <w:rFonts w:ascii="Cambria Math" w:hAnsi="Cambria Math"/>
                          <w:sz w:val="19"/>
                          <w:szCs w:val="19"/>
                        </w:rPr>
                        <m:t>G</m:t>
                      </m:r>
                      <m:r>
                        <w:rPr>
                          <w:rFonts w:ascii="Cambria Math" w:hAnsi="Cambria Math"/>
                          <w:sz w:val="19"/>
                          <w:szCs w:val="19"/>
                        </w:rPr>
                        <m:t>T</m:t>
                      </m:r>
                    </m:sup>
                  </m:sSup>
                </m:den>
              </m:f>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T</m:t>
                  </m:r>
                </m:sup>
              </m:sSubSup>
            </m:e>
          </m:mr>
          <m:mr>
            <m:e/>
            <m:e>
              <m:r>
                <m:rPr>
                  <m:sty m:val="p"/>
                </m:rPr>
                <w:rPr>
                  <w:rFonts w:ascii="Cambria Math" w:hAnsi="Cambria Math"/>
                  <w:sz w:val="19"/>
                  <w:szCs w:val="19"/>
                </w:rPr>
                <m:t>+</m:t>
              </m:r>
              <m:sSup>
                <m:e>
                  <m:r>
                    <w:rPr>
                      <w:rFonts w:ascii="Cambria Math" w:hAnsi="Cambria Math"/>
                      <w:sz w:val="19"/>
                      <w:szCs w:val="19"/>
                    </w:rPr>
                    <m:t>c</m:t>
                  </m:r>
                </m:e>
                <m:sup>
                  <m:r>
                    <w:rPr>
                      <w:rFonts w:ascii="Cambria Math" w:hAnsi="Cambria Math"/>
                      <w:sz w:val="19"/>
                      <w:szCs w:val="19"/>
                    </w:rPr>
                    <m:t>d</m:t>
                  </m:r>
                  <m:r>
                    <w:rPr>
                      <w:rFonts w:ascii="Cambria Math" w:hAnsi="Cambria Math"/>
                      <w:sz w:val="19"/>
                      <w:szCs w:val="19"/>
                    </w:rPr>
                    <m:t>e</m:t>
                  </m:r>
                  <m:r>
                    <w:rPr>
                      <w:rFonts w:ascii="Cambria Math" w:hAnsi="Cambria Math"/>
                      <w:sz w:val="19"/>
                      <w:szCs w:val="19"/>
                    </w:rPr>
                    <m:t>g</m:t>
                  </m:r>
                </m:sup>
              </m:sSup>
              <m:d>
                <m:dPr>
                  <m:begChr m:val="("/>
                  <m:sepChr m:val=""/>
                  <m:endChr m:val=")"/>
                  <m:grow/>
                </m:dPr>
                <m:e>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h</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d</m:t>
                      </m:r>
                      <m:r>
                        <w:rPr>
                          <w:rFonts w:ascii="Cambria Math" w:hAnsi="Cambria Math"/>
                          <w:sz w:val="19"/>
                          <w:szCs w:val="19"/>
                        </w:rPr>
                        <m:t>i</m:t>
                      </m:r>
                      <m:r>
                        <w:rPr>
                          <w:rFonts w:ascii="Cambria Math" w:hAnsi="Cambria Math"/>
                          <w:sz w:val="19"/>
                          <w:szCs w:val="19"/>
                        </w:rPr>
                        <m:t>s</m:t>
                      </m:r>
                    </m:sup>
                  </m:sSubSup>
                </m:e>
              </m:d>
              <m:r>
                <m:rPr>
                  <m:sty m:val="p"/>
                </m:rPr>
                <w:rPr>
                  <w:rFonts w:ascii="Cambria Math" w:hAnsi="Cambria Math"/>
                  <w:sz w:val="19"/>
                  <w:szCs w:val="19"/>
                </w:rPr>
                <m:t>]</m:t>
              </m:r>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e>
          </m:mr>
        </m:m>
      </m:oMath>
      <w:r>
        <w:tab/>
      </w:r>
      <w:r>
        <w:t xml:space="preserve">(27)</w:t>
      </w:r>
    </w:p>
    <w:p>
      <w:pPr>
        <w:pStyle w:val="BodyText"/>
      </w:pPr>
      <w:r>
        <w:t xml:space="preserve">the service-quality cost of delayed and overdue work,</w:t>
      </w:r>
    </w:p>
    <w:p>
      <w:pPr>
        <w:pStyle w:val="Equation"/>
      </w:pPr>
      <w:r>
        <w:tab/>
      </w:r>
      <m:oMath>
        <m:sSup>
          <m:e>
            <m:r>
              <w:rPr>
                <w:rFonts w:ascii="Cambria Math" w:hAnsi="Cambria Math"/>
                <w:sz w:val="19"/>
                <w:szCs w:val="19"/>
              </w:rPr>
              <m:t>J</m:t>
            </m:r>
          </m:e>
          <m:sup>
            <m:r>
              <w:rPr>
                <w:rFonts w:ascii="Cambria Math" w:hAnsi="Cambria Math"/>
                <w:sz w:val="19"/>
                <w:szCs w:val="19"/>
              </w:rPr>
              <m:t>q</m:t>
            </m:r>
            <m:r>
              <w:rPr>
                <w:rFonts w:ascii="Cambria Math" w:hAnsi="Cambria Math"/>
                <w:sz w:val="19"/>
                <w:szCs w:val="19"/>
              </w:rPr>
              <m:t>o</m:t>
            </m:r>
            <m:r>
              <w:rPr>
                <w:rFonts w:ascii="Cambria Math" w:hAnsi="Cambria Math"/>
                <w:sz w:val="19"/>
                <w:szCs w:val="19"/>
              </w:rPr>
              <m:t>s</m:t>
            </m:r>
          </m:sup>
        </m:sSup>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t</m:t>
            </m:r>
          </m:sub>
          <m:sup>
            <m:r>
              <w:rPr>
                <w:rFonts w:ascii="Cambria Math" w:hAnsi="Cambria Math"/>
                <w:sz w:val="19"/>
                <w:szCs w:val="19"/>
              </w:rPr>
              <m:t>​</m:t>
            </m:r>
          </m:sup>
          <m:e>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d>
                  <m:dPr>
                    <m:begChr m:val="("/>
                    <m:sepChr m:val=""/>
                    <m:endChr m:val=")"/>
                    <m:grow/>
                  </m:dPr>
                  <m:e>
                    <m:sSup>
                      <m:e>
                        <m:r>
                          <w:rPr>
                            <w:rFonts w:ascii="Cambria Math" w:hAnsi="Cambria Math"/>
                            <w:sz w:val="19"/>
                            <w:szCs w:val="19"/>
                          </w:rPr>
                          <m:t>c</m:t>
                        </m:r>
                      </m:e>
                      <m:sup>
                        <m:r>
                          <w:rPr>
                            <w:rFonts w:ascii="Cambria Math" w:hAnsi="Cambria Math"/>
                            <w:sz w:val="19"/>
                            <w:szCs w:val="19"/>
                          </w:rPr>
                          <m:t>j</m:t>
                        </m:r>
                        <m:r>
                          <w:rPr>
                            <w:rFonts w:ascii="Cambria Math" w:hAnsi="Cambria Math"/>
                            <w:sz w:val="19"/>
                            <w:szCs w:val="19"/>
                          </w:rPr>
                          <m:t>c</m:t>
                        </m:r>
                        <m:r>
                          <w:rPr>
                            <w:rFonts w:ascii="Cambria Math" w:hAnsi="Cambria Math"/>
                            <w:sz w:val="19"/>
                            <w:szCs w:val="19"/>
                          </w:rPr>
                          <m:t>t</m:t>
                        </m:r>
                      </m:sup>
                    </m:sSup>
                    <m:sSub>
                      <m:e>
                        <m:r>
                          <w:rPr>
                            <w:rFonts w:ascii="Cambria Math" w:hAnsi="Cambria Math"/>
                            <w:sz w:val="19"/>
                            <w:szCs w:val="19"/>
                          </w:rPr>
                          <m:t>B</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sSup>
                      <m:e>
                        <m:r>
                          <w:rPr>
                            <w:rFonts w:ascii="Cambria Math" w:hAnsi="Cambria Math"/>
                            <w:sz w:val="19"/>
                            <w:szCs w:val="19"/>
                          </w:rPr>
                          <m:t>c</m:t>
                        </m:r>
                      </m:e>
                      <m:sup>
                        <m:r>
                          <w:rPr>
                            <w:rFonts w:ascii="Cambria Math" w:hAnsi="Cambria Math"/>
                            <w:sz w:val="19"/>
                            <w:szCs w:val="19"/>
                          </w:rPr>
                          <m:t>l</m:t>
                        </m:r>
                        <m:r>
                          <w:rPr>
                            <w:rFonts w:ascii="Cambria Math" w:hAnsi="Cambria Math"/>
                            <w:sz w:val="19"/>
                            <w:szCs w:val="19"/>
                          </w:rPr>
                          <m:t>a</m:t>
                        </m:r>
                        <m:r>
                          <w:rPr>
                            <w:rFonts w:ascii="Cambria Math" w:hAnsi="Cambria Math"/>
                            <w:sz w:val="19"/>
                            <w:szCs w:val="19"/>
                          </w:rPr>
                          <m:t>t</m:t>
                        </m:r>
                        <m:r>
                          <w:rPr>
                            <w:rFonts w:ascii="Cambria Math" w:hAnsi="Cambria Math"/>
                            <w:sz w:val="19"/>
                            <w:szCs w:val="19"/>
                          </w:rPr>
                          <m:t>e</m:t>
                        </m:r>
                      </m:sup>
                    </m:sSup>
                    <m:sSub>
                      <m:e>
                        <m:r>
                          <w:rPr>
                            <w:rFonts w:ascii="Cambria Math" w:hAnsi="Cambria Math"/>
                            <w:sz w:val="19"/>
                            <w:szCs w:val="19"/>
                          </w:rPr>
                          <m:t>v</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d>
              </m:e>
            </m:nary>
          </m:e>
        </m:nary>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oMath>
      <w:r>
        <w:tab/>
      </w:r>
      <w:r>
        <w:t xml:space="preserve">(28)</w:t>
      </w:r>
    </w:p>
    <w:p>
      <w:pPr>
        <w:pStyle w:val="BodyText"/>
      </w:pPr>
      <w:r>
        <w:t xml:space="preserve">the DR revenue, the shortfall assessment and the rebound assessment,</w:t>
      </w:r>
    </w:p>
    <w:p>
      <w:pPr>
        <w:pStyle w:val="Equation"/>
      </w:pPr>
      <w:r>
        <w:tab/>
      </w:r>
      <m:oMath>
        <m:m>
          <m:mPr>
            <m:baseJc m:val="center"/>
            <m:plcHide m:val="on"/>
            <m:mcs>
              <m:mc>
                <m:mcPr>
                  <m:count m:val="1"/>
                  <m:mcJc m:val="right"/>
                </m:mcPr>
              </m:mc>
              <m:mc>
                <m:mcPr>
                  <m:count m:val="1"/>
                  <m:mcJc m:val="left"/>
                </m:mcPr>
              </m:mc>
            </m:mcs>
          </m:mPr>
          <m:mr>
            <m:e/>
            <m:e>
              <m:sSup>
                <m:e>
                  <m:r>
                    <w:rPr>
                      <w:rFonts w:ascii="Cambria Math" w:hAnsi="Cambria Math"/>
                      <w:sz w:val="19"/>
                      <w:szCs w:val="19"/>
                    </w:rPr>
                    <m:t>J</m:t>
                  </m:r>
                </m:e>
                <m:sup>
                  <m:r>
                    <w:rPr>
                      <w:rFonts w:ascii="Cambria Math" w:hAnsi="Cambria Math"/>
                      <w:sz w:val="19"/>
                      <w:szCs w:val="19"/>
                    </w:rPr>
                    <m:t>D</m:t>
                  </m:r>
                  <m:r>
                    <w:rPr>
                      <w:rFonts w:ascii="Cambria Math" w:hAnsi="Cambria Math"/>
                      <w:sz w:val="19"/>
                      <w:szCs w:val="19"/>
                    </w:rPr>
                    <m:t>R</m:t>
                  </m:r>
                </m:sup>
              </m:sSup>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k</m:t>
                  </m:r>
                </m:sub>
                <m:sup>
                  <m:r>
                    <w:rPr>
                      <w:rFonts w:ascii="Cambria Math" w:hAnsi="Cambria Math"/>
                      <w:sz w:val="19"/>
                      <w:szCs w:val="19"/>
                    </w:rPr>
                    <m:t>​</m:t>
                  </m:r>
                </m:sup>
                <m:e>
                  <m:sSub>
                    <m:e>
                      <m:r>
                        <w:rPr>
                          <w:rFonts w:ascii="Cambria Math" w:hAnsi="Cambria Math"/>
                          <w:sz w:val="19"/>
                          <w:szCs w:val="19"/>
                        </w:rPr>
                        <m:t>π</m:t>
                      </m:r>
                    </m:e>
                    <m:sub>
                      <m:r>
                        <w:rPr>
                          <w:rFonts w:ascii="Cambria Math" w:hAnsi="Cambria Math"/>
                          <w:sz w:val="19"/>
                          <w:szCs w:val="19"/>
                        </w:rPr>
                        <m:t>k</m:t>
                      </m:r>
                    </m:sub>
                  </m:sSub>
                </m:e>
              </m:nary>
              <m:sSub>
                <m:e>
                  <m:r>
                    <w:rPr>
                      <w:rFonts w:ascii="Cambria Math" w:hAnsi="Cambria Math"/>
                      <w:sz w:val="19"/>
                      <w:szCs w:val="19"/>
                    </w:rPr>
                    <m:t>D</m:t>
                  </m:r>
                </m:e>
                <m:sub>
                  <m:r>
                    <w:rPr>
                      <w:rFonts w:ascii="Cambria Math" w:hAnsi="Cambria Math"/>
                      <w:sz w:val="19"/>
                      <w:szCs w:val="19"/>
                    </w:rPr>
                    <m:t>k</m:t>
                  </m:r>
                </m:sub>
              </m:sSub>
              <m:sSub>
                <m:e>
                  <m:r>
                    <w:rPr>
                      <w:rFonts w:ascii="Cambria Math" w:hAnsi="Cambria Math"/>
                      <w:sz w:val="19"/>
                      <w:szCs w:val="19"/>
                    </w:rPr>
                    <m:t>R</m:t>
                  </m:r>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  </m:t>
              </m:r>
              <m:sSup>
                <m:e>
                  <m:r>
                    <w:rPr>
                      <w:rFonts w:ascii="Cambria Math" w:hAnsi="Cambria Math"/>
                      <w:sz w:val="19"/>
                      <w:szCs w:val="19"/>
                    </w:rPr>
                    <m:t>J</m:t>
                  </m:r>
                </m:e>
                <m:sup>
                  <m:r>
                    <w:rPr>
                      <w:rFonts w:ascii="Cambria Math" w:hAnsi="Cambria Math"/>
                      <w:sz w:val="19"/>
                      <w:szCs w:val="19"/>
                    </w:rPr>
                    <m:t>s</m:t>
                  </m:r>
                  <m:r>
                    <w:rPr>
                      <w:rFonts w:ascii="Cambria Math" w:hAnsi="Cambria Math"/>
                      <w:sz w:val="19"/>
                      <w:szCs w:val="19"/>
                    </w:rPr>
                    <m:t>f</m:t>
                  </m:r>
                </m:sup>
              </m:sSup>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k</m:t>
                  </m:r>
                </m:sub>
                <m:sup>
                  <m:r>
                    <w:rPr>
                      <w:rFonts w:ascii="Cambria Math" w:hAnsi="Cambria Math"/>
                      <w:sz w:val="19"/>
                      <w:szCs w:val="19"/>
                    </w:rPr>
                    <m:t>​</m:t>
                  </m:r>
                </m:sup>
                <m:e>
                  <m:r>
                    <w:rPr>
                      <w:rFonts w:ascii="Cambria Math" w:hAnsi="Cambria Math"/>
                      <w:sz w:val="19"/>
                      <w:szCs w:val="19"/>
                    </w:rPr>
                    <m:t>κ</m:t>
                  </m:r>
                </m:e>
              </m:nary>
              <m:r>
                <w:rPr>
                  <w:rFonts w:ascii="Cambria Math" w:hAnsi="Cambria Math"/>
                  <w:sz w:val="19"/>
                  <w:szCs w:val="19"/>
                </w:rPr>
                <m:t> </m:t>
              </m:r>
              <m:sSub>
                <m:e>
                  <m:r>
                    <w:rPr>
                      <w:rFonts w:ascii="Cambria Math" w:hAnsi="Cambria Math"/>
                      <w:sz w:val="19"/>
                      <w:szCs w:val="19"/>
                    </w:rPr>
                    <m:t>π</m:t>
                  </m:r>
                </m:e>
                <m:sub>
                  <m:r>
                    <w:rPr>
                      <w:rFonts w:ascii="Cambria Math" w:hAnsi="Cambria Math"/>
                      <w:sz w:val="19"/>
                      <w:szCs w:val="19"/>
                    </w:rPr>
                    <m:t>k</m:t>
                  </m:r>
                </m:sub>
              </m:sSub>
              <m:sSub>
                <m:e>
                  <m:r>
                    <w:rPr>
                      <w:rFonts w:ascii="Cambria Math" w:hAnsi="Cambria Math"/>
                      <w:sz w:val="19"/>
                      <w:szCs w:val="19"/>
                    </w:rPr>
                    <m:t>D</m:t>
                  </m:r>
                </m:e>
                <m:sub>
                  <m:r>
                    <w:rPr>
                      <w:rFonts w:ascii="Cambria Math" w:hAnsi="Cambria Math"/>
                      <w:sz w:val="19"/>
                      <w:szCs w:val="19"/>
                    </w:rPr>
                    <m:t>k</m:t>
                  </m:r>
                </m:sub>
              </m:sSub>
              <m:sSubSup>
                <m:e>
                  <m:r>
                    <w:rPr>
                      <w:rFonts w:ascii="Cambria Math" w:hAnsi="Cambria Math"/>
                      <w:sz w:val="19"/>
                      <w:szCs w:val="19"/>
                    </w:rPr>
                    <m:t>s</m:t>
                  </m:r>
                </m:e>
                <m:sub>
                  <m:r>
                    <w:rPr>
                      <w:rFonts w:ascii="Cambria Math" w:hAnsi="Cambria Math"/>
                      <w:sz w:val="19"/>
                      <w:szCs w:val="19"/>
                    </w:rPr>
                    <m:t>k</m:t>
                  </m:r>
                </m:sub>
                <m:sup>
                  <m:r>
                    <w:rPr>
                      <w:rFonts w:ascii="Cambria Math" w:hAnsi="Cambria Math"/>
                      <w:sz w:val="19"/>
                      <w:szCs w:val="19"/>
                    </w:rPr>
                    <m:t>f</m:t>
                  </m:r>
                </m:sup>
              </m:sSubSup>
              <m:r>
                <m:rPr>
                  <m:sty m:val="p"/>
                </m:rPr>
                <w:rPr>
                  <w:rFonts w:ascii="Cambria Math" w:hAnsi="Cambria Math"/>
                  <w:sz w:val="19"/>
                  <w:szCs w:val="19"/>
                </w:rPr>
                <m:t>,</m:t>
              </m:r>
            </m:e>
          </m:mr>
          <m:mr>
            <m:e/>
            <m:e>
              <m:sSup>
                <m:e>
                  <m:r>
                    <w:rPr>
                      <w:rFonts w:ascii="Cambria Math" w:hAnsi="Cambria Math"/>
                      <w:sz w:val="19"/>
                      <w:szCs w:val="19"/>
                    </w:rPr>
                    <m:t>J</m:t>
                  </m:r>
                </m:e>
                <m:sup>
                  <m:r>
                    <w:rPr>
                      <w:rFonts w:ascii="Cambria Math" w:hAnsi="Cambria Math"/>
                      <w:sz w:val="19"/>
                      <w:szCs w:val="19"/>
                    </w:rPr>
                    <m:t>r</m:t>
                  </m:r>
                  <m:r>
                    <w:rPr>
                      <w:rFonts w:ascii="Cambria Math" w:hAnsi="Cambria Math"/>
                      <w:sz w:val="19"/>
                      <w:szCs w:val="19"/>
                    </w:rPr>
                    <m:t>b</m:t>
                  </m:r>
                </m:sup>
              </m:sSup>
              <m:r>
                <m:rPr>
                  <m:sty m:val="p"/>
                </m:rPr>
                <w:rPr>
                  <w:rFonts w:ascii="Cambria Math" w:hAnsi="Cambria Math"/>
                  <w:sz w:val="19"/>
                  <w:szCs w:val="19"/>
                </w:rPr>
                <m:t>=</m:t>
              </m:r>
              <m:sSup>
                <m:e>
                  <m:r>
                    <w:rPr>
                      <w:rFonts w:ascii="Cambria Math" w:hAnsi="Cambria Math"/>
                      <w:sz w:val="19"/>
                      <w:szCs w:val="19"/>
                    </w:rPr>
                    <m:t>c</m:t>
                  </m:r>
                </m:e>
                <m:sup>
                  <m:r>
                    <w:rPr>
                      <w:rFonts w:ascii="Cambria Math" w:hAnsi="Cambria Math"/>
                      <w:sz w:val="19"/>
                      <w:szCs w:val="19"/>
                    </w:rPr>
                    <m:t>r</m:t>
                  </m:r>
                  <m:r>
                    <w:rPr>
                      <w:rFonts w:ascii="Cambria Math" w:hAnsi="Cambria Math"/>
                      <w:sz w:val="19"/>
                      <w:szCs w:val="19"/>
                    </w:rPr>
                    <m:t>b</m:t>
                  </m:r>
                </m:sup>
              </m:sSup>
              <m:nary>
                <m:naryPr>
                  <m:chr m:val="∑"/>
                  <m:limLoc m:val="undOvr"/>
                  <m:subHide m:val="off"/>
                  <m:supHide m:val="on"/>
                </m:naryPr>
                <m:sub>
                  <m:r>
                    <w:rPr>
                      <w:rFonts w:ascii="Cambria Math" w:hAnsi="Cambria Math"/>
                      <w:sz w:val="19"/>
                      <w:szCs w:val="19"/>
                    </w:rPr>
                    <m:t>k</m:t>
                  </m:r>
                </m:sub>
                <m:sup>
                  <m:r>
                    <w:rPr>
                      <w:rFonts w:ascii="Cambria Math" w:hAnsi="Cambria Math"/>
                      <w:sz w:val="19"/>
                      <w:szCs w:val="19"/>
                    </w:rPr>
                    <m:t>​</m:t>
                  </m:r>
                </m:sup>
                <m:e>
                  <m:r>
                    <w:rPr>
                      <w:rFonts w:ascii="Cambria Math" w:hAnsi="Cambria Math"/>
                      <w:sz w:val="19"/>
                      <w:szCs w:val="19"/>
                    </w:rPr>
                    <m:t>Δ</m:t>
                  </m:r>
                </m:e>
              </m:nary>
              <m:sSubSup>
                <m:e>
                  <m:r>
                    <w:rPr>
                      <w:rFonts w:ascii="Cambria Math" w:hAnsi="Cambria Math"/>
                      <w:sz w:val="19"/>
                      <w:szCs w:val="19"/>
                    </w:rPr>
                    <m:t>P</m:t>
                  </m:r>
                </m:e>
                <m:sub>
                  <m:r>
                    <w:rPr>
                      <w:rFonts w:ascii="Cambria Math" w:hAnsi="Cambria Math"/>
                      <w:sz w:val="19"/>
                      <w:szCs w:val="19"/>
                    </w:rPr>
                    <m:t>k</m:t>
                  </m:r>
                </m:sub>
                <m:sup>
                  <m:r>
                    <w:rPr>
                      <w:rFonts w:ascii="Cambria Math" w:hAnsi="Cambria Math"/>
                      <w:sz w:val="19"/>
                      <w:szCs w:val="19"/>
                    </w:rPr>
                    <m:t>r</m:t>
                  </m:r>
                  <m:r>
                    <w:rPr>
                      <w:rFonts w:ascii="Cambria Math" w:hAnsi="Cambria Math"/>
                      <w:sz w:val="19"/>
                      <w:szCs w:val="19"/>
                    </w:rPr>
                    <m:t>b</m:t>
                  </m:r>
                </m:sup>
              </m:sSubSup>
              <m:r>
                <m:rPr>
                  <m:sty m:val="p"/>
                </m:rPr>
                <w:rPr>
                  <w:rFonts w:ascii="Cambria Math" w:hAnsi="Cambria Math"/>
                  <w:sz w:val="19"/>
                  <w:szCs w:val="19"/>
                </w:rPr>
                <m:t>,</m:t>
              </m:r>
            </m:e>
          </m:mr>
        </m:m>
      </m:oMath>
      <w:r>
        <w:tab/>
      </w:r>
      <w:r>
        <w:t xml:space="preserve">(29)</w:t>
      </w:r>
    </w:p>
    <w:p>
      <w:pPr>
        <w:pStyle w:val="BodyText"/>
      </w:pPr>
      <w:r>
        <w:t xml:space="preserve">and the terminal value of the remaining debts at the last step</w:t>
      </w:r>
      <w:r>
        <w:t xml:space="preserve"> </w:t>
      </w:r>
      <m:oMath>
        <m:r>
          <w:rPr>
            <w:rFonts w:ascii="Cambria Math" w:hAnsi="Cambria Math"/>
            <w:sz w:val="19"/>
            <w:szCs w:val="19"/>
          </w:rPr>
          <m:t>T</m:t>
        </m:r>
      </m:oMath>
      <w:r>
        <w:t xml:space="preserve"> </w:t>
      </w:r>
      <w:r>
        <w:t xml:space="preserve">of the horizon,</w:t>
      </w:r>
    </w:p>
    <w:p>
      <w:pPr>
        <w:pStyle w:val="Equation"/>
      </w:pPr>
      <w:r>
        <w:tab/>
      </w:r>
      <m:oMath>
        <m:m>
          <m:mPr>
            <m:baseJc m:val="center"/>
            <m:plcHide m:val="on"/>
            <m:mcs>
              <m:mc>
                <m:mcPr>
                  <m:count m:val="1"/>
                  <m:mcJc m:val="right"/>
                </m:mcPr>
              </m:mc>
              <m:mc>
                <m:mcPr>
                  <m:count m:val="1"/>
                  <m:mcJc m:val="left"/>
                </m:mcPr>
              </m:mc>
            </m:mcs>
          </m:mPr>
          <m:mr>
            <m:e>
              <m:sSup>
                <m:e>
                  <m:r>
                    <w:rPr>
                      <w:rFonts w:ascii="Cambria Math" w:hAnsi="Cambria Math"/>
                      <w:sz w:val="19"/>
                      <w:szCs w:val="19"/>
                    </w:rPr>
                    <m:t>J</m:t>
                  </m:r>
                </m:e>
                <m:sup>
                  <m:r>
                    <w:rPr>
                      <w:rFonts w:ascii="Cambria Math" w:hAnsi="Cambria Math"/>
                      <w:sz w:val="19"/>
                      <w:szCs w:val="19"/>
                    </w:rPr>
                    <m:t>t</m:t>
                  </m:r>
                  <m:r>
                    <w:rPr>
                      <w:rFonts w:ascii="Cambria Math" w:hAnsi="Cambria Math"/>
                      <w:sz w:val="19"/>
                      <w:szCs w:val="19"/>
                    </w:rPr>
                    <m:t>e</m:t>
                  </m:r>
                  <m:r>
                    <w:rPr>
                      <w:rFonts w:ascii="Cambria Math" w:hAnsi="Cambria Math"/>
                      <w:sz w:val="19"/>
                      <w:szCs w:val="19"/>
                    </w:rPr>
                    <m:t>r</m:t>
                  </m:r>
                  <m:r>
                    <w:rPr>
                      <w:rFonts w:ascii="Cambria Math" w:hAnsi="Cambria Math"/>
                      <w:sz w:val="19"/>
                      <w:szCs w:val="19"/>
                    </w:rPr>
                    <m:t>m</m:t>
                  </m:r>
                </m:sup>
              </m:sSup>
              <m:r>
                <m:rPr>
                  <m:sty m:val="p"/>
                </m:rPr>
                <w:rPr>
                  <w:rFonts w:ascii="Cambria Math" w:hAnsi="Cambria Math"/>
                  <w:sz w:val="19"/>
                  <w:szCs w:val="19"/>
                </w:rPr>
                <m:t>=</m:t>
              </m:r>
              <m:r>
                <w:rPr>
                  <w:rFonts w:ascii="Cambria Math" w:hAnsi="Cambria Math"/>
                  <w:sz w:val="19"/>
                  <w:szCs w:val="19"/>
                </w:rPr>
                <m:t>​</m:t>
              </m:r>
            </m:e>
            <m:e>
              <m:sSup>
                <m:e>
                  <m:r>
                    <w:rPr>
                      <w:rFonts w:ascii="Cambria Math" w:hAnsi="Cambria Math"/>
                      <w:sz w:val="19"/>
                      <w:szCs w:val="19"/>
                    </w:rPr>
                    <m:t>c</m:t>
                  </m:r>
                </m:e>
                <m:sup>
                  <m:r>
                    <w:rPr>
                      <w:rFonts w:ascii="Cambria Math" w:hAnsi="Cambria Math"/>
                      <w:sz w:val="19"/>
                      <w:szCs w:val="19"/>
                    </w:rPr>
                    <m:t>E</m:t>
                  </m:r>
                </m:sup>
              </m:sSup>
              <m:sSubSup>
                <m:e>
                  <m:r>
                    <w:rPr>
                      <w:rFonts w:ascii="Cambria Math" w:hAnsi="Cambria Math"/>
                      <w:sz w:val="19"/>
                      <w:szCs w:val="19"/>
                    </w:rPr>
                    <m:t>D</m:t>
                  </m:r>
                </m:e>
                <m:sub>
                  <m:r>
                    <w:rPr>
                      <w:rFonts w:ascii="Cambria Math" w:hAnsi="Cambria Math"/>
                      <w:sz w:val="19"/>
                      <w:szCs w:val="19"/>
                    </w:rPr>
                    <m:t>T</m:t>
                  </m:r>
                </m:sub>
                <m:sup>
                  <m:r>
                    <w:rPr>
                      <w:rFonts w:ascii="Cambria Math" w:hAnsi="Cambria Math"/>
                      <w:sz w:val="19"/>
                      <w:szCs w:val="19"/>
                    </w:rPr>
                    <m:t>E</m:t>
                  </m:r>
                </m:sup>
              </m:sSubSup>
              <m:r>
                <m:rPr>
                  <m:sty m:val="p"/>
                </m:rPr>
                <w:rPr>
                  <w:rFonts w:ascii="Cambria Math" w:hAnsi="Cambria Math"/>
                  <w:sz w:val="19"/>
                  <w:szCs w:val="19"/>
                </w:rPr>
                <m:t>+</m:t>
              </m:r>
              <m:sSup>
                <m:e>
                  <m:r>
                    <w:rPr>
                      <w:rFonts w:ascii="Cambria Math" w:hAnsi="Cambria Math"/>
                      <w:sz w:val="19"/>
                      <w:szCs w:val="19"/>
                    </w:rPr>
                    <m:t>c</m:t>
                  </m:r>
                </m:e>
                <m:sup>
                  <m:r>
                    <w:rPr>
                      <w:rFonts w:ascii="Cambria Math" w:hAnsi="Cambria Math"/>
                      <w:sz w:val="19"/>
                      <w:szCs w:val="19"/>
                    </w:rPr>
                    <m:t>S</m:t>
                  </m:r>
                </m:sup>
              </m:sSup>
              <m:sSubSup>
                <m:e>
                  <m:r>
                    <w:rPr>
                      <w:rFonts w:ascii="Cambria Math" w:hAnsi="Cambria Math"/>
                      <w:sz w:val="19"/>
                      <w:szCs w:val="19"/>
                    </w:rPr>
                    <m:t>D</m:t>
                  </m:r>
                </m:e>
                <m:sub>
                  <m:r>
                    <w:rPr>
                      <w:rFonts w:ascii="Cambria Math" w:hAnsi="Cambria Math"/>
                      <w:sz w:val="19"/>
                      <w:szCs w:val="19"/>
                    </w:rPr>
                    <m:t>T</m:t>
                  </m:r>
                </m:sub>
                <m:sup>
                  <m:r>
                    <w:rPr>
                      <w:rFonts w:ascii="Cambria Math" w:hAnsi="Cambria Math"/>
                      <w:sz w:val="19"/>
                      <w:szCs w:val="19"/>
                    </w:rPr>
                    <m:t>S</m:t>
                  </m:r>
                </m:sup>
              </m:sSubSup>
              <m:r>
                <m:rPr>
                  <m:sty m:val="p"/>
                </m:rPr>
                <w:rPr>
                  <w:rFonts w:ascii="Cambria Math" w:hAnsi="Cambria Math"/>
                  <w:sz w:val="19"/>
                  <w:szCs w:val="19"/>
                </w:rPr>
                <m:t>+</m:t>
              </m:r>
              <m:sSup>
                <m:e>
                  <m:r>
                    <w:rPr>
                      <w:rFonts w:ascii="Cambria Math" w:hAnsi="Cambria Math"/>
                      <w:sz w:val="19"/>
                      <w:szCs w:val="19"/>
                    </w:rPr>
                    <m:t>c</m:t>
                  </m:r>
                </m:e>
                <m:sup>
                  <m:r>
                    <w:rPr>
                      <w:rFonts w:ascii="Cambria Math" w:hAnsi="Cambria Math"/>
                      <w:sz w:val="19"/>
                      <w:szCs w:val="19"/>
                    </w:rPr>
                    <m:t>B</m:t>
                  </m:r>
                </m:sup>
              </m:sSup>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sSub>
                    <m:e>
                      <m:r>
                        <w:rPr>
                          <w:rFonts w:ascii="Cambria Math" w:hAnsi="Cambria Math"/>
                          <w:sz w:val="19"/>
                          <w:szCs w:val="19"/>
                        </w:rPr>
                        <m:t>B</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nary>
              <m:r>
                <m:rPr>
                  <m:sty m:val="p"/>
                </m:rPr>
                <w:rPr>
                  <w:rFonts w:ascii="Cambria Math" w:hAnsi="Cambria Math"/>
                  <w:sz w:val="19"/>
                  <w:szCs w:val="19"/>
                </w:rPr>
                <m:t>.</m:t>
              </m:r>
            </m:e>
          </m:mr>
        </m:m>
      </m:oMath>
      <w:r>
        <w:tab/>
      </w:r>
      <w:r>
        <w:t xml:space="preserve">(30)</w:t>
      </w:r>
    </w:p>
    <w:p>
      <w:pPr>
        <w:pStyle w:val="BodyText"/>
      </w:pPr>
      <w:r>
        <w:t xml:space="preserve">The storage debts are those of (13) at the end of the horizon;</w:t>
      </w:r>
      <w:r>
        <w:t xml:space="preserve"> </w:t>
      </w:r>
      <m:oMath>
        <m:sSup>
          <m:e>
            <m:r>
              <w:rPr>
                <w:rFonts w:ascii="Cambria Math" w:hAnsi="Cambria Math"/>
                <w:sz w:val="19"/>
                <w:szCs w:val="19"/>
              </w:rPr>
              <m:t>c</m:t>
            </m:r>
          </m:e>
          <m:sup>
            <m:r>
              <w:rPr>
                <w:rFonts w:ascii="Cambria Math" w:hAnsi="Cambria Math"/>
                <w:sz w:val="19"/>
                <w:szCs w:val="19"/>
              </w:rPr>
              <m:t>E</m:t>
            </m:r>
          </m:sup>
        </m:sSup>
      </m:oMath>
      <w:r>
        <w:t xml:space="preserve"> </w:t>
      </w:r>
      <w:r>
        <w:t xml:space="preserve">and</w:t>
      </w:r>
      <w:r>
        <w:t xml:space="preserve"> </w:t>
      </w:r>
      <m:oMath>
        <m:sSup>
          <m:e>
            <m:r>
              <w:rPr>
                <w:rFonts w:ascii="Cambria Math" w:hAnsi="Cambria Math"/>
                <w:sz w:val="19"/>
                <w:szCs w:val="19"/>
              </w:rPr>
              <m:t>c</m:t>
            </m:r>
          </m:e>
          <m:sup>
            <m:r>
              <w:rPr>
                <w:rFonts w:ascii="Cambria Math" w:hAnsi="Cambria Math"/>
                <w:sz w:val="19"/>
                <w:szCs w:val="19"/>
              </w:rPr>
              <m:t>S</m:t>
            </m:r>
          </m:sup>
        </m:sSup>
      </m:oMath>
      <w:r>
        <w:t xml:space="preserve"> </w:t>
      </w:r>
      <w:r>
        <w:t xml:space="preserve">lie just above the recharge costs of the BESS and the TES at the valley price, and</w:t>
      </w:r>
      <w:r>
        <w:t xml:space="preserve"> </w:t>
      </w:r>
      <m:oMath>
        <m:sSup>
          <m:e>
            <m:r>
              <w:rPr>
                <w:rFonts w:ascii="Cambria Math" w:hAnsi="Cambria Math"/>
                <w:sz w:val="19"/>
                <w:szCs w:val="19"/>
              </w:rPr>
              <m:t>c</m:t>
            </m:r>
          </m:e>
          <m:sup>
            <m:r>
              <w:rPr>
                <w:rFonts w:ascii="Cambria Math" w:hAnsi="Cambria Math"/>
                <w:sz w:val="19"/>
                <w:szCs w:val="19"/>
              </w:rPr>
              <m:t>B</m:t>
            </m:r>
          </m:sup>
        </m:sSup>
      </m:oMath>
      <w:r>
        <w:t xml:space="preserve"> </w:t>
      </w:r>
      <w:r>
        <w:t xml:space="preserve">values the backlog left at the end of the evaluation window at its energy cost, so that no strategy can shift cost beyond the window. The reported costs value the end state of every strategy relative to the no-DR operation in the same way.</w:t>
      </w:r>
    </w:p>
    <w:p>
      <w:pPr>
        <w:pStyle w:val="BodyText"/>
      </w:pPr>
      <w:r>
        <w:t xml:space="preserve">Two indicators describe the energy efficiency and the emissions of the facility; they are evaluated on the closed-loop trajectories and do not enter the objective. The electric power usage effectiveness over a period</w:t>
      </w:r>
      <w:r>
        <w:t xml:space="preserve"> </w:t>
      </w:r>
      <m:oMath>
        <m:r>
          <m:rPr>
            <m:scr m:val="script"/>
            <m:sty m:val="p"/>
          </m:rPr>
          <w:rPr>
            <w:rFonts w:ascii="Cambria Math" w:hAnsi="Cambria Math"/>
            <w:sz w:val="19"/>
            <w:szCs w:val="19"/>
          </w:rPr>
          <m:t>T</m:t>
        </m:r>
        <m:r>
          <m:rPr>
            <m:sty m:val="p"/>
          </m:rPr>
          <w:rPr>
            <w:rFonts w:ascii="Cambria Math" w:hAnsi="Cambria Math"/>
            <w:sz w:val="19"/>
            <w:szCs w:val="19"/>
          </w:rPr>
          <m:t>′</m:t>
        </m:r>
      </m:oMath>
      <w:r>
        <w:t xml:space="preserve"> </w:t>
      </w:r>
      <w:r>
        <w:t xml:space="preserve">is the ratio of the electricity consumed by the facility to that of the IT equipment,</w:t>
      </w:r>
    </w:p>
    <w:p>
      <w:pPr>
        <w:pStyle w:val="Equation"/>
      </w:pPr>
      <w:r>
        <w:tab/>
      </w:r>
      <m:oMath>
        <m:r>
          <m:rPr>
            <m:sty m:val="p"/>
          </m:rPr>
          <w:rPr>
            <w:rFonts w:ascii="Cambria Math" w:hAnsi="Cambria Math"/>
            <w:sz w:val="19"/>
            <w:szCs w:val="19"/>
          </w:rPr>
          <m:t>P</m:t>
        </m:r>
        <m:r>
          <m:rPr>
            <m:sty m:val="p"/>
          </m:rPr>
          <w:rPr>
            <w:rFonts w:ascii="Cambria Math" w:hAnsi="Cambria Math"/>
            <w:sz w:val="19"/>
            <w:szCs w:val="19"/>
          </w:rPr>
          <m:t>U</m:t>
        </m:r>
        <m:r>
          <m:rPr>
            <m:sty m:val="p"/>
          </m:rPr>
          <w:rPr>
            <w:rFonts w:ascii="Cambria Math" w:hAnsi="Cambria Math"/>
            <w:sz w:val="19"/>
            <w:szCs w:val="19"/>
          </w:rPr>
          <m:t>E</m:t>
        </m:r>
        <m:d>
          <m:dPr>
            <m:begChr m:val="("/>
            <m:sepChr m:val=""/>
            <m:endChr m:val=")"/>
            <m:grow/>
          </m:dPr>
          <m:e>
            <m:r>
              <m:rPr>
                <m:scr m:val="script"/>
                <m:sty m:val="p"/>
              </m:rPr>
              <w:rPr>
                <w:rFonts w:ascii="Cambria Math" w:hAnsi="Cambria Math"/>
                <w:sz w:val="19"/>
                <w:szCs w:val="19"/>
              </w:rPr>
              <m:t>T</m:t>
            </m:r>
            <m:r>
              <m:rPr>
                <m:sty m:val="p"/>
              </m:rPr>
              <w:rPr>
                <w:rFonts w:ascii="Cambria Math" w:hAnsi="Cambria Math"/>
                <w:sz w:val="19"/>
                <w:szCs w:val="19"/>
              </w:rPr>
              <m:t>′</m:t>
            </m:r>
          </m:e>
        </m:d>
        <m:r>
          <m:rPr>
            <m:sty m:val="p"/>
          </m:rPr>
          <w:rPr>
            <w:rFonts w:ascii="Cambria Math" w:hAnsi="Cambria Math"/>
            <w:sz w:val="19"/>
            <w:szCs w:val="19"/>
          </w:rPr>
          <m:t>=</m:t>
        </m:r>
        <m:f>
          <m:fPr>
            <m:type m:val="bar"/>
          </m:fPr>
          <m:num>
            <m:nary>
              <m:naryPr>
                <m:chr m:val="∑"/>
                <m:limLoc m:val="undOvr"/>
                <m:subHide m:val="off"/>
                <m:supHide m:val="on"/>
              </m:naryPr>
              <m:sub>
                <m:r>
                  <w:rPr>
                    <w:rFonts w:ascii="Cambria Math" w:hAnsi="Cambria Math"/>
                    <w:sz w:val="19"/>
                    <w:szCs w:val="19"/>
                  </w:rPr>
                  <m:t>t</m:t>
                </m:r>
                <m:r>
                  <m:rPr>
                    <m:sty m:val="p"/>
                  </m:rPr>
                  <w:rPr>
                    <w:rFonts w:ascii="Cambria Math" w:hAnsi="Cambria Math"/>
                    <w:sz w:val="19"/>
                    <w:szCs w:val="19"/>
                  </w:rPr>
                  <m:t>∈</m:t>
                </m:r>
                <m:r>
                  <m:rPr>
                    <m:scr m:val="script"/>
                    <m:sty m:val="p"/>
                  </m:rPr>
                  <w:rPr>
                    <w:rFonts w:ascii="Cambria Math" w:hAnsi="Cambria Math"/>
                    <w:sz w:val="19"/>
                    <w:szCs w:val="19"/>
                  </w:rPr>
                  <m:t>T</m:t>
                </m:r>
                <m:r>
                  <m:rPr>
                    <m:sty m:val="p"/>
                  </m:rPr>
                  <w:rPr>
                    <w:rFonts w:ascii="Cambria Math" w:hAnsi="Cambria Math"/>
                    <w:sz w:val="19"/>
                    <w:szCs w:val="19"/>
                  </w:rPr>
                  <m:t>′</m:t>
                </m:r>
              </m:sub>
              <m:sup>
                <m:r>
                  <w:rPr>
                    <w:rFonts w:ascii="Cambria Math" w:hAnsi="Cambria Math"/>
                    <w:sz w:val="19"/>
                    <w:szCs w:val="19"/>
                  </w:rPr>
                  <m:t>​</m:t>
                </m:r>
              </m:sup>
              <m:e>
                <m:d>
                  <m:dPr>
                    <m:begChr m:val="["/>
                    <m:sepChr m:val=""/>
                    <m:endChr m:val="]"/>
                    <m:grow/>
                  </m:dPr>
                  <m:e>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ζ</m:t>
                        </m:r>
                      </m:e>
                    </m:d>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I</m:t>
                        </m:r>
                        <m:r>
                          <w:rPr>
                            <w:rFonts w:ascii="Cambria Math" w:hAnsi="Cambria Math"/>
                            <w:sz w:val="19"/>
                            <w:szCs w:val="19"/>
                          </w:rPr>
                          <m:t>T</m:t>
                        </m:r>
                      </m:sup>
                    </m:sSubSup>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a</m:t>
                        </m:r>
                        <m:r>
                          <w:rPr>
                            <w:rFonts w:ascii="Cambria Math" w:hAnsi="Cambria Math"/>
                            <w:sz w:val="19"/>
                            <w:szCs w:val="19"/>
                          </w:rPr>
                          <m:t>u</m:t>
                        </m:r>
                        <m:r>
                          <w:rPr>
                            <w:rFonts w:ascii="Cambria Math" w:hAnsi="Cambria Math"/>
                            <w:sz w:val="19"/>
                            <w:szCs w:val="19"/>
                          </w:rPr>
                          <m:t>x</m:t>
                        </m:r>
                      </m:sup>
                    </m:sSup>
                    <m:r>
                      <m:rPr>
                        <m:sty m:val="p"/>
                      </m:rPr>
                      <w:rPr>
                        <w:rFonts w:ascii="Cambria Math" w:hAnsi="Cambria Math"/>
                        <w:sz w:val="19"/>
                        <w:szCs w:val="19"/>
                      </w:rPr>
                      <m:t>+</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C</m:t>
                        </m:r>
                      </m:sup>
                    </m:sSubSup>
                    <m:r>
                      <m:rPr>
                        <m:sty m:val="p"/>
                      </m:rPr>
                      <w:rPr>
                        <w:rFonts w:ascii="Cambria Math" w:hAnsi="Cambria Math"/>
                        <w:sz w:val="19"/>
                        <w:szCs w:val="19"/>
                      </w:rPr>
                      <m:t>/</m:t>
                    </m:r>
                    <m:sSub>
                      <m:e>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e>
                      <m:sub>
                        <m:r>
                          <w:rPr>
                            <w:rFonts w:ascii="Cambria Math" w:hAnsi="Cambria Math"/>
                            <w:sz w:val="19"/>
                            <w:szCs w:val="19"/>
                          </w:rPr>
                          <m:t>t</m:t>
                        </m:r>
                      </m:sub>
                    </m:sSub>
                  </m:e>
                </m:d>
              </m:e>
            </m:nary>
          </m:num>
          <m:den>
            <m:nary>
              <m:naryPr>
                <m:chr m:val="∑"/>
                <m:limLoc m:val="undOvr"/>
                <m:subHide m:val="off"/>
                <m:supHide m:val="on"/>
              </m:naryPr>
              <m:sub>
                <m:r>
                  <w:rPr>
                    <w:rFonts w:ascii="Cambria Math" w:hAnsi="Cambria Math"/>
                    <w:sz w:val="19"/>
                    <w:szCs w:val="19"/>
                  </w:rPr>
                  <m:t>t</m:t>
                </m:r>
                <m:r>
                  <m:rPr>
                    <m:sty m:val="p"/>
                  </m:rPr>
                  <w:rPr>
                    <w:rFonts w:ascii="Cambria Math" w:hAnsi="Cambria Math"/>
                    <w:sz w:val="19"/>
                    <w:szCs w:val="19"/>
                  </w:rPr>
                  <m:t>∈</m:t>
                </m:r>
                <m:r>
                  <m:rPr>
                    <m:scr m:val="script"/>
                    <m:sty m:val="p"/>
                  </m:rPr>
                  <w:rPr>
                    <w:rFonts w:ascii="Cambria Math" w:hAnsi="Cambria Math"/>
                    <w:sz w:val="19"/>
                    <w:szCs w:val="19"/>
                  </w:rPr>
                  <m:t>T</m:t>
                </m:r>
                <m:r>
                  <m:rPr>
                    <m:sty m:val="p"/>
                  </m:rPr>
                  <w:rPr>
                    <w:rFonts w:ascii="Cambria Math" w:hAnsi="Cambria Math"/>
                    <w:sz w:val="19"/>
                    <w:szCs w:val="19"/>
                  </w:rPr>
                  <m:t>′</m:t>
                </m:r>
              </m:sub>
              <m:sup>
                <m:r>
                  <w:rPr>
                    <w:rFonts w:ascii="Cambria Math" w:hAnsi="Cambria Math"/>
                    <w:sz w:val="19"/>
                    <w:szCs w:val="19"/>
                  </w:rPr>
                  <m:t>​</m:t>
                </m:r>
              </m:sup>
              <m:e>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I</m:t>
                    </m:r>
                    <m:r>
                      <w:rPr>
                        <w:rFonts w:ascii="Cambria Math" w:hAnsi="Cambria Math"/>
                        <w:sz w:val="19"/>
                        <w:szCs w:val="19"/>
                      </w:rPr>
                      <m:t>T</m:t>
                    </m:r>
                  </m:sup>
                </m:sSubSup>
              </m:e>
            </m:nary>
          </m:den>
        </m:f>
        <m:r>
          <m:rPr>
            <m:sty m:val="p"/>
          </m:rPr>
          <w:rPr>
            <w:rFonts w:ascii="Cambria Math" w:hAnsi="Cambria Math"/>
            <w:sz w:val="19"/>
            <w:szCs w:val="19"/>
          </w:rPr>
          <m:t>,</m:t>
        </m:r>
      </m:oMath>
      <w:r>
        <w:tab/>
      </w:r>
      <w:r>
        <w:t xml:space="preserve">(31)</w:t>
      </w:r>
    </w:p>
    <w:p>
      <w:pPr>
        <w:pStyle w:val="BodyText"/>
      </w:pPr>
      <w:r>
        <w:t xml:space="preserve">and the CO</w:t>
      </w:r>
      <w:r>
        <w:rPr>
          <w:vertAlign w:val="subscript"/>
        </w:rPr>
        <w:t xml:space="preserve">2</w:t>
      </w:r>
      <w:r>
        <w:t xml:space="preserve"> </w:t>
      </w:r>
      <w:r>
        <w:t xml:space="preserve">emissions of the evaluation window are</w:t>
      </w:r>
    </w:p>
    <w:p>
      <w:pPr>
        <w:pStyle w:val="Equation"/>
      </w:pPr>
      <w:r>
        <w:tab/>
      </w:r>
      <m:oMath>
        <m:r>
          <m:rPr>
            <m:sty m:val="p"/>
          </m:rPr>
          <w:rPr>
            <w:rFonts w:ascii="Cambria Math" w:hAnsi="Cambria Math"/>
            <w:sz w:val="19"/>
            <w:szCs w:val="19"/>
          </w:rPr>
          <m:t>C</m:t>
        </m:r>
        <m:sSub>
          <m:e>
            <m:r>
              <m:rPr>
                <m:sty m:val="p"/>
              </m:rPr>
              <w:rPr>
                <w:rFonts w:ascii="Cambria Math" w:hAnsi="Cambria Math"/>
                <w:sz w:val="19"/>
                <w:szCs w:val="19"/>
              </w:rPr>
              <m:t>O</m:t>
            </m:r>
          </m:e>
          <m:sub>
            <m:r>
              <m:rPr>
                <m:sty m:val="p"/>
              </m:rPr>
              <w:rPr>
                <w:rFonts w:ascii="Cambria Math" w:hAnsi="Cambria Math"/>
                <w:sz w:val="19"/>
                <w:szCs w:val="19"/>
              </w:rPr>
              <m:t>2</m:t>
            </m:r>
          </m:sub>
        </m:sSub>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t</m:t>
            </m:r>
          </m:sub>
          <m:sup>
            <m:r>
              <w:rPr>
                <w:rFonts w:ascii="Cambria Math" w:hAnsi="Cambria Math"/>
                <w:sz w:val="19"/>
                <w:szCs w:val="19"/>
              </w:rPr>
              <m:t>​</m:t>
            </m:r>
          </m:sup>
          <m:e>
            <m:d>
              <m:dPr>
                <m:begChr m:val="("/>
                <m:sepChr m:val=""/>
                <m:endChr m:val=")"/>
                <m:grow/>
              </m:dPr>
              <m:e>
                <m:sSup>
                  <m:e>
                    <m:r>
                      <w:rPr>
                        <w:rFonts w:ascii="Cambria Math" w:hAnsi="Cambria Math"/>
                        <w:sz w:val="19"/>
                        <w:szCs w:val="19"/>
                      </w:rPr>
                      <m:t>e</m:t>
                    </m:r>
                  </m:e>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p>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r>
                  <m:rPr>
                    <m:sty m:val="p"/>
                  </m:rPr>
                  <w:rPr>
                    <w:rFonts w:ascii="Cambria Math" w:hAnsi="Cambria Math"/>
                    <w:sz w:val="19"/>
                    <w:szCs w:val="19"/>
                  </w:rPr>
                  <m:t>+</m:t>
                </m:r>
                <m:f>
                  <m:fPr>
                    <m:type m:val="bar"/>
                  </m:fPr>
                  <m:num>
                    <m:sSup>
                      <m:e>
                        <m:r>
                          <w:rPr>
                            <w:rFonts w:ascii="Cambria Math" w:hAnsi="Cambria Math"/>
                            <w:sz w:val="19"/>
                            <w:szCs w:val="19"/>
                          </w:rPr>
                          <m:t>e</m:t>
                        </m:r>
                      </m:e>
                      <m:sup>
                        <m:r>
                          <w:rPr>
                            <w:rFonts w:ascii="Cambria Math" w:hAnsi="Cambria Math"/>
                            <w:sz w:val="19"/>
                            <w:szCs w:val="19"/>
                          </w:rPr>
                          <m:t>g</m:t>
                        </m:r>
                        <m:r>
                          <w:rPr>
                            <w:rFonts w:ascii="Cambria Math" w:hAnsi="Cambria Math"/>
                            <w:sz w:val="19"/>
                            <w:szCs w:val="19"/>
                          </w:rPr>
                          <m:t>a</m:t>
                        </m:r>
                        <m:r>
                          <w:rPr>
                            <w:rFonts w:ascii="Cambria Math" w:hAnsi="Cambria Math"/>
                            <w:sz w:val="19"/>
                            <w:szCs w:val="19"/>
                          </w:rPr>
                          <m:t>s</m:t>
                        </m:r>
                      </m:sup>
                    </m:sSup>
                  </m:num>
                  <m:den>
                    <m:sSup>
                      <m:e>
                        <m:r>
                          <w:rPr>
                            <w:rFonts w:ascii="Cambria Math" w:hAnsi="Cambria Math"/>
                            <w:sz w:val="19"/>
                            <w:szCs w:val="19"/>
                          </w:rPr>
                          <m:t>η</m:t>
                        </m:r>
                      </m:e>
                      <m:sup>
                        <m:r>
                          <w:rPr>
                            <w:rFonts w:ascii="Cambria Math" w:hAnsi="Cambria Math"/>
                            <w:sz w:val="19"/>
                            <w:szCs w:val="19"/>
                          </w:rPr>
                          <m:t>G</m:t>
                        </m:r>
                        <m:r>
                          <w:rPr>
                            <w:rFonts w:ascii="Cambria Math" w:hAnsi="Cambria Math"/>
                            <w:sz w:val="19"/>
                            <w:szCs w:val="19"/>
                          </w:rPr>
                          <m:t>T</m:t>
                        </m:r>
                      </m:sup>
                    </m:sSup>
                  </m:den>
                </m:f>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T</m:t>
                    </m:r>
                  </m:sup>
                </m:sSubSup>
              </m:e>
            </m:d>
          </m:e>
        </m:nary>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oMath>
      <w:r>
        <w:tab/>
      </w:r>
      <w:r>
        <w:t xml:space="preserve">(32)</w:t>
      </w:r>
    </w:p>
    <w:p>
      <w:pPr>
        <w:pStyle w:val="BodyText"/>
      </w:pPr>
      <w:r>
        <w:t xml:space="preserve">with the average emission factor of the East China grid,</w:t>
      </w:r>
      <w:r>
        <w:t xml:space="preserve"> </w:t>
      </w:r>
      <m:oMath>
        <m:sSup>
          <m:e>
            <m:r>
              <w:rPr>
                <w:rFonts w:ascii="Cambria Math" w:hAnsi="Cambria Math"/>
                <w:sz w:val="19"/>
                <w:szCs w:val="19"/>
              </w:rPr>
              <m:t>e</m:t>
            </m:r>
          </m:e>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p>
      </m:oMath>
      <w:r>
        <w:t xml:space="preserve"> </w:t>
      </w:r>
      <w:r>
        <w:t xml:space="preserve">= 0.5617 t/MWh [41], and the default factor of natural gas,</w:t>
      </w:r>
      <w:r>
        <w:t xml:space="preserve"> </w:t>
      </w:r>
      <m:oMath>
        <m:sSup>
          <m:e>
            <m:r>
              <w:rPr>
                <w:rFonts w:ascii="Cambria Math" w:hAnsi="Cambria Math"/>
                <w:sz w:val="19"/>
                <w:szCs w:val="19"/>
              </w:rPr>
              <m:t>e</m:t>
            </m:r>
          </m:e>
          <m:sup>
            <m:r>
              <w:rPr>
                <w:rFonts w:ascii="Cambria Math" w:hAnsi="Cambria Math"/>
                <w:sz w:val="19"/>
                <w:szCs w:val="19"/>
              </w:rPr>
              <m:t>g</m:t>
            </m:r>
            <m:r>
              <w:rPr>
                <w:rFonts w:ascii="Cambria Math" w:hAnsi="Cambria Math"/>
                <w:sz w:val="19"/>
                <w:szCs w:val="19"/>
              </w:rPr>
              <m:t>a</m:t>
            </m:r>
            <m:r>
              <w:rPr>
                <w:rFonts w:ascii="Cambria Math" w:hAnsi="Cambria Math"/>
                <w:sz w:val="19"/>
                <w:szCs w:val="19"/>
              </w:rPr>
              <m:t>s</m:t>
            </m:r>
          </m:sup>
        </m:sSup>
      </m:oMath>
      <w:r>
        <w:t xml:space="preserve"> </w:t>
      </w:r>
      <w:r>
        <w:t xml:space="preserve">= 56.1 t/TJ = 0.202 t/MWh of fuel [42].</w:t>
      </w:r>
    </w:p>
    <w:bookmarkEnd w:id="33"/>
    <w:bookmarkStart w:id="34" w:name="firm-consecutive-dr-capacity"/>
    <w:p>
      <w:pPr>
        <w:pStyle w:val="Heading2"/>
      </w:pPr>
      <w:r>
        <w:t xml:space="preserve">3.6. Firm consecutive DR capacity</w:t>
      </w:r>
    </w:p>
    <w:p>
      <w:pPr>
        <w:pStyle w:val="FirstParagraph"/>
      </w:pPr>
      <w:r>
        <w:t xml:space="preserve">Let</w:t>
      </w:r>
      <w:r>
        <w:t xml:space="preserve"> </w:t>
      </w:r>
      <m:oMath>
        <m:r>
          <w:rPr>
            <w:rFonts w:ascii="Cambria Math" w:hAnsi="Cambria Math"/>
            <w:sz w:val="19"/>
            <w:szCs w:val="19"/>
          </w:rPr>
          <m:t>ω</m:t>
        </m:r>
        <m:r>
          <m:rPr>
            <m:sty m:val="p"/>
          </m:rPr>
          <w:rPr>
            <w:rFonts w:ascii="Cambria Math" w:hAnsi="Cambria Math"/>
            <w:sz w:val="19"/>
            <w:szCs w:val="19"/>
          </w:rPr>
          <m:t>∈</m:t>
        </m:r>
        <m:r>
          <w:rPr>
            <w:rFonts w:ascii="Cambria Math" w:hAnsi="Cambria Math"/>
            <w:sz w:val="19"/>
            <w:szCs w:val="19"/>
          </w:rPr>
          <m:t>Ω</m:t>
        </m:r>
      </m:oMath>
      <w:r>
        <w:t xml:space="preserve"> </w:t>
      </w:r>
      <w:r>
        <w:t xml:space="preserve">denote a realisation of computing arrivals, inference load, weather and event calls, and</w:t>
      </w:r>
      <w:r>
        <w:t xml:space="preserve"> </w:t>
      </w:r>
      <m:oMath>
        <m:sSub>
          <m:e>
            <m:acc>
              <m:accPr>
                <m:chr m:val="‾"/>
              </m:accPr>
              <m:e>
                <m:r>
                  <w:rPr>
                    <w:rFonts w:ascii="Cambria Math" w:hAnsi="Cambria Math"/>
                    <w:sz w:val="19"/>
                    <w:szCs w:val="19"/>
                  </w:rPr>
                  <m:t>r</m:t>
                </m:r>
              </m:e>
            </m:acc>
          </m:e>
          <m:sub>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ω</m:t>
            </m:r>
          </m:sub>
        </m:sSub>
        <m:d>
          <m:dPr>
            <m:begChr m:val="("/>
            <m:sepChr m:val=""/>
            <m:endChr m:val=")"/>
            <m:grow/>
          </m:dPr>
          <m:e>
            <m:r>
              <w:rPr>
                <w:rFonts w:ascii="Cambria Math" w:hAnsi="Cambria Math"/>
                <w:sz w:val="19"/>
                <w:szCs w:val="19"/>
              </w:rPr>
              <m:t>C</m:t>
            </m:r>
          </m:e>
        </m:d>
      </m:oMath>
      <w:r>
        <w:t xml:space="preserve"> </w:t>
      </w:r>
      <w:r>
        <w:t xml:space="preserve">the reduction delivered in event</w:t>
      </w:r>
      <w:r>
        <w:t xml:space="preserve"> </w:t>
      </w:r>
      <m:oMath>
        <m:r>
          <w:rPr>
            <w:rFonts w:ascii="Cambria Math" w:hAnsi="Cambria Math"/>
            <w:sz w:val="19"/>
            <w:szCs w:val="19"/>
          </w:rPr>
          <m:t>k</m:t>
        </m:r>
      </m:oMath>
      <w:r>
        <w:t xml:space="preserve"> </w:t>
      </w:r>
      <w:r>
        <w:t xml:space="preserve">by a given operating strategy when the uniform commitment</w:t>
      </w:r>
      <w:r>
        <w:t xml:space="preserve"> </w:t>
      </w:r>
      <m:oMath>
        <m:r>
          <w:rPr>
            <w:rFonts w:ascii="Cambria Math" w:hAnsi="Cambria Math"/>
            <w:sz w:val="19"/>
            <w:szCs w:val="19"/>
          </w:rPr>
          <m:t>C</m:t>
        </m:r>
      </m:oMath>
      <w:r>
        <w:t xml:space="preserve"> </w:t>
      </w:r>
      <w:r>
        <w:t xml:space="preserve">is in force. Every event is delivered in full when</w:t>
      </w:r>
    </w:p>
    <w:p>
      <w:pPr>
        <w:pStyle w:val="Equation"/>
      </w:pPr>
      <w:r>
        <w:tab/>
      </w:r>
      <m:oMath>
        <m:sSub>
          <m:e>
            <m:r>
              <w:rPr>
                <w:rFonts w:ascii="Cambria Math" w:hAnsi="Cambria Math"/>
                <w:sz w:val="19"/>
                <w:szCs w:val="19"/>
              </w:rPr>
              <m:t>u</m:t>
            </m:r>
          </m:e>
          <m:sub>
            <m:r>
              <w:rPr>
                <w:rFonts w:ascii="Cambria Math" w:hAnsi="Cambria Math"/>
                <w:sz w:val="19"/>
                <w:szCs w:val="19"/>
              </w:rPr>
              <m:t>ω</m:t>
            </m:r>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d>
          <m:dPr>
            <m:begChr m:val="{"/>
            <m:sepChr m:val=""/>
            <m:endChr m:val=""/>
            <m:grow/>
          </m:dPr>
          <m:e>
            <m:m>
              <m:mPr>
                <m:baseJc m:val="center"/>
                <m:plcHide m:val="on"/>
                <m:mcs>
                  <m:mc>
                    <m:mcPr>
                      <m:count m:val="1"/>
                      <m:mcJc m:val="left"/>
                    </m:mcPr>
                  </m:mc>
                  <m:mc>
                    <m:mcPr>
                      <m:count m:val="1"/>
                      <m:mcJc m:val="left"/>
                    </m:mcPr>
                  </m:mc>
                </m:mcs>
              </m:mPr>
              <m:mr>
                <m:e>
                  <m:r>
                    <w:rPr>
                      <w:rFonts w:ascii="Cambria Math" w:hAnsi="Cambria Math"/>
                      <w:sz w:val="19"/>
                      <w:szCs w:val="19"/>
                    </w:rPr>
                    <m:t>1</m:t>
                  </m:r>
                  <m:r>
                    <m:rPr>
                      <m:sty m:val="p"/>
                    </m:rPr>
                    <w:rPr>
                      <w:rFonts w:ascii="Cambria Math" w:hAnsi="Cambria Math"/>
                      <w:sz w:val="19"/>
                      <w:szCs w:val="19"/>
                    </w:rPr>
                    <m:t>,</m:t>
                  </m:r>
                </m:e>
                <m:e>
                  <m:sSub>
                    <m:e>
                      <m:acc>
                        <m:accPr>
                          <m:chr m:val="‾"/>
                        </m:accPr>
                        <m:e>
                          <m:r>
                            <w:rPr>
                              <w:rFonts w:ascii="Cambria Math" w:hAnsi="Cambria Math"/>
                              <w:sz w:val="19"/>
                              <w:szCs w:val="19"/>
                            </w:rPr>
                            <m:t>r</m:t>
                          </m:r>
                        </m:e>
                      </m:acc>
                    </m:e>
                    <m:sub>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ω</m:t>
                      </m:r>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d>
                    <m:dPr>
                      <m:begChr m:val="("/>
                      <m:sepChr m:val=""/>
                      <m:endChr m:val=")"/>
                      <m:grow/>
                    </m:dPr>
                    <m:e>
                      <m:r>
                        <w:rPr>
                          <w:rFonts w:ascii="Cambria Math" w:hAnsi="Cambria Math"/>
                          <w:sz w:val="19"/>
                          <w:szCs w:val="19"/>
                        </w:rPr>
                        <m:t>1</m:t>
                      </m:r>
                      <m:r>
                        <m:rPr>
                          <m:sty m:val="p"/>
                        </m:rPr>
                        <w:rPr>
                          <w:rFonts w:ascii="Cambria Math" w:hAnsi="Cambria Math"/>
                          <w:sz w:val="19"/>
                          <w:szCs w:val="19"/>
                        </w:rPr>
                        <m:t>−</m:t>
                      </m:r>
                      <m:sSub>
                        <m:e>
                          <m:r>
                            <w:rPr>
                              <w:rFonts w:ascii="Cambria Math" w:hAnsi="Cambria Math"/>
                              <w:sz w:val="19"/>
                              <w:szCs w:val="19"/>
                            </w:rPr>
                            <m:t>ϵ</m:t>
                          </m:r>
                        </m:e>
                        <m:sub>
                          <m:r>
                            <w:rPr>
                              <w:rFonts w:ascii="Cambria Math" w:hAnsi="Cambria Math"/>
                              <w:sz w:val="19"/>
                              <w:szCs w:val="19"/>
                            </w:rPr>
                            <m:t>f</m:t>
                          </m:r>
                        </m:sub>
                      </m:sSub>
                    </m:e>
                  </m:d>
                  <m:r>
                    <w:rPr>
                      <w:rFonts w:ascii="Cambria Math" w:hAnsi="Cambria Math"/>
                      <w:sz w:val="19"/>
                      <w:szCs w:val="19"/>
                    </w:rPr>
                    <m:t> </m:t>
                  </m:r>
                  <m:r>
                    <w:rPr>
                      <w:rFonts w:ascii="Cambria Math" w:hAnsi="Cambria Math"/>
                      <w:sz w:val="19"/>
                      <w:szCs w:val="19"/>
                    </w:rPr>
                    <m:t>C</m:t>
                  </m:r>
                  <m:r>
                    <w:rPr>
                      <w:rFonts w:ascii="Cambria Math" w:hAnsi="Cambria Math"/>
                      <w:sz w:val="19"/>
                      <w:szCs w:val="19"/>
                    </w:rPr>
                    <m:t> </m:t>
                  </m:r>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m:rPr>
                      <m:scr m:val="script"/>
                      <m:sty m:val="p"/>
                    </m:rPr>
                    <w:rPr>
                      <w:rFonts w:ascii="Cambria Math" w:hAnsi="Cambria Math"/>
                      <w:sz w:val="19"/>
                      <w:szCs w:val="19"/>
                    </w:rPr>
                    <m:t>K</m:t>
                  </m:r>
                  <m:r>
                    <m:rPr>
                      <m:sty m:val="p"/>
                    </m:rPr>
                    <w:rPr>
                      <w:rFonts w:ascii="Cambria Math" w:hAnsi="Cambria Math"/>
                      <w:sz w:val="19"/>
                      <w:szCs w:val="19"/>
                    </w:rPr>
                    <m:t>,</m:t>
                  </m:r>
                </m:e>
              </m:mr>
              <m:mr>
                <m:e>
                  <m:r>
                    <w:rPr>
                      <w:rFonts w:ascii="Cambria Math" w:hAnsi="Cambria Math"/>
                      <w:sz w:val="19"/>
                      <w:szCs w:val="19"/>
                    </w:rPr>
                    <m:t>0</m:t>
                  </m:r>
                  <m:r>
                    <m:rPr>
                      <m:sty m:val="p"/>
                    </m:rPr>
                    <w:rPr>
                      <w:rFonts w:ascii="Cambria Math" w:hAnsi="Cambria Math"/>
                      <w:sz w:val="19"/>
                      <w:szCs w:val="19"/>
                    </w:rPr>
                    <m:t>,</m:t>
                  </m:r>
                </m:e>
                <m:e>
                  <m:r>
                    <m:rPr>
                      <m:nor/>
                      <m:sty m:val="p"/>
                    </m:rPr>
                    <w:rPr>
                      <w:rFonts w:ascii="Cambria Math" w:hAnsi="Cambria Math"/>
                      <w:sz w:val="19"/>
                      <w:szCs w:val="19"/>
                    </w:rPr>
                    <m:t>otherwise</m:t>
                  </m:r>
                  <m:r>
                    <m:rPr>
                      <m:sty m:val="p"/>
                    </m:rPr>
                    <w:rPr>
                      <w:rFonts w:ascii="Cambria Math" w:hAnsi="Cambria Math"/>
                      <w:sz w:val="19"/>
                      <w:szCs w:val="19"/>
                    </w:rPr>
                    <m:t>,</m:t>
                  </m:r>
                </m:e>
              </m:mr>
            </m:m>
          </m:e>
        </m:d>
      </m:oMath>
      <w:r>
        <w:tab/>
      </w:r>
      <w:r>
        <w:t xml:space="preserve">(33)</w:t>
      </w:r>
    </w:p>
    <w:p>
      <w:pPr>
        <w:pStyle w:val="BodyText"/>
      </w:pPr>
      <w:r>
        <w:t xml:space="preserve">with a metering tolerance</w:t>
      </w:r>
      <w:r>
        <w:t xml:space="preserve"> </w:t>
      </w:r>
      <m:oMath>
        <m:sSub>
          <m:e>
            <m:r>
              <w:rPr>
                <w:rFonts w:ascii="Cambria Math" w:hAnsi="Cambria Math"/>
                <w:sz w:val="19"/>
                <w:szCs w:val="19"/>
              </w:rPr>
              <m:t>ϵ</m:t>
            </m:r>
          </m:e>
          <m:sub>
            <m:r>
              <w:rPr>
                <w:rFonts w:ascii="Cambria Math" w:hAnsi="Cambria Math"/>
                <w:sz w:val="19"/>
                <w:szCs w:val="19"/>
              </w:rPr>
              <m:t>f</m:t>
            </m:r>
          </m:sub>
        </m:sSub>
      </m:oMath>
      <w:r>
        <w:t xml:space="preserve"> </w:t>
      </w:r>
      <w:r>
        <w:t xml:space="preserve">= 2 %. The</w:t>
      </w:r>
      <w:r>
        <w:t xml:space="preserve"> </w:t>
      </w:r>
      <w:r>
        <w:rPr>
          <w:bCs/>
          <w:b/>
        </w:rPr>
        <w:t xml:space="preserve">firm consecutive DR capacity</w:t>
      </w:r>
      <w:r>
        <w:t xml:space="preserve"> </w:t>
      </w:r>
      <w:r>
        <w:t xml:space="preserve">at reliability</w:t>
      </w:r>
      <w:r>
        <w:t xml:space="preserve"> </w:t>
      </w:r>
      <m:oMath>
        <m:r>
          <w:rPr>
            <w:rFonts w:ascii="Cambria Math" w:hAnsi="Cambria Math"/>
            <w:sz w:val="19"/>
            <w:szCs w:val="19"/>
          </w:rPr>
          <m:t>ρ</m:t>
        </m:r>
      </m:oMath>
      <w:r>
        <w:t xml:space="preserve"> </w:t>
      </w:r>
      <w:r>
        <w:t xml:space="preserve">is the largest uniform commitment that the strategy delivers in full in every event with probability</w:t>
      </w:r>
      <w:r>
        <w:t xml:space="preserve"> </w:t>
      </w:r>
      <m:oMath>
        <m:r>
          <w:rPr>
            <w:rFonts w:ascii="Cambria Math" w:hAnsi="Cambria Math"/>
            <w:sz w:val="19"/>
            <w:szCs w:val="19"/>
          </w:rPr>
          <m:t>ρ</m:t>
        </m:r>
      </m:oMath>
      <w:r>
        <w:t xml:space="preserve">,</w:t>
      </w:r>
    </w:p>
    <w:p>
      <w:pPr>
        <w:pStyle w:val="Equation"/>
      </w:pPr>
      <w:r>
        <w:tab/>
      </w:r>
      <m:oMath>
        <m:sSubSup>
          <m:e>
            <m:r>
              <w:rPr>
                <w:rFonts w:ascii="Cambria Math" w:hAnsi="Cambria Math"/>
                <w:sz w:val="19"/>
                <w:szCs w:val="19"/>
              </w:rPr>
              <m:t>C</m:t>
            </m:r>
          </m:e>
          <m:sub>
            <m:r>
              <w:rPr>
                <w:rFonts w:ascii="Cambria Math" w:hAnsi="Cambria Math"/>
                <w:sz w:val="19"/>
                <w:szCs w:val="19"/>
              </w:rPr>
              <m:t>ρ</m:t>
            </m:r>
          </m:sub>
          <m:sup>
            <m:r>
              <w:rPr>
                <w:rFonts w:ascii="Cambria Math" w:hAnsi="Cambria Math"/>
                <w:sz w:val="19"/>
                <w:szCs w:val="19"/>
              </w:rPr>
              <m:t>f</m:t>
            </m:r>
            <m:r>
              <w:rPr>
                <w:rFonts w:ascii="Cambria Math" w:hAnsi="Cambria Math"/>
                <w:sz w:val="19"/>
                <w:szCs w:val="19"/>
              </w:rPr>
              <m:t>i</m:t>
            </m:r>
            <m:r>
              <w:rPr>
                <w:rFonts w:ascii="Cambria Math" w:hAnsi="Cambria Math"/>
                <w:sz w:val="19"/>
                <w:szCs w:val="19"/>
              </w:rPr>
              <m:t>r</m:t>
            </m:r>
            <m:r>
              <w:rPr>
                <w:rFonts w:ascii="Cambria Math" w:hAnsi="Cambria Math"/>
                <w:sz w:val="19"/>
                <w:szCs w:val="19"/>
              </w:rPr>
              <m:t>m</m:t>
            </m:r>
          </m:sup>
        </m:sSubSup>
        <m:r>
          <m:rPr>
            <m:sty m:val="p"/>
          </m:rPr>
          <w:rPr>
            <w:rFonts w:ascii="Cambria Math" w:hAnsi="Cambria Math"/>
            <w:sz w:val="19"/>
            <w:szCs w:val="19"/>
          </w:rPr>
          <m:t>=</m:t>
        </m:r>
        <m:r>
          <m:rPr>
            <m:sty m:val="p"/>
          </m:rPr>
          <w:rPr>
            <w:rFonts w:ascii="Cambria Math" w:hAnsi="Cambria Math"/>
            <w:sz w:val="19"/>
            <w:szCs w:val="19"/>
          </w:rPr>
          <m:t>max</m:t>
        </m:r>
        <m:d>
          <m:dPr>
            <m:begChr m:val="{"/>
            <m:sepChr m:val=""/>
            <m:endChr m:val="}"/>
            <m:grow/>
          </m:dPr>
          <m:e>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 </m:t>
            </m:r>
            <m:sSub>
              <m:e>
                <m:r>
                  <m:rPr>
                    <m:scr m:val="double-struck"/>
                    <m:sty m:val="p"/>
                  </m:rPr>
                  <w:rPr>
                    <w:rFonts w:ascii="Cambria Math" w:hAnsi="Cambria Math"/>
                    <w:sz w:val="19"/>
                    <w:szCs w:val="19"/>
                  </w:rPr>
                  <m:t>E</m:t>
                </m:r>
              </m:e>
              <m:sub>
                <m:r>
                  <w:rPr>
                    <w:rFonts w:ascii="Cambria Math" w:hAnsi="Cambria Math"/>
                    <w:sz w:val="19"/>
                    <w:szCs w:val="19"/>
                  </w:rPr>
                  <m:t>ω</m:t>
                </m:r>
              </m:sub>
            </m:sSub>
            <m:d>
              <m:dPr>
                <m:begChr m:val="["/>
                <m:sepChr m:val=""/>
                <m:endChr m:val="]"/>
                <m:grow/>
              </m:dPr>
              <m:e>
                <m:sSub>
                  <m:e>
                    <m:r>
                      <w:rPr>
                        <w:rFonts w:ascii="Cambria Math" w:hAnsi="Cambria Math"/>
                        <w:sz w:val="19"/>
                        <w:szCs w:val="19"/>
                      </w:rPr>
                      <m:t>u</m:t>
                    </m:r>
                  </m:e>
                  <m:sub>
                    <m:r>
                      <w:rPr>
                        <w:rFonts w:ascii="Cambria Math" w:hAnsi="Cambria Math"/>
                        <w:sz w:val="19"/>
                        <w:szCs w:val="19"/>
                      </w:rPr>
                      <m:t>ω</m:t>
                    </m:r>
                  </m:sub>
                </m:sSub>
                <m:d>
                  <m:dPr>
                    <m:begChr m:val="("/>
                    <m:sepChr m:val=""/>
                    <m:endChr m:val=")"/>
                    <m:grow/>
                  </m:dPr>
                  <m:e>
                    <m:r>
                      <w:rPr>
                        <w:rFonts w:ascii="Cambria Math" w:hAnsi="Cambria Math"/>
                        <w:sz w:val="19"/>
                        <w:szCs w:val="19"/>
                      </w:rPr>
                      <m:t>C</m:t>
                    </m:r>
                  </m:e>
                </m:d>
              </m:e>
            </m:d>
            <m:r>
              <m:rPr>
                <m:sty m:val="p"/>
              </m:rPr>
              <w:rPr>
                <w:rFonts w:ascii="Cambria Math" w:hAnsi="Cambria Math"/>
                <w:sz w:val="19"/>
                <w:szCs w:val="19"/>
              </w:rPr>
              <m:t>≥</m:t>
            </m:r>
            <m:r>
              <w:rPr>
                <w:rFonts w:ascii="Cambria Math" w:hAnsi="Cambria Math"/>
                <w:sz w:val="19"/>
                <w:szCs w:val="19"/>
              </w:rPr>
              <m:t>ρ</m:t>
            </m:r>
          </m:e>
        </m:d>
        <m:r>
          <m:rPr>
            <m:sty m:val="p"/>
          </m:rPr>
          <w:rPr>
            <w:rFonts w:ascii="Cambria Math" w:hAnsi="Cambria Math"/>
            <w:sz w:val="19"/>
            <w:szCs w:val="19"/>
          </w:rPr>
          <m:t>.</m:t>
        </m:r>
      </m:oMath>
      <w:r>
        <w:tab/>
      </w:r>
      <w:r>
        <w:t xml:space="preserve">(34)</w:t>
      </w:r>
    </w:p>
    <w:p>
      <w:pPr>
        <w:pStyle w:val="BodyText"/>
      </w:pPr>
      <w:r>
        <w:t xml:space="preserve">Its multi-event generalisation is the reliability region</w:t>
      </w:r>
    </w:p>
    <w:p>
      <w:pPr>
        <w:pStyle w:val="Equation"/>
      </w:pPr>
      <w:r>
        <w:tab/>
      </w:r>
      <m:oMath>
        <m:m>
          <m:mPr>
            <m:baseJc m:val="center"/>
            <m:plcHide m:val="on"/>
            <m:mcs>
              <m:mc>
                <m:mcPr>
                  <m:count m:val="1"/>
                  <m:mcJc m:val="right"/>
                </m:mcPr>
              </m:mc>
              <m:mc>
                <m:mcPr>
                  <m:count m:val="1"/>
                  <m:mcJc m:val="left"/>
                </m:mcPr>
              </m:mc>
            </m:mcs>
          </m:mPr>
          <m:mr>
            <m:e>
              <m:sSub>
                <m:e>
                  <m:r>
                    <m:rPr>
                      <m:scr m:val="script"/>
                      <m:sty m:val="p"/>
                    </m:rPr>
                    <w:rPr>
                      <w:rFonts w:ascii="Cambria Math" w:hAnsi="Cambria Math"/>
                      <w:sz w:val="19"/>
                      <w:szCs w:val="19"/>
                    </w:rPr>
                    <m:t>C</m:t>
                  </m:r>
                </m:e>
                <m:sub>
                  <m:r>
                    <w:rPr>
                      <w:rFonts w:ascii="Cambria Math" w:hAnsi="Cambria Math"/>
                      <w:sz w:val="19"/>
                      <w:szCs w:val="19"/>
                    </w:rPr>
                    <m:t>ρ</m:t>
                  </m:r>
                </m:sub>
              </m:sSub>
              <m:r>
                <m:rPr>
                  <m:sty m:val="p"/>
                </m:rPr>
                <w:rPr>
                  <w:rFonts w:ascii="Cambria Math" w:hAnsi="Cambria Math"/>
                  <w:sz w:val="19"/>
                  <w:szCs w:val="19"/>
                </w:rPr>
                <m:t>=</m:t>
              </m:r>
              <m:r>
                <m:rPr>
                  <m:sty m:val="p"/>
                </m:rPr>
                <w:rPr>
                  <w:rFonts w:ascii="Cambria Math" w:hAnsi="Cambria Math"/>
                  <w:sz w:val="19"/>
                  <w:szCs w:val="19"/>
                </w:rPr>
                <m:t>{</m:t>
              </m:r>
            </m:e>
            <m:e>
              <m:d>
                <m:dPr>
                  <m:begChr m:val="("/>
                  <m:sepChr m:val=""/>
                  <m:endChr m:val=")"/>
                  <m:grow/>
                </m:dPr>
                <m:e>
                  <m:sSub>
                    <m:e>
                      <m:r>
                        <w:rPr>
                          <w:rFonts w:ascii="Cambria Math" w:hAnsi="Cambria Math"/>
                          <w:sz w:val="19"/>
                          <w:szCs w:val="19"/>
                        </w:rPr>
                        <m:t>C</m:t>
                      </m:r>
                    </m:e>
                    <m:sub>
                      <m:r>
                        <w:rPr>
                          <w:rFonts w:ascii="Cambria Math" w:hAnsi="Cambria Math"/>
                          <w:sz w:val="19"/>
                          <w:szCs w:val="19"/>
                        </w:rPr>
                        <m:t>1</m:t>
                      </m:r>
                    </m:sub>
                  </m:sSub>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sSub>
                    <m:e>
                      <m:r>
                        <w:rPr>
                          <w:rFonts w:ascii="Cambria Math" w:hAnsi="Cambria Math"/>
                          <w:sz w:val="19"/>
                          <w:szCs w:val="19"/>
                        </w:rPr>
                        <m:t>C</m:t>
                      </m:r>
                    </m:e>
                    <m:sub>
                      <m:r>
                        <w:rPr>
                          <w:rFonts w:ascii="Cambria Math" w:hAnsi="Cambria Math"/>
                          <w:sz w:val="19"/>
                          <w:szCs w:val="19"/>
                        </w:rPr>
                        <m:t>K</m:t>
                      </m:r>
                    </m:sub>
                  </m:sSub>
                </m:e>
              </m:d>
              <m:r>
                <m:rPr>
                  <m:sty m:val="p"/>
                </m:rPr>
                <w:rPr>
                  <w:rFonts w:ascii="Cambria Math" w:hAnsi="Cambria Math"/>
                  <w:sz w:val="19"/>
                  <w:szCs w:val="19"/>
                </w:rPr>
                <m:t>:</m:t>
              </m:r>
            </m:e>
          </m:mr>
          <m:mr>
            <m:e/>
            <m:e>
              <m:sSub>
                <m:e>
                  <m:r>
                    <m:rPr>
                      <m:sty m:val="p"/>
                    </m:rPr>
                    <w:rPr>
                      <w:rFonts w:ascii="Cambria Math" w:hAnsi="Cambria Math"/>
                      <w:sz w:val="19"/>
                      <w:szCs w:val="19"/>
                    </w:rPr>
                    <m:t>Pr</m:t>
                  </m:r>
                </m:e>
                <m:sub>
                  <m:r>
                    <w:rPr>
                      <w:rFonts w:ascii="Cambria Math" w:hAnsi="Cambria Math"/>
                      <w:sz w:val="19"/>
                      <w:szCs w:val="19"/>
                    </w:rPr>
                    <m:t>ω</m:t>
                  </m:r>
                </m:sub>
              </m:sSub>
              <m:d>
                <m:dPr>
                  <m:begChr m:val="["/>
                  <m:sepChr m:val=""/>
                  <m:endChr m:val="]"/>
                  <m:grow/>
                </m:dPr>
                <m:e>
                  <m:sSub>
                    <m:e>
                      <m:acc>
                        <m:accPr>
                          <m:chr m:val="‾"/>
                        </m:accPr>
                        <m:e>
                          <m:r>
                            <w:rPr>
                              <w:rFonts w:ascii="Cambria Math" w:hAnsi="Cambria Math"/>
                              <w:sz w:val="19"/>
                              <w:szCs w:val="19"/>
                            </w:rPr>
                            <m:t>r</m:t>
                          </m:r>
                        </m:e>
                      </m:acc>
                    </m:e>
                    <m:sub>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ω</m:t>
                      </m:r>
                    </m:sub>
                  </m:sSub>
                  <m:r>
                    <m:rPr>
                      <m:sty m:val="p"/>
                    </m:rPr>
                    <w:rPr>
                      <w:rFonts w:ascii="Cambria Math" w:hAnsi="Cambria Math"/>
                      <w:sz w:val="19"/>
                      <w:szCs w:val="19"/>
                    </w:rPr>
                    <m:t>≥</m:t>
                  </m:r>
                  <m:d>
                    <m:dPr>
                      <m:begChr m:val="("/>
                      <m:sepChr m:val=""/>
                      <m:endChr m:val=")"/>
                      <m:grow/>
                    </m:dPr>
                    <m:e>
                      <m:r>
                        <w:rPr>
                          <w:rFonts w:ascii="Cambria Math" w:hAnsi="Cambria Math"/>
                          <w:sz w:val="19"/>
                          <w:szCs w:val="19"/>
                        </w:rPr>
                        <m:t>1</m:t>
                      </m:r>
                      <m:r>
                        <m:rPr>
                          <m:sty m:val="p"/>
                        </m:rPr>
                        <w:rPr>
                          <w:rFonts w:ascii="Cambria Math" w:hAnsi="Cambria Math"/>
                          <w:sz w:val="19"/>
                          <w:szCs w:val="19"/>
                        </w:rPr>
                        <m:t>−</m:t>
                      </m:r>
                      <m:sSub>
                        <m:e>
                          <m:r>
                            <w:rPr>
                              <w:rFonts w:ascii="Cambria Math" w:hAnsi="Cambria Math"/>
                              <w:sz w:val="19"/>
                              <w:szCs w:val="19"/>
                            </w:rPr>
                            <m:t>ϵ</m:t>
                          </m:r>
                        </m:e>
                        <m:sub>
                          <m:r>
                            <w:rPr>
                              <w:rFonts w:ascii="Cambria Math" w:hAnsi="Cambria Math"/>
                              <w:sz w:val="19"/>
                              <w:szCs w:val="19"/>
                            </w:rPr>
                            <m:t>f</m:t>
                          </m:r>
                        </m:sub>
                      </m:sSub>
                    </m:e>
                  </m:d>
                  <m:r>
                    <w:rPr>
                      <w:rFonts w:ascii="Cambria Math" w:hAnsi="Cambria Math"/>
                      <w:sz w:val="19"/>
                      <w:szCs w:val="19"/>
                    </w:rPr>
                    <m:t> </m:t>
                  </m:r>
                  <m:sSub>
                    <m:e>
                      <m:r>
                        <w:rPr>
                          <w:rFonts w:ascii="Cambria Math" w:hAnsi="Cambria Math"/>
                          <w:sz w:val="19"/>
                          <w:szCs w:val="19"/>
                        </w:rPr>
                        <m:t>C</m:t>
                      </m:r>
                    </m:e>
                    <m:sub>
                      <m:r>
                        <w:rPr>
                          <w:rFonts w:ascii="Cambria Math" w:hAnsi="Cambria Math"/>
                          <w:sz w:val="19"/>
                          <w:szCs w:val="19"/>
                        </w:rPr>
                        <m:t>k</m:t>
                      </m:r>
                    </m:sub>
                  </m:sSub>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k</m:t>
                  </m:r>
                </m:e>
              </m:d>
              <m:r>
                <m:rPr>
                  <m:sty m:val="p"/>
                </m:rPr>
                <w:rPr>
                  <w:rFonts w:ascii="Cambria Math" w:hAnsi="Cambria Math"/>
                  <w:sz w:val="19"/>
                  <w:szCs w:val="19"/>
                </w:rPr>
                <m:t>≥</m:t>
              </m:r>
              <m:r>
                <w:rPr>
                  <w:rFonts w:ascii="Cambria Math" w:hAnsi="Cambria Math"/>
                  <w:sz w:val="19"/>
                  <w:szCs w:val="19"/>
                </w:rPr>
                <m:t>ρ</m:t>
              </m:r>
              <m:r>
                <m:rPr>
                  <m:sty m:val="p"/>
                </m:rPr>
                <w:rPr>
                  <w:rFonts w:ascii="Cambria Math" w:hAnsi="Cambria Math"/>
                  <w:sz w:val="19"/>
                  <w:szCs w:val="19"/>
                </w:rPr>
                <m:t>}</m:t>
              </m:r>
              <m:r>
                <m:rPr>
                  <m:sty m:val="p"/>
                </m:rPr>
                <w:rPr>
                  <w:rFonts w:ascii="Cambria Math" w:hAnsi="Cambria Math"/>
                  <w:sz w:val="19"/>
                  <w:szCs w:val="19"/>
                </w:rPr>
                <m:t>,</m:t>
              </m:r>
            </m:e>
          </m:mr>
        </m:m>
      </m:oMath>
      <w:r>
        <w:tab/>
      </w:r>
      <w:r>
        <w:t xml:space="preserve">(35)</w:t>
      </w:r>
    </w:p>
    <w:p>
      <w:pPr>
        <w:pStyle w:val="BodyText"/>
      </w:pPr>
      <w:r>
        <w:t xml:space="preserve">which shows how a higher commitment in one event compresses the deliverable space of the next.</w:t>
      </w:r>
      <w:r>
        <w:t xml:space="preserve"> </w:t>
      </w:r>
      <m:oMath>
        <m:sSubSup>
          <m:e>
            <m:r>
              <w:rPr>
                <w:rFonts w:ascii="Cambria Math" w:hAnsi="Cambria Math"/>
                <w:sz w:val="19"/>
                <w:szCs w:val="19"/>
              </w:rPr>
              <m:t>C</m:t>
            </m:r>
          </m:e>
          <m:sub>
            <m:r>
              <w:rPr>
                <w:rFonts w:ascii="Cambria Math" w:hAnsi="Cambria Math"/>
                <w:sz w:val="19"/>
                <w:szCs w:val="19"/>
              </w:rPr>
              <m:t>ρ</m:t>
            </m:r>
          </m:sub>
          <m:sup>
            <m:r>
              <w:rPr>
                <w:rFonts w:ascii="Cambria Math" w:hAnsi="Cambria Math"/>
                <w:sz w:val="19"/>
                <w:szCs w:val="19"/>
              </w:rPr>
              <m:t>f</m:t>
            </m:r>
            <m:r>
              <w:rPr>
                <w:rFonts w:ascii="Cambria Math" w:hAnsi="Cambria Math"/>
                <w:sz w:val="19"/>
                <w:szCs w:val="19"/>
              </w:rPr>
              <m:t>i</m:t>
            </m:r>
            <m:r>
              <w:rPr>
                <w:rFonts w:ascii="Cambria Math" w:hAnsi="Cambria Math"/>
                <w:sz w:val="19"/>
                <w:szCs w:val="19"/>
              </w:rPr>
              <m:t>r</m:t>
            </m:r>
            <m:r>
              <w:rPr>
                <w:rFonts w:ascii="Cambria Math" w:hAnsi="Cambria Math"/>
                <w:sz w:val="19"/>
                <w:szCs w:val="19"/>
              </w:rPr>
              <m:t>m</m:t>
            </m:r>
          </m:sup>
        </m:sSubSup>
      </m:oMath>
      <w:r>
        <w:t xml:space="preserve"> </w:t>
      </w:r>
      <w:r>
        <w:t xml:space="preserve">is a deliverability metric for the grid and is reported separately from the settlement validity (22).</w:t>
      </w:r>
    </w:p>
    <w:p>
      <w:pPr>
        <w:pStyle w:val="BodyText"/>
      </w:pPr>
      <w:r>
        <w:t xml:space="preserve">Because a larger commitment can only tighten the delivery requirement, the indicator (33) is non-increasing in</w:t>
      </w:r>
      <w:r>
        <w:t xml:space="preserve"> </w:t>
      </w:r>
      <m:oMath>
        <m:r>
          <w:rPr>
            <w:rFonts w:ascii="Cambria Math" w:hAnsi="Cambria Math"/>
            <w:sz w:val="19"/>
            <w:szCs w:val="19"/>
          </w:rPr>
          <m:t>C</m:t>
        </m:r>
      </m:oMath>
      <w:r>
        <w:t xml:space="preserve"> </w:t>
      </w:r>
      <w:r>
        <w:t xml:space="preserve">for a fixed realisation, and (34) is evaluated by sample average approximation (SAA). For every</w:t>
      </w:r>
      <w:r>
        <w:t xml:space="preserve"> </w:t>
      </w:r>
      <m:oMath>
        <m:r>
          <w:rPr>
            <w:rFonts w:ascii="Cambria Math" w:hAnsi="Cambria Math"/>
            <w:sz w:val="19"/>
            <w:szCs w:val="19"/>
          </w:rPr>
          <m:t>C</m:t>
        </m:r>
      </m:oMath>
      <w:r>
        <w:t xml:space="preserve"> </w:t>
      </w:r>
      <w:r>
        <w:t xml:space="preserve">on a grid</w:t>
      </w:r>
      <w:r>
        <w:t xml:space="preserve"> </w:t>
      </w:r>
      <m:oMath>
        <m:r>
          <m:rPr>
            <m:scr m:val="script"/>
            <m:sty m:val="p"/>
          </m:rPr>
          <w:rPr>
            <w:rFonts w:ascii="Cambria Math" w:hAnsi="Cambria Math"/>
            <w:sz w:val="19"/>
            <w:szCs w:val="19"/>
          </w:rPr>
          <m:t>G</m:t>
        </m:r>
      </m:oMath>
      <w:r>
        <w:t xml:space="preserve">, the strategy is simulated in closed loop on the realisations</w:t>
      </w:r>
      <w:r>
        <w:t xml:space="preserve"> </w:t>
      </w:r>
      <m:oMath>
        <m:r>
          <w:rPr>
            <w:rFonts w:ascii="Cambria Math" w:hAnsi="Cambria Math"/>
            <w:sz w:val="19"/>
            <w:szCs w:val="19"/>
          </w:rPr>
          <m:t>ω</m:t>
        </m:r>
        <m:r>
          <m:rPr>
            <m:sty m:val="p"/>
          </m:rPr>
          <w:rPr>
            <w:rFonts w:ascii="Cambria Math" w:hAnsi="Cambria Math"/>
            <w:sz w:val="19"/>
            <w:szCs w:val="19"/>
          </w:rPr>
          <m:t>∈</m:t>
        </m:r>
        <m:r>
          <w:rPr>
            <w:rFonts w:ascii="Cambria Math" w:hAnsi="Cambria Math"/>
            <w:sz w:val="19"/>
            <w:szCs w:val="19"/>
          </w:rPr>
          <m:t>Ω</m:t>
        </m:r>
      </m:oMath>
      <w:r>
        <w:t xml:space="preserve">, and</w:t>
      </w:r>
    </w:p>
    <w:p>
      <w:pPr>
        <w:pStyle w:val="Equation"/>
      </w:pPr>
      <w:r>
        <w:tab/>
      </w:r>
      <m:oMath>
        <m:m>
          <m:mPr>
            <m:baseJc m:val="center"/>
            <m:plcHide m:val="on"/>
            <m:mcs>
              <m:mc>
                <m:mcPr>
                  <m:count m:val="1"/>
                  <m:mcJc m:val="right"/>
                </m:mcPr>
              </m:mc>
              <m:mc>
                <m:mcPr>
                  <m:count m:val="1"/>
                  <m:mcJc m:val="left"/>
                </m:mcPr>
              </m:mc>
            </m:mcs>
          </m:mPr>
          <m:mr>
            <m:e>
              <m:sSubSup>
                <m:e>
                  <m:acc>
                    <m:accPr>
                      <m:chr m:val="̂"/>
                    </m:accPr>
                    <m:e>
                      <m:r>
                        <w:rPr>
                          <w:rFonts w:ascii="Cambria Math" w:hAnsi="Cambria Math"/>
                          <w:sz w:val="19"/>
                          <w:szCs w:val="19"/>
                        </w:rPr>
                        <m:t>C</m:t>
                      </m:r>
                    </m:e>
                  </m:acc>
                </m:e>
                <m:sub>
                  <m:r>
                    <w:rPr>
                      <w:rFonts w:ascii="Cambria Math" w:hAnsi="Cambria Math"/>
                      <w:sz w:val="19"/>
                      <w:szCs w:val="19"/>
                    </w:rPr>
                    <m:t>ρ</m:t>
                  </m:r>
                </m:sub>
                <m:sup>
                  <m:r>
                    <w:rPr>
                      <w:rFonts w:ascii="Cambria Math" w:hAnsi="Cambria Math"/>
                      <w:sz w:val="19"/>
                      <w:szCs w:val="19"/>
                    </w:rPr>
                    <m:t>f</m:t>
                  </m:r>
                  <m:r>
                    <w:rPr>
                      <w:rFonts w:ascii="Cambria Math" w:hAnsi="Cambria Math"/>
                      <w:sz w:val="19"/>
                      <w:szCs w:val="19"/>
                    </w:rPr>
                    <m:t>i</m:t>
                  </m:r>
                  <m:r>
                    <w:rPr>
                      <w:rFonts w:ascii="Cambria Math" w:hAnsi="Cambria Math"/>
                      <w:sz w:val="19"/>
                      <w:szCs w:val="19"/>
                    </w:rPr>
                    <m:t>r</m:t>
                  </m:r>
                  <m:r>
                    <w:rPr>
                      <w:rFonts w:ascii="Cambria Math" w:hAnsi="Cambria Math"/>
                      <w:sz w:val="19"/>
                      <w:szCs w:val="19"/>
                    </w:rPr>
                    <m:t>m</m:t>
                  </m:r>
                </m:sup>
              </m:sSubSup>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e>
            <m:e>
              <m:r>
                <w:rPr>
                  <w:rFonts w:ascii="Cambria Math" w:hAnsi="Cambria Math"/>
                  <w:sz w:val="19"/>
                  <w:szCs w:val="19"/>
                </w:rPr>
                <m:t>C</m:t>
              </m:r>
              <m:r>
                <m:rPr>
                  <m:sty m:val="p"/>
                </m:rPr>
                <w:rPr>
                  <w:rFonts w:ascii="Cambria Math" w:hAnsi="Cambria Math"/>
                  <w:sz w:val="19"/>
                  <w:szCs w:val="19"/>
                </w:rPr>
                <m:t>∈</m:t>
              </m:r>
              <m:r>
                <m:rPr>
                  <m:scr m:val="script"/>
                  <m:sty m:val="p"/>
                </m:rP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 </m:t>
              </m:r>
              <m:f>
                <m:fPr>
                  <m:type m:val="bar"/>
                </m:fPr>
                <m:num>
                  <m:r>
                    <w:rPr>
                      <w:rFonts w:ascii="Cambria Math" w:hAnsi="Cambria Math"/>
                      <w:sz w:val="19"/>
                      <w:szCs w:val="19"/>
                    </w:rPr>
                    <m:t>1</m:t>
                  </m:r>
                </m:num>
                <m:den>
                  <m:d>
                    <m:dPr>
                      <m:begChr m:val="|"/>
                      <m:sepChr m:val=""/>
                      <m:endChr m:val="|"/>
                      <m:grow/>
                    </m:dPr>
                    <m:e>
                      <m:r>
                        <w:rPr>
                          <w:rFonts w:ascii="Cambria Math" w:hAnsi="Cambria Math"/>
                          <w:sz w:val="19"/>
                          <w:szCs w:val="19"/>
                        </w:rPr>
                        <m:t>Ω</m:t>
                      </m:r>
                    </m:e>
                  </m:d>
                </m:den>
              </m:f>
              <m:nary>
                <m:naryPr>
                  <m:chr m:val="∑"/>
                  <m:limLoc m:val="undOvr"/>
                  <m:subHide m:val="off"/>
                  <m:supHide m:val="on"/>
                </m:naryPr>
                <m:sub>
                  <m:r>
                    <w:rPr>
                      <w:rFonts w:ascii="Cambria Math" w:hAnsi="Cambria Math"/>
                      <w:sz w:val="19"/>
                      <w:szCs w:val="19"/>
                    </w:rPr>
                    <m:t>ω</m:t>
                  </m:r>
                  <m:r>
                    <m:rPr>
                      <m:sty m:val="p"/>
                    </m:rPr>
                    <w:rPr>
                      <w:rFonts w:ascii="Cambria Math" w:hAnsi="Cambria Math"/>
                      <w:sz w:val="19"/>
                      <w:szCs w:val="19"/>
                    </w:rPr>
                    <m:t>∈</m:t>
                  </m:r>
                  <m:r>
                    <w:rPr>
                      <w:rFonts w:ascii="Cambria Math" w:hAnsi="Cambria Math"/>
                      <w:sz w:val="19"/>
                      <w:szCs w:val="19"/>
                    </w:rPr>
                    <m:t>Ω</m:t>
                  </m:r>
                </m:sub>
                <m:sup>
                  <m:r>
                    <w:rPr>
                      <w:rFonts w:ascii="Cambria Math" w:hAnsi="Cambria Math"/>
                      <w:sz w:val="19"/>
                      <w:szCs w:val="19"/>
                    </w:rPr>
                    <m:t>​</m:t>
                  </m:r>
                </m:sup>
                <m:e>
                  <m:sSub>
                    <m:e>
                      <m:r>
                        <w:rPr>
                          <w:rFonts w:ascii="Cambria Math" w:hAnsi="Cambria Math"/>
                          <w:sz w:val="19"/>
                          <w:szCs w:val="19"/>
                        </w:rPr>
                        <m:t>u</m:t>
                      </m:r>
                    </m:e>
                    <m:sub>
                      <m:r>
                        <w:rPr>
                          <w:rFonts w:ascii="Cambria Math" w:hAnsi="Cambria Math"/>
                          <w:sz w:val="19"/>
                          <w:szCs w:val="19"/>
                        </w:rPr>
                        <m:t>ω</m:t>
                      </m:r>
                    </m:sub>
                  </m:sSub>
                </m:e>
              </m:nary>
              <m:d>
                <m:dPr>
                  <m:begChr m:val="("/>
                  <m:sepChr m:val=""/>
                  <m:endChr m:val=")"/>
                  <m:grow/>
                </m:dPr>
                <m:e>
                  <m:r>
                    <w:rPr>
                      <w:rFonts w:ascii="Cambria Math" w:hAnsi="Cambria Math"/>
                      <w:sz w:val="19"/>
                      <w:szCs w:val="19"/>
                    </w:rPr>
                    <m:t>C</m:t>
                  </m:r>
                  <m:r>
                    <m:rPr>
                      <m:sty m:val="p"/>
                    </m:rPr>
                    <w:rPr>
                      <w:rFonts w:ascii="Cambria Math" w:hAnsi="Cambria Math"/>
                      <w:sz w:val="19"/>
                      <w:szCs w:val="19"/>
                    </w:rPr>
                    <m:t>′</m:t>
                  </m:r>
                </m:e>
              </m:d>
              <m:r>
                <m:rPr>
                  <m:sty m:val="p"/>
                </m:rPr>
                <w:rPr>
                  <w:rFonts w:ascii="Cambria Math" w:hAnsi="Cambria Math"/>
                  <w:sz w:val="19"/>
                  <w:szCs w:val="19"/>
                </w:rPr>
                <m:t>≥</m:t>
              </m:r>
              <m:r>
                <w:rPr>
                  <w:rFonts w:ascii="Cambria Math" w:hAnsi="Cambria Math"/>
                  <w:sz w:val="19"/>
                  <w:szCs w:val="19"/>
                </w:rPr>
                <m:t>ρ</m:t>
              </m:r>
            </m:e>
          </m:mr>
          <m:mr>
            <m:e/>
            <m:e>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m:rPr>
                  <m:sty m:val="p"/>
                </m:rPr>
                <w:rPr>
                  <w:rFonts w:ascii="Cambria Math" w:hAnsi="Cambria Math"/>
                  <w:sz w:val="19"/>
                  <w:szCs w:val="19"/>
                </w:rPr>
                <m:t>∈</m:t>
              </m:r>
              <m:r>
                <m:rPr>
                  <m:scr m:val="script"/>
                  <m:sty m:val="p"/>
                </m:rP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C</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m:rPr>
                  <m:sty m:val="p"/>
                </m:rPr>
                <w:rPr>
                  <w:rFonts w:ascii="Cambria Math" w:hAnsi="Cambria Math"/>
                  <w:sz w:val="19"/>
                  <w:szCs w:val="19"/>
                </w:rPr>
                <m:t>.</m:t>
              </m:r>
            </m:e>
          </m:mr>
        </m:m>
      </m:oMath>
      <w:r>
        <w:tab/>
      </w:r>
      <w:r>
        <w:t xml:space="preserve">(36)</w:t>
      </w:r>
    </w:p>
    <w:p>
      <w:pPr>
        <w:pStyle w:val="BodyText"/>
      </w:pPr>
      <w:r>
        <w:t xml:space="preserve">Confidence intervals of</w:t>
      </w:r>
      <w:r>
        <w:t xml:space="preserve"> </w:t>
      </w:r>
      <m:oMath>
        <m:sSubSup>
          <m:e>
            <m:acc>
              <m:accPr>
                <m:chr m:val="̂"/>
              </m:accPr>
              <m:e>
                <m:r>
                  <w:rPr>
                    <w:rFonts w:ascii="Cambria Math" w:hAnsi="Cambria Math"/>
                    <w:sz w:val="19"/>
                    <w:szCs w:val="19"/>
                  </w:rPr>
                  <m:t>C</m:t>
                </m:r>
              </m:e>
            </m:acc>
          </m:e>
          <m:sub>
            <m:r>
              <w:rPr>
                <w:rFonts w:ascii="Cambria Math" w:hAnsi="Cambria Math"/>
                <w:sz w:val="19"/>
                <w:szCs w:val="19"/>
              </w:rPr>
              <m:t>ρ</m:t>
            </m:r>
          </m:sub>
          <m:sup>
            <m:r>
              <w:rPr>
                <w:rFonts w:ascii="Cambria Math" w:hAnsi="Cambria Math"/>
                <w:sz w:val="19"/>
                <w:szCs w:val="19"/>
              </w:rPr>
              <m:t>f</m:t>
            </m:r>
            <m:r>
              <w:rPr>
                <w:rFonts w:ascii="Cambria Math" w:hAnsi="Cambria Math"/>
                <w:sz w:val="19"/>
                <w:szCs w:val="19"/>
              </w:rPr>
              <m:t>i</m:t>
            </m:r>
            <m:r>
              <w:rPr>
                <w:rFonts w:ascii="Cambria Math" w:hAnsi="Cambria Math"/>
                <w:sz w:val="19"/>
                <w:szCs w:val="19"/>
              </w:rPr>
              <m:t>r</m:t>
            </m:r>
            <m:r>
              <w:rPr>
                <w:rFonts w:ascii="Cambria Math" w:hAnsi="Cambria Math"/>
                <w:sz w:val="19"/>
                <w:szCs w:val="19"/>
              </w:rPr>
              <m:t>m</m:t>
            </m:r>
          </m:sup>
        </m:sSubSup>
      </m:oMath>
      <w:r>
        <w:t xml:space="preserve"> </w:t>
      </w:r>
      <w:r>
        <w:t xml:space="preserve">and of the capacity gain</w:t>
      </w:r>
      <w:r>
        <w:t xml:space="preserve"> </w:t>
      </w:r>
      <m:oMath>
        <m:r>
          <w:rPr>
            <w:rFonts w:ascii="Cambria Math" w:hAnsi="Cambria Math"/>
            <w:sz w:val="19"/>
            <w:szCs w:val="19"/>
          </w:rPr>
          <m:t>Δ</m:t>
        </m:r>
        <m:sSub>
          <m:e>
            <m:r>
              <w:rPr>
                <w:rFonts w:ascii="Cambria Math" w:hAnsi="Cambria Math"/>
                <w:sz w:val="19"/>
                <w:szCs w:val="19"/>
              </w:rPr>
              <m:t>C</m:t>
            </m:r>
          </m:e>
          <m:sub>
            <m:r>
              <w:rPr>
                <w:rFonts w:ascii="Cambria Math" w:hAnsi="Cambria Math"/>
                <w:sz w:val="19"/>
                <w:szCs w:val="19"/>
              </w:rPr>
              <m:t>ρ</m:t>
            </m:r>
          </m:sub>
        </m:sSub>
      </m:oMath>
      <w:r>
        <w:t xml:space="preserve"> </w:t>
      </w:r>
      <w:r>
        <w:t xml:space="preserve">between two strategies are obtained by a block bootstrap over operating days.</w:t>
      </w:r>
    </w:p>
    <w:p>
      <w:pPr>
        <w:pStyle w:val="BodyText"/>
      </w:pPr>
      <w:r>
        <w:t xml:space="preserve">The SAA share is an estimate, so three levels of reliability evidence are distinguished. (i) Within the ambiguity set of Section 4.1, Proposition 4 guarantees the full-delivery probability</w:t>
      </w:r>
      <w:r>
        <w:t xml:space="preserve"> </w:t>
      </w:r>
      <m:oMath>
        <m:r>
          <w:rPr>
            <w:rFonts w:ascii="Cambria Math" w:hAnsi="Cambria Math"/>
            <w:sz w:val="19"/>
            <w:szCs w:val="19"/>
          </w:rPr>
          <m:t>ρ</m:t>
        </m:r>
      </m:oMath>
      <w:r>
        <w:t xml:space="preserve"> </w:t>
      </w:r>
      <w:r>
        <w:t xml:space="preserve">for every capability distribution in the Wasserstein ball around the historical days; the guarantee carries over to the operating days only if their distribution lies in the ball. (ii) On independent operating days, the empirical full-delivery share defines</w:t>
      </w:r>
      <w:r>
        <w:t xml:space="preserve"> </w:t>
      </w:r>
      <m:oMath>
        <m:sSubSup>
          <m:e>
            <m:acc>
              <m:accPr>
                <m:chr m:val="̂"/>
              </m:accPr>
              <m:e>
                <m:r>
                  <w:rPr>
                    <w:rFonts w:ascii="Cambria Math" w:hAnsi="Cambria Math"/>
                    <w:sz w:val="19"/>
                    <w:szCs w:val="19"/>
                  </w:rPr>
                  <m:t>C</m:t>
                </m:r>
              </m:e>
            </m:acc>
          </m:e>
          <m:sub>
            <m:r>
              <w:rPr>
                <w:rFonts w:ascii="Cambria Math" w:hAnsi="Cambria Math"/>
                <w:sz w:val="19"/>
                <w:szCs w:val="19"/>
              </w:rPr>
              <m:t>ρ</m:t>
            </m:r>
          </m:sub>
          <m:sup>
            <m:r>
              <w:rPr>
                <w:rFonts w:ascii="Cambria Math" w:hAnsi="Cambria Math"/>
                <w:sz w:val="19"/>
                <w:szCs w:val="19"/>
              </w:rPr>
              <m:t>f</m:t>
            </m:r>
            <m:r>
              <w:rPr>
                <w:rFonts w:ascii="Cambria Math" w:hAnsi="Cambria Math"/>
                <w:sz w:val="19"/>
                <w:szCs w:val="19"/>
              </w:rPr>
              <m:t>i</m:t>
            </m:r>
            <m:r>
              <w:rPr>
                <w:rFonts w:ascii="Cambria Math" w:hAnsi="Cambria Math"/>
                <w:sz w:val="19"/>
                <w:szCs w:val="19"/>
              </w:rPr>
              <m:t>r</m:t>
            </m:r>
            <m:r>
              <w:rPr>
                <w:rFonts w:ascii="Cambria Math" w:hAnsi="Cambria Math"/>
                <w:sz w:val="19"/>
                <w:szCs w:val="19"/>
              </w:rPr>
              <m:t>m</m:t>
            </m:r>
          </m:sup>
        </m:sSubSup>
      </m:oMath>
      <w:r>
        <w:t xml:space="preserve">. (iii) Under the unknown true distribution and independent operating days, the one-sided Clopper–Pearson bound converts the share into a confidence statement: if all</w:t>
      </w:r>
      <w:r>
        <w:t xml:space="preserve"> </w:t>
      </w:r>
      <m:oMath>
        <m:r>
          <w:rPr>
            <w:rFonts w:ascii="Cambria Math" w:hAnsi="Cambria Math"/>
            <w:sz w:val="19"/>
            <w:szCs w:val="19"/>
          </w:rPr>
          <m:t>n</m:t>
        </m:r>
      </m:oMath>
      <w:r>
        <w:t xml:space="preserve"> </w:t>
      </w:r>
      <w:r>
        <w:t xml:space="preserve">operating days are delivered in full, the full-delivery probability exceeds</w:t>
      </w:r>
      <w:r>
        <w:t xml:space="preserve"> </w:t>
      </w:r>
      <m:oMath>
        <m:sSup>
          <m:e>
            <m:r>
              <w:rPr>
                <w:rFonts w:ascii="Cambria Math" w:hAnsi="Cambria Math"/>
                <w:sz w:val="19"/>
                <w:szCs w:val="19"/>
              </w:rPr>
              <m:t>0.05</m:t>
            </m:r>
          </m:e>
          <m:sup>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n</m:t>
            </m:r>
          </m:sup>
        </m:sSup>
      </m:oMath>
      <w:r>
        <w:t xml:space="preserve"> </w:t>
      </w:r>
      <w:r>
        <w:t xml:space="preserve">with 95 % confidence, which is 0.891 for</w:t>
      </w:r>
      <w:r>
        <w:t xml:space="preserve"> </w:t>
      </w:r>
      <m:oMath>
        <m:r>
          <w:rPr>
            <w:rFonts w:ascii="Cambria Math" w:hAnsi="Cambria Math"/>
            <w:sz w:val="19"/>
            <w:szCs w:val="19"/>
          </w:rPr>
          <m:t>n</m:t>
        </m:r>
      </m:oMath>
      <w:r>
        <w:t xml:space="preserve"> </w:t>
      </w:r>
      <w:r>
        <w:t xml:space="preserve">= 26 and 0.962 for</w:t>
      </w:r>
      <w:r>
        <w:t xml:space="preserve"> </w:t>
      </w:r>
      <m:oMath>
        <m:r>
          <w:rPr>
            <w:rFonts w:ascii="Cambria Math" w:hAnsi="Cambria Math"/>
            <w:sz w:val="19"/>
            <w:szCs w:val="19"/>
          </w:rPr>
          <m:t>n</m:t>
        </m:r>
      </m:oMath>
      <w:r>
        <w:t xml:space="preserve"> </w:t>
      </w:r>
      <w:r>
        <w:t xml:space="preserve">= 78, so at least 59 days without failure are needed to support</w:t>
      </w:r>
      <w:r>
        <w:t xml:space="preserve"> </w:t>
      </w:r>
      <m:oMath>
        <m:r>
          <w:rPr>
            <w:rFonts w:ascii="Cambria Math" w:hAnsi="Cambria Math"/>
            <w:sz w:val="19"/>
            <w:szCs w:val="19"/>
          </w:rPr>
          <m:t>ρ</m:t>
        </m:r>
      </m:oMath>
      <w:r>
        <w:t xml:space="preserve"> </w:t>
      </w:r>
      <w:r>
        <w:t xml:space="preserve">= 0.95 at this confidence. The firm capacities of Section 5 are estimates in the sense of (ii); Section 5.6 reports (i) and (iii) alongside them.</w:t>
      </w:r>
    </w:p>
    <w:bookmarkEnd w:id="34"/>
    <w:bookmarkStart w:id="38" w:name="Xaa7aecfe57e3dac941d27e6690d4ba56261f99e"/>
    <w:p>
      <w:pPr>
        <w:pStyle w:val="Heading2"/>
      </w:pPr>
      <w:r>
        <w:t xml:space="preserve">3.7. Theoretical properties of cross-event recovery</w:t>
      </w:r>
    </w:p>
    <w:p>
      <w:pPr>
        <w:pStyle w:val="FirstParagraph"/>
      </w:pPr>
      <w:r>
        <w:t xml:space="preserve">This section derives three properties of the model (3)–(30) for two consecutive events A and B: a bound on the reduction deliverable in B (Proposition 1), the value of repaying the debts in the right order (Proposition 2) and the price that couples the two debts (Proposition 3). The proofs are given in Appendix B, and Table 2 lists the assumptions, the scope, the differences from the full model and the numerical verification of these propositions and of Proposition 4 (Section 4.1.2).</w:t>
      </w:r>
    </w:p>
    <w:bookmarkStart w:id="35" w:name="capability-bound-of-the-next-event"/>
    <w:p>
      <w:pPr>
        <w:pStyle w:val="Heading3"/>
      </w:pPr>
      <w:r>
        <w:t xml:space="preserve">3.7.1. Capability bound of the next event</w:t>
      </w:r>
    </w:p>
    <w:p>
      <w:pPr>
        <w:pStyle w:val="FirstParagraph"/>
      </w:pPr>
      <w:r>
        <w:t xml:space="preserve">Let</w:t>
      </w:r>
      <w:r>
        <w:t xml:space="preserve"> </w:t>
      </w:r>
      <m:oMath>
        <m:r>
          <m:rPr>
            <m:scr m:val="script"/>
            <m:sty m:val="p"/>
          </m:rPr>
          <w:rPr>
            <w:rFonts w:ascii="Cambria Math" w:hAnsi="Cambria Math"/>
            <w:sz w:val="19"/>
            <w:szCs w:val="19"/>
          </w:rPr>
          <m:t>I</m:t>
        </m:r>
        <m:r>
          <m:rPr>
            <m:sty m:val="p"/>
          </m:rPr>
          <w:rPr>
            <w:rFonts w:ascii="Cambria Math" w:hAnsi="Cambria Math"/>
            <w:sz w:val="19"/>
            <w:szCs w:val="19"/>
          </w:rPr>
          <m:t>=</m:t>
        </m:r>
        <m:d>
          <m:dPr>
            <m:begChr m:val="("/>
            <m:sepChr m:val=""/>
            <m:endChr m:val=")"/>
            <m:grow/>
          </m:dPr>
          <m:e>
            <m:sSub>
              <m:e>
                <m:r>
                  <w:rPr>
                    <w:rFonts w:ascii="Cambria Math" w:hAnsi="Cambria Math"/>
                    <w:sz w:val="19"/>
                    <w:szCs w:val="19"/>
                  </w:rPr>
                  <m:t>e</m:t>
                </m:r>
              </m:e>
              <m:sub>
                <m:r>
                  <w:rPr>
                    <w:rFonts w:ascii="Cambria Math" w:hAnsi="Cambria Math"/>
                    <w:sz w:val="19"/>
                    <w:szCs w:val="19"/>
                  </w:rPr>
                  <m:t>A</m:t>
                </m:r>
              </m:sub>
            </m:sSub>
            <m:r>
              <m:rPr>
                <m:sty m:val="p"/>
              </m:rPr>
              <w:rPr>
                <w:rFonts w:ascii="Cambria Math" w:hAnsi="Cambria Math"/>
                <w:sz w:val="19"/>
                <w:szCs w:val="19"/>
              </w:rPr>
              <m:t>,</m:t>
            </m:r>
            <m:sSub>
              <m:e>
                <m:r>
                  <w:rPr>
                    <w:rFonts w:ascii="Cambria Math" w:hAnsi="Cambria Math"/>
                    <w:sz w:val="19"/>
                    <w:szCs w:val="19"/>
                  </w:rPr>
                  <m:t>s</m:t>
                </m:r>
              </m:e>
              <m:sub>
                <m:r>
                  <w:rPr>
                    <w:rFonts w:ascii="Cambria Math" w:hAnsi="Cambria Math"/>
                    <w:sz w:val="19"/>
                    <w:szCs w:val="19"/>
                  </w:rPr>
                  <m:t>B</m:t>
                </m:r>
              </m:sub>
            </m:sSub>
          </m:e>
        </m:d>
      </m:oMath>
      <w:r>
        <w:t xml:space="preserve"> </w:t>
      </w:r>
      <w:r>
        <w:t xml:space="preserve">be the interval of length</w:t>
      </w:r>
      <w:r>
        <w:t xml:space="preserve"> </w:t>
      </w:r>
      <m:oMath>
        <m:r>
          <w:rPr>
            <w:rFonts w:ascii="Cambria Math" w:hAnsi="Cambria Math"/>
            <w:sz w:val="19"/>
            <w:szCs w:val="19"/>
          </w:rPr>
          <m:t>τ</m:t>
        </m:r>
      </m:oMath>
      <w:r>
        <w:t xml:space="preserve"> </w:t>
      </w:r>
      <w:r>
        <w:t xml:space="preserve">between the events and</w:t>
      </w:r>
      <w:r>
        <w:t xml:space="preserve"> </w:t>
      </w:r>
      <m:oMath>
        <m:sSub>
          <m:e>
            <m:r>
              <m:rPr>
                <m:scr m:val="script"/>
                <m:sty m:val="p"/>
              </m:rPr>
              <w:rPr>
                <w:rFonts w:ascii="Cambria Math" w:hAnsi="Cambria Math"/>
                <w:sz w:val="19"/>
                <w:szCs w:val="19"/>
              </w:rPr>
              <m:t>T</m:t>
            </m:r>
          </m:e>
          <m:sub>
            <m:r>
              <w:rPr>
                <w:rFonts w:ascii="Cambria Math" w:hAnsi="Cambria Math"/>
                <w:sz w:val="19"/>
                <w:szCs w:val="19"/>
              </w:rPr>
              <m:t>B</m:t>
            </m:r>
          </m:sub>
        </m:sSub>
      </m:oMath>
      <w:r>
        <w:t xml:space="preserve"> </w:t>
      </w:r>
      <w:r>
        <w:t xml:space="preserve">the steps of event B with duration</w:t>
      </w:r>
      <w:r>
        <w:t xml:space="preserve"> </w:t>
      </w:r>
      <m:oMath>
        <m:sSub>
          <m:e>
            <m:r>
              <w:rPr>
                <w:rFonts w:ascii="Cambria Math" w:hAnsi="Cambria Math"/>
                <w:sz w:val="19"/>
                <w:szCs w:val="19"/>
              </w:rPr>
              <m:t>D</m:t>
            </m:r>
          </m:e>
          <m:sub>
            <m:r>
              <w:rPr>
                <w:rFonts w:ascii="Cambria Math" w:hAnsi="Cambria Math"/>
                <w:sz w:val="19"/>
                <w:szCs w:val="19"/>
              </w:rPr>
              <m:t>B</m:t>
            </m:r>
          </m:sub>
        </m:sSub>
      </m:oMath>
      <w:r>
        <w:t xml:space="preserve">. Two assumptions are made. (H1) Without DR the grid import equals the baseline and the storage is idle in</w:t>
      </w:r>
      <w:r>
        <w:t xml:space="preserve"> </w:t>
      </w:r>
      <m:oMath>
        <m:r>
          <m:rPr>
            <m:scr m:val="script"/>
            <m:sty m:val="p"/>
          </m:rPr>
          <w:rPr>
            <w:rFonts w:ascii="Cambria Math" w:hAnsi="Cambria Math"/>
            <w:sz w:val="19"/>
            <w:szCs w:val="19"/>
          </w:rPr>
          <m:t>I</m:t>
        </m:r>
        <m:r>
          <m:rPr>
            <m:sty m:val="p"/>
          </m:rPr>
          <w:rPr>
            <w:rFonts w:ascii="Cambria Math" w:hAnsi="Cambria Math"/>
            <w:sz w:val="19"/>
            <w:szCs w:val="19"/>
          </w:rPr>
          <m:t>∪</m:t>
        </m:r>
        <m:sSub>
          <m:e>
            <m:r>
              <m:rPr>
                <m:scr m:val="script"/>
                <m:sty m:val="p"/>
              </m:rPr>
              <w:rPr>
                <w:rFonts w:ascii="Cambria Math" w:hAnsi="Cambria Math"/>
                <w:sz w:val="19"/>
                <w:szCs w:val="19"/>
              </w:rPr>
              <m:t>T</m:t>
            </m:r>
          </m:e>
          <m:sub>
            <m:r>
              <w:rPr>
                <w:rFonts w:ascii="Cambria Math" w:hAnsi="Cambria Math"/>
                <w:sz w:val="19"/>
                <w:szCs w:val="19"/>
              </w:rPr>
              <m:t>B</m:t>
            </m:r>
          </m:sub>
        </m:sSub>
      </m:oMath>
      <w:r>
        <w:t xml:space="preserve">. (H2)</w:t>
      </w:r>
      <w:r>
        <w:t xml:space="preserve"> </w:t>
      </w:r>
      <m:oMath>
        <m:sSub>
          <m:e>
            <m:r>
              <w:rPr>
                <w:rFonts w:ascii="Cambria Math" w:hAnsi="Cambria Math"/>
                <w:sz w:val="19"/>
                <w:szCs w:val="19"/>
              </w:rPr>
              <m:t>ψ</m:t>
            </m:r>
          </m:e>
          <m:sub>
            <m:r>
              <w:rPr>
                <w:rFonts w:ascii="Cambria Math" w:hAnsi="Cambria Math"/>
                <w:sz w:val="19"/>
                <w:szCs w:val="19"/>
              </w:rPr>
              <m:t>t</m:t>
            </m:r>
          </m:sub>
        </m:sSub>
      </m:oMath>
      <w:r>
        <w:t xml:space="preserve"> </w:t>
      </w:r>
      <w:r>
        <w:t xml:space="preserve">and</w:t>
      </w:r>
      <w:r>
        <w:t xml:space="preserve"> </w:t>
      </w:r>
      <m:oMath>
        <m:sSub>
          <m:e>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e>
          <m:sub>
            <m:r>
              <w:rPr>
                <w:rFonts w:ascii="Cambria Math" w:hAnsi="Cambria Math"/>
                <w:sz w:val="19"/>
                <w:szCs w:val="19"/>
              </w:rPr>
              <m:t>t</m:t>
            </m:r>
          </m:sub>
        </m:sSub>
      </m:oMath>
      <w:r>
        <w:t xml:space="preserve"> </w:t>
      </w:r>
      <w:r>
        <w:t xml:space="preserve">are constant in</w:t>
      </w:r>
      <w:r>
        <w:t xml:space="preserve"> </w:t>
      </w:r>
      <m:oMath>
        <m:r>
          <m:rPr>
            <m:scr m:val="script"/>
            <m:sty m:val="p"/>
          </m:rPr>
          <w:rPr>
            <w:rFonts w:ascii="Cambria Math" w:hAnsi="Cambria Math"/>
            <w:sz w:val="19"/>
            <w:szCs w:val="19"/>
          </w:rPr>
          <m:t>I</m:t>
        </m:r>
        <m:r>
          <m:rPr>
            <m:sty m:val="p"/>
          </m:rPr>
          <w:rPr>
            <w:rFonts w:ascii="Cambria Math" w:hAnsi="Cambria Math"/>
            <w:sz w:val="19"/>
            <w:szCs w:val="19"/>
          </w:rPr>
          <m:t>∪</m:t>
        </m:r>
        <m:sSub>
          <m:e>
            <m:r>
              <m:rPr>
                <m:scr m:val="script"/>
                <m:sty m:val="p"/>
              </m:rPr>
              <w:rPr>
                <w:rFonts w:ascii="Cambria Math" w:hAnsi="Cambria Math"/>
                <w:sz w:val="19"/>
                <w:szCs w:val="19"/>
              </w:rPr>
              <m:t>T</m:t>
            </m:r>
          </m:e>
          <m:sub>
            <m:r>
              <w:rPr>
                <w:rFonts w:ascii="Cambria Math" w:hAnsi="Cambria Math"/>
                <w:sz w:val="19"/>
                <w:szCs w:val="19"/>
              </w:rPr>
              <m:t>B</m:t>
            </m:r>
          </m:sub>
        </m:sSub>
      </m:oMath>
      <w:r>
        <w:t xml:space="preserve">; otherwise all bounds below hold with the largest</w:t>
      </w:r>
      <w:r>
        <w:t xml:space="preserve"> </w:t>
      </w:r>
      <m:oMath>
        <m:sSub>
          <m:e>
            <m:r>
              <w:rPr>
                <w:rFonts w:ascii="Cambria Math" w:hAnsi="Cambria Math"/>
                <w:sz w:val="19"/>
                <w:szCs w:val="19"/>
              </w:rPr>
              <m:t>ψ</m:t>
            </m:r>
          </m:e>
          <m:sub>
            <m:r>
              <w:rPr>
                <w:rFonts w:ascii="Cambria Math" w:hAnsi="Cambria Math"/>
                <w:sz w:val="19"/>
                <w:szCs w:val="19"/>
              </w:rPr>
              <m:t>t</m:t>
            </m:r>
          </m:sub>
        </m:sSub>
      </m:oMath>
      <w:r>
        <w:t xml:space="preserve"> </w:t>
      </w:r>
      <w:r>
        <w:t xml:space="preserve">of the interval. (H1) is not needed in its strict form. If the no-DR import differs from the baseline, the derivation below applies to deviations from the no-DR operation, with</w:t>
      </w:r>
      <w:r>
        <w:t xml:space="preserve"> </w:t>
      </w:r>
      <m:oMath>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b</m:t>
            </m:r>
            <m:r>
              <w:rPr>
                <w:rFonts w:ascii="Cambria Math" w:hAnsi="Cambria Math"/>
                <w:sz w:val="19"/>
                <w:szCs w:val="19"/>
              </w:rPr>
              <m:t>a</m:t>
            </m:r>
            <m:r>
              <w:rPr>
                <w:rFonts w:ascii="Cambria Math" w:hAnsi="Cambria Math"/>
                <w:sz w:val="19"/>
                <w:szCs w:val="19"/>
              </w:rPr>
              <m:t>s</m:t>
            </m:r>
            <m:r>
              <w:rPr>
                <w:rFonts w:ascii="Cambria Math" w:hAnsi="Cambria Math"/>
                <w:sz w:val="19"/>
                <w:szCs w:val="19"/>
              </w:rPr>
              <m:t>e</m:t>
            </m:r>
          </m:sup>
        </m:sSubSup>
      </m:oMath>
      <w:r>
        <w:t xml:space="preserve"> </w:t>
      </w:r>
      <w:r>
        <w:t xml:space="preserve">replaced by</w:t>
      </w:r>
      <w:r>
        <w:t xml:space="preserve"> </w:t>
      </w:r>
      <m:oMath>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n</m:t>
            </m:r>
            <m:r>
              <w:rPr>
                <w:rFonts w:ascii="Cambria Math" w:hAnsi="Cambria Math"/>
                <w:sz w:val="19"/>
                <w:szCs w:val="19"/>
              </w:rPr>
              <m:t>o</m:t>
            </m:r>
            <m:r>
              <w:rPr>
                <w:rFonts w:ascii="Cambria Math" w:hAnsi="Cambria Math"/>
                <w:sz w:val="19"/>
                <w:szCs w:val="19"/>
              </w:rPr>
              <m:t>D</m:t>
            </m:r>
            <m:r>
              <w:rPr>
                <w:rFonts w:ascii="Cambria Math" w:hAnsi="Cambria Math"/>
                <w:sz w:val="19"/>
                <w:szCs w:val="19"/>
              </w:rPr>
              <m:t>R</m:t>
            </m:r>
          </m:sup>
        </m:sSubSup>
      </m:oMath>
      <w:r>
        <w:t xml:space="preserve"> </w:t>
      </w:r>
      <w:r>
        <w:t xml:space="preserve">and</w:t>
      </w:r>
      <w:r>
        <w:t xml:space="preserve"> </w:t>
      </w:r>
      <m:oMath>
        <m:r>
          <w:rPr>
            <w:rFonts w:ascii="Cambria Math" w:hAnsi="Cambria Math"/>
            <w:sz w:val="19"/>
            <w:szCs w:val="19"/>
          </w:rPr>
          <m:t>H</m:t>
        </m:r>
      </m:oMath>
      <w:r>
        <w:t xml:space="preserve"> </w:t>
      </w:r>
      <w:r>
        <w:t xml:space="preserve">by the actual channel (2); the bound then holds for the true reduction against</w:t>
      </w:r>
      <w:r>
        <w:t xml:space="preserve"> </w:t>
      </w:r>
      <m:oMath>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n</m:t>
            </m:r>
            <m:r>
              <w:rPr>
                <w:rFonts w:ascii="Cambria Math" w:hAnsi="Cambria Math"/>
                <w:sz w:val="19"/>
                <w:szCs w:val="19"/>
              </w:rPr>
              <m:t>o</m:t>
            </m:r>
            <m:r>
              <w:rPr>
                <w:rFonts w:ascii="Cambria Math" w:hAnsi="Cambria Math"/>
                <w:sz w:val="19"/>
                <w:szCs w:val="19"/>
              </w:rPr>
              <m:t>D</m:t>
            </m:r>
            <m:r>
              <w:rPr>
                <w:rFonts w:ascii="Cambria Math" w:hAnsi="Cambria Math"/>
                <w:sz w:val="19"/>
                <w:szCs w:val="19"/>
              </w:rPr>
              <m:t>R</m:t>
            </m:r>
          </m:sup>
        </m:sSubSup>
      </m:oMath>
      <w:r>
        <w:t xml:space="preserve">, and the settled reduction differs from it by the baseline error</w:t>
      </w:r>
      <w:r>
        <w:t xml:space="preserve"> </w:t>
      </w:r>
      <m:oMath>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b</m:t>
            </m:r>
            <m:r>
              <w:rPr>
                <w:rFonts w:ascii="Cambria Math" w:hAnsi="Cambria Math"/>
                <w:sz w:val="19"/>
                <w:szCs w:val="19"/>
              </w:rPr>
              <m:t>a</m:t>
            </m:r>
            <m:r>
              <w:rPr>
                <w:rFonts w:ascii="Cambria Math" w:hAnsi="Cambria Math"/>
                <w:sz w:val="19"/>
                <w:szCs w:val="19"/>
              </w:rPr>
              <m:t>s</m:t>
            </m:r>
            <m:r>
              <w:rPr>
                <w:rFonts w:ascii="Cambria Math" w:hAnsi="Cambria Math"/>
                <w:sz w:val="19"/>
                <w:szCs w:val="19"/>
              </w:rPr>
              <m:t>e</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n</m:t>
            </m:r>
            <m:r>
              <w:rPr>
                <w:rFonts w:ascii="Cambria Math" w:hAnsi="Cambria Math"/>
                <w:sz w:val="19"/>
                <w:szCs w:val="19"/>
              </w:rPr>
              <m:t>o</m:t>
            </m:r>
            <m:r>
              <w:rPr>
                <w:rFonts w:ascii="Cambria Math" w:hAnsi="Cambria Math"/>
                <w:sz w:val="19"/>
                <w:szCs w:val="19"/>
              </w:rPr>
              <m:t>D</m:t>
            </m:r>
            <m:r>
              <w:rPr>
                <w:rFonts w:ascii="Cambria Math" w:hAnsi="Cambria Math"/>
                <w:sz w:val="19"/>
                <w:szCs w:val="19"/>
              </w:rPr>
              <m:t>R</m:t>
            </m:r>
          </m:sup>
        </m:sSubSup>
      </m:oMath>
      <w:r>
        <w:t xml:space="preserve">. If the no-DR operation also uses its storage, as in the case study, where the BESS shaves the evening peak,</w:t>
      </w:r>
      <w:r>
        <w:t xml:space="preserve"> </w:t>
      </w:r>
      <m:oMath>
        <m:sSub>
          <m:e>
            <m:r>
              <w:rPr>
                <w:rFonts w:ascii="Cambria Math" w:hAnsi="Cambria Math"/>
                <w:sz w:val="19"/>
                <w:szCs w:val="19"/>
              </w:rPr>
              <m:t>E</m:t>
            </m:r>
          </m:e>
          <m:sub>
            <m:r>
              <w:rPr>
                <w:rFonts w:ascii="Cambria Math" w:hAnsi="Cambria Math"/>
                <w:sz w:val="19"/>
                <w:szCs w:val="19"/>
              </w:rPr>
              <m:t>s</m:t>
            </m:r>
          </m:sub>
        </m:sSub>
      </m:oMath>
      <w:r>
        <w:t xml:space="preserve"> </w:t>
      </w:r>
      <w:r>
        <w:t xml:space="preserve">and</w:t>
      </w:r>
      <w:r>
        <w:t xml:space="preserve"> </w:t>
      </w:r>
      <m:oMath>
        <m:sSub>
          <m:e>
            <m:r>
              <w:rPr>
                <w:rFonts w:ascii="Cambria Math" w:hAnsi="Cambria Math"/>
                <w:sz w:val="19"/>
                <w:szCs w:val="19"/>
              </w:rPr>
              <m:t>P</m:t>
            </m:r>
          </m:e>
          <m:sub>
            <m:r>
              <w:rPr>
                <w:rFonts w:ascii="Cambria Math" w:hAnsi="Cambria Math"/>
                <w:sz w:val="19"/>
                <w:szCs w:val="19"/>
              </w:rPr>
              <m:t>s</m:t>
            </m:r>
          </m:sub>
        </m:sSub>
      </m:oMath>
      <w:r>
        <w:t xml:space="preserve"> </w:t>
      </w:r>
      <w:r>
        <w:t xml:space="preserve">denote the energy and power available beyond the no-DR storage schedule. Under (H1), the balances (3), (14) and (16) give the deviation of any schedule from the baseline,</w:t>
      </w:r>
    </w:p>
    <w:p>
      <w:pPr>
        <w:pStyle w:val="Equation"/>
      </w:pPr>
      <w:r>
        <w:tab/>
      </w:r>
      <m:oMath>
        <m:m>
          <m:mPr>
            <m:baseJc m:val="center"/>
            <m:plcHide m:val="on"/>
            <m:mcs>
              <m:mc>
                <m:mcPr>
                  <m:count m:val="1"/>
                  <m:mcJc m:val="right"/>
                </m:mcPr>
              </m:mc>
              <m:mc>
                <m:mcPr>
                  <m:count m:val="1"/>
                  <m:mcJc m:val="left"/>
                </m:mcPr>
              </m:mc>
            </m:mcs>
          </m:mPr>
          <m:mr>
            <m:e/>
            <m:e>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b</m:t>
                  </m:r>
                  <m:r>
                    <w:rPr>
                      <w:rFonts w:ascii="Cambria Math" w:hAnsi="Cambria Math"/>
                      <w:sz w:val="19"/>
                      <w:szCs w:val="19"/>
                    </w:rPr>
                    <m:t>a</m:t>
                  </m:r>
                  <m:r>
                    <w:rPr>
                      <w:rFonts w:ascii="Cambria Math" w:hAnsi="Cambria Math"/>
                      <w:sz w:val="19"/>
                      <w:szCs w:val="19"/>
                    </w:rPr>
                    <m:t>s</m:t>
                  </m:r>
                  <m:r>
                    <w:rPr>
                      <w:rFonts w:ascii="Cambria Math" w:hAnsi="Cambria Math"/>
                      <w:sz w:val="19"/>
                      <w:szCs w:val="19"/>
                    </w:rPr>
                    <m:t>e</m:t>
                  </m:r>
                </m:sup>
              </m:sSubSup>
              <m:r>
                <m:rPr>
                  <m:sty m:val="p"/>
                </m:rPr>
                <w:rPr>
                  <w:rFonts w:ascii="Cambria Math" w:hAnsi="Cambria Math"/>
                  <w:sz w:val="19"/>
                  <w:szCs w:val="19"/>
                </w:rPr>
                <m:t>=</m:t>
              </m:r>
              <m:r>
                <w:rPr>
                  <w:rFonts w:ascii="Cambria Math" w:hAnsi="Cambria Math"/>
                  <w:sz w:val="19"/>
                  <w:szCs w:val="19"/>
                </w:rPr>
                <m:t>ψ</m:t>
              </m:r>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d>
                    <m:dPr>
                      <m:begChr m:val="("/>
                      <m:sepChr m:val=""/>
                      <m:endChr m:val=")"/>
                      <m:grow/>
                    </m:dPr>
                    <m:e>
                      <m:sSub>
                        <m:e>
                          <m:r>
                            <w:rPr>
                              <w:rFonts w:ascii="Cambria Math" w:hAnsi="Cambria Math"/>
                              <w:sz w:val="19"/>
                              <w:szCs w:val="19"/>
                            </w:rPr>
                            <m:t>y</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a</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d>
                </m:e>
              </m:nary>
            </m:e>
          </m:mr>
          <m:mr>
            <m:e/>
            <m:e>
              <m:r>
                <w:rPr>
                  <w:rFonts w:ascii="Cambria Math" w:hAnsi="Cambria Math"/>
                  <w:sz w:val="19"/>
                  <w:szCs w:val="19"/>
                </w:rPr>
                <m:t> </m:t>
              </m:r>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h</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d</m:t>
                  </m:r>
                  <m:r>
                    <w:rPr>
                      <w:rFonts w:ascii="Cambria Math" w:hAnsi="Cambria Math"/>
                      <w:sz w:val="19"/>
                      <w:szCs w:val="19"/>
                    </w:rPr>
                    <m:t>i</m:t>
                  </m:r>
                  <m:r>
                    <w:rPr>
                      <w:rFonts w:ascii="Cambria Math" w:hAnsi="Cambria Math"/>
                      <w:sz w:val="19"/>
                      <w:szCs w:val="19"/>
                    </w:rPr>
                    <m:t>s</m:t>
                  </m:r>
                </m:sup>
              </m:sSubSup>
              <m:r>
                <m:rPr>
                  <m:sty m:val="p"/>
                </m:rPr>
                <w:rPr>
                  <w:rFonts w:ascii="Cambria Math" w:hAnsi="Cambria Math"/>
                  <w:sz w:val="19"/>
                  <w:szCs w:val="19"/>
                </w:rPr>
                <m:t>+</m:t>
              </m:r>
              <m:f>
                <m:fPr>
                  <m:type m:val="bar"/>
                </m:fPr>
                <m:num>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C</m:t>
                      </m:r>
                    </m:sup>
                  </m:sSubSup>
                  <m:r>
                    <m:rPr>
                      <m:sty m:val="p"/>
                    </m:rPr>
                    <w:rPr>
                      <w:rFonts w:ascii="Cambria Math" w:hAnsi="Cambria Math"/>
                      <w:sz w:val="19"/>
                      <w:szCs w:val="19"/>
                    </w:rPr>
                    <m:t>−</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D</m:t>
                      </m:r>
                    </m:sup>
                  </m:sSubSup>
                </m:num>
                <m:den>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den>
              </m:f>
              <m:r>
                <m:rPr>
                  <m:sty m:val="p"/>
                </m:rPr>
                <w:rPr>
                  <w:rFonts w:ascii="Cambria Math" w:hAnsi="Cambria Math"/>
                  <w:sz w:val="19"/>
                  <w:szCs w:val="19"/>
                </w:rPr>
                <m:t>−</m:t>
              </m:r>
              <m:r>
                <w:rPr>
                  <w:rFonts w:ascii="Cambria Math" w:hAnsi="Cambria Math"/>
                  <w:sz w:val="19"/>
                  <w:szCs w:val="19"/>
                </w:rPr>
                <m:t>Δ</m:t>
              </m:r>
              <m:sSub>
                <m:e>
                  <m:r>
                    <w:rPr>
                      <w:rFonts w:ascii="Cambria Math" w:hAnsi="Cambria Math"/>
                      <w:sz w:val="19"/>
                      <w:szCs w:val="19"/>
                    </w:rPr>
                    <m:t>g</m:t>
                  </m:r>
                </m:e>
                <m:sub>
                  <m:r>
                    <w:rPr>
                      <w:rFonts w:ascii="Cambria Math" w:hAnsi="Cambria Math"/>
                      <w:sz w:val="19"/>
                      <w:szCs w:val="19"/>
                    </w:rPr>
                    <m:t>t</m:t>
                  </m:r>
                </m:sub>
              </m:sSub>
              <m:r>
                <m:rPr>
                  <m:sty m:val="p"/>
                </m:rPr>
                <w:rPr>
                  <w:rFonts w:ascii="Cambria Math" w:hAnsi="Cambria Math"/>
                  <w:sz w:val="19"/>
                  <w:szCs w:val="19"/>
                </w:rPr>
                <m:t>,</m:t>
              </m:r>
            </m:e>
          </m:mr>
        </m:m>
      </m:oMath>
      <w:r>
        <w:tab/>
      </w:r>
      <w:r>
        <w:t xml:space="preserve">(37)</w:t>
      </w:r>
    </w:p>
    <w:p>
      <w:pPr>
        <w:pStyle w:val="BodyText"/>
      </w:pPr>
      <w:r>
        <w:t xml:space="preserve">where the first term is catch-up (positive) or deferral (negative) of computing work and</w:t>
      </w:r>
      <w:r>
        <w:t xml:space="preserve">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Δ</m:t>
        </m:r>
        <m:sSub>
          <m:e>
            <m:r>
              <w:rPr>
                <w:rFonts w:ascii="Cambria Math" w:hAnsi="Cambria Math"/>
                <w:sz w:val="19"/>
                <w:szCs w:val="19"/>
              </w:rPr>
              <m:t>g</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g</m:t>
        </m:r>
      </m:oMath>
      <w:r>
        <w:t xml:space="preserve"> </w:t>
      </w:r>
      <w:r>
        <w:t xml:space="preserve">is the additional gas-engine output including its absorption-chiller equivalent. Every reduction in B and every MWh of recovery in</w:t>
      </w:r>
      <w:r>
        <w:t xml:space="preserve"> </w:t>
      </w:r>
      <m:oMath>
        <m:r>
          <m:rPr>
            <m:scr m:val="script"/>
            <m:sty m:val="p"/>
          </m:rPr>
          <w:rPr>
            <w:rFonts w:ascii="Cambria Math" w:hAnsi="Cambria Math"/>
            <w:sz w:val="19"/>
            <w:szCs w:val="19"/>
          </w:rPr>
          <m:t>I</m:t>
        </m:r>
      </m:oMath>
      <w:r>
        <w:t xml:space="preserve"> </w:t>
      </w:r>
      <w:r>
        <w:t xml:space="preserve">therefore passes through the same import.</w:t>
      </w:r>
    </w:p>
    <w:p>
      <w:pPr>
        <w:pStyle w:val="BodyText"/>
      </w:pPr>
      <w:r>
        <w:t xml:space="preserve">Event A leaves the computing debt</w:t>
      </w:r>
      <w:r>
        <w:t xml:space="preserve"> </w:t>
      </w:r>
      <m:oMath>
        <m:sSub>
          <m:e>
            <m:r>
              <w:rPr>
                <w:rFonts w:ascii="Cambria Math" w:hAnsi="Cambria Math"/>
                <w:sz w:val="19"/>
                <w:szCs w:val="19"/>
              </w:rPr>
              <m:t>X</m:t>
            </m:r>
          </m:e>
          <m:sub>
            <m:r>
              <w:rPr>
                <w:rFonts w:ascii="Cambria Math" w:hAnsi="Cambria Math"/>
                <w:sz w:val="19"/>
                <w:szCs w:val="19"/>
              </w:rPr>
              <m:t>A</m:t>
            </m:r>
          </m:sub>
        </m:sSub>
        <m:r>
          <m:rPr>
            <m:sty m:val="p"/>
          </m:rPr>
          <w:rPr>
            <w:rFonts w:ascii="Cambria Math" w:hAnsi="Cambria Math"/>
            <w:sz w:val="19"/>
            <w:szCs w:val="19"/>
          </w:rPr>
          <m:t>=</m:t>
        </m:r>
        <m:r>
          <w:rPr>
            <w:rFonts w:ascii="Cambria Math" w:hAnsi="Cambria Math"/>
            <w:sz w:val="19"/>
            <w:szCs w:val="19"/>
          </w:rPr>
          <m:t>ψ</m:t>
        </m:r>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sSub>
              <m:e>
                <m:r>
                  <w:rPr>
                    <w:rFonts w:ascii="Cambria Math" w:hAnsi="Cambria Math"/>
                    <w:sz w:val="19"/>
                    <w:szCs w:val="19"/>
                  </w:rPr>
                  <m:t>B</m:t>
                </m:r>
              </m:e>
              <m:sub>
                <m:r>
                  <w:rPr>
                    <w:rFonts w:ascii="Cambria Math" w:hAnsi="Cambria Math"/>
                    <w:sz w:val="19"/>
                    <w:szCs w:val="19"/>
                  </w:rPr>
                  <m:t>c</m:t>
                </m:r>
              </m:sub>
            </m:sSub>
          </m:e>
        </m:nary>
        <m:d>
          <m:dPr>
            <m:begChr m:val="("/>
            <m:sepChr m:val=""/>
            <m:endChr m:val=")"/>
            <m:grow/>
          </m:dPr>
          <m:e>
            <m:sSub>
              <m:e>
                <m:r>
                  <w:rPr>
                    <w:rFonts w:ascii="Cambria Math" w:hAnsi="Cambria Math"/>
                    <w:sz w:val="19"/>
                    <w:szCs w:val="19"/>
                  </w:rPr>
                  <m:t>e</m:t>
                </m:r>
              </m:e>
              <m:sub>
                <m:r>
                  <w:rPr>
                    <w:rFonts w:ascii="Cambria Math" w:hAnsi="Cambria Math"/>
                    <w:sz w:val="19"/>
                    <w:szCs w:val="19"/>
                  </w:rPr>
                  <m:t>A</m:t>
                </m:r>
              </m:sub>
            </m:sSub>
          </m:e>
        </m:d>
      </m:oMath>
      <w:r>
        <w:t xml:space="preserve">, of which the part</w:t>
      </w:r>
      <w:r>
        <w:t xml:space="preserve"> </w:t>
      </w:r>
      <m:oMath>
        <m:sSubSup>
          <m:e>
            <m:r>
              <w:rPr>
                <w:rFonts w:ascii="Cambria Math" w:hAnsi="Cambria Math"/>
                <w:sz w:val="19"/>
                <w:szCs w:val="19"/>
              </w:rPr>
              <m:t>X</m:t>
            </m:r>
          </m:e>
          <m:sub>
            <m:r>
              <w:rPr>
                <w:rFonts w:ascii="Cambria Math" w:hAnsi="Cambria Math"/>
                <w:sz w:val="19"/>
                <w:szCs w:val="19"/>
              </w:rPr>
              <m:t>A</m:t>
            </m:r>
          </m:sub>
          <m:sup>
            <m:r>
              <w:rPr>
                <w:rFonts w:ascii="Cambria Math" w:hAnsi="Cambria Math"/>
                <w:sz w:val="19"/>
                <w:szCs w:val="19"/>
              </w:rPr>
              <m:t>d</m:t>
            </m:r>
            <m:r>
              <w:rPr>
                <w:rFonts w:ascii="Cambria Math" w:hAnsi="Cambria Math"/>
                <w:sz w:val="19"/>
                <w:szCs w:val="19"/>
              </w:rPr>
              <m:t>u</m:t>
            </m:r>
            <m:r>
              <w:rPr>
                <w:rFonts w:ascii="Cambria Math" w:hAnsi="Cambria Math"/>
                <w:sz w:val="19"/>
                <w:szCs w:val="19"/>
              </w:rPr>
              <m:t>e</m:t>
            </m:r>
          </m:sup>
        </m:sSubSup>
      </m:oMath>
      <w:r>
        <w:t xml:space="preserve"> </w:t>
      </w:r>
      <w:r>
        <w:t xml:space="preserve">falls due before</w:t>
      </w:r>
      <w:r>
        <w:t xml:space="preserve"> </w:t>
      </w:r>
      <m:oMath>
        <m:sSub>
          <m:e>
            <m:r>
              <w:rPr>
                <w:rFonts w:ascii="Cambria Math" w:hAnsi="Cambria Math"/>
                <w:sz w:val="19"/>
                <w:szCs w:val="19"/>
              </w:rPr>
              <m:t>e</m:t>
            </m:r>
          </m:e>
          <m:sub>
            <m:r>
              <w:rPr>
                <w:rFonts w:ascii="Cambria Math" w:hAnsi="Cambria Math"/>
                <w:sz w:val="19"/>
                <w:szCs w:val="19"/>
              </w:rPr>
              <m:t>B</m:t>
            </m:r>
          </m:sub>
        </m:sSub>
      </m:oMath>
      <w:r>
        <w:t xml:space="preserve">, and the dischargeable storage energy</w:t>
      </w:r>
      <w:r>
        <w:t xml:space="preserve"> </w:t>
      </w:r>
      <m:oMath>
        <m:sSub>
          <m:e>
            <m:r>
              <w:rPr>
                <w:rFonts w:ascii="Cambria Math" w:hAnsi="Cambria Math"/>
                <w:sz w:val="19"/>
                <w:szCs w:val="19"/>
              </w:rPr>
              <m:t>E</m:t>
            </m:r>
          </m:e>
          <m:sub>
            <m:r>
              <w:rPr>
                <w:rFonts w:ascii="Cambria Math" w:hAnsi="Cambria Math"/>
                <w:sz w:val="19"/>
                <w:szCs w:val="19"/>
              </w:rPr>
              <m:t>s</m:t>
            </m:r>
          </m:sub>
        </m:sSub>
        <m:r>
          <m:rPr>
            <m:sty m:val="p"/>
          </m:rPr>
          <w:rPr>
            <w:rFonts w:ascii="Cambria Math" w:hAnsi="Cambria Math"/>
            <w:sz w:val="19"/>
            <w:szCs w:val="19"/>
          </w:rPr>
          <m:t>=</m:t>
        </m:r>
        <m:sSub>
          <m:e>
            <m:r>
              <w:rPr>
                <w:rFonts w:ascii="Cambria Math" w:hAnsi="Cambria Math"/>
                <w:sz w:val="19"/>
                <w:szCs w:val="19"/>
              </w:rPr>
              <m:t>η</m:t>
            </m:r>
          </m:e>
          <m:sub>
            <m:r>
              <w:rPr>
                <w:rFonts w:ascii="Cambria Math" w:hAnsi="Cambria Math"/>
                <w:sz w:val="19"/>
                <w:szCs w:val="19"/>
              </w:rPr>
              <m:t>d</m:t>
            </m:r>
          </m:sub>
        </m:sSub>
        <m:d>
          <m:dPr>
            <m:begChr m:val="("/>
            <m:sepChr m:val=""/>
            <m:endChr m:val=")"/>
            <m:grow/>
          </m:dPr>
          <m:e>
            <m:sSub>
              <m:e>
                <m:r>
                  <w:rPr>
                    <w:rFonts w:ascii="Cambria Math" w:hAnsi="Cambria Math"/>
                    <w:sz w:val="19"/>
                    <w:szCs w:val="19"/>
                  </w:rPr>
                  <m:t>E</m:t>
                </m:r>
              </m:e>
              <m:sub>
                <m:r>
                  <w:rPr>
                    <w:rFonts w:ascii="Cambria Math" w:hAnsi="Cambria Math"/>
                    <w:sz w:val="19"/>
                    <w:szCs w:val="19"/>
                  </w:rPr>
                  <m:t>A</m:t>
                </m:r>
              </m:sub>
            </m:sSub>
            <m:r>
              <m:rPr>
                <m:sty m:val="p"/>
              </m:rPr>
              <w:rPr>
                <w:rFonts w:ascii="Cambria Math" w:hAnsi="Cambria Math"/>
                <w:sz w:val="19"/>
                <w:szCs w:val="19"/>
              </w:rPr>
              <m:t>−</m:t>
            </m:r>
            <m:bar>
              <m:barPr>
                <m:pos m:val="bot"/>
              </m:barPr>
              <m:e>
                <m:r>
                  <w:rPr>
                    <w:rFonts w:ascii="Cambria Math" w:hAnsi="Cambria Math"/>
                    <w:sz w:val="19"/>
                    <w:szCs w:val="19"/>
                  </w:rPr>
                  <m:t>E</m:t>
                </m:r>
              </m:e>
            </m:bar>
          </m:e>
        </m:d>
        <m:r>
          <m:rPr>
            <m:sty m:val="p"/>
          </m:rPr>
          <w:rPr>
            <w:rFonts w:ascii="Cambria Math" w:hAnsi="Cambria Math"/>
            <w:sz w:val="19"/>
            <w:szCs w:val="19"/>
          </w:rPr>
          <m:t>+</m:t>
        </m:r>
        <m:sSubSup>
          <m:e>
            <m:r>
              <w:rPr>
                <w:rFonts w:ascii="Cambria Math" w:hAnsi="Cambria Math"/>
                <w:sz w:val="19"/>
                <w:szCs w:val="19"/>
              </w:rPr>
              <m:t>η</m:t>
            </m:r>
          </m:e>
          <m:sub>
            <m:r>
              <w:rPr>
                <w:rFonts w:ascii="Cambria Math" w:hAnsi="Cambria Math"/>
                <w:sz w:val="19"/>
                <w:szCs w:val="19"/>
              </w:rPr>
              <m:t>d</m:t>
            </m:r>
          </m:sub>
          <m:sup>
            <m:r>
              <w:rPr>
                <w:rFonts w:ascii="Cambria Math" w:hAnsi="Cambria Math"/>
                <w:sz w:val="19"/>
                <w:szCs w:val="19"/>
              </w:rPr>
              <m:t>T</m:t>
            </m:r>
          </m:sup>
        </m:sSubSup>
        <m:d>
          <m:dPr>
            <m:begChr m:val="("/>
            <m:sepChr m:val=""/>
            <m:endChr m:val=")"/>
            <m:grow/>
          </m:dPr>
          <m:e>
            <m:sSub>
              <m:e>
                <m:r>
                  <w:rPr>
                    <w:rFonts w:ascii="Cambria Math" w:hAnsi="Cambria Math"/>
                    <w:sz w:val="19"/>
                    <w:szCs w:val="19"/>
                  </w:rPr>
                  <m:t>S</m:t>
                </m:r>
              </m:e>
              <m:sub>
                <m:r>
                  <w:rPr>
                    <w:rFonts w:ascii="Cambria Math" w:hAnsi="Cambria Math"/>
                    <w:sz w:val="19"/>
                    <w:szCs w:val="19"/>
                  </w:rPr>
                  <m:t>A</m:t>
                </m:r>
              </m:sub>
            </m:sSub>
            <m:r>
              <m:rPr>
                <m:sty m:val="p"/>
              </m:rPr>
              <w:rPr>
                <w:rFonts w:ascii="Cambria Math" w:hAnsi="Cambria Math"/>
                <w:sz w:val="19"/>
                <w:szCs w:val="19"/>
              </w:rPr>
              <m:t>−</m:t>
            </m:r>
            <m:bar>
              <m:barPr>
                <m:pos m:val="bot"/>
              </m:barPr>
              <m:e>
                <m:r>
                  <w:rPr>
                    <w:rFonts w:ascii="Cambria Math" w:hAnsi="Cambria Math"/>
                    <w:sz w:val="19"/>
                    <w:szCs w:val="19"/>
                  </w:rPr>
                  <m:t>S</m:t>
                </m:r>
              </m:e>
            </m:bar>
          </m:e>
        </m:d>
        <m:r>
          <m:rPr>
            <m:sty m:val="p"/>
          </m:rPr>
          <w:rPr>
            <w:rFonts w:ascii="Cambria Math" w:hAnsi="Cambria Math"/>
            <w:sz w:val="19"/>
            <w:szCs w:val="19"/>
          </w:rPr>
          <m:t>/</m:t>
        </m:r>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oMath>
      <w:r>
        <w:t xml:space="preserve"> </w:t>
      </w:r>
      <w:r>
        <w:t xml:space="preserve">with the discharge power</w:t>
      </w:r>
      <w:r>
        <w:t xml:space="preserve"> </w:t>
      </w:r>
      <m:oMath>
        <m:sSub>
          <m:e>
            <m:r>
              <w:rPr>
                <w:rFonts w:ascii="Cambria Math" w:hAnsi="Cambria Math"/>
                <w:sz w:val="19"/>
                <w:szCs w:val="19"/>
              </w:rPr>
              <m:t>P</m:t>
            </m:r>
          </m:e>
          <m:sub>
            <m:r>
              <w:rPr>
                <w:rFonts w:ascii="Cambria Math" w:hAnsi="Cambria Math"/>
                <w:sz w:val="19"/>
                <w:szCs w:val="19"/>
              </w:rPr>
              <m:t>s</m:t>
            </m:r>
          </m:sub>
        </m:sSub>
        <m:r>
          <m:rPr>
            <m:sty m:val="p"/>
          </m:rPr>
          <w:rPr>
            <w:rFonts w:ascii="Cambria Math" w:hAnsi="Cambria Math"/>
            <w:sz w:val="19"/>
            <w:szCs w:val="19"/>
          </w:rPr>
          <m:t>=</m:t>
        </m:r>
        <m:sSup>
          <m:e>
            <m:acc>
              <m:accPr>
                <m:chr m:val="‾"/>
              </m:accPr>
              <m:e>
                <m:r>
                  <w:rPr>
                    <w:rFonts w:ascii="Cambria Math" w:hAnsi="Cambria Math"/>
                    <w:sz w:val="19"/>
                    <w:szCs w:val="19"/>
                  </w:rPr>
                  <m:t>P</m:t>
                </m:r>
              </m:e>
            </m:acc>
          </m:e>
          <m:sup>
            <m:r>
              <w:rPr>
                <w:rFonts w:ascii="Cambria Math" w:hAnsi="Cambria Math"/>
                <w:sz w:val="19"/>
                <w:szCs w:val="19"/>
              </w:rPr>
              <m:t>B</m:t>
            </m:r>
          </m:sup>
        </m:sSup>
        <m:r>
          <m:rPr>
            <m:sty m:val="p"/>
          </m:rPr>
          <w:rPr>
            <w:rFonts w:ascii="Cambria Math" w:hAnsi="Cambria Math"/>
            <w:sz w:val="19"/>
            <w:szCs w:val="19"/>
          </w:rPr>
          <m:t>+</m:t>
        </m:r>
        <m:sSup>
          <m:e>
            <m:acc>
              <m:accPr>
                <m:chr m:val="‾"/>
              </m:accPr>
              <m:e>
                <m:r>
                  <w:rPr>
                    <w:rFonts w:ascii="Cambria Math" w:hAnsi="Cambria Math"/>
                    <w:sz w:val="19"/>
                    <w:szCs w:val="19"/>
                  </w:rPr>
                  <m:t>Q</m:t>
                </m:r>
              </m:e>
            </m:acc>
          </m:e>
          <m:sup>
            <m:r>
              <w:rPr>
                <w:rFonts w:ascii="Cambria Math" w:hAnsi="Cambria Math"/>
                <w:sz w:val="19"/>
                <w:szCs w:val="19"/>
              </w:rPr>
              <m:t>T</m:t>
            </m:r>
          </m:sup>
        </m:sSup>
        <m:r>
          <m:rPr>
            <m:sty m:val="p"/>
          </m:rPr>
          <w:rPr>
            <w:rFonts w:ascii="Cambria Math" w:hAnsi="Cambria Math"/>
            <w:sz w:val="19"/>
            <w:szCs w:val="19"/>
          </w:rPr>
          <m:t>/</m:t>
        </m:r>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oMath>
      <w:r>
        <w:t xml:space="preserve">. The recovery channel</w:t>
      </w:r>
      <w:r>
        <w:t xml:space="preserve"> </w:t>
      </w:r>
      <m:oMath>
        <m:r>
          <w:rPr>
            <w:rFonts w:ascii="Cambria Math" w:hAnsi="Cambria Math"/>
            <w:sz w:val="19"/>
            <w:szCs w:val="19"/>
          </w:rPr>
          <m:t>H</m:t>
        </m:r>
      </m:oMath>
      <w:r>
        <w:t xml:space="preserve"> </w:t>
      </w:r>
      <w:r>
        <w:t xml:space="preserve">adds the additional gas-engine output</w:t>
      </w:r>
      <w:r>
        <w:t xml:space="preserve"> </w:t>
      </w:r>
      <m:oMath>
        <m:r>
          <w:rPr>
            <w:rFonts w:ascii="Cambria Math" w:hAnsi="Cambria Math"/>
            <w:sz w:val="19"/>
            <w:szCs w:val="19"/>
          </w:rPr>
          <m:t>g</m:t>
        </m:r>
        <m:r>
          <w:rPr>
            <w:rFonts w:ascii="Cambria Math" w:hAnsi="Cambria Math"/>
            <w:sz w:val="19"/>
            <w:szCs w:val="19"/>
          </w:rPr>
          <m:t>τ</m:t>
        </m:r>
      </m:oMath>
      <w:r>
        <w:t xml:space="preserve"> </w:t>
      </w:r>
      <w:r>
        <w:t xml:space="preserve">to (1). Further,</w:t>
      </w:r>
      <w:r>
        <w:t xml:space="preserve"> </w:t>
      </w:r>
      <m:oMath>
        <m:sSub>
          <m:e>
            <m:acc>
              <m:accPr>
                <m:chr m:val="‾"/>
              </m:accPr>
              <m:e>
                <m:r>
                  <w:rPr>
                    <w:rFonts w:ascii="Cambria Math" w:hAnsi="Cambria Math"/>
                    <w:sz w:val="19"/>
                    <w:szCs w:val="19"/>
                  </w:rPr>
                  <m:t>X</m:t>
                </m:r>
              </m:e>
            </m:acc>
          </m:e>
          <m:sub>
            <m:r>
              <w:rPr>
                <w:rFonts w:ascii="Cambria Math" w:hAnsi="Cambria Math"/>
                <w:sz w:val="19"/>
                <w:szCs w:val="19"/>
              </w:rPr>
              <m:t>B</m:t>
            </m:r>
          </m:sub>
        </m:sSub>
        <m:r>
          <m:rPr>
            <m:sty m:val="p"/>
          </m:rPr>
          <w:rPr>
            <w:rFonts w:ascii="Cambria Math" w:hAnsi="Cambria Math"/>
            <w:sz w:val="19"/>
            <w:szCs w:val="19"/>
          </w:rPr>
          <m:t>=</m:t>
        </m:r>
        <m:r>
          <w:rPr>
            <w:rFonts w:ascii="Cambria Math" w:hAnsi="Cambria Math"/>
            <w:sz w:val="19"/>
            <w:szCs w:val="19"/>
          </w:rPr>
          <m:t>ψ</m:t>
        </m:r>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sSub>
              <m:e>
                <m:acc>
                  <m:accPr>
                    <m:chr m:val="‾"/>
                  </m:accPr>
                  <m:e>
                    <m:r>
                      <w:rPr>
                        <w:rFonts w:ascii="Cambria Math" w:hAnsi="Cambria Math"/>
                        <w:sz w:val="19"/>
                        <w:szCs w:val="19"/>
                      </w:rPr>
                      <m:t>B</m:t>
                    </m:r>
                  </m:e>
                </m:acc>
              </m:e>
              <m:sub>
                <m:r>
                  <w:rPr>
                    <w:rFonts w:ascii="Cambria Math" w:hAnsi="Cambria Math"/>
                    <w:sz w:val="19"/>
                    <w:szCs w:val="19"/>
                  </w:rPr>
                  <m:t>c</m:t>
                </m:r>
              </m:sub>
            </m:sSub>
          </m:e>
        </m:nary>
        <m:d>
          <m:dPr>
            <m:begChr m:val="("/>
            <m:sepChr m:val=""/>
            <m:endChr m:val=")"/>
            <m:grow/>
          </m:dPr>
          <m:e>
            <m:sSub>
              <m:e>
                <m:r>
                  <w:rPr>
                    <w:rFonts w:ascii="Cambria Math" w:hAnsi="Cambria Math"/>
                    <w:sz w:val="19"/>
                    <w:szCs w:val="19"/>
                  </w:rPr>
                  <m:t>e</m:t>
                </m:r>
              </m:e>
              <m:sub>
                <m:r>
                  <w:rPr>
                    <w:rFonts w:ascii="Cambria Math" w:hAnsi="Cambria Math"/>
                    <w:sz w:val="19"/>
                    <w:szCs w:val="19"/>
                  </w:rPr>
                  <m:t>B</m:t>
                </m:r>
              </m:sub>
            </m:sSub>
          </m:e>
        </m:d>
      </m:oMath>
      <w:r>
        <w:t xml:space="preserve"> </w:t>
      </w:r>
      <w:r>
        <w:t xml:space="preserve">is the deadline-limited virtual capacity at the end of B,</w:t>
      </w:r>
      <w:r>
        <w:t xml:space="preserve"> </w:t>
      </w:r>
      <m:oMath>
        <m:sSub>
          <m:e>
            <m:r>
              <w:rPr>
                <w:rFonts w:ascii="Cambria Math" w:hAnsi="Cambria Math"/>
                <w:sz w:val="19"/>
                <w:szCs w:val="19"/>
              </w:rPr>
              <m:t>p</m:t>
            </m:r>
          </m:e>
          <m:sub>
            <m:r>
              <w:rPr>
                <w:rFonts w:ascii="Cambria Math" w:hAnsi="Cambria Math"/>
                <w:sz w:val="19"/>
                <w:szCs w:val="19"/>
              </w:rPr>
              <m:t>f</m:t>
            </m:r>
          </m:sub>
        </m:sSub>
        <m:r>
          <m:rPr>
            <m:sty m:val="p"/>
          </m:rPr>
          <w:rPr>
            <w:rFonts w:ascii="Cambria Math" w:hAnsi="Cambria Math"/>
            <w:sz w:val="19"/>
            <w:szCs w:val="19"/>
          </w:rPr>
          <m:t>=</m:t>
        </m:r>
        <m:r>
          <w:rPr>
            <w:rFonts w:ascii="Cambria Math" w:hAnsi="Cambria Math"/>
            <w:sz w:val="19"/>
            <w:szCs w:val="19"/>
          </w:rPr>
          <m:t>ψ</m:t>
        </m:r>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sSub>
              <m:e>
                <m:acc>
                  <m:accPr>
                    <m:chr m:val="‾"/>
                  </m:accPr>
                  <m:e>
                    <m:r>
                      <w:rPr>
                        <w:rFonts w:ascii="Cambria Math" w:hAnsi="Cambria Math"/>
                        <w:sz w:val="19"/>
                        <w:szCs w:val="19"/>
                      </w:rPr>
                      <m:t>a</m:t>
                    </m:r>
                  </m:e>
                </m:acc>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B</m:t>
                </m:r>
              </m:sub>
            </m:sSub>
          </m:e>
        </m:nary>
        <m:r>
          <m:rPr>
            <m:sty m:val="p"/>
          </m:rPr>
          <w:rPr>
            <w:rFonts w:ascii="Cambria Math" w:hAnsi="Cambria Math"/>
            <w:sz w:val="19"/>
            <w:szCs w:val="19"/>
          </w:rPr>
          <m:t>min</m:t>
        </m:r>
        <m:d>
          <m:dPr>
            <m:begChr m:val="("/>
            <m:sepChr m:val=""/>
            <m:endChr m:val=")"/>
            <m:grow/>
          </m:dPr>
          <m:e>
            <m:sSub>
              <m:e>
                <m:r>
                  <w:rPr>
                    <w:rFonts w:ascii="Cambria Math" w:hAnsi="Cambria Math"/>
                    <w:sz w:val="19"/>
                    <w:szCs w:val="19"/>
                  </w:rPr>
                  <m:t>L</m:t>
                </m:r>
              </m:e>
              <m:sub>
                <m:r>
                  <w:rPr>
                    <w:rFonts w:ascii="Cambria Math" w:hAnsi="Cambria Math"/>
                    <w:sz w:val="19"/>
                    <w:szCs w:val="19"/>
                  </w:rPr>
                  <m:t>c</m:t>
                </m:r>
              </m:sub>
            </m:sSub>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e>
        </m:d>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oMath>
      <w:r>
        <w:t xml:space="preserve"> </w:t>
      </w:r>
      <w:r>
        <w:t xml:space="preserve">the deferrable power that can still be paused in B,</w:t>
      </w:r>
      <w:r>
        <w:t xml:space="preserve"> </w:t>
      </w:r>
      <m:oMath>
        <m:sSup>
          <m:e>
            <m:r>
              <w:rPr>
                <w:rFonts w:ascii="Cambria Math" w:hAnsi="Cambria Math"/>
                <w:sz w:val="19"/>
                <w:szCs w:val="19"/>
              </w:rPr>
              <m:t>G</m:t>
            </m:r>
          </m:e>
          <m:sup>
            <m:r>
              <w:rPr>
                <w:rFonts w:ascii="Cambria Math" w:hAnsi="Cambria Math"/>
                <w:sz w:val="19"/>
                <w:szCs w:val="19"/>
              </w:rPr>
              <m:t>f</m:t>
            </m:r>
            <m:r>
              <w:rPr>
                <w:rFonts w:ascii="Cambria Math" w:hAnsi="Cambria Math"/>
                <w:sz w:val="19"/>
                <w:szCs w:val="19"/>
              </w:rPr>
              <m:t>r</m:t>
            </m:r>
            <m:r>
              <w:rPr>
                <w:rFonts w:ascii="Cambria Math" w:hAnsi="Cambria Math"/>
                <w:sz w:val="19"/>
                <w:szCs w:val="19"/>
              </w:rPr>
              <m:t>e</m:t>
            </m:r>
            <m:r>
              <w:rPr>
                <w:rFonts w:ascii="Cambria Math" w:hAnsi="Cambria Math"/>
                <w:sz w:val="19"/>
                <w:szCs w:val="19"/>
              </w:rPr>
              <m:t>e</m:t>
            </m:r>
          </m:sup>
        </m:sSup>
      </m:oMath>
      <w:r>
        <w:t xml:space="preserve"> </w:t>
      </w:r>
      <w:r>
        <w:t xml:space="preserve">the number of GPUs free for catch-up in the interval,</w:t>
      </w:r>
      <w:r>
        <w:t xml:space="preserve"> </w:t>
      </w:r>
      <m:oMath>
        <m:sSup>
          <m:e>
            <m:r>
              <w:rPr>
                <w:rFonts w:ascii="Cambria Math" w:hAnsi="Cambria Math"/>
                <w:sz w:val="19"/>
                <w:szCs w:val="19"/>
              </w:rPr>
              <m:t>W</m:t>
            </m:r>
          </m:e>
          <m:sup>
            <m:r>
              <w:rPr>
                <w:rFonts w:ascii="Cambria Math" w:hAnsi="Cambria Math"/>
                <w:sz w:val="19"/>
                <w:szCs w:val="19"/>
              </w:rPr>
              <m:t>s</m:t>
            </m:r>
            <m:r>
              <w:rPr>
                <w:rFonts w:ascii="Cambria Math" w:hAnsi="Cambria Math"/>
                <w:sz w:val="19"/>
                <w:szCs w:val="19"/>
              </w:rPr>
              <m:t>w</m:t>
            </m:r>
          </m:sup>
        </m:sSup>
      </m:oMath>
      <w:r>
        <w:t xml:space="preserve"> </w:t>
      </w:r>
      <w:r>
        <w:t xml:space="preserve">the work arriving in</w:t>
      </w:r>
      <w:r>
        <w:t xml:space="preserve"> </w:t>
      </w:r>
      <m:oMath>
        <m:r>
          <m:rPr>
            <m:scr m:val="script"/>
            <m:sty m:val="p"/>
          </m:rPr>
          <w:rPr>
            <w:rFonts w:ascii="Cambria Math" w:hAnsi="Cambria Math"/>
            <w:sz w:val="19"/>
            <w:szCs w:val="19"/>
          </w:rPr>
          <m:t>I</m:t>
        </m:r>
      </m:oMath>
      <w:r>
        <w:t xml:space="preserve"> </w:t>
      </w:r>
      <w:r>
        <w:t xml:space="preserve">with a deadline after</w:t>
      </w:r>
      <w:r>
        <w:t xml:space="preserve"> </w:t>
      </w:r>
      <m:oMath>
        <m:sSub>
          <m:e>
            <m:r>
              <w:rPr>
                <w:rFonts w:ascii="Cambria Math" w:hAnsi="Cambria Math"/>
                <w:sz w:val="19"/>
                <w:szCs w:val="19"/>
              </w:rPr>
              <m:t>e</m:t>
            </m:r>
          </m:e>
          <m:sub>
            <m:r>
              <w:rPr>
                <w:rFonts w:ascii="Cambria Math" w:hAnsi="Cambria Math"/>
                <w:sz w:val="19"/>
                <w:szCs w:val="19"/>
              </w:rPr>
              <m:t>B</m:t>
            </m:r>
          </m:sub>
        </m:sSub>
      </m:oMath>
      <w:r>
        <w:t xml:space="preserve">, which earliest-deadline-first execution can swap with due backlog,</w:t>
      </w:r>
      <w:r>
        <w:t xml:space="preserve"> </w:t>
      </w:r>
      <m:oMath>
        <m:r>
          <w:rPr>
            <w:rFonts w:ascii="Cambria Math" w:hAnsi="Cambria Math"/>
            <w:sz w:val="19"/>
            <w:szCs w:val="19"/>
          </w:rPr>
          <m:t>η</m:t>
        </m:r>
      </m:oMath>
      <w:r>
        <w:t xml:space="preserve"> </w:t>
      </w:r>
      <w:r>
        <w:t xml:space="preserve">the round-trip efficiency of recharging and</w:t>
      </w:r>
      <w:r>
        <w:t xml:space="preserve"> </w:t>
      </w:r>
      <m:oMath>
        <m:sSubSup>
          <m:e>
            <m:r>
              <w:rPr>
                <w:rFonts w:ascii="Cambria Math" w:hAnsi="Cambria Math"/>
                <w:sz w:val="19"/>
                <w:szCs w:val="19"/>
              </w:rPr>
              <m:t>Γ</m:t>
            </m:r>
          </m:e>
          <m:sub>
            <m:r>
              <w:rPr>
                <w:rFonts w:ascii="Cambria Math" w:hAnsi="Cambria Math"/>
                <w:sz w:val="19"/>
                <w:szCs w:val="19"/>
              </w:rPr>
              <m:t>B</m:t>
            </m:r>
          </m:sub>
          <m:sup>
            <m:r>
              <w:rPr>
                <w:rFonts w:ascii="Cambria Math" w:hAnsi="Cambria Math"/>
                <w:sz w:val="19"/>
                <w:szCs w:val="19"/>
              </w:rPr>
              <m:t>0</m:t>
            </m:r>
          </m:sup>
        </m:sSubSup>
      </m:oMath>
      <w:r>
        <w:t xml:space="preserve"> </w:t>
      </w:r>
      <w:r>
        <w:t xml:space="preserve">the single-event capability of B.</w:t>
      </w:r>
    </w:p>
    <w:p>
      <w:pPr>
        <w:pStyle w:val="BodyText"/>
      </w:pPr>
      <w:r>
        <w:rPr>
          <w:bCs/>
          <w:b/>
        </w:rPr>
        <w:t xml:space="preserve">Proposition 1 (capability bound of the next event).</w:t>
      </w:r>
      <w:r>
        <w:t xml:space="preserve"> </w:t>
      </w:r>
      <w:r>
        <w:t xml:space="preserve">Under (H1) and (H2), the reduction deliverable in event B satisfies</w:t>
      </w:r>
    </w:p>
    <w:p>
      <w:pPr>
        <w:pStyle w:val="Equation"/>
      </w:pPr>
      <w:r>
        <w:tab/>
      </w:r>
      <m:oMath>
        <m:sSub>
          <m:e>
            <m:r>
              <w:rPr>
                <w:rFonts w:ascii="Cambria Math" w:hAnsi="Cambria Math"/>
                <w:sz w:val="19"/>
                <w:szCs w:val="19"/>
              </w:rPr>
              <m:t>Γ</m:t>
            </m:r>
          </m:e>
          <m:sub>
            <m:r>
              <w:rPr>
                <w:rFonts w:ascii="Cambria Math" w:hAnsi="Cambria Math"/>
                <w:sz w:val="19"/>
                <w:szCs w:val="19"/>
              </w:rPr>
              <m:t>B</m:t>
            </m:r>
          </m:sub>
        </m:sSub>
        <m:r>
          <m:rPr>
            <m:sty m:val="p"/>
          </m:rPr>
          <w:rPr>
            <w:rFonts w:ascii="Cambria Math" w:hAnsi="Cambria Math"/>
            <w:sz w:val="19"/>
            <w:szCs w:val="19"/>
          </w:rPr>
          <m:t>≤</m:t>
        </m:r>
        <m:r>
          <m:rPr>
            <m:sty m:val="p"/>
          </m:rPr>
          <w:rPr>
            <w:rFonts w:ascii="Cambria Math" w:hAnsi="Cambria Math"/>
            <w:sz w:val="19"/>
            <w:szCs w:val="19"/>
          </w:rPr>
          <m:t>min</m:t>
        </m:r>
        <m:d>
          <m:dPr>
            <m:begChr m:val="{"/>
            <m:sepChr m:val=""/>
            <m:endChr m:val="}"/>
            <m:grow/>
          </m:dPr>
          <m:e>
            <m:sSubSup>
              <m:e>
                <m:r>
                  <w:rPr>
                    <w:rFonts w:ascii="Cambria Math" w:hAnsi="Cambria Math"/>
                    <w:sz w:val="19"/>
                    <w:szCs w:val="19"/>
                  </w:rPr>
                  <m:t>Γ</m:t>
                </m:r>
              </m:e>
              <m:sub>
                <m:r>
                  <w:rPr>
                    <w:rFonts w:ascii="Cambria Math" w:hAnsi="Cambria Math"/>
                    <w:sz w:val="19"/>
                    <w:szCs w:val="19"/>
                  </w:rPr>
                  <m:t>B</m:t>
                </m:r>
              </m:sub>
              <m:sup>
                <m:r>
                  <w:rPr>
                    <w:rFonts w:ascii="Cambria Math" w:hAnsi="Cambria Math"/>
                    <w:sz w:val="19"/>
                    <w:szCs w:val="19"/>
                  </w:rPr>
                  <m:t>0</m:t>
                </m:r>
              </m:sup>
            </m:sSubSup>
            <m:r>
              <m:rPr>
                <m:sty m:val="p"/>
              </m:rPr>
              <w:rPr>
                <w:rFonts w:ascii="Cambria Math" w:hAnsi="Cambria Math"/>
                <w:sz w:val="19"/>
                <w:szCs w:val="19"/>
              </w:rPr>
              <m:t>,</m:t>
            </m:r>
            <m:r>
              <w:rPr>
                <w:rFonts w:ascii="Cambria Math" w:hAnsi="Cambria Math"/>
                <w:sz w:val="19"/>
                <w:szCs w:val="19"/>
              </w:rPr>
              <m:t> </m:t>
            </m:r>
            <m:sSup>
              <m:e>
                <m:r>
                  <w:rPr>
                    <w:rFonts w:ascii="Cambria Math" w:hAnsi="Cambria Math"/>
                    <w:sz w:val="19"/>
                    <w:szCs w:val="19"/>
                  </w:rPr>
                  <m:t>Γ</m:t>
                </m:r>
              </m:e>
              <m:sup>
                <m:r>
                  <w:rPr>
                    <w:rFonts w:ascii="Cambria Math" w:hAnsi="Cambria Math"/>
                    <w:sz w:val="19"/>
                    <w:szCs w:val="19"/>
                  </w:rPr>
                  <m:t>E</m:t>
                </m:r>
              </m:sup>
            </m:sSup>
            <m:r>
              <m:rPr>
                <m:sty m:val="p"/>
              </m:rPr>
              <w:rPr>
                <w:rFonts w:ascii="Cambria Math" w:hAnsi="Cambria Math"/>
                <w:sz w:val="19"/>
                <w:szCs w:val="19"/>
              </w:rPr>
              <m:t>,</m:t>
            </m:r>
            <m:r>
              <w:rPr>
                <w:rFonts w:ascii="Cambria Math" w:hAnsi="Cambria Math"/>
                <w:sz w:val="19"/>
                <w:szCs w:val="19"/>
              </w:rPr>
              <m:t> </m:t>
            </m:r>
            <m:sSup>
              <m:e>
                <m:r>
                  <w:rPr>
                    <w:rFonts w:ascii="Cambria Math" w:hAnsi="Cambria Math"/>
                    <w:sz w:val="19"/>
                    <w:szCs w:val="19"/>
                  </w:rPr>
                  <m:t>Γ</m:t>
                </m:r>
              </m:e>
              <m:sup>
                <m:r>
                  <w:rPr>
                    <w:rFonts w:ascii="Cambria Math" w:hAnsi="Cambria Math"/>
                    <w:sz w:val="19"/>
                    <w:szCs w:val="19"/>
                  </w:rPr>
                  <m:t>P</m:t>
                </m:r>
              </m:sup>
            </m:sSup>
          </m:e>
        </m:d>
        <m:r>
          <m:rPr>
            <m:sty m:val="p"/>
          </m:rPr>
          <w:rPr>
            <w:rFonts w:ascii="Cambria Math" w:hAnsi="Cambria Math"/>
            <w:sz w:val="19"/>
            <w:szCs w:val="19"/>
          </w:rPr>
          <m:t>,</m:t>
        </m:r>
      </m:oMath>
      <w:r>
        <w:tab/>
      </w:r>
      <w:r>
        <w:t xml:space="preserve">(38)</w:t>
      </w:r>
    </w:p>
    <w:p>
      <w:pPr>
        <w:pStyle w:val="BodyText"/>
      </w:pPr>
      <w:r>
        <w:t xml:space="preserve">with the energy bound</w:t>
      </w:r>
    </w:p>
    <w:p>
      <w:pPr>
        <w:pStyle w:val="Equation"/>
      </w:pPr>
      <w:r>
        <w:tab/>
      </w:r>
      <m:oMath>
        <m:sSup>
          <m:e>
            <m:r>
              <w:rPr>
                <w:rFonts w:ascii="Cambria Math" w:hAnsi="Cambria Math"/>
                <w:sz w:val="19"/>
                <w:szCs w:val="19"/>
              </w:rPr>
              <m:t>Γ</m:t>
            </m:r>
          </m:e>
          <m:sup>
            <m:r>
              <w:rPr>
                <w:rFonts w:ascii="Cambria Math" w:hAnsi="Cambria Math"/>
                <w:sz w:val="19"/>
                <w:szCs w:val="19"/>
              </w:rPr>
              <m:t>E</m:t>
            </m:r>
          </m:sup>
        </m:sSup>
        <m:r>
          <m:rPr>
            <m:sty m:val="p"/>
          </m:rPr>
          <w:rPr>
            <w:rFonts w:ascii="Cambria Math" w:hAnsi="Cambria Math"/>
            <w:sz w:val="19"/>
            <w:szCs w:val="19"/>
          </w:rPr>
          <m:t>=</m:t>
        </m:r>
        <m:f>
          <m:fPr>
            <m:type m:val="bar"/>
          </m:fPr>
          <m:num>
            <m:sSub>
              <m:e>
                <m:acc>
                  <m:accPr>
                    <m:chr m:val="‾"/>
                  </m:accPr>
                  <m:e>
                    <m:r>
                      <w:rPr>
                        <w:rFonts w:ascii="Cambria Math" w:hAnsi="Cambria Math"/>
                        <w:sz w:val="19"/>
                        <w:szCs w:val="19"/>
                      </w:rPr>
                      <m:t>X</m:t>
                    </m:r>
                  </m:e>
                </m:acc>
              </m:e>
              <m:sub>
                <m:r>
                  <w:rPr>
                    <w:rFonts w:ascii="Cambria Math" w:hAnsi="Cambria Math"/>
                    <w:sz w:val="19"/>
                    <w:szCs w:val="19"/>
                  </w:rPr>
                  <m:t>B</m:t>
                </m:r>
              </m:sub>
            </m:sSub>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A</m:t>
                </m:r>
              </m:sub>
            </m:sSub>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s</m:t>
                </m:r>
              </m:sub>
            </m:sSub>
            <m:r>
              <m:rPr>
                <m:sty m:val="p"/>
              </m:rPr>
              <w:rPr>
                <w:rFonts w:ascii="Cambria Math" w:hAnsi="Cambria Math"/>
                <w:sz w:val="19"/>
                <w:szCs w:val="19"/>
              </w:rPr>
              <m:t>+</m:t>
            </m:r>
            <m:sSup>
              <m:e>
                <m:r>
                  <w:rPr>
                    <w:rFonts w:ascii="Cambria Math" w:hAnsi="Cambria Math"/>
                    <w:sz w:val="19"/>
                    <w:szCs w:val="19"/>
                  </w:rPr>
                  <m:t>H</m:t>
                </m:r>
              </m:e>
              <m:sup>
                <m:r>
                  <w:rPr>
                    <w:rFonts w:ascii="Cambria Math" w:hAnsi="Cambria Math"/>
                    <w:sz w:val="19"/>
                    <w:szCs w:val="19"/>
                  </w:rPr>
                  <m:t>e</m:t>
                </m:r>
                <m:r>
                  <w:rPr>
                    <w:rFonts w:ascii="Cambria Math" w:hAnsi="Cambria Math"/>
                    <w:sz w:val="19"/>
                    <w:szCs w:val="19"/>
                  </w:rPr>
                  <m:t>f</m:t>
                </m:r>
                <m:r>
                  <w:rPr>
                    <w:rFonts w:ascii="Cambria Math" w:hAnsi="Cambria Math"/>
                    <w:sz w:val="19"/>
                    <w:szCs w:val="19"/>
                  </w:rPr>
                  <m:t>f</m:t>
                </m:r>
              </m:sup>
            </m:sSup>
          </m:num>
          <m:den>
            <m:sSub>
              <m:e>
                <m:r>
                  <w:rPr>
                    <w:rFonts w:ascii="Cambria Math" w:hAnsi="Cambria Math"/>
                    <w:sz w:val="19"/>
                    <w:szCs w:val="19"/>
                  </w:rPr>
                  <m:t>D</m:t>
                </m:r>
              </m:e>
              <m:sub>
                <m:r>
                  <w:rPr>
                    <w:rFonts w:ascii="Cambria Math" w:hAnsi="Cambria Math"/>
                    <w:sz w:val="19"/>
                    <w:szCs w:val="19"/>
                  </w:rPr>
                  <m:t>B</m:t>
                </m:r>
              </m:sub>
            </m:sSub>
          </m:den>
        </m:f>
        <m:r>
          <m:rPr>
            <m:sty m:val="p"/>
          </m:rPr>
          <w:rPr>
            <w:rFonts w:ascii="Cambria Math" w:hAnsi="Cambria Math"/>
            <w:sz w:val="19"/>
            <w:szCs w:val="19"/>
          </w:rPr>
          <m:t>+</m:t>
        </m:r>
        <m:r>
          <w:rPr>
            <w:rFonts w:ascii="Cambria Math" w:hAnsi="Cambria Math"/>
            <w:sz w:val="19"/>
            <w:szCs w:val="19"/>
          </w:rPr>
          <m:t>g</m:t>
        </m:r>
        <m:r>
          <m:rPr>
            <m:sty m:val="p"/>
          </m:rPr>
          <w:rPr>
            <w:rFonts w:ascii="Cambria Math" w:hAnsi="Cambria Math"/>
            <w:sz w:val="19"/>
            <w:szCs w:val="19"/>
          </w:rPr>
          <m:t>,</m:t>
        </m:r>
      </m:oMath>
      <w:r>
        <w:tab/>
      </w:r>
      <w:r>
        <w:t xml:space="preserve">(39)</w:t>
      </w:r>
    </w:p>
    <w:p>
      <w:pPr>
        <w:pStyle w:val="BodyText"/>
      </w:pPr>
      <w:r>
        <w:t xml:space="preserve">in which the effective channel</w:t>
      </w:r>
    </w:p>
    <w:p>
      <w:pPr>
        <w:pStyle w:val="Equation"/>
      </w:pPr>
      <w:r>
        <w:tab/>
      </w:r>
      <m:oMath>
        <m:sSup>
          <m:e>
            <m:r>
              <w:rPr>
                <w:rFonts w:ascii="Cambria Math" w:hAnsi="Cambria Math"/>
                <w:sz w:val="19"/>
                <w:szCs w:val="19"/>
              </w:rPr>
              <m:t>H</m:t>
            </m:r>
          </m:e>
          <m:sup>
            <m:r>
              <w:rPr>
                <w:rFonts w:ascii="Cambria Math" w:hAnsi="Cambria Math"/>
                <w:sz w:val="19"/>
                <w:szCs w:val="19"/>
              </w:rPr>
              <m:t>e</m:t>
            </m:r>
            <m:r>
              <w:rPr>
                <w:rFonts w:ascii="Cambria Math" w:hAnsi="Cambria Math"/>
                <w:sz w:val="19"/>
                <w:szCs w:val="19"/>
              </w:rPr>
              <m:t>f</m:t>
            </m:r>
            <m:r>
              <w:rPr>
                <w:rFonts w:ascii="Cambria Math" w:hAnsi="Cambria Math"/>
                <w:sz w:val="19"/>
                <w:szCs w:val="19"/>
              </w:rPr>
              <m:t>f</m:t>
            </m:r>
          </m:sup>
        </m:sSup>
        <m:r>
          <m:rPr>
            <m:sty m:val="p"/>
          </m:rPr>
          <w:rPr>
            <w:rFonts w:ascii="Cambria Math" w:hAnsi="Cambria Math"/>
            <w:sz w:val="19"/>
            <w:szCs w:val="19"/>
          </w:rPr>
          <m:t>=</m:t>
        </m:r>
        <m:d>
          <m:dPr>
            <m:begChr m:val="{"/>
            <m:sepChr m:val=""/>
            <m:endChr m:val=""/>
            <m:grow/>
          </m:dPr>
          <m:e>
            <m:m>
              <m:mPr>
                <m:baseJc m:val="center"/>
                <m:plcHide m:val="on"/>
                <m:mcs>
                  <m:mc>
                    <m:mcPr>
                      <m:count m:val="1"/>
                      <m:mcJc m:val="left"/>
                    </m:mcPr>
                  </m:mc>
                  <m:mc>
                    <m:mcPr>
                      <m:count m:val="1"/>
                      <m:mcJc m:val="left"/>
                    </m:mcPr>
                  </m:mc>
                </m:mcs>
              </m:mPr>
              <m:mr>
                <m:e>
                  <m:r>
                    <w:rPr>
                      <w:rFonts w:ascii="Cambria Math" w:hAnsi="Cambria Math"/>
                      <w:sz w:val="19"/>
                      <w:szCs w:val="19"/>
                    </w:rPr>
                    <m:t>H</m:t>
                  </m:r>
                  <m:r>
                    <m:rPr>
                      <m:sty m:val="p"/>
                    </m:rPr>
                    <w:rPr>
                      <w:rFonts w:ascii="Cambria Math" w:hAnsi="Cambria Math"/>
                      <w:sz w:val="19"/>
                      <w:szCs w:val="19"/>
                    </w:rPr>
                    <m:t>,</m:t>
                  </m:r>
                </m:e>
                <m:e>
                  <m:r>
                    <w:rPr>
                      <w:rFonts w:ascii="Cambria Math" w:hAnsi="Cambria Math"/>
                      <w:sz w:val="19"/>
                      <w:szCs w:val="19"/>
                    </w:rPr>
                    <m:t>H</m:t>
                  </m:r>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A</m:t>
                      </m:r>
                    </m:sub>
                  </m:sSub>
                  <m:r>
                    <m:rPr>
                      <m:sty m:val="p"/>
                    </m:rPr>
                    <w:rPr>
                      <w:rFonts w:ascii="Cambria Math" w:hAnsi="Cambria Math"/>
                      <w:sz w:val="19"/>
                      <w:szCs w:val="19"/>
                    </w:rPr>
                    <m:t>,</m:t>
                  </m:r>
                </m:e>
              </m:mr>
              <m:mr>
                <m:e>
                  <m:sSub>
                    <m:e>
                      <m:r>
                        <w:rPr>
                          <w:rFonts w:ascii="Cambria Math" w:hAnsi="Cambria Math"/>
                          <w:sz w:val="19"/>
                          <w:szCs w:val="19"/>
                        </w:rPr>
                        <m:t>X</m:t>
                      </m:r>
                    </m:e>
                    <m:sub>
                      <m:r>
                        <w:rPr>
                          <w:rFonts w:ascii="Cambria Math" w:hAnsi="Cambria Math"/>
                          <w:sz w:val="19"/>
                          <w:szCs w:val="19"/>
                        </w:rPr>
                        <m:t>A</m:t>
                      </m:r>
                    </m:sub>
                  </m:sSub>
                  <m:r>
                    <m:rPr>
                      <m:sty m:val="p"/>
                    </m:rPr>
                    <w:rPr>
                      <w:rFonts w:ascii="Cambria Math" w:hAnsi="Cambria Math"/>
                      <w:sz w:val="19"/>
                      <w:szCs w:val="19"/>
                    </w:rPr>
                    <m:t>+</m:t>
                  </m:r>
                  <m:r>
                    <w:rPr>
                      <w:rFonts w:ascii="Cambria Math" w:hAnsi="Cambria Math"/>
                      <w:sz w:val="19"/>
                      <w:szCs w:val="19"/>
                    </w:rPr>
                    <m:t>η</m:t>
                  </m:r>
                  <m:r>
                    <w:rPr>
                      <w:rFonts w:ascii="Cambria Math" w:hAnsi="Cambria Math"/>
                      <w:sz w:val="19"/>
                      <w:szCs w:val="19"/>
                    </w:rPr>
                    <m:t> </m:t>
                  </m:r>
                  <m:d>
                    <m:dPr>
                      <m:begChr m:val="("/>
                      <m:sepChr m:val=""/>
                      <m:endChr m:val=")"/>
                      <m:grow/>
                    </m:dPr>
                    <m:e>
                      <m:r>
                        <w:rPr>
                          <w:rFonts w:ascii="Cambria Math" w:hAnsi="Cambria Math"/>
                          <w:sz w:val="19"/>
                          <w:szCs w:val="19"/>
                        </w:rPr>
                        <m:t>H</m:t>
                      </m:r>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A</m:t>
                          </m:r>
                        </m:sub>
                      </m:sSub>
                    </m:e>
                  </m:d>
                  <m:r>
                    <m:rPr>
                      <m:sty m:val="p"/>
                    </m:rPr>
                    <w:rPr>
                      <w:rFonts w:ascii="Cambria Math" w:hAnsi="Cambria Math"/>
                      <w:sz w:val="19"/>
                      <w:szCs w:val="19"/>
                    </w:rPr>
                    <m:t>,</m:t>
                  </m:r>
                </m:e>
                <m:e>
                  <m:r>
                    <w:rPr>
                      <w:rFonts w:ascii="Cambria Math" w:hAnsi="Cambria Math"/>
                      <w:sz w:val="19"/>
                      <w:szCs w:val="19"/>
                    </w:rPr>
                    <m:t>H</m:t>
                  </m:r>
                  <m:r>
                    <m:rPr>
                      <m:sty m:val="p"/>
                    </m:rPr>
                    <w:rPr>
                      <w:rFonts w:ascii="Cambria Math" w:hAnsi="Cambria Math"/>
                      <w:sz w:val="19"/>
                      <w:szCs w:val="19"/>
                    </w:rPr>
                    <m:t>&gt;</m:t>
                  </m:r>
                  <m:sSub>
                    <m:e>
                      <m:r>
                        <w:rPr>
                          <w:rFonts w:ascii="Cambria Math" w:hAnsi="Cambria Math"/>
                          <w:sz w:val="19"/>
                          <w:szCs w:val="19"/>
                        </w:rPr>
                        <m:t>X</m:t>
                      </m:r>
                    </m:e>
                    <m:sub>
                      <m:r>
                        <w:rPr>
                          <w:rFonts w:ascii="Cambria Math" w:hAnsi="Cambria Math"/>
                          <w:sz w:val="19"/>
                          <w:szCs w:val="19"/>
                        </w:rPr>
                        <m:t>A</m:t>
                      </m:r>
                    </m:sub>
                  </m:sSub>
                </m:e>
              </m:mr>
            </m:m>
          </m:e>
        </m:d>
      </m:oMath>
      <w:r>
        <w:tab/>
      </w:r>
      <w:r>
        <w:t xml:space="preserve">(40)</w:t>
      </w:r>
    </w:p>
    <w:p>
      <w:pPr>
        <w:pStyle w:val="BodyText"/>
      </w:pPr>
      <w:r>
        <w:t xml:space="preserve">credits catch-up one to one and recharge at the round-trip efficiency, and the power bound</w:t>
      </w:r>
    </w:p>
    <w:p>
      <w:pPr>
        <w:pStyle w:val="Equation"/>
      </w:pPr>
      <w:r>
        <w:tab/>
      </w:r>
      <m:oMath>
        <m:m>
          <m:mPr>
            <m:baseJc m:val="center"/>
            <m:plcHide m:val="on"/>
            <m:mcs>
              <m:mc>
                <m:mcPr>
                  <m:count m:val="1"/>
                  <m:mcJc m:val="right"/>
                </m:mcPr>
              </m:mc>
              <m:mc>
                <m:mcPr>
                  <m:count m:val="1"/>
                  <m:mcJc m:val="left"/>
                </m:mcPr>
              </m:mc>
            </m:mcs>
          </m:mPr>
          <m:mr>
            <m:e>
              <m:sSup>
                <m:e>
                  <m:r>
                    <w:rPr>
                      <w:rFonts w:ascii="Cambria Math" w:hAnsi="Cambria Math"/>
                      <w:sz w:val="19"/>
                      <w:szCs w:val="19"/>
                    </w:rPr>
                    <m:t>Γ</m:t>
                  </m:r>
                </m:e>
                <m:sup>
                  <m:r>
                    <w:rPr>
                      <w:rFonts w:ascii="Cambria Math" w:hAnsi="Cambria Math"/>
                      <w:sz w:val="19"/>
                      <w:szCs w:val="19"/>
                    </w:rPr>
                    <m:t>P</m:t>
                  </m:r>
                </m:sup>
              </m:sSup>
              <m:r>
                <m:rPr>
                  <m:sty m:val="p"/>
                </m:rPr>
                <w:rPr>
                  <w:rFonts w:ascii="Cambria Math" w:hAnsi="Cambria Math"/>
                  <w:sz w:val="19"/>
                  <w:szCs w:val="19"/>
                </w:rPr>
                <m:t>=</m:t>
              </m:r>
              <m:sSub>
                <m:e>
                  <m:r>
                    <m:rPr>
                      <m:sty m:val="p"/>
                    </m:rPr>
                    <w:rPr>
                      <w:rFonts w:ascii="Cambria Math" w:hAnsi="Cambria Math"/>
                      <w:sz w:val="19"/>
                      <w:szCs w:val="19"/>
                    </w:rPr>
                    <m:t>max</m:t>
                  </m:r>
                </m:e>
                <m:sub>
                  <m:d>
                    <m:dPr>
                      <m:begChr m:val="("/>
                      <m:sepChr m:val=""/>
                      <m:endChr m:val=")"/>
                      <m:grow/>
                    </m:dPr>
                    <m:e>
                      <m:sSub>
                        <m:e>
                          <m:r>
                            <w:rPr>
                              <w:rFonts w:ascii="Cambria Math" w:hAnsi="Cambria Math"/>
                              <w:sz w:val="19"/>
                              <w:szCs w:val="19"/>
                            </w:rPr>
                            <m:t>H</m:t>
                          </m:r>
                        </m:e>
                        <m:sub>
                          <m:r>
                            <w:rPr>
                              <w:rFonts w:ascii="Cambria Math" w:hAnsi="Cambria Math"/>
                              <w:sz w:val="19"/>
                              <w:szCs w:val="19"/>
                            </w:rPr>
                            <m:t>c</m:t>
                          </m:r>
                        </m:sub>
                      </m:sSub>
                      <m:r>
                        <m:rPr>
                          <m:sty m:val="p"/>
                        </m:rPr>
                        <w:rPr>
                          <w:rFonts w:ascii="Cambria Math" w:hAnsi="Cambria Math"/>
                          <w:sz w:val="19"/>
                          <w:szCs w:val="19"/>
                        </w:rPr>
                        <m:t>,</m:t>
                      </m:r>
                      <m:sSub>
                        <m:e>
                          <m:r>
                            <w:rPr>
                              <w:rFonts w:ascii="Cambria Math" w:hAnsi="Cambria Math"/>
                              <w:sz w:val="19"/>
                              <w:szCs w:val="19"/>
                            </w:rPr>
                            <m:t>H</m:t>
                          </m:r>
                        </m:e>
                        <m:sub>
                          <m:r>
                            <w:rPr>
                              <w:rFonts w:ascii="Cambria Math" w:hAnsi="Cambria Math"/>
                              <w:sz w:val="19"/>
                              <w:szCs w:val="19"/>
                            </w:rPr>
                            <m:t>s</m:t>
                          </m:r>
                        </m:sub>
                      </m:sSub>
                    </m:e>
                  </m:d>
                  <m:r>
                    <m:rPr>
                      <m:sty m:val="p"/>
                    </m:rPr>
                    <w:rPr>
                      <w:rFonts w:ascii="Cambria Math" w:hAnsi="Cambria Math"/>
                      <w:sz w:val="19"/>
                      <w:szCs w:val="19"/>
                    </w:rPr>
                    <m:t>∈</m:t>
                  </m:r>
                  <m:r>
                    <m:rPr>
                      <m:scr m:val="script"/>
                      <m:sty m:val="p"/>
                    </m:rPr>
                    <w:rPr>
                      <w:rFonts w:ascii="Cambria Math" w:hAnsi="Cambria Math"/>
                      <w:sz w:val="19"/>
                      <w:szCs w:val="19"/>
                    </w:rPr>
                    <m:t>H</m:t>
                  </m:r>
                </m:sub>
              </m:sSub>
              <m:r>
                <m:rPr>
                  <m:sty m:val="p"/>
                </m:rPr>
                <w:rPr>
                  <w:rFonts w:ascii="Cambria Math" w:hAnsi="Cambria Math"/>
                  <w:sz w:val="19"/>
                  <w:szCs w:val="19"/>
                </w:rPr>
                <m:t>{</m:t>
              </m:r>
            </m:e>
            <m:e>
              <m:sSub>
                <m:e>
                  <m:r>
                    <w:rPr>
                      <w:rFonts w:ascii="Cambria Math" w:hAnsi="Cambria Math"/>
                      <w:sz w:val="19"/>
                      <w:szCs w:val="19"/>
                    </w:rPr>
                    <m:t>p</m:t>
                  </m:r>
                </m:e>
                <m:sub>
                  <m:r>
                    <w:rPr>
                      <w:rFonts w:ascii="Cambria Math" w:hAnsi="Cambria Math"/>
                      <w:sz w:val="19"/>
                      <w:szCs w:val="19"/>
                    </w:rPr>
                    <m:t>f</m:t>
                  </m:r>
                </m:sub>
              </m:sSub>
              <m:r>
                <m:rPr>
                  <m:sty m:val="p"/>
                </m:rPr>
                <w:rPr>
                  <w:rFonts w:ascii="Cambria Math" w:hAnsi="Cambria Math"/>
                  <w:sz w:val="19"/>
                  <w:szCs w:val="19"/>
                </w:rPr>
                <m:t>−</m:t>
              </m:r>
              <m:f>
                <m:fPr>
                  <m:type m:val="bar"/>
                </m:fPr>
                <m:num>
                  <m:r>
                    <m:rPr>
                      <m:sty m:val="p"/>
                    </m:rPr>
                    <w:rPr>
                      <w:rFonts w:ascii="Cambria Math" w:hAnsi="Cambria Math"/>
                      <w:sz w:val="19"/>
                      <w:szCs w:val="19"/>
                    </w:rPr>
                    <m:t>max</m:t>
                  </m:r>
                  <m:r>
                    <m:rPr>
                      <m:sty m:val="p"/>
                    </m:rPr>
                    <w:rPr>
                      <w:rFonts w:ascii="Cambria Math" w:hAnsi="Cambria Math"/>
                      <w:sz w:val="19"/>
                      <w:szCs w:val="19"/>
                    </w:rPr>
                    <m:t>{</m:t>
                  </m:r>
                  <m:sSubSup>
                    <m:e>
                      <m:r>
                        <w:rPr>
                          <w:rFonts w:ascii="Cambria Math" w:hAnsi="Cambria Math"/>
                          <w:sz w:val="19"/>
                          <w:szCs w:val="19"/>
                        </w:rPr>
                        <m:t>X</m:t>
                      </m:r>
                    </m:e>
                    <m:sub>
                      <m:r>
                        <w:rPr>
                          <w:rFonts w:ascii="Cambria Math" w:hAnsi="Cambria Math"/>
                          <w:sz w:val="19"/>
                          <w:szCs w:val="19"/>
                        </w:rPr>
                        <m:t>A</m:t>
                      </m:r>
                    </m:sub>
                    <m:sup>
                      <m:r>
                        <w:rPr>
                          <w:rFonts w:ascii="Cambria Math" w:hAnsi="Cambria Math"/>
                          <w:sz w:val="19"/>
                          <w:szCs w:val="19"/>
                        </w:rPr>
                        <m:t>d</m:t>
                      </m:r>
                      <m:r>
                        <w:rPr>
                          <w:rFonts w:ascii="Cambria Math" w:hAnsi="Cambria Math"/>
                          <w:sz w:val="19"/>
                          <w:szCs w:val="19"/>
                        </w:rPr>
                        <m:t>u</m:t>
                      </m:r>
                      <m:r>
                        <w:rPr>
                          <w:rFonts w:ascii="Cambria Math" w:hAnsi="Cambria Math"/>
                          <w:sz w:val="19"/>
                          <w:szCs w:val="19"/>
                        </w:rPr>
                        <m:t>e</m:t>
                      </m:r>
                    </m:sup>
                  </m:sSubSup>
                  <m:r>
                    <m:rPr>
                      <m:sty m:val="p"/>
                    </m:rPr>
                    <w:rPr>
                      <w:rFonts w:ascii="Cambria Math" w:hAnsi="Cambria Math"/>
                      <w:sz w:val="19"/>
                      <w:szCs w:val="19"/>
                    </w:rPr>
                    <m:t>−</m:t>
                  </m:r>
                  <m:sSub>
                    <m:e>
                      <m:r>
                        <w:rPr>
                          <w:rFonts w:ascii="Cambria Math" w:hAnsi="Cambria Math"/>
                          <w:sz w:val="19"/>
                          <w:szCs w:val="19"/>
                        </w:rPr>
                        <m:t>H</m:t>
                      </m:r>
                    </m:e>
                    <m:sub>
                      <m:r>
                        <w:rPr>
                          <w:rFonts w:ascii="Cambria Math" w:hAnsi="Cambria Math"/>
                          <w:sz w:val="19"/>
                          <w:szCs w:val="19"/>
                        </w:rPr>
                        <m:t>c</m:t>
                      </m:r>
                    </m:sub>
                  </m:sSub>
                  <m:r>
                    <m:rPr>
                      <m:sty m:val="p"/>
                    </m:rPr>
                    <w:rPr>
                      <w:rFonts w:ascii="Cambria Math" w:hAnsi="Cambria Math"/>
                      <w:sz w:val="19"/>
                      <w:szCs w:val="19"/>
                    </w:rPr>
                    <m:t>−</m:t>
                  </m:r>
                  <m:sSup>
                    <m:e>
                      <m:r>
                        <w:rPr>
                          <w:rFonts w:ascii="Cambria Math" w:hAnsi="Cambria Math"/>
                          <w:sz w:val="19"/>
                          <w:szCs w:val="19"/>
                        </w:rPr>
                        <m:t>W</m:t>
                      </m:r>
                    </m:e>
                    <m:sup>
                      <m:r>
                        <w:rPr>
                          <w:rFonts w:ascii="Cambria Math" w:hAnsi="Cambria Math"/>
                          <w:sz w:val="19"/>
                          <w:szCs w:val="19"/>
                        </w:rPr>
                        <m:t>s</m:t>
                      </m:r>
                      <m:r>
                        <w:rPr>
                          <w:rFonts w:ascii="Cambria Math" w:hAnsi="Cambria Math"/>
                          <w:sz w:val="19"/>
                          <w:szCs w:val="19"/>
                        </w:rPr>
                        <m:t>w</m:t>
                      </m:r>
                    </m:sup>
                  </m:sSup>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num>
                <m:den>
                  <m:sSub>
                    <m:e>
                      <m:r>
                        <w:rPr>
                          <w:rFonts w:ascii="Cambria Math" w:hAnsi="Cambria Math"/>
                          <w:sz w:val="19"/>
                          <w:szCs w:val="19"/>
                        </w:rPr>
                        <m:t>D</m:t>
                      </m:r>
                    </m:e>
                    <m:sub>
                      <m:r>
                        <w:rPr>
                          <w:rFonts w:ascii="Cambria Math" w:hAnsi="Cambria Math"/>
                          <w:sz w:val="19"/>
                          <w:szCs w:val="19"/>
                        </w:rPr>
                        <m:t>B</m:t>
                      </m:r>
                    </m:sub>
                  </m:sSub>
                </m:den>
              </m:f>
            </m:e>
          </m:mr>
          <m:mr>
            <m:e/>
            <m:e>
              <m:r>
                <m:rPr>
                  <m:sty m:val="p"/>
                </m:rPr>
                <w:rPr>
                  <w:rFonts w:ascii="Cambria Math" w:hAnsi="Cambria Math"/>
                  <w:sz w:val="19"/>
                  <w:szCs w:val="19"/>
                </w:rPr>
                <m:t>+</m:t>
              </m:r>
              <m:r>
                <m:rPr>
                  <m:sty m:val="p"/>
                </m:rPr>
                <w:rPr>
                  <w:rFonts w:ascii="Cambria Math" w:hAnsi="Cambria Math"/>
                  <w:sz w:val="19"/>
                  <w:szCs w:val="19"/>
                </w:rPr>
                <m:t>min</m:t>
              </m:r>
              <m:d>
                <m:dPr>
                  <m:begChr m:val="("/>
                  <m:sepChr m:val=""/>
                  <m:endChr m:val=")"/>
                  <m:grow/>
                </m:dPr>
                <m:e>
                  <m:sSub>
                    <m:e>
                      <m:r>
                        <w:rPr>
                          <w:rFonts w:ascii="Cambria Math" w:hAnsi="Cambria Math"/>
                          <w:sz w:val="19"/>
                          <w:szCs w:val="19"/>
                        </w:rPr>
                        <m:t>P</m:t>
                      </m:r>
                    </m:e>
                    <m:sub>
                      <m:r>
                        <w:rPr>
                          <w:rFonts w:ascii="Cambria Math" w:hAnsi="Cambria Math"/>
                          <w:sz w:val="19"/>
                          <w:szCs w:val="19"/>
                        </w:rPr>
                        <m:t>s</m:t>
                      </m:r>
                    </m:sub>
                  </m:sSub>
                  <m:r>
                    <m:rPr>
                      <m:sty m:val="p"/>
                    </m:rPr>
                    <w:rPr>
                      <w:rFonts w:ascii="Cambria Math" w:hAnsi="Cambria Math"/>
                      <w:sz w:val="19"/>
                      <w:szCs w:val="19"/>
                    </w:rPr>
                    <m:t>,</m:t>
                  </m:r>
                  <m:r>
                    <w:rPr>
                      <w:rFonts w:ascii="Cambria Math" w:hAnsi="Cambria Math"/>
                      <w:sz w:val="19"/>
                      <w:szCs w:val="19"/>
                    </w:rPr>
                    <m:t> </m:t>
                  </m:r>
                  <m:f>
                    <m:fPr>
                      <m:type m:val="bar"/>
                    </m:fPr>
                    <m:num>
                      <m:sSub>
                        <m:e>
                          <m:r>
                            <w:rPr>
                              <w:rFonts w:ascii="Cambria Math" w:hAnsi="Cambria Math"/>
                              <w:sz w:val="19"/>
                              <w:szCs w:val="19"/>
                            </w:rPr>
                            <m:t>E</m:t>
                          </m:r>
                        </m:e>
                        <m:sub>
                          <m:r>
                            <w:rPr>
                              <w:rFonts w:ascii="Cambria Math" w:hAnsi="Cambria Math"/>
                              <w:sz w:val="19"/>
                              <w:szCs w:val="19"/>
                            </w:rPr>
                            <m:t>s</m:t>
                          </m:r>
                        </m:sub>
                      </m:sSub>
                      <m:r>
                        <m:rPr>
                          <m:sty m:val="p"/>
                        </m:rPr>
                        <w:rPr>
                          <w:rFonts w:ascii="Cambria Math" w:hAnsi="Cambria Math"/>
                          <w:sz w:val="19"/>
                          <w:szCs w:val="19"/>
                        </w:rPr>
                        <m:t>+</m:t>
                      </m:r>
                      <m:r>
                        <w:rPr>
                          <w:rFonts w:ascii="Cambria Math" w:hAnsi="Cambria Math"/>
                          <w:sz w:val="19"/>
                          <w:szCs w:val="19"/>
                        </w:rPr>
                        <m:t>η</m:t>
                      </m:r>
                      <m:sSub>
                        <m:e>
                          <m:r>
                            <w:rPr>
                              <w:rFonts w:ascii="Cambria Math" w:hAnsi="Cambria Math"/>
                              <w:sz w:val="19"/>
                              <w:szCs w:val="19"/>
                            </w:rPr>
                            <m:t>H</m:t>
                          </m:r>
                        </m:e>
                        <m:sub>
                          <m:r>
                            <w:rPr>
                              <w:rFonts w:ascii="Cambria Math" w:hAnsi="Cambria Math"/>
                              <w:sz w:val="19"/>
                              <w:szCs w:val="19"/>
                            </w:rPr>
                            <m:t>s</m:t>
                          </m:r>
                        </m:sub>
                      </m:sSub>
                    </m:num>
                    <m:den>
                      <m:sSub>
                        <m:e>
                          <m:r>
                            <w:rPr>
                              <w:rFonts w:ascii="Cambria Math" w:hAnsi="Cambria Math"/>
                              <w:sz w:val="19"/>
                              <w:szCs w:val="19"/>
                            </w:rPr>
                            <m:t>D</m:t>
                          </m:r>
                        </m:e>
                        <m:sub>
                          <m:r>
                            <w:rPr>
                              <w:rFonts w:ascii="Cambria Math" w:hAnsi="Cambria Math"/>
                              <w:sz w:val="19"/>
                              <w:szCs w:val="19"/>
                            </w:rPr>
                            <m:t>B</m:t>
                          </m:r>
                        </m:sub>
                      </m:sSub>
                    </m:den>
                  </m:f>
                </m:e>
              </m:d>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g</m:t>
              </m:r>
            </m:e>
          </m:mr>
        </m:m>
      </m:oMath>
      <w:r>
        <w:tab/>
      </w:r>
      <w:r>
        <w:t xml:space="preserve">(41)</w:t>
      </w:r>
    </w:p>
    <w:p>
      <w:pPr>
        <w:pStyle w:val="BodyText"/>
      </w:pPr>
      <w:r>
        <w:t xml:space="preserve">over the feasible allocations of the channel to catch-up (</w:t>
      </w:r>
      <m:oMath>
        <m:sSub>
          <m:e>
            <m:r>
              <w:rPr>
                <w:rFonts w:ascii="Cambria Math" w:hAnsi="Cambria Math"/>
                <w:sz w:val="19"/>
                <w:szCs w:val="19"/>
              </w:rPr>
              <m:t>H</m:t>
            </m:r>
          </m:e>
          <m:sub>
            <m:r>
              <w:rPr>
                <w:rFonts w:ascii="Cambria Math" w:hAnsi="Cambria Math"/>
                <w:sz w:val="19"/>
                <w:szCs w:val="19"/>
              </w:rPr>
              <m:t>c</m:t>
            </m:r>
          </m:sub>
        </m:sSub>
      </m:oMath>
      <w:r>
        <w:t xml:space="preserve">) and recharge (</w:t>
      </w:r>
      <m:oMath>
        <m:sSub>
          <m:e>
            <m:r>
              <w:rPr>
                <w:rFonts w:ascii="Cambria Math" w:hAnsi="Cambria Math"/>
                <w:sz w:val="19"/>
                <w:szCs w:val="19"/>
              </w:rPr>
              <m:t>H</m:t>
            </m:r>
          </m:e>
          <m:sub>
            <m:r>
              <w:rPr>
                <w:rFonts w:ascii="Cambria Math" w:hAnsi="Cambria Math"/>
                <w:sz w:val="19"/>
                <w:szCs w:val="19"/>
              </w:rPr>
              <m:t>s</m:t>
            </m:r>
          </m:sub>
        </m:sSub>
      </m:oMath>
      <w:r>
        <w:t xml:space="preserve">),</w:t>
      </w:r>
    </w:p>
    <w:p>
      <w:pPr>
        <w:pStyle w:val="Equation"/>
      </w:pPr>
      <w:r>
        <w:tab/>
      </w:r>
      <m:oMath>
        <m:m>
          <m:mPr>
            <m:baseJc m:val="center"/>
            <m:plcHide m:val="on"/>
            <m:mcs>
              <m:mc>
                <m:mcPr>
                  <m:count m:val="1"/>
                  <m:mcJc m:val="right"/>
                </m:mcPr>
              </m:mc>
              <m:mc>
                <m:mcPr>
                  <m:count m:val="1"/>
                  <m:mcJc m:val="left"/>
                </m:mcPr>
              </m:mc>
            </m:mcs>
          </m:mPr>
          <m:mr>
            <m:e>
              <m:r>
                <m:rPr>
                  <m:scr m:val="script"/>
                  <m:sty m:val="p"/>
                </m:rPr>
                <w:rPr>
                  <w:rFonts w:ascii="Cambria Math" w:hAnsi="Cambria Math"/>
                  <w:sz w:val="19"/>
                  <w:szCs w:val="19"/>
                </w:rPr>
                <m:t>H</m:t>
              </m:r>
              <m:r>
                <m:rPr>
                  <m:sty m:val="p"/>
                </m:rPr>
                <w:rPr>
                  <w:rFonts w:ascii="Cambria Math" w:hAnsi="Cambria Math"/>
                  <w:sz w:val="19"/>
                  <w:szCs w:val="19"/>
                </w:rPr>
                <m:t>=</m:t>
              </m:r>
              <m:r>
                <m:rPr>
                  <m:sty m:val="p"/>
                </m:rPr>
                <w:rPr>
                  <w:rFonts w:ascii="Cambria Math" w:hAnsi="Cambria Math"/>
                  <w:sz w:val="19"/>
                  <w:szCs w:val="19"/>
                </w:rPr>
                <m:t>{</m:t>
              </m:r>
              <m:d>
                <m:dPr>
                  <m:begChr m:val="("/>
                  <m:sepChr m:val=""/>
                  <m:endChr m:val=")"/>
                  <m:grow/>
                </m:dPr>
                <m:e>
                  <m:sSub>
                    <m:e>
                      <m:r>
                        <w:rPr>
                          <w:rFonts w:ascii="Cambria Math" w:hAnsi="Cambria Math"/>
                          <w:sz w:val="19"/>
                          <w:szCs w:val="19"/>
                        </w:rPr>
                        <m:t>H</m:t>
                      </m:r>
                    </m:e>
                    <m:sub>
                      <m:r>
                        <w:rPr>
                          <w:rFonts w:ascii="Cambria Math" w:hAnsi="Cambria Math"/>
                          <w:sz w:val="19"/>
                          <w:szCs w:val="19"/>
                        </w:rPr>
                        <m:t>c</m:t>
                      </m:r>
                    </m:sub>
                  </m:sSub>
                  <m:r>
                    <m:rPr>
                      <m:sty m:val="p"/>
                    </m:rPr>
                    <w:rPr>
                      <w:rFonts w:ascii="Cambria Math" w:hAnsi="Cambria Math"/>
                      <w:sz w:val="19"/>
                      <w:szCs w:val="19"/>
                    </w:rPr>
                    <m:t>,</m:t>
                  </m:r>
                  <m:sSub>
                    <m:e>
                      <m:r>
                        <w:rPr>
                          <w:rFonts w:ascii="Cambria Math" w:hAnsi="Cambria Math"/>
                          <w:sz w:val="19"/>
                          <w:szCs w:val="19"/>
                        </w:rPr>
                        <m:t>H</m:t>
                      </m:r>
                    </m:e>
                    <m:sub>
                      <m:r>
                        <w:rPr>
                          <w:rFonts w:ascii="Cambria Math" w:hAnsi="Cambria Math"/>
                          <w:sz w:val="19"/>
                          <w:szCs w:val="19"/>
                        </w:rPr>
                        <m:t>s</m:t>
                      </m:r>
                    </m:sub>
                  </m:sSub>
                </m:e>
              </m:d>
              <m:r>
                <m:rPr>
                  <m:sty m:val="p"/>
                </m:rPr>
                <w:rPr>
                  <w:rFonts w:ascii="Cambria Math" w:hAnsi="Cambria Math"/>
                  <w:sz w:val="19"/>
                  <w:szCs w:val="19"/>
                </w:rPr>
                <m:t>:</m:t>
              </m:r>
              <m:r>
                <w:rPr>
                  <w:rFonts w:ascii="Cambria Math" w:hAnsi="Cambria Math"/>
                  <w:sz w:val="19"/>
                  <w:szCs w:val="19"/>
                </w:rPr>
                <m:t> </m:t>
              </m:r>
            </m:e>
            <m:e>
              <m:sSub>
                <m:e>
                  <m:r>
                    <w:rPr>
                      <w:rFonts w:ascii="Cambria Math" w:hAnsi="Cambria Math"/>
                      <w:sz w:val="19"/>
                      <w:szCs w:val="19"/>
                    </w:rPr>
                    <m:t>H</m:t>
                  </m:r>
                </m:e>
                <m:sub>
                  <m:r>
                    <w:rPr>
                      <w:rFonts w:ascii="Cambria Math" w:hAnsi="Cambria Math"/>
                      <w:sz w:val="19"/>
                      <w:szCs w:val="19"/>
                    </w:rPr>
                    <m:t>c</m:t>
                  </m:r>
                </m:sub>
              </m:sSub>
              <m:r>
                <m:rPr>
                  <m:sty m:val="p"/>
                </m:rPr>
                <w:rPr>
                  <w:rFonts w:ascii="Cambria Math" w:hAnsi="Cambria Math"/>
                  <w:sz w:val="19"/>
                  <w:szCs w:val="19"/>
                </w:rPr>
                <m:t>+</m:t>
              </m:r>
              <m:sSub>
                <m:e>
                  <m:r>
                    <w:rPr>
                      <w:rFonts w:ascii="Cambria Math" w:hAnsi="Cambria Math"/>
                      <w:sz w:val="19"/>
                      <w:szCs w:val="19"/>
                    </w:rPr>
                    <m:t>H</m:t>
                  </m:r>
                </m:e>
                <m:sub>
                  <m:r>
                    <w:rPr>
                      <w:rFonts w:ascii="Cambria Math" w:hAnsi="Cambria Math"/>
                      <w:sz w:val="19"/>
                      <w:szCs w:val="19"/>
                    </w:rPr>
                    <m:t>s</m:t>
                  </m:r>
                </m:sub>
              </m:sSub>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e>
          </m:mr>
          <m:mr>
            <m:e/>
            <m:e>
              <m:r>
                <w:rPr>
                  <w:rFonts w:ascii="Cambria Math" w:hAnsi="Cambria Math"/>
                  <w:sz w:val="19"/>
                  <w:szCs w:val="19"/>
                </w:rPr>
                <m:t>0</m:t>
              </m:r>
              <m:r>
                <m:rPr>
                  <m:sty m:val="p"/>
                </m:rPr>
                <w:rPr>
                  <w:rFonts w:ascii="Cambria Math" w:hAnsi="Cambria Math"/>
                  <w:sz w:val="19"/>
                  <w:szCs w:val="19"/>
                </w:rPr>
                <m:t>≤</m:t>
              </m:r>
              <m:sSub>
                <m:e>
                  <m:r>
                    <w:rPr>
                      <w:rFonts w:ascii="Cambria Math" w:hAnsi="Cambria Math"/>
                      <w:sz w:val="19"/>
                      <w:szCs w:val="19"/>
                    </w:rPr>
                    <m:t>H</m:t>
                  </m:r>
                </m:e>
                <m:sub>
                  <m:r>
                    <w:rPr>
                      <w:rFonts w:ascii="Cambria Math" w:hAnsi="Cambria Math"/>
                      <w:sz w:val="19"/>
                      <w:szCs w:val="19"/>
                    </w:rPr>
                    <m:t>c</m:t>
                  </m:r>
                </m:sub>
              </m:sSub>
              <m:r>
                <m:rPr>
                  <m:sty m:val="p"/>
                </m:rPr>
                <w:rPr>
                  <w:rFonts w:ascii="Cambria Math" w:hAnsi="Cambria Math"/>
                  <w:sz w:val="19"/>
                  <w:szCs w:val="19"/>
                </w:rPr>
                <m:t>≤</m:t>
              </m:r>
              <m:r>
                <w:rPr>
                  <w:rFonts w:ascii="Cambria Math" w:hAnsi="Cambria Math"/>
                  <w:sz w:val="19"/>
                  <w:szCs w:val="19"/>
                </w:rPr>
                <m:t>ψ</m:t>
              </m:r>
              <m:sSup>
                <m:e>
                  <m:r>
                    <w:rPr>
                      <w:rFonts w:ascii="Cambria Math" w:hAnsi="Cambria Math"/>
                      <w:sz w:val="19"/>
                      <w:szCs w:val="19"/>
                    </w:rPr>
                    <m:t>G</m:t>
                  </m:r>
                </m:e>
                <m:sup>
                  <m:r>
                    <w:rPr>
                      <w:rFonts w:ascii="Cambria Math" w:hAnsi="Cambria Math"/>
                      <w:sz w:val="19"/>
                      <w:szCs w:val="19"/>
                    </w:rPr>
                    <m:t>f</m:t>
                  </m:r>
                  <m:r>
                    <w:rPr>
                      <w:rFonts w:ascii="Cambria Math" w:hAnsi="Cambria Math"/>
                      <w:sz w:val="19"/>
                      <w:szCs w:val="19"/>
                    </w:rPr>
                    <m:t>r</m:t>
                  </m:r>
                  <m:r>
                    <w:rPr>
                      <w:rFonts w:ascii="Cambria Math" w:hAnsi="Cambria Math"/>
                      <w:sz w:val="19"/>
                      <w:szCs w:val="19"/>
                    </w:rPr>
                    <m:t>e</m:t>
                  </m:r>
                  <m:r>
                    <w:rPr>
                      <w:rFonts w:ascii="Cambria Math" w:hAnsi="Cambria Math"/>
                      <w:sz w:val="19"/>
                      <w:szCs w:val="19"/>
                    </w:rPr>
                    <m:t>e</m:t>
                  </m:r>
                </m:sup>
              </m:sSup>
              <m:r>
                <w:rPr>
                  <w:rFonts w:ascii="Cambria Math" w:hAnsi="Cambria Math"/>
                  <w:sz w:val="19"/>
                  <w:szCs w:val="19"/>
                </w:rPr>
                <m:t>τ</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sSub>
                <m:e>
                  <m:r>
                    <w:rPr>
                      <w:rFonts w:ascii="Cambria Math" w:hAnsi="Cambria Math"/>
                      <w:sz w:val="19"/>
                      <w:szCs w:val="19"/>
                    </w:rPr>
                    <m:t>H</m:t>
                  </m:r>
                </m:e>
                <m:sub>
                  <m:r>
                    <w:rPr>
                      <w:rFonts w:ascii="Cambria Math" w:hAnsi="Cambria Math"/>
                      <w:sz w:val="19"/>
                      <w:szCs w:val="19"/>
                    </w:rPr>
                    <m:t>s</m:t>
                  </m:r>
                </m:sub>
              </m:sSub>
              <m:r>
                <m:rPr>
                  <m:sty m:val="p"/>
                </m:rPr>
                <w:rPr>
                  <w:rFonts w:ascii="Cambria Math" w:hAnsi="Cambria Math"/>
                  <w:sz w:val="19"/>
                  <w:szCs w:val="19"/>
                </w:rPr>
                <m:t>≤</m:t>
              </m:r>
              <m:sSup>
                <m:e>
                  <m:acc>
                    <m:accPr>
                      <m:chr m:val="‾"/>
                    </m:accPr>
                    <m:e>
                      <m:r>
                        <w:rPr>
                          <w:rFonts w:ascii="Cambria Math" w:hAnsi="Cambria Math"/>
                          <w:sz w:val="19"/>
                          <w:szCs w:val="19"/>
                        </w:rPr>
                        <m:t>P</m:t>
                      </m:r>
                    </m:e>
                  </m:acc>
                </m:e>
                <m:sup>
                  <m:r>
                    <w:rPr>
                      <w:rFonts w:ascii="Cambria Math" w:hAnsi="Cambria Math"/>
                      <w:sz w:val="19"/>
                      <w:szCs w:val="19"/>
                    </w:rPr>
                    <m:t>B</m:t>
                  </m:r>
                </m:sup>
              </m:sSup>
              <m:r>
                <w:rPr>
                  <w:rFonts w:ascii="Cambria Math" w:hAnsi="Cambria Math"/>
                  <w:sz w:val="19"/>
                  <w:szCs w:val="19"/>
                </w:rPr>
                <m:t>τ</m:t>
              </m:r>
              <m:r>
                <m:rPr>
                  <m:sty m:val="p"/>
                </m:rPr>
                <w:rPr>
                  <w:rFonts w:ascii="Cambria Math" w:hAnsi="Cambria Math"/>
                  <w:sz w:val="19"/>
                  <w:szCs w:val="19"/>
                </w:rPr>
                <m:t>}</m:t>
              </m:r>
              <m:r>
                <m:rPr>
                  <m:sty m:val="p"/>
                </m:rPr>
                <w:rPr>
                  <w:rFonts w:ascii="Cambria Math" w:hAnsi="Cambria Math"/>
                  <w:sz w:val="19"/>
                  <w:szCs w:val="19"/>
                </w:rPr>
                <m:t>.</m:t>
              </m:r>
            </m:e>
          </m:mr>
        </m:m>
      </m:oMath>
      <w:r>
        <w:tab/>
      </w:r>
      <w:r>
        <w:t xml:space="preserve">(42)</w:t>
      </w:r>
    </w:p>
    <w:p>
      <w:pPr>
        <w:pStyle w:val="BodyText"/>
      </w:pPr>
      <w:r>
        <w:t xml:space="preserve">The energy bound (39) states that the channel, the task deadlines and the stored energy jointly determine the next deliverable reduction, and the power bound (41) accounts for the backlog of A that falls due within B. The bound is tight when the backlogs reach their deadline limits at the end of B, the storage is empty at the end of B and the channel is used in the order catch-up, then recharge. In the mechanism experiment on the DR day (80 combinations of interval, connection margin and event durations, each evaluated at the state that event A leaves), the bound is never violated. It lies within 0.05 MW of the optimal deliverable reduction in 60 % and 55 % of the cases of the two event layouts, mostly where the single-event capability</w:t>
      </w:r>
      <w:r>
        <w:t xml:space="preserve"> </w:t>
      </w:r>
      <m:oMath>
        <m:sSubSup>
          <m:e>
            <m:r>
              <w:rPr>
                <w:rFonts w:ascii="Cambria Math" w:hAnsi="Cambria Math"/>
                <w:sz w:val="19"/>
                <w:szCs w:val="19"/>
              </w:rPr>
              <m:t>Γ</m:t>
            </m:r>
          </m:e>
          <m:sub>
            <m:r>
              <w:rPr>
                <w:rFonts w:ascii="Cambria Math" w:hAnsi="Cambria Math"/>
                <w:sz w:val="19"/>
                <w:szCs w:val="19"/>
              </w:rPr>
              <m:t>B</m:t>
            </m:r>
          </m:sub>
          <m:sup>
            <m:r>
              <w:rPr>
                <w:rFonts w:ascii="Cambria Math" w:hAnsi="Cambria Math"/>
                <w:sz w:val="19"/>
                <w:szCs w:val="19"/>
              </w:rPr>
              <m:t>0</m:t>
            </m:r>
          </m:sup>
        </m:sSubSup>
      </m:oMath>
      <w:r>
        <w:t xml:space="preserve"> </w:t>
      </w:r>
      <w:r>
        <w:t xml:space="preserve">binds, and up to 2.0 MW above it otherwise (supplementary Fig. S3), so it is valid but not always tight.</w:t>
      </w:r>
    </w:p>
    <w:bookmarkEnd w:id="35"/>
    <w:bookmarkStart w:id="36" w:name="value-of-joint-recovery"/>
    <w:p>
      <w:pPr>
        <w:pStyle w:val="Heading3"/>
      </w:pPr>
      <w:r>
        <w:t xml:space="preserve">3.7.2. Value of joint recovery</w:t>
      </w:r>
    </w:p>
    <w:p>
      <w:pPr>
        <w:pStyle w:val="FirstParagraph"/>
      </w:pPr>
      <w:r>
        <w:t xml:space="preserve">The bound (39) credits catch-up before recharge, but only the part of the debt that would otherwise fall due in B needs to be caught up. Proposition 2 quantifies this in a single-class model with constant arrival power</w:t>
      </w:r>
      <w:r>
        <w:t xml:space="preserve"> </w:t>
      </w:r>
      <m:oMath>
        <m:sSub>
          <m:e>
            <m:r>
              <w:rPr>
                <w:rFonts w:ascii="Cambria Math" w:hAnsi="Cambria Math"/>
                <w:sz w:val="19"/>
                <w:szCs w:val="19"/>
              </w:rPr>
              <m:t>p</m:t>
            </m:r>
          </m:e>
          <m:sub>
            <m:r>
              <w:rPr>
                <w:rFonts w:ascii="Cambria Math" w:hAnsi="Cambria Math"/>
                <w:sz w:val="19"/>
                <w:szCs w:val="19"/>
              </w:rPr>
              <m:t>f</m:t>
            </m:r>
          </m:sub>
        </m:sSub>
      </m:oMath>
      <w:r>
        <w:t xml:space="preserve">, lag bound</w:t>
      </w:r>
      <w:r>
        <w:t xml:space="preserve"> </w:t>
      </w:r>
      <m:oMath>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oMath>
      <w:r>
        <w:t xml:space="preserve">, debt</w:t>
      </w:r>
      <w:r>
        <w:t xml:space="preserve"> </w:t>
      </w:r>
      <m:oMath>
        <m:r>
          <w:rPr>
            <w:rFonts w:ascii="Cambria Math" w:hAnsi="Cambria Math"/>
            <w:sz w:val="19"/>
            <w:szCs w:val="19"/>
          </w:rPr>
          <m:t>X</m:t>
        </m:r>
        <m:r>
          <m:rPr>
            <m:sty m:val="p"/>
          </m:rPr>
          <w:rPr>
            <w:rFonts w:ascii="Cambria Math" w:hAnsi="Cambria Math"/>
            <w:sz w:val="19"/>
            <w:szCs w:val="19"/>
          </w:rPr>
          <m:t>≤</m:t>
        </m:r>
        <m:sSub>
          <m:e>
            <m:r>
              <w:rPr>
                <w:rFonts w:ascii="Cambria Math" w:hAnsi="Cambria Math"/>
                <w:sz w:val="19"/>
                <w:szCs w:val="19"/>
              </w:rPr>
              <m:t>p</m:t>
            </m:r>
          </m:e>
          <m:sub>
            <m:r>
              <w:rPr>
                <w:rFonts w:ascii="Cambria Math" w:hAnsi="Cambria Math"/>
                <w:sz w:val="19"/>
                <w:szCs w:val="19"/>
              </w:rPr>
              <m:t>f</m:t>
            </m:r>
          </m:sub>
        </m:sSub>
        <m:r>
          <w:rPr>
            <w:rFonts w:ascii="Cambria Math" w:hAnsi="Cambria Math"/>
            <w:sz w:val="19"/>
            <w:szCs w:val="19"/>
          </w:rPr>
          <m:t>L</m:t>
        </m:r>
      </m:oMath>
      <w:r>
        <w:t xml:space="preserve"> </w:t>
      </w:r>
      <w:r>
        <w:t xml:space="preserve">at the start of the interval and a constant channel width</w:t>
      </w:r>
      <w:r>
        <w:t xml:space="preserve"> </w:t>
      </w:r>
      <m:oMath>
        <m:r>
          <w:rPr>
            <w:rFonts w:ascii="Cambria Math" w:hAnsi="Cambria Math"/>
            <w:sz w:val="19"/>
            <w:szCs w:val="19"/>
          </w:rPr>
          <m:t>h</m:t>
        </m:r>
        <m:r>
          <m:rPr>
            <m:sty m:val="p"/>
          </m:rPr>
          <w:rPr>
            <w:rFonts w:ascii="Cambria Math" w:hAnsi="Cambria Math"/>
            <w:sz w:val="19"/>
            <w:szCs w:val="19"/>
          </w:rPr>
          <m:t>≤</m:t>
        </m:r>
        <m:sSup>
          <m:e>
            <m:acc>
              <m:accPr>
                <m:chr m:val="‾"/>
              </m:accPr>
              <m:e>
                <m:r>
                  <w:rPr>
                    <w:rFonts w:ascii="Cambria Math" w:hAnsi="Cambria Math"/>
                    <w:sz w:val="19"/>
                    <w:szCs w:val="19"/>
                  </w:rPr>
                  <m:t>P</m:t>
                </m:r>
              </m:e>
            </m:acc>
          </m:e>
          <m:sup>
            <m:r>
              <w:rPr>
                <w:rFonts w:ascii="Cambria Math" w:hAnsi="Cambria Math"/>
                <w:sz w:val="19"/>
                <w:szCs w:val="19"/>
              </w:rPr>
              <m:t>B</m:t>
            </m:r>
          </m:sup>
        </m:sSup>
      </m:oMath>
      <w:r>
        <w:t xml:space="preserve">, so that</w:t>
      </w:r>
      <w:r>
        <w:t xml:space="preserve">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h</m:t>
        </m:r>
        <m:r>
          <w:rPr>
            <w:rFonts w:ascii="Cambria Math" w:hAnsi="Cambria Math"/>
            <w:sz w:val="19"/>
            <w:szCs w:val="19"/>
          </w:rPr>
          <m:t>τ</m:t>
        </m:r>
      </m:oMath>
      <w:r>
        <w:t xml:space="preserve">. The necessary catch-up is</w:t>
      </w:r>
    </w:p>
    <w:p>
      <w:pPr>
        <w:pStyle w:val="Equation"/>
      </w:pPr>
      <w:r>
        <w:tab/>
      </w:r>
      <m:oMath>
        <m:sSup>
          <m:e>
            <m:r>
              <w:rPr>
                <w:rFonts w:ascii="Cambria Math" w:hAnsi="Cambria Math"/>
                <w:sz w:val="19"/>
                <w:szCs w:val="19"/>
              </w:rPr>
              <m:t>c</m:t>
            </m:r>
          </m:e>
          <m:sup>
            <m:r>
              <m:rPr>
                <m:lit/>
                <m:sty m:val="p"/>
              </m:rPr>
              <w:rPr>
                <w:rFonts w:ascii="Cambria Math" w:hAnsi="Cambria Math"/>
                <w:sz w:val="19"/>
                <w:szCs w:val="19"/>
              </w:rPr>
              <m:t>*</m:t>
            </m:r>
          </m:sup>
        </m:sSup>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sSub>
          <m:e>
            <m:r>
              <w:rPr>
                <w:rFonts w:ascii="Cambria Math" w:hAnsi="Cambria Math"/>
                <w:sz w:val="19"/>
                <w:szCs w:val="19"/>
              </w:rPr>
              <m:t>p</m:t>
            </m:r>
          </m:e>
          <m:sub>
            <m:r>
              <w:rPr>
                <w:rFonts w:ascii="Cambria Math" w:hAnsi="Cambria Math"/>
                <w:sz w:val="19"/>
                <w:szCs w:val="19"/>
              </w:rPr>
              <m:t>f</m:t>
            </m:r>
          </m:sub>
        </m:sSub>
        <m:d>
          <m:dPr>
            <m:begChr m:val="("/>
            <m:sepChr m:val=""/>
            <m:endChr m:val=")"/>
            <m:grow/>
          </m:dPr>
          <m:e>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e>
        </m:d>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r>
          <m:rPr>
            <m:sty m:val="p"/>
          </m:rPr>
          <w:rPr>
            <w:rFonts w:ascii="Cambria Math" w:hAnsi="Cambria Math"/>
            <w:sz w:val="19"/>
            <w:szCs w:val="19"/>
          </w:rPr>
          <m:t>,</m:t>
        </m:r>
      </m:oMath>
      <w:r>
        <w:tab/>
      </w:r>
      <w:r>
        <w:t xml:space="preserve">(43)</w:t>
      </w:r>
    </w:p>
    <w:p>
      <w:pPr>
        <w:pStyle w:val="BodyText"/>
      </w:pPr>
      <w:r>
        <w:t xml:space="preserve">the work that would fall due before the end of B.</w:t>
      </w:r>
    </w:p>
    <w:p>
      <w:pPr>
        <w:pStyle w:val="BodyText"/>
      </w:pPr>
      <w:r>
        <w:rPr>
          <w:bCs/>
          <w:b/>
        </w:rPr>
        <w:t xml:space="preserve">Proposition 2 (value of joint recovery).</w:t>
      </w:r>
      <w:r>
        <w:t xml:space="preserve"> </w:t>
      </w:r>
      <w:r>
        <w:t xml:space="preserve">Joint recovery repays only the necessary catch-up and uses the rest of the channel for recharge, whereas independent recovery repays the full debt first:</w:t>
      </w:r>
    </w:p>
    <w:p>
      <w:pPr>
        <w:pStyle w:val="Equation"/>
      </w:pPr>
      <w:r>
        <w:tab/>
      </w:r>
      <m:oMath>
        <m:m>
          <m:mPr>
            <m:baseJc m:val="center"/>
            <m:plcHide m:val="on"/>
            <m:mcs>
              <m:mc>
                <m:mcPr>
                  <m:count m:val="1"/>
                  <m:mcJc m:val="right"/>
                </m:mcPr>
              </m:mc>
              <m:mc>
                <m:mcPr>
                  <m:count m:val="1"/>
                  <m:mcJc m:val="left"/>
                </m:mcPr>
              </m:mc>
            </m:mcs>
          </m:mPr>
          <m:mr>
            <m:e>
              <m:sSub>
                <m:e>
                  <m:r>
                    <w:rPr>
                      <w:rFonts w:ascii="Cambria Math" w:hAnsi="Cambria Math"/>
                      <w:sz w:val="19"/>
                      <w:szCs w:val="19"/>
                    </w:rPr>
                    <m:t>c</m:t>
                  </m:r>
                </m:e>
                <m:sub>
                  <m:r>
                    <w:rPr>
                      <w:rFonts w:ascii="Cambria Math" w:hAnsi="Cambria Math"/>
                      <w:sz w:val="19"/>
                      <w:szCs w:val="19"/>
                    </w:rPr>
                    <m:t>J</m:t>
                  </m:r>
                  <m:r>
                    <w:rPr>
                      <w:rFonts w:ascii="Cambria Math" w:hAnsi="Cambria Math"/>
                      <w:sz w:val="19"/>
                      <w:szCs w:val="19"/>
                    </w:rPr>
                    <m:t>R</m:t>
                  </m:r>
                </m:sub>
              </m:sSub>
            </m:e>
            <m:e>
              <m:r>
                <m:rPr>
                  <m:sty m:val="p"/>
                </m:rPr>
                <w:rPr>
                  <w:rFonts w:ascii="Cambria Math" w:hAnsi="Cambria Math"/>
                  <w:sz w:val="19"/>
                  <w:szCs w:val="19"/>
                </w:rPr>
                <m:t>=</m:t>
              </m:r>
              <m:r>
                <m:rPr>
                  <m:sty m:val="p"/>
                </m:rPr>
                <w:rPr>
                  <w:rFonts w:ascii="Cambria Math" w:hAnsi="Cambria Math"/>
                  <w:sz w:val="19"/>
                  <w:szCs w:val="19"/>
                </w:rPr>
                <m:t>min</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sSup>
                <m:e>
                  <m:r>
                    <w:rPr>
                      <w:rFonts w:ascii="Cambria Math" w:hAnsi="Cambria Math"/>
                      <w:sz w:val="19"/>
                      <w:szCs w:val="19"/>
                    </w:rPr>
                    <m:t>c</m:t>
                  </m:r>
                </m:e>
                <m:sup>
                  <m:r>
                    <m:rPr>
                      <m:lit/>
                      <m:sty m:val="p"/>
                    </m:rPr>
                    <w:rPr>
                      <w:rFonts w:ascii="Cambria Math" w:hAnsi="Cambria Math"/>
                      <w:sz w:val="19"/>
                      <w:szCs w:val="19"/>
                    </w:rPr>
                    <m:t>*</m:t>
                  </m:r>
                </m:sup>
              </m:sSup>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s</m:t>
                  </m:r>
                </m:e>
                <m:sub>
                  <m:r>
                    <w:rPr>
                      <w:rFonts w:ascii="Cambria Math" w:hAnsi="Cambria Math"/>
                      <w:sz w:val="19"/>
                      <w:szCs w:val="19"/>
                    </w:rPr>
                    <m:t>J</m:t>
                  </m:r>
                  <m:r>
                    <w:rPr>
                      <w:rFonts w:ascii="Cambria Math" w:hAnsi="Cambria Math"/>
                      <w:sz w:val="19"/>
                      <w:szCs w:val="19"/>
                    </w:rPr>
                    <m:t>R</m:t>
                  </m:r>
                </m:sub>
              </m:sSub>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sSup>
                <m:e>
                  <m:r>
                    <w:rPr>
                      <w:rFonts w:ascii="Cambria Math" w:hAnsi="Cambria Math"/>
                      <w:sz w:val="19"/>
                      <w:szCs w:val="19"/>
                    </w:rPr>
                    <m:t>c</m:t>
                  </m:r>
                </m:e>
                <m:sup>
                  <m:r>
                    <m:rPr>
                      <m:lit/>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m:rPr>
                  <m:sty m:val="p"/>
                </m:rPr>
                <w:rPr>
                  <w:rFonts w:ascii="Cambria Math" w:hAnsi="Cambria Math"/>
                  <w:sz w:val="19"/>
                  <w:szCs w:val="19"/>
                </w:rPr>
                <m:t>,</m:t>
              </m:r>
            </m:e>
          </m:mr>
          <m:mr>
            <m:e>
              <m:sSub>
                <m:e>
                  <m:r>
                    <w:rPr>
                      <w:rFonts w:ascii="Cambria Math" w:hAnsi="Cambria Math"/>
                      <w:sz w:val="19"/>
                      <w:szCs w:val="19"/>
                    </w:rPr>
                    <m:t>c</m:t>
                  </m:r>
                </m:e>
                <m:sub>
                  <m:r>
                    <w:rPr>
                      <w:rFonts w:ascii="Cambria Math" w:hAnsi="Cambria Math"/>
                      <w:sz w:val="19"/>
                      <w:szCs w:val="19"/>
                    </w:rPr>
                    <m:t>I</m:t>
                  </m:r>
                  <m:r>
                    <w:rPr>
                      <w:rFonts w:ascii="Cambria Math" w:hAnsi="Cambria Math"/>
                      <w:sz w:val="19"/>
                      <w:szCs w:val="19"/>
                    </w:rPr>
                    <m:t>R</m:t>
                  </m:r>
                </m:sub>
              </m:sSub>
            </m:e>
            <m:e>
              <m:r>
                <m:rPr>
                  <m:sty m:val="p"/>
                </m:rPr>
                <w:rPr>
                  <w:rFonts w:ascii="Cambria Math" w:hAnsi="Cambria Math"/>
                  <w:sz w:val="19"/>
                  <w:szCs w:val="19"/>
                </w:rPr>
                <m:t>=</m:t>
              </m:r>
              <m:r>
                <m:rPr>
                  <m:sty m:val="p"/>
                </m:rPr>
                <w:rPr>
                  <w:rFonts w:ascii="Cambria Math" w:hAnsi="Cambria Math"/>
                  <w:sz w:val="19"/>
                  <w:szCs w:val="19"/>
                </w:rPr>
                <m:t>min</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s</m:t>
                  </m:r>
                </m:e>
                <m:sub>
                  <m:r>
                    <w:rPr>
                      <w:rFonts w:ascii="Cambria Math" w:hAnsi="Cambria Math"/>
                      <w:sz w:val="19"/>
                      <w:szCs w:val="19"/>
                    </w:rPr>
                    <m:t>I</m:t>
                  </m:r>
                  <m:r>
                    <w:rPr>
                      <w:rFonts w:ascii="Cambria Math" w:hAnsi="Cambria Math"/>
                      <w:sz w:val="19"/>
                      <w:szCs w:val="19"/>
                    </w:rPr>
                    <m:t>R</m:t>
                  </m:r>
                </m:sub>
              </m:sSub>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m:rPr>
                  <m:sty m:val="p"/>
                </m:rPr>
                <w:rPr>
                  <w:rFonts w:ascii="Cambria Math" w:hAnsi="Cambria Math"/>
                  <w:sz w:val="19"/>
                  <w:szCs w:val="19"/>
                </w:rPr>
                <m:t>.</m:t>
              </m:r>
            </m:e>
          </m:mr>
        </m:m>
      </m:oMath>
      <w:r>
        <w:tab/>
      </w:r>
      <w:r>
        <w:t xml:space="preserve">(44)</w:t>
      </w:r>
    </w:p>
    <w:p>
      <w:pPr>
        <w:pStyle w:val="BodyText"/>
      </w:pPr>
      <w:r>
        <w:t xml:space="preserve">The joint allocation maximises the deliverable reduction of B, and the minimum intervals after which B regains its single-event capability differ by</w:t>
      </w:r>
    </w:p>
    <w:p>
      <w:pPr>
        <w:pStyle w:val="Equation"/>
      </w:pPr>
      <w:r>
        <w:tab/>
      </w:r>
      <m:oMath>
        <m:sSubSup>
          <m:e>
            <m:r>
              <w:rPr>
                <w:rFonts w:ascii="Cambria Math" w:hAnsi="Cambria Math"/>
                <w:sz w:val="19"/>
                <w:szCs w:val="19"/>
              </w:rPr>
              <m:t>τ</m:t>
            </m:r>
          </m:e>
          <m:sub>
            <m:r>
              <w:rPr>
                <w:rFonts w:ascii="Cambria Math" w:hAnsi="Cambria Math"/>
                <w:sz w:val="19"/>
                <w:szCs w:val="19"/>
              </w:rPr>
              <m:t>I</m:t>
            </m:r>
            <m:r>
              <w:rPr>
                <w:rFonts w:ascii="Cambria Math" w:hAnsi="Cambria Math"/>
                <w:sz w:val="19"/>
                <w:szCs w:val="19"/>
              </w:rPr>
              <m:t>R</m:t>
            </m:r>
          </m:sub>
          <m:sup>
            <m:r>
              <m:rPr>
                <m:lit/>
                <m:sty m:val="p"/>
              </m:rPr>
              <w:rPr>
                <w:rFonts w:ascii="Cambria Math" w:hAnsi="Cambria Math"/>
                <w:sz w:val="19"/>
                <w:szCs w:val="19"/>
              </w:rPr>
              <m:t>*</m:t>
            </m:r>
          </m:sup>
        </m:sSubSup>
        <m:r>
          <m:rPr>
            <m:sty m:val="p"/>
          </m:rPr>
          <w:rPr>
            <w:rFonts w:ascii="Cambria Math" w:hAnsi="Cambria Math"/>
            <w:sz w:val="19"/>
            <w:szCs w:val="19"/>
          </w:rPr>
          <m:t>−</m:t>
        </m:r>
        <m:sSubSup>
          <m:e>
            <m:r>
              <w:rPr>
                <w:rFonts w:ascii="Cambria Math" w:hAnsi="Cambria Math"/>
                <w:sz w:val="19"/>
                <w:szCs w:val="19"/>
              </w:rPr>
              <m:t>τ</m:t>
            </m:r>
          </m:e>
          <m:sub>
            <m:r>
              <w:rPr>
                <w:rFonts w:ascii="Cambria Math" w:hAnsi="Cambria Math"/>
                <w:sz w:val="19"/>
                <w:szCs w:val="19"/>
              </w:rPr>
              <m:t>J</m:t>
            </m:r>
            <m:r>
              <w:rPr>
                <w:rFonts w:ascii="Cambria Math" w:hAnsi="Cambria Math"/>
                <w:sz w:val="19"/>
                <w:szCs w:val="19"/>
              </w:rPr>
              <m:t>R</m:t>
            </m:r>
          </m:sub>
          <m:sup>
            <m:r>
              <m:rPr>
                <m:lit/>
                <m:sty m:val="p"/>
              </m:rPr>
              <w:rPr>
                <w:rFonts w:ascii="Cambria Math" w:hAnsi="Cambria Math"/>
                <w:sz w:val="19"/>
                <w:szCs w:val="19"/>
              </w:rPr>
              <m:t>*</m:t>
            </m:r>
          </m:sup>
        </m:sSubSup>
        <m:r>
          <m:rPr>
            <m:sty m:val="p"/>
          </m:rPr>
          <w:rPr>
            <w:rFonts w:ascii="Cambria Math" w:hAnsi="Cambria Math"/>
            <w:sz w:val="19"/>
            <w:szCs w:val="19"/>
          </w:rPr>
          <m:t>=</m:t>
        </m:r>
        <m:f>
          <m:fPr>
            <m:type m:val="bar"/>
          </m:fPr>
          <m:num>
            <m:r>
              <m:rPr>
                <m:sty m:val="p"/>
              </m:rPr>
              <w:rPr>
                <w:rFonts w:ascii="Cambria Math" w:hAnsi="Cambria Math"/>
                <w:sz w:val="19"/>
                <w:szCs w:val="19"/>
              </w:rPr>
              <m:t>min</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p</m:t>
                </m:r>
              </m:e>
              <m:sub>
                <m:r>
                  <w:rPr>
                    <w:rFonts w:ascii="Cambria Math" w:hAnsi="Cambria Math"/>
                    <w:sz w:val="19"/>
                    <w:szCs w:val="19"/>
                  </w:rPr>
                  <m:t>f</m:t>
                </m:r>
              </m:sub>
            </m:sSub>
            <m:d>
              <m:dPr>
                <m:begChr m:val="("/>
                <m:sepChr m:val=""/>
                <m:endChr m:val=")"/>
                <m:grow/>
              </m:dPr>
              <m:e>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e>
            </m:d>
            <m:r>
              <m:rPr>
                <m:sty m:val="p"/>
              </m:rPr>
              <w:rPr>
                <w:rFonts w:ascii="Cambria Math" w:hAnsi="Cambria Math"/>
                <w:sz w:val="19"/>
                <w:szCs w:val="19"/>
              </w:rPr>
              <m:t>}</m:t>
            </m:r>
          </m:num>
          <m:den>
            <m:r>
              <w:rPr>
                <w:rFonts w:ascii="Cambria Math" w:hAnsi="Cambria Math"/>
                <w:sz w:val="19"/>
                <w:szCs w:val="19"/>
              </w:rPr>
              <m:t>h</m:t>
            </m:r>
          </m:den>
        </m:f>
        <m:r>
          <m:rPr>
            <m:sty m:val="p"/>
          </m:rPr>
          <w:rPr>
            <w:rFonts w:ascii="Cambria Math" w:hAnsi="Cambria Math"/>
            <w:sz w:val="19"/>
            <w:szCs w:val="19"/>
          </w:rPr>
          <m:t>.</m:t>
        </m:r>
      </m:oMath>
      <w:r>
        <w:tab/>
      </w:r>
      <w:r>
        <w:t xml:space="preserve">(45)</w:t>
      </w:r>
    </w:p>
    <w:p>
      <w:pPr>
        <w:pStyle w:val="BodyText"/>
      </w:pPr>
      <w:r>
        <w:t xml:space="preserve">Joint recovery has no value when the deadline is not longer than the next event (</w:t>
      </w:r>
      <m:oMath>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oMath>
      <w:r>
        <w:t xml:space="preserve">), when B needs no storage, or when the channel is either too narrow for more than the necessary catch-up or wide enough to repay both debts within the interval.</w:t>
      </w:r>
    </w:p>
    <w:p>
      <w:pPr>
        <w:pStyle w:val="BodyText"/>
      </w:pPr>
      <w:r>
        <w:t xml:space="preserve">Proposition 2 underlies the mechanism of Section 5.2: long-deadline work need not be caught up immediately, which frees the recovery channel for the storage that the next event needs. With several classes, the necessary catch-up is</w:t>
      </w:r>
      <w:r>
        <w:t xml:space="preserve"> </w:t>
      </w:r>
      <m:oMath>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r>
              <m:rPr>
                <m:sty m:val="p"/>
              </m:rPr>
              <w:rPr>
                <w:rFonts w:ascii="Cambria Math" w:hAnsi="Cambria Math"/>
                <w:sz w:val="19"/>
                <w:szCs w:val="19"/>
              </w:rPr>
              <m:t>max</m:t>
            </m:r>
          </m:e>
        </m:nary>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c</m:t>
            </m:r>
          </m:sub>
        </m:sSub>
        <m:r>
          <m:rPr>
            <m:sty m:val="p"/>
          </m:rPr>
          <w:rPr>
            <w:rFonts w:ascii="Cambria Math" w:hAnsi="Cambria Math"/>
            <w:sz w:val="19"/>
            <w:szCs w:val="19"/>
          </w:rPr>
          <m:t>−</m:t>
        </m:r>
        <m:sSub>
          <m:e>
            <m:r>
              <w:rPr>
                <w:rFonts w:ascii="Cambria Math" w:hAnsi="Cambria Math"/>
                <w:sz w:val="19"/>
                <w:szCs w:val="19"/>
              </w:rPr>
              <m:t>p</m:t>
            </m:r>
          </m:e>
          <m:sub>
            <m:r>
              <w:rPr>
                <w:rFonts w:ascii="Cambria Math" w:hAnsi="Cambria Math"/>
                <w:sz w:val="19"/>
                <w:szCs w:val="19"/>
              </w:rPr>
              <m:t>f</m:t>
            </m:r>
            <m:r>
              <m:rPr>
                <m:sty m:val="p"/>
              </m:rPr>
              <w:rPr>
                <w:rFonts w:ascii="Cambria Math" w:hAnsi="Cambria Math"/>
                <w:sz w:val="19"/>
                <w:szCs w:val="19"/>
              </w:rPr>
              <m:t>,</m:t>
            </m:r>
            <m:r>
              <w:rPr>
                <w:rFonts w:ascii="Cambria Math" w:hAnsi="Cambria Math"/>
                <w:sz w:val="19"/>
                <w:szCs w:val="19"/>
              </w:rPr>
              <m:t>c</m:t>
            </m:r>
          </m:sub>
        </m:sSub>
        <m:d>
          <m:dPr>
            <m:begChr m:val="("/>
            <m:sepChr m:val=""/>
            <m:endChr m:val=")"/>
            <m:grow/>
          </m:dPr>
          <m:e>
            <m:sSub>
              <m:e>
                <m:r>
                  <w:rPr>
                    <w:rFonts w:ascii="Cambria Math" w:hAnsi="Cambria Math"/>
                    <w:sz w:val="19"/>
                    <w:szCs w:val="19"/>
                  </w:rPr>
                  <m:t>L</m:t>
                </m:r>
              </m:e>
              <m:sub>
                <m:r>
                  <w:rPr>
                    <w:rFonts w:ascii="Cambria Math" w:hAnsi="Cambria Math"/>
                    <w:sz w:val="19"/>
                    <w:szCs w:val="19"/>
                  </w:rPr>
                  <m:t>c</m:t>
                </m:r>
              </m:sub>
            </m:sSub>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e>
        </m:d>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t xml:space="preserve">, so the long-deadline class C3 is carried across events first.</w:t>
      </w:r>
    </w:p>
    <w:bookmarkEnd w:id="36"/>
    <w:bookmarkStart w:id="37" w:name="single-price-of-the-recovery-channel"/>
    <w:p>
      <w:pPr>
        <w:pStyle w:val="Heading3"/>
      </w:pPr>
      <w:r>
        <w:t xml:space="preserve">3.7.3. Single price of the recovery channel</w:t>
      </w:r>
    </w:p>
    <w:p>
      <w:pPr>
        <w:pStyle w:val="FirstParagraph"/>
      </w:pPr>
      <w:r>
        <w:t xml:space="preserve">For fixed validity indicators</w:t>
      </w:r>
      <w:r>
        <w:t xml:space="preserve"> </w:t>
      </w:r>
      <m:oMath>
        <m:sSub>
          <m:e>
            <m:r>
              <w:rPr>
                <w:rFonts w:ascii="Cambria Math" w:hAnsi="Cambria Math"/>
                <w:sz w:val="19"/>
                <w:szCs w:val="19"/>
              </w:rPr>
              <m:t>z</m:t>
            </m:r>
          </m:e>
          <m:sub>
            <m:r>
              <w:rPr>
                <w:rFonts w:ascii="Cambria Math" w:hAnsi="Cambria Math"/>
                <w:sz w:val="19"/>
                <w:szCs w:val="19"/>
              </w:rPr>
              <m:t>k</m:t>
            </m:r>
          </m:sub>
        </m:sSub>
      </m:oMath>
      <w:r>
        <w:t xml:space="preserve">, the model (3)–(30) is a linear program whose Lagrangian, restricted to the balances that couple the two debts, is</w:t>
      </w:r>
    </w:p>
    <w:p>
      <w:pPr>
        <w:pStyle w:val="Equation"/>
      </w:pPr>
      <w:r>
        <w:tab/>
      </w:r>
      <m:oMath>
        <m:m>
          <m:mPr>
            <m:baseJc m:val="center"/>
            <m:plcHide m:val="on"/>
            <m:mcs>
              <m:mc>
                <m:mcPr>
                  <m:count m:val="1"/>
                  <m:mcJc m:val="right"/>
                </m:mcPr>
              </m:mc>
              <m:mc>
                <m:mcPr>
                  <m:count m:val="1"/>
                  <m:mcJc m:val="left"/>
                </m:mcPr>
              </m:mc>
            </m:mcs>
          </m:mPr>
          <m:mr>
            <m:e>
              <m:r>
                <m:rPr>
                  <m:scr m:val="script"/>
                  <m:sty m:val="p"/>
                </m:rPr>
                <w:rPr>
                  <w:rFonts w:ascii="Cambria Math" w:hAnsi="Cambria Math"/>
                  <w:sz w:val="19"/>
                  <w:szCs w:val="19"/>
                </w:rPr>
                <m:t>L</m:t>
              </m:r>
              <m:r>
                <m:rPr>
                  <m:sty m:val="p"/>
                </m:rPr>
                <w:rPr>
                  <w:rFonts w:ascii="Cambria Math" w:hAnsi="Cambria Math"/>
                  <w:sz w:val="19"/>
                  <w:szCs w:val="19"/>
                </w:rPr>
                <m:t>=</m:t>
              </m:r>
              <m:r>
                <w:rPr>
                  <w:rFonts w:ascii="Cambria Math" w:hAnsi="Cambria Math"/>
                  <w:sz w:val="19"/>
                  <w:szCs w:val="19"/>
                </w:rPr>
                <m:t>​</m:t>
              </m:r>
            </m:e>
            <m:e>
              <m:r>
                <w:rPr>
                  <w:rFonts w:ascii="Cambria Math" w:hAnsi="Cambria Math"/>
                  <w:sz w:val="19"/>
                  <w:szCs w:val="19"/>
                </w:rPr>
                <m:t>J</m:t>
              </m:r>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t</m:t>
                  </m:r>
                </m:sub>
                <m:sup>
                  <m:r>
                    <w:rPr>
                      <w:rFonts w:ascii="Cambria Math" w:hAnsi="Cambria Math"/>
                      <w:sz w:val="19"/>
                      <w:szCs w:val="19"/>
                    </w:rPr>
                    <m:t>​</m:t>
                  </m:r>
                </m:sup>
                <m:e>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e>
              </m:nary>
              <m:r>
                <m:rPr>
                  <m:sty m:val="p"/>
                </m:rPr>
                <w:rPr>
                  <w:rFonts w:ascii="Cambria Math" w:hAnsi="Cambria Math"/>
                  <w:sz w:val="19"/>
                  <w:szCs w:val="19"/>
                </w:rPr>
                <m:t>[</m:t>
              </m:r>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ζ</m:t>
                  </m:r>
                </m:e>
              </m:d>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I</m:t>
                  </m:r>
                  <m:r>
                    <w:rPr>
                      <w:rFonts w:ascii="Cambria Math" w:hAnsi="Cambria Math"/>
                      <w:sz w:val="19"/>
                      <w:szCs w:val="19"/>
                    </w:rPr>
                    <m:t>T</m:t>
                  </m:r>
                </m:sup>
              </m:sSubSup>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a</m:t>
                  </m:r>
                  <m:r>
                    <w:rPr>
                      <w:rFonts w:ascii="Cambria Math" w:hAnsi="Cambria Math"/>
                      <w:sz w:val="19"/>
                      <w:szCs w:val="19"/>
                    </w:rPr>
                    <m:t>u</m:t>
                  </m:r>
                  <m:r>
                    <w:rPr>
                      <w:rFonts w:ascii="Cambria Math" w:hAnsi="Cambria Math"/>
                      <w:sz w:val="19"/>
                      <w:szCs w:val="19"/>
                    </w:rPr>
                    <m:t>x</m:t>
                  </m:r>
                </m:sup>
              </m:sSup>
              <m:r>
                <m:rPr>
                  <m:sty m:val="p"/>
                </m:rPr>
                <w:rPr>
                  <w:rFonts w:ascii="Cambria Math" w:hAnsi="Cambria Math"/>
                  <w:sz w:val="19"/>
                  <w:szCs w:val="19"/>
                </w:rPr>
                <m:t>+</m:t>
              </m:r>
              <m:f>
                <m:fPr>
                  <m:type m:val="bar"/>
                </m:fPr>
                <m:num>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C</m:t>
                      </m:r>
                    </m:sup>
                  </m:sSubSup>
                </m:num>
                <m:den>
                  <m:sSub>
                    <m:e>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e>
                    <m:sub>
                      <m:r>
                        <w:rPr>
                          <w:rFonts w:ascii="Cambria Math" w:hAnsi="Cambria Math"/>
                          <w:sz w:val="19"/>
                          <w:szCs w:val="19"/>
                        </w:rPr>
                        <m:t>t</m:t>
                      </m:r>
                    </m:sub>
                  </m:sSub>
                </m:den>
              </m:f>
            </m:e>
          </m:mr>
          <m:mr>
            <m:e/>
            <m:e>
              <m:r>
                <w:rPr>
                  <w:rFonts w:ascii="Cambria Math" w:hAnsi="Cambria Math"/>
                  <w:sz w:val="19"/>
                  <w:szCs w:val="19"/>
                </w:rPr>
                <m:t>  </m:t>
              </m:r>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h</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P</m:t>
                  </m:r>
                  <m:r>
                    <w:rPr>
                      <w:rFonts w:ascii="Cambria Math" w:hAnsi="Cambria Math"/>
                      <w:sz w:val="19"/>
                      <w:szCs w:val="19"/>
                    </w:rPr>
                    <m:t>V</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T</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d</m:t>
                  </m:r>
                  <m:r>
                    <w:rPr>
                      <w:rFonts w:ascii="Cambria Math" w:hAnsi="Cambria Math"/>
                      <w:sz w:val="19"/>
                      <w:szCs w:val="19"/>
                    </w:rPr>
                    <m:t>i</m:t>
                  </m:r>
                  <m:r>
                    <w:rPr>
                      <w:rFonts w:ascii="Cambria Math" w:hAnsi="Cambria Math"/>
                      <w:sz w:val="19"/>
                      <w:szCs w:val="19"/>
                    </w:rPr>
                    <m:t>s</m:t>
                  </m:r>
                </m:sup>
              </m:sSubSup>
              <m:r>
                <m:rPr>
                  <m:sty m:val="p"/>
                </m:rPr>
                <w:rPr>
                  <w:rFonts w:ascii="Cambria Math" w:hAnsi="Cambria Math"/>
                  <w:sz w:val="19"/>
                  <w:szCs w:val="19"/>
                </w:rPr>
                <m:t>]</m:t>
              </m:r>
              <m:r>
                <w:rPr>
                  <w:rFonts w:ascii="Cambria Math" w:hAnsi="Cambria Math"/>
                  <w:sz w:val="19"/>
                  <w:szCs w:val="19"/>
                </w:rPr>
                <m:t>Δ</m:t>
              </m:r>
              <m:r>
                <w:rPr>
                  <w:rFonts w:ascii="Cambria Math" w:hAnsi="Cambria Math"/>
                  <w:sz w:val="19"/>
                  <w:szCs w:val="19"/>
                </w:rPr>
                <m:t>t</m:t>
              </m:r>
            </m:e>
          </m:mr>
          <m:mr>
            <m:e/>
            <m:e>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t</m:t>
                  </m:r>
                </m:sub>
                <m:sup>
                  <m:r>
                    <w:rPr>
                      <w:rFonts w:ascii="Cambria Math" w:hAnsi="Cambria Math"/>
                      <w:sz w:val="19"/>
                      <w:szCs w:val="19"/>
                    </w:rPr>
                    <m:t>​</m:t>
                  </m:r>
                </m:sup>
                <m:e>
                  <m:sSub>
                    <m:e>
                      <m:r>
                        <w:rPr>
                          <w:rFonts w:ascii="Cambria Math" w:hAnsi="Cambria Math"/>
                          <w:sz w:val="19"/>
                          <w:szCs w:val="19"/>
                        </w:rPr>
                        <m:t>χ</m:t>
                      </m:r>
                    </m:e>
                    <m:sub>
                      <m:r>
                        <w:rPr>
                          <w:rFonts w:ascii="Cambria Math" w:hAnsi="Cambria Math"/>
                          <w:sz w:val="19"/>
                          <w:szCs w:val="19"/>
                        </w:rPr>
                        <m:t>t</m:t>
                      </m:r>
                    </m:sub>
                  </m:sSub>
                </m:e>
              </m:nary>
              <m:r>
                <m:rPr>
                  <m:sty m:val="p"/>
                </m:rPr>
                <w:rPr>
                  <w:rFonts w:ascii="Cambria Math" w:hAnsi="Cambria Math"/>
                  <w:sz w:val="19"/>
                  <w:szCs w:val="19"/>
                </w:rPr>
                <m:t>[</m:t>
              </m:r>
              <m:r>
                <w:rPr>
                  <w:rFonts w:ascii="Cambria Math" w:hAnsi="Cambria Math"/>
                  <w:sz w:val="19"/>
                  <w:szCs w:val="19"/>
                </w:rPr>
                <m:t>θ</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I</m:t>
                  </m:r>
                  <m:r>
                    <w:rPr>
                      <w:rFonts w:ascii="Cambria Math" w:hAnsi="Cambria Math"/>
                      <w:sz w:val="19"/>
                      <w:szCs w:val="19"/>
                    </w:rPr>
                    <m:t>T</m:t>
                  </m:r>
                </m:sup>
              </m:sSubSup>
              <m:r>
                <m:rPr>
                  <m:sty m:val="p"/>
                </m:rPr>
                <w:rPr>
                  <w:rFonts w:ascii="Cambria Math" w:hAnsi="Cambria Math"/>
                  <w:sz w:val="19"/>
                  <w:szCs w:val="19"/>
                </w:rPr>
                <m:t>+</m:t>
              </m:r>
              <m:sSub>
                <m:e>
                  <m:r>
                    <w:rPr>
                      <w:rFonts w:ascii="Cambria Math" w:hAnsi="Cambria Math"/>
                      <w:sz w:val="19"/>
                      <w:szCs w:val="19"/>
                    </w:rPr>
                    <m:t>Q</m:t>
                  </m:r>
                </m:e>
                <m:sub>
                  <m:r>
                    <w:rPr>
                      <w:rFonts w:ascii="Cambria Math" w:hAnsi="Cambria Math"/>
                      <w:sz w:val="19"/>
                      <w:szCs w:val="19"/>
                    </w:rPr>
                    <m:t>0</m:t>
                  </m:r>
                </m:sub>
              </m:sSub>
              <m:r>
                <m:rPr>
                  <m:sty m:val="p"/>
                </m:rPr>
                <w:rPr>
                  <w:rFonts w:ascii="Cambria Math" w:hAnsi="Cambria Math"/>
                  <w:sz w:val="19"/>
                  <w:szCs w:val="19"/>
                </w:rPr>
                <m:t>−</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C</m:t>
                  </m:r>
                </m:sup>
              </m:sSubSup>
            </m:e>
          </m:mr>
          <m:mr>
            <m:e/>
            <m:e>
              <m:r>
                <w:rPr>
                  <w:rFonts w:ascii="Cambria Math" w:hAnsi="Cambria Math"/>
                  <w:sz w:val="19"/>
                  <w:szCs w:val="19"/>
                </w:rPr>
                <m:t>  </m:t>
              </m:r>
              <m:r>
                <m:rPr>
                  <m:sty m:val="p"/>
                </m:rPr>
                <w:rPr>
                  <w:rFonts w:ascii="Cambria Math" w:hAnsi="Cambria Math"/>
                  <w:sz w:val="19"/>
                  <w:szCs w:val="19"/>
                </w:rPr>
                <m:t>−</m:t>
              </m:r>
              <m:sSup>
                <m:e>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e>
                <m:sup>
                  <m:r>
                    <w:rPr>
                      <w:rFonts w:ascii="Cambria Math" w:hAnsi="Cambria Math"/>
                      <w:sz w:val="19"/>
                      <w:szCs w:val="19"/>
                    </w:rPr>
                    <m:t>A</m:t>
                  </m:r>
                  <m:r>
                    <w:rPr>
                      <w:rFonts w:ascii="Cambria Math" w:hAnsi="Cambria Math"/>
                      <w:sz w:val="19"/>
                      <w:szCs w:val="19"/>
                    </w:rPr>
                    <m:t>C</m:t>
                  </m:r>
                </m:sup>
              </m:sSup>
              <m:sSubSup>
                <m:e>
                  <m:r>
                    <w:rPr>
                      <w:rFonts w:ascii="Cambria Math" w:hAnsi="Cambria Math"/>
                      <w:sz w:val="19"/>
                      <w:szCs w:val="19"/>
                    </w:rPr>
                    <m:t>H</m:t>
                  </m:r>
                </m:e>
                <m:sub>
                  <m:r>
                    <w:rPr>
                      <w:rFonts w:ascii="Cambria Math" w:hAnsi="Cambria Math"/>
                      <w:sz w:val="19"/>
                      <w:szCs w:val="19"/>
                    </w:rPr>
                    <m:t>t</m:t>
                  </m:r>
                </m:sub>
                <m:sup>
                  <m:r>
                    <w:rPr>
                      <w:rFonts w:ascii="Cambria Math" w:hAnsi="Cambria Math"/>
                      <w:sz w:val="19"/>
                      <w:szCs w:val="19"/>
                    </w:rPr>
                    <m:t>A</m:t>
                  </m:r>
                  <m:r>
                    <w:rPr>
                      <w:rFonts w:ascii="Cambria Math" w:hAnsi="Cambria Math"/>
                      <w:sz w:val="19"/>
                      <w:szCs w:val="19"/>
                    </w:rPr>
                    <m:t>C</m:t>
                  </m:r>
                </m:sup>
              </m:sSubSup>
              <m:r>
                <m:rPr>
                  <m:sty m:val="p"/>
                </m:rPr>
                <w:rPr>
                  <w:rFonts w:ascii="Cambria Math" w:hAnsi="Cambria Math"/>
                  <w:sz w:val="19"/>
                  <w:szCs w:val="19"/>
                </w:rPr>
                <m:t>−</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D</m:t>
                  </m:r>
                </m:sup>
              </m:sSubSup>
              <m:r>
                <m:rPr>
                  <m:sty m:val="p"/>
                </m:rPr>
                <w:rPr>
                  <w:rFonts w:ascii="Cambria Math" w:hAnsi="Cambria Math"/>
                  <w:sz w:val="19"/>
                  <w:szCs w:val="19"/>
                </w:rPr>
                <m:t>+</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C</m:t>
                  </m:r>
                </m:sup>
              </m:sSubSup>
              <m:r>
                <m:rPr>
                  <m:sty m:val="p"/>
                </m:rPr>
                <w:rPr>
                  <w:rFonts w:ascii="Cambria Math" w:hAnsi="Cambria Math"/>
                  <w:sz w:val="19"/>
                  <w:szCs w:val="19"/>
                </w:rPr>
                <m:t>]</m:t>
              </m:r>
              <m:r>
                <w:rPr>
                  <w:rFonts w:ascii="Cambria Math" w:hAnsi="Cambria Math"/>
                  <w:sz w:val="19"/>
                  <w:szCs w:val="19"/>
                </w:rPr>
                <m:t>Δ</m:t>
              </m:r>
              <m:r>
                <w:rPr>
                  <w:rFonts w:ascii="Cambria Math" w:hAnsi="Cambria Math"/>
                  <w:sz w:val="19"/>
                  <w:szCs w:val="19"/>
                </w:rPr>
                <m:t>t</m:t>
              </m:r>
            </m:e>
          </m:mr>
          <m:mr>
            <m:e/>
            <m:e>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t</m:t>
                  </m:r>
                </m:sub>
                <m:sup>
                  <m:r>
                    <w:rPr>
                      <w:rFonts w:ascii="Cambria Math" w:hAnsi="Cambria Math"/>
                      <w:sz w:val="19"/>
                      <w:szCs w:val="19"/>
                    </w:rPr>
                    <m:t>​</m:t>
                  </m:r>
                </m:sup>
                <m:e>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bSup>
                </m:e>
              </m:nary>
              <m:d>
                <m:dPr>
                  <m:begChr m:val="("/>
                  <m:sepChr m:val=""/>
                  <m:endChr m:val=")"/>
                  <m:grow/>
                </m:dPr>
                <m:e>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p>
                </m:e>
              </m:d>
              <m:r>
                <w:rPr>
                  <w:rFonts w:ascii="Cambria Math" w:hAnsi="Cambria Math"/>
                  <w:sz w:val="19"/>
                  <w:szCs w:val="19"/>
                </w:rPr>
                <m:t>Δ</m:t>
              </m:r>
              <m:r>
                <w:rPr>
                  <w:rFonts w:ascii="Cambria Math" w:hAnsi="Cambria Math"/>
                  <w:sz w:val="19"/>
                  <w:szCs w:val="19"/>
                </w:rPr>
                <m:t>t</m:t>
              </m:r>
            </m:e>
          </m:mr>
          <m:mr>
            <m:e/>
            <m:e>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t</m:t>
                  </m:r>
                </m:sub>
                <m:sup>
                  <m:r>
                    <w:rPr>
                      <w:rFonts w:ascii="Cambria Math" w:hAnsi="Cambria Math"/>
                      <w:sz w:val="19"/>
                      <w:szCs w:val="19"/>
                    </w:rPr>
                    <m:t>​</m:t>
                  </m:r>
                </m:sup>
                <m:e>
                  <m:sSub>
                    <m:e>
                      <m:r>
                        <w:rPr>
                          <w:rFonts w:ascii="Cambria Math" w:hAnsi="Cambria Math"/>
                          <w:sz w:val="19"/>
                          <w:szCs w:val="19"/>
                        </w:rPr>
                        <m:t>ν</m:t>
                      </m:r>
                    </m:e>
                    <m:sub>
                      <m:r>
                        <w:rPr>
                          <w:rFonts w:ascii="Cambria Math" w:hAnsi="Cambria Math"/>
                          <w:sz w:val="19"/>
                          <w:szCs w:val="19"/>
                        </w:rPr>
                        <m:t>t</m:t>
                      </m:r>
                    </m:sub>
                  </m:sSub>
                </m:e>
              </m:nary>
              <m:d>
                <m:dPr>
                  <m:begChr m:val="["/>
                  <m:sepChr m:val=""/>
                  <m:endChr m:val="]"/>
                  <m:grow/>
                </m:dPr>
                <m:e>
                  <m:sSub>
                    <m:e>
                      <m:r>
                        <w:rPr>
                          <w:rFonts w:ascii="Cambria Math" w:hAnsi="Cambria Math"/>
                          <w:sz w:val="19"/>
                          <w:szCs w:val="19"/>
                        </w:rPr>
                        <m:t>E</m:t>
                      </m:r>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d>
                    <m:dPr>
                      <m:begChr m:val="("/>
                      <m:sepChr m:val=""/>
                      <m:endChr m:val=")"/>
                      <m:grow/>
                    </m:dPr>
                    <m:e>
                      <m:sSub>
                        <m:e>
                          <m:r>
                            <w:rPr>
                              <w:rFonts w:ascii="Cambria Math" w:hAnsi="Cambria Math"/>
                              <w:sz w:val="19"/>
                              <w:szCs w:val="19"/>
                            </w:rPr>
                            <m:t>η</m:t>
                          </m:r>
                        </m:e>
                        <m:sub>
                          <m:r>
                            <w:rPr>
                              <w:rFonts w:ascii="Cambria Math" w:hAnsi="Cambria Math"/>
                              <w:sz w:val="19"/>
                              <w:szCs w:val="19"/>
                            </w:rPr>
                            <m:t>c</m:t>
                          </m:r>
                        </m:sub>
                      </m:sSub>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h</m:t>
                          </m:r>
                        </m:sup>
                      </m:sSubSup>
                      <m:r>
                        <m:rPr>
                          <m:sty m:val="p"/>
                        </m:rPr>
                        <w:rPr>
                          <w:rFonts w:ascii="Cambria Math" w:hAnsi="Cambria Math"/>
                          <w:sz w:val="19"/>
                          <w:szCs w:val="19"/>
                        </w:rPr>
                        <m:t>−</m:t>
                      </m:r>
                      <m:f>
                        <m:fPr>
                          <m:type m:val="bar"/>
                        </m:fPr>
                        <m:num>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d</m:t>
                              </m:r>
                              <m:r>
                                <w:rPr>
                                  <w:rFonts w:ascii="Cambria Math" w:hAnsi="Cambria Math"/>
                                  <w:sz w:val="19"/>
                                  <w:szCs w:val="19"/>
                                </w:rPr>
                                <m:t>i</m:t>
                              </m:r>
                              <m:r>
                                <w:rPr>
                                  <w:rFonts w:ascii="Cambria Math" w:hAnsi="Cambria Math"/>
                                  <w:sz w:val="19"/>
                                  <w:szCs w:val="19"/>
                                </w:rPr>
                                <m:t>s</m:t>
                              </m:r>
                            </m:sup>
                          </m:sSubSup>
                        </m:num>
                        <m:den>
                          <m:sSub>
                            <m:e>
                              <m:r>
                                <w:rPr>
                                  <w:rFonts w:ascii="Cambria Math" w:hAnsi="Cambria Math"/>
                                  <w:sz w:val="19"/>
                                  <w:szCs w:val="19"/>
                                </w:rPr>
                                <m:t>η</m:t>
                              </m:r>
                            </m:e>
                            <m:sub>
                              <m:r>
                                <w:rPr>
                                  <w:rFonts w:ascii="Cambria Math" w:hAnsi="Cambria Math"/>
                                  <w:sz w:val="19"/>
                                  <w:szCs w:val="19"/>
                                </w:rPr>
                                <m:t>d</m:t>
                              </m:r>
                            </m:sub>
                          </m:sSub>
                        </m:den>
                      </m:f>
                    </m:e>
                  </m:d>
                  <m:r>
                    <w:rPr>
                      <w:rFonts w:ascii="Cambria Math" w:hAnsi="Cambria Math"/>
                      <w:sz w:val="19"/>
                      <w:szCs w:val="19"/>
                    </w:rPr>
                    <m:t>Δ</m:t>
                  </m:r>
                  <m:r>
                    <w:rPr>
                      <w:rFonts w:ascii="Cambria Math" w:hAnsi="Cambria Math"/>
                      <w:sz w:val="19"/>
                      <w:szCs w:val="19"/>
                    </w:rPr>
                    <m:t>t</m:t>
                  </m:r>
                </m:e>
              </m:d>
            </m:e>
          </m:mr>
          <m:mr>
            <m:e/>
            <m:e>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up>
                  <m:r>
                    <w:rPr>
                      <w:rFonts w:ascii="Cambria Math" w:hAnsi="Cambria Math"/>
                      <w:sz w:val="19"/>
                      <w:szCs w:val="19"/>
                    </w:rPr>
                    <m:t>​</m:t>
                  </m:r>
                </m:sup>
                <m:e>
                  <m:sSub>
                    <m:e>
                      <m:r>
                        <w:rPr>
                          <w:rFonts w:ascii="Cambria Math" w:hAnsi="Cambria Math"/>
                          <w:sz w:val="19"/>
                          <w:szCs w:val="19"/>
                        </w:rPr>
                        <m:t>μ</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nary>
              <m:d>
                <m:dPr>
                  <m:begChr m:val="["/>
                  <m:sepChr m:val=""/>
                  <m:endChr m:val="]"/>
                  <m:grow/>
                </m:dPr>
                <m:e>
                  <m:sSub>
                    <m:e>
                      <m:r>
                        <w:rPr>
                          <w:rFonts w:ascii="Cambria Math" w:hAnsi="Cambria Math"/>
                          <w:sz w:val="19"/>
                          <w:szCs w:val="19"/>
                        </w:rPr>
                        <m:t>B</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d>
                    <m:dPr>
                      <m:begChr m:val="("/>
                      <m:sepChr m:val=""/>
                      <m:endChr m:val=")"/>
                      <m:grow/>
                    </m:dPr>
                    <m:e>
                      <m:sSub>
                        <m:e>
                          <m:r>
                            <w:rPr>
                              <w:rFonts w:ascii="Cambria Math" w:hAnsi="Cambria Math"/>
                              <w:sz w:val="19"/>
                              <w:szCs w:val="19"/>
                            </w:rPr>
                            <m:t>a</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y</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d>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sSub>
                    <m:e>
                      <m:r>
                        <w:rPr>
                          <w:rFonts w:ascii="Cambria Math" w:hAnsi="Cambria Math"/>
                          <w:sz w:val="19"/>
                          <w:szCs w:val="19"/>
                        </w:rPr>
                        <m:t>B</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d>
              <m:r>
                <m:rPr>
                  <m:sty m:val="p"/>
                </m:rPr>
                <w:rPr>
                  <w:rFonts w:ascii="Cambria Math" w:hAnsi="Cambria Math"/>
                  <w:sz w:val="19"/>
                  <w:szCs w:val="19"/>
                </w:rPr>
                <m:t>+</m:t>
              </m:r>
              <m:sSup>
                <m:e>
                  <m:r>
                    <m:rPr>
                      <m:scr m:val="script"/>
                      <m:sty m:val="p"/>
                    </m:rPr>
                    <w:rPr>
                      <w:rFonts w:ascii="Cambria Math" w:hAnsi="Cambria Math"/>
                      <w:sz w:val="19"/>
                      <w:szCs w:val="19"/>
                    </w:rPr>
                    <m:t>L</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s</m:t>
                  </m:r>
                  <m:r>
                    <w:rPr>
                      <w:rFonts w:ascii="Cambria Math" w:hAnsi="Cambria Math"/>
                      <w:sz w:val="19"/>
                      <w:szCs w:val="19"/>
                    </w:rPr>
                    <m:t>t</m:t>
                  </m:r>
                </m:sup>
              </m:sSup>
              <m:r>
                <m:rPr>
                  <m:sty m:val="p"/>
                </m:rPr>
                <w:rPr>
                  <w:rFonts w:ascii="Cambria Math" w:hAnsi="Cambria Math"/>
                  <w:sz w:val="19"/>
                  <w:szCs w:val="19"/>
                </w:rPr>
                <m:t>,</m:t>
              </m:r>
            </m:e>
          </m:mr>
        </m:m>
      </m:oMath>
      <w:r>
        <w:tab/>
      </w:r>
      <w:r>
        <w:t xml:space="preserve">(46)</w:t>
      </w:r>
    </w:p>
    <w:p>
      <w:pPr>
        <w:pStyle w:val="BodyText"/>
      </w:pPr>
      <w:r>
        <w:t xml:space="preserve">where</w:t>
      </w:r>
      <w:r>
        <w:t xml:space="preserve"> </w:t>
      </w:r>
      <m:oMath>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oMath>
      <w:r>
        <w:t xml:space="preserve">,</w:t>
      </w:r>
      <w:r>
        <w:t xml:space="preserve"> </w:t>
      </w:r>
      <m:oMath>
        <m:sSub>
          <m:e>
            <m:r>
              <w:rPr>
                <w:rFonts w:ascii="Cambria Math" w:hAnsi="Cambria Math"/>
                <w:sz w:val="19"/>
                <w:szCs w:val="19"/>
              </w:rPr>
              <m:t>χ</m:t>
            </m:r>
          </m:e>
          <m:sub>
            <m:r>
              <w:rPr>
                <w:rFonts w:ascii="Cambria Math" w:hAnsi="Cambria Math"/>
                <w:sz w:val="19"/>
                <w:szCs w:val="19"/>
              </w:rPr>
              <m:t>t</m:t>
            </m:r>
          </m:sub>
        </m:sSub>
      </m:oMath>
      <w:r>
        <w:t xml:space="preserve">,</w:t>
      </w:r>
      <w:r>
        <w:t xml:space="preserve"> </w:t>
      </w:r>
      <m:oMath>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bSup>
        <m:r>
          <m:rPr>
            <m:sty m:val="p"/>
          </m:rPr>
          <w:rPr>
            <w:rFonts w:ascii="Cambria Math" w:hAnsi="Cambria Math"/>
            <w:sz w:val="19"/>
            <w:szCs w:val="19"/>
          </w:rPr>
          <m:t>≥</m:t>
        </m:r>
        <m:r>
          <w:rPr>
            <w:rFonts w:ascii="Cambria Math" w:hAnsi="Cambria Math"/>
            <w:sz w:val="19"/>
            <w:szCs w:val="19"/>
          </w:rPr>
          <m:t>0</m:t>
        </m:r>
      </m:oMath>
      <w:r>
        <w:t xml:space="preserve">,</w:t>
      </w:r>
      <w:r>
        <w:t xml:space="preserve"> </w:t>
      </w:r>
      <m:oMath>
        <m:sSub>
          <m:e>
            <m:r>
              <w:rPr>
                <w:rFonts w:ascii="Cambria Math" w:hAnsi="Cambria Math"/>
                <w:sz w:val="19"/>
                <w:szCs w:val="19"/>
              </w:rPr>
              <m:t>ν</m:t>
            </m:r>
          </m:e>
          <m:sub>
            <m:r>
              <w:rPr>
                <w:rFonts w:ascii="Cambria Math" w:hAnsi="Cambria Math"/>
                <w:sz w:val="19"/>
                <w:szCs w:val="19"/>
              </w:rPr>
              <m:t>t</m:t>
            </m:r>
          </m:sub>
        </m:sSub>
      </m:oMath>
      <w:r>
        <w:t xml:space="preserve"> </w:t>
      </w:r>
      <w:r>
        <w:t xml:space="preserve">and</w:t>
      </w:r>
      <w:r>
        <w:t xml:space="preserve"> </w:t>
      </w:r>
      <m:oMath>
        <m:sSub>
          <m:e>
            <m:r>
              <w:rPr>
                <w:rFonts w:ascii="Cambria Math" w:hAnsi="Cambria Math"/>
                <w:sz w:val="19"/>
                <w:szCs w:val="19"/>
              </w:rPr>
              <m:t>μ</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oMath>
      <w:r>
        <w:t xml:space="preserve"> </w:t>
      </w:r>
      <w:r>
        <w:t xml:space="preserve">are the multipliers of the electric balance (16), the cooling balance (14), the connection limit (17), the BESS balance (9) and the backlog balance (4), and</w:t>
      </w:r>
      <w:r>
        <w:t xml:space="preserve"> </w:t>
      </w:r>
      <m:oMath>
        <m:sSup>
          <m:e>
            <m:r>
              <m:rPr>
                <m:scr m:val="script"/>
                <m:sty m:val="p"/>
              </m:rPr>
              <w:rPr>
                <w:rFonts w:ascii="Cambria Math" w:hAnsi="Cambria Math"/>
                <w:sz w:val="19"/>
                <w:szCs w:val="19"/>
              </w:rPr>
              <m:t>L</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s</m:t>
            </m:r>
            <m:r>
              <w:rPr>
                <w:rFonts w:ascii="Cambria Math" w:hAnsi="Cambria Math"/>
                <w:sz w:val="19"/>
                <w:szCs w:val="19"/>
              </w:rPr>
              <m:t>t</m:t>
            </m:r>
          </m:sup>
        </m:sSup>
      </m:oMath>
      <w:r>
        <w:t xml:space="preserve"> </w:t>
      </w:r>
      <w:r>
        <w:t xml:space="preserve">collects the remaining constraints, among them the settlement (22)–(24).</w:t>
      </w:r>
    </w:p>
    <w:p>
      <w:pPr>
        <w:pStyle w:val="BodyText"/>
      </w:pPr>
      <w:r>
        <w:rPr>
          <w:bCs/>
          <w:b/>
        </w:rPr>
        <w:t xml:space="preserve">Proposition 3 (single channel price).</w:t>
      </w:r>
      <w:r>
        <w:t xml:space="preserve"> </w:t>
      </w:r>
      <w:r>
        <w:t xml:space="preserve">Let</w:t>
      </w:r>
      <w:r>
        <w:t xml:space="preserve"> </w:t>
      </w:r>
      <m:oMath>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v</m:t>
            </m:r>
          </m:sup>
        </m:sSubSup>
        <m:r>
          <m:rPr>
            <m:sty m:val="p"/>
          </m:rPr>
          <w:rPr>
            <w:rFonts w:ascii="Cambria Math" w:hAnsi="Cambria Math"/>
            <w:sz w:val="19"/>
            <w:szCs w:val="19"/>
          </w:rPr>
          <m:t>≥</m:t>
        </m:r>
        <m:r>
          <w:rPr>
            <w:rFonts w:ascii="Cambria Math" w:hAnsi="Cambria Math"/>
            <w:sz w:val="19"/>
            <w:szCs w:val="19"/>
          </w:rPr>
          <m:t>0</m:t>
        </m:r>
      </m:oMath>
      <w:r>
        <w:t xml:space="preserve"> </w:t>
      </w:r>
      <w:r>
        <w:t xml:space="preserve">be the marginal settlement value of the import in the steps of an event (zero outside events). When the minimum import does not bind, the Karush–Kuhn–Tucker (KKT) conditions of (46) give</w:t>
      </w:r>
    </w:p>
    <w:p>
      <w:pPr>
        <w:pStyle w:val="Equation"/>
      </w:pPr>
      <w:r>
        <w:tab/>
      </w:r>
      <m:oMath>
        <m:m>
          <m:mPr>
            <m:baseJc m:val="center"/>
            <m:plcHide m:val="on"/>
            <m:mcs>
              <m:mc>
                <m:mcPr>
                  <m:count m:val="1"/>
                  <m:mcJc m:val="right"/>
                </m:mcPr>
              </m:mc>
              <m:mc>
                <m:mcPr>
                  <m:count m:val="1"/>
                  <m:mcJc m:val="left"/>
                </m:mcPr>
              </m:mc>
            </m:mcs>
          </m:mPr>
          <m:mr>
            <m:e>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e>
            <m:e>
              <m:r>
                <m:rPr>
                  <m:sty m:val="p"/>
                </m:rPr>
                <w:rPr>
                  <w:rFonts w:ascii="Cambria Math" w:hAnsi="Cambria Math"/>
                  <w:sz w:val="19"/>
                  <w:szCs w:val="19"/>
                </w:rPr>
                <m:t>=</m:t>
              </m:r>
              <m:sSub>
                <m:e>
                  <m:r>
                    <w:rPr>
                      <w:rFonts w:ascii="Cambria Math" w:hAnsi="Cambria Math"/>
                      <w:sz w:val="19"/>
                      <w:szCs w:val="19"/>
                    </w:rPr>
                    <m:t>π</m:t>
                  </m:r>
                </m:e>
                <m:sub>
                  <m:r>
                    <w:rPr>
                      <w:rFonts w:ascii="Cambria Math" w:hAnsi="Cambria Math"/>
                      <w:sz w:val="19"/>
                      <w:szCs w:val="19"/>
                    </w:rPr>
                    <m:t>t</m:t>
                  </m:r>
                </m:sub>
              </m:sSub>
              <m:r>
                <m:rPr>
                  <m:sty m:val="p"/>
                </m:rPr>
                <w:rPr>
                  <w:rFonts w:ascii="Cambria Math" w:hAnsi="Cambria Math"/>
                  <w:sz w:val="19"/>
                  <w:szCs w:val="19"/>
                </w:rPr>
                <m:t>+</m:t>
              </m:r>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bSup>
              <m:r>
                <m:rPr>
                  <m:sty m:val="p"/>
                </m:rPr>
                <w:rPr>
                  <w:rFonts w:ascii="Cambria Math" w:hAnsi="Cambria Math"/>
                  <w:sz w:val="19"/>
                  <w:szCs w:val="19"/>
                </w:rPr>
                <m:t>+</m:t>
              </m:r>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v</m:t>
                  </m:r>
                </m:sup>
              </m:sSubSup>
              <m:r>
                <m:rPr>
                  <m:sty m:val="p"/>
                </m:rPr>
                <w:rPr>
                  <w:rFonts w:ascii="Cambria Math" w:hAnsi="Cambria Math"/>
                  <w:sz w:val="19"/>
                  <w:szCs w:val="19"/>
                </w:rPr>
                <m:t>,</m:t>
              </m:r>
            </m:e>
          </m:mr>
          <m:mr>
            <m:e>
              <m:sSub>
                <m:e>
                  <m:r>
                    <w:rPr>
                      <w:rFonts w:ascii="Cambria Math" w:hAnsi="Cambria Math"/>
                      <w:sz w:val="19"/>
                      <w:szCs w:val="19"/>
                    </w:rPr>
                    <m:t>η</m:t>
                  </m:r>
                </m:e>
                <m:sub>
                  <m:r>
                    <w:rPr>
                      <w:rFonts w:ascii="Cambria Math" w:hAnsi="Cambria Math"/>
                      <w:sz w:val="19"/>
                      <w:szCs w:val="19"/>
                    </w:rPr>
                    <m:t>c</m:t>
                  </m:r>
                </m:sub>
              </m:sSub>
              <m:r>
                <w:rPr>
                  <w:rFonts w:ascii="Cambria Math" w:hAnsi="Cambria Math"/>
                  <w:sz w:val="19"/>
                  <w:szCs w:val="19"/>
                </w:rPr>
                <m:t> </m:t>
              </m:r>
              <m:sSub>
                <m:e>
                  <m:r>
                    <w:rPr>
                      <w:rFonts w:ascii="Cambria Math" w:hAnsi="Cambria Math"/>
                      <w:sz w:val="19"/>
                      <w:szCs w:val="19"/>
                    </w:rPr>
                    <m:t>ν</m:t>
                  </m:r>
                </m:e>
                <m:sub>
                  <m:r>
                    <w:rPr>
                      <w:rFonts w:ascii="Cambria Math" w:hAnsi="Cambria Math"/>
                      <w:sz w:val="19"/>
                      <w:szCs w:val="19"/>
                    </w:rPr>
                    <m:t>t</m:t>
                  </m:r>
                </m:sub>
              </m:sSub>
            </m:e>
            <m:e>
              <m:r>
                <m:rPr>
                  <m:sty m:val="p"/>
                </m:rPr>
                <w:rPr>
                  <w:rFonts w:ascii="Cambria Math" w:hAnsi="Cambria Math"/>
                  <w:sz w:val="19"/>
                  <w:szCs w:val="19"/>
                </w:rPr>
                <m:t>=</m:t>
              </m:r>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r>
                <m:rPr>
                  <m:sty m:val="p"/>
                </m:rPr>
                <w:rPr>
                  <w:rFonts w:ascii="Cambria Math" w:hAnsi="Cambria Math"/>
                  <w:sz w:val="19"/>
                  <w:szCs w:val="19"/>
                </w:rPr>
                <m:t>+</m:t>
              </m:r>
              <m:sSup>
                <m:e>
                  <m:r>
                    <w:rPr>
                      <w:rFonts w:ascii="Cambria Math" w:hAnsi="Cambria Math"/>
                      <w:sz w:val="19"/>
                      <w:szCs w:val="19"/>
                    </w:rPr>
                    <m:t>c</m:t>
                  </m:r>
                </m:e>
                <m:sup>
                  <m:r>
                    <w:rPr>
                      <w:rFonts w:ascii="Cambria Math" w:hAnsi="Cambria Math"/>
                      <w:sz w:val="19"/>
                      <w:szCs w:val="19"/>
                    </w:rPr>
                    <m:t>d</m:t>
                  </m:r>
                  <m:r>
                    <w:rPr>
                      <w:rFonts w:ascii="Cambria Math" w:hAnsi="Cambria Math"/>
                      <w:sz w:val="19"/>
                      <w:szCs w:val="19"/>
                    </w:rPr>
                    <m:t>e</m:t>
                  </m:r>
                  <m:r>
                    <w:rPr>
                      <w:rFonts w:ascii="Cambria Math" w:hAnsi="Cambria Math"/>
                      <w:sz w:val="19"/>
                      <w:szCs w:val="19"/>
                    </w:rPr>
                    <m:t>g</m:t>
                  </m:r>
                </m:sup>
              </m:sSup>
              <m:r>
                <w:rPr>
                  <w:rFonts w:ascii="Cambria Math" w:hAnsi="Cambria Math"/>
                  <w:sz w:val="19"/>
                  <w:szCs w:val="19"/>
                </w:rPr>
                <m:t> </m:t>
              </m:r>
              <m:r>
                <m:rPr>
                  <m:nor/>
                  <m:sty m:val="p"/>
                </m:rPr>
                <w:rPr>
                  <w:rFonts w:ascii="Cambria Math" w:hAnsi="Cambria Math"/>
                  <w:sz w:val="19"/>
                  <w:szCs w:val="19"/>
                </w:rPr>
                <m:t>(interior charging)</m:t>
              </m:r>
              <m:r>
                <m:rPr>
                  <m:sty m:val="p"/>
                </m:rPr>
                <w:rPr>
                  <w:rFonts w:ascii="Cambria Math" w:hAnsi="Cambria Math"/>
                  <w:sz w:val="19"/>
                  <w:szCs w:val="19"/>
                </w:rPr>
                <m:t>,</m:t>
              </m:r>
            </m:e>
          </m:mr>
          <m:mr>
            <m:e>
              <m:sSub>
                <m:e>
                  <m:r>
                    <w:rPr>
                      <w:rFonts w:ascii="Cambria Math" w:hAnsi="Cambria Math"/>
                      <w:sz w:val="19"/>
                      <w:szCs w:val="19"/>
                    </w:rPr>
                    <m:t>μ</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e>
            <m:e>
              <m:r>
                <m:rPr>
                  <m:sty m:val="p"/>
                </m:rPr>
                <w:rPr>
                  <w:rFonts w:ascii="Cambria Math" w:hAnsi="Cambria Math"/>
                  <w:sz w:val="19"/>
                  <w:szCs w:val="19"/>
                </w:rPr>
                <m:t>=</m:t>
              </m:r>
              <m:sSub>
                <m:e>
                  <m:r>
                    <w:rPr>
                      <w:rFonts w:ascii="Cambria Math" w:hAnsi="Cambria Math"/>
                      <w:sz w:val="19"/>
                      <w:szCs w:val="19"/>
                    </w:rPr>
                    <m:t>ψ</m:t>
                  </m:r>
                </m:e>
                <m:sub>
                  <m:r>
                    <w:rPr>
                      <w:rFonts w:ascii="Cambria Math" w:hAnsi="Cambria Math"/>
                      <w:sz w:val="19"/>
                      <w:szCs w:val="19"/>
                    </w:rPr>
                    <m:t>t</m:t>
                  </m:r>
                </m:sub>
              </m:sSub>
              <m:r>
                <w:rPr>
                  <w:rFonts w:ascii="Cambria Math" w:hAnsi="Cambria Math"/>
                  <w:sz w:val="19"/>
                  <w:szCs w:val="19"/>
                </w:rPr>
                <m:t> </m:t>
              </m:r>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r>
                <w:rPr>
                  <w:rFonts w:ascii="Cambria Math" w:hAnsi="Cambria Math"/>
                  <w:sz w:val="19"/>
                  <w:szCs w:val="19"/>
                </w:rPr>
                <m:t> </m:t>
              </m:r>
              <m:r>
                <m:rPr>
                  <m:nor/>
                  <m:sty m:val="p"/>
                </m:rPr>
                <w:rPr>
                  <w:rFonts w:ascii="Cambria Math" w:hAnsi="Cambria Math"/>
                  <w:sz w:val="19"/>
                  <w:szCs w:val="19"/>
                </w:rPr>
                <m:t>(interior execution)</m:t>
              </m:r>
              <m:r>
                <m:rPr>
                  <m:sty m:val="p"/>
                </m:rPr>
                <w:rPr>
                  <w:rFonts w:ascii="Cambria Math" w:hAnsi="Cambria Math"/>
                  <w:sz w:val="19"/>
                  <w:szCs w:val="19"/>
                </w:rPr>
                <m:t>.</m:t>
              </m:r>
            </m:e>
          </m:mr>
        </m:m>
      </m:oMath>
      <w:r>
        <w:tab/>
      </w:r>
      <w:r>
        <w:t xml:space="preserve">(47)</w:t>
      </w:r>
    </w:p>
    <w:p>
      <w:pPr>
        <w:pStyle w:val="BodyText"/>
      </w:pPr>
      <w:r>
        <w:t xml:space="preserve">When catch-up and recharge are both interior in step</w:t>
      </w:r>
      <w:r>
        <w:t xml:space="preserve"> </w:t>
      </w:r>
      <m:oMath>
        <m:r>
          <w:rPr>
            <w:rFonts w:ascii="Cambria Math" w:hAnsi="Cambria Math"/>
            <w:sz w:val="19"/>
            <w:szCs w:val="19"/>
          </w:rPr>
          <m:t>t</m:t>
        </m:r>
      </m:oMath>
      <w:r>
        <w:t xml:space="preserve">,</w:t>
      </w:r>
    </w:p>
    <w:p>
      <w:pPr>
        <w:pStyle w:val="Equation"/>
      </w:pPr>
      <w:r>
        <w:tab/>
      </w:r>
      <m:oMath>
        <m:f>
          <m:fPr>
            <m:type m:val="bar"/>
          </m:fPr>
          <m:num>
            <m:sSub>
              <m:e>
                <m:r>
                  <w:rPr>
                    <w:rFonts w:ascii="Cambria Math" w:hAnsi="Cambria Math"/>
                    <w:sz w:val="19"/>
                    <w:szCs w:val="19"/>
                  </w:rPr>
                  <m:t>μ</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num>
          <m:den>
            <m:sSub>
              <m:e>
                <m:r>
                  <w:rPr>
                    <w:rFonts w:ascii="Cambria Math" w:hAnsi="Cambria Math"/>
                    <w:sz w:val="19"/>
                    <w:szCs w:val="19"/>
                  </w:rPr>
                  <m:t>ψ</m:t>
                </m:r>
              </m:e>
              <m:sub>
                <m:r>
                  <w:rPr>
                    <w:rFonts w:ascii="Cambria Math" w:hAnsi="Cambria Math"/>
                    <w:sz w:val="19"/>
                    <w:szCs w:val="19"/>
                  </w:rPr>
                  <m:t>t</m:t>
                </m:r>
              </m:sub>
            </m:sSub>
          </m:den>
        </m:f>
        <m:r>
          <m:rPr>
            <m:sty m:val="p"/>
          </m:rPr>
          <w:rPr>
            <w:rFonts w:ascii="Cambria Math" w:hAnsi="Cambria Math"/>
            <w:sz w:val="19"/>
            <w:szCs w:val="19"/>
          </w:rPr>
          <m:t>=</m:t>
        </m:r>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r>
          <m:rPr>
            <m:sty m:val="p"/>
          </m:rPr>
          <w:rPr>
            <w:rFonts w:ascii="Cambria Math" w:hAnsi="Cambria Math"/>
            <w:sz w:val="19"/>
            <w:szCs w:val="19"/>
          </w:rPr>
          <m:t>=</m:t>
        </m:r>
        <m:sSub>
          <m:e>
            <m:r>
              <w:rPr>
                <w:rFonts w:ascii="Cambria Math" w:hAnsi="Cambria Math"/>
                <w:sz w:val="19"/>
                <w:szCs w:val="19"/>
              </w:rPr>
              <m:t>η</m:t>
            </m:r>
          </m:e>
          <m:sub>
            <m:r>
              <w:rPr>
                <w:rFonts w:ascii="Cambria Math" w:hAnsi="Cambria Math"/>
                <w:sz w:val="19"/>
                <w:szCs w:val="19"/>
              </w:rPr>
              <m:t>c</m:t>
            </m:r>
          </m:sub>
        </m:sSub>
        <m:r>
          <w:rPr>
            <w:rFonts w:ascii="Cambria Math" w:hAnsi="Cambria Math"/>
            <w:sz w:val="19"/>
            <w:szCs w:val="19"/>
          </w:rPr>
          <m:t> </m:t>
        </m:r>
        <m:sSub>
          <m:e>
            <m:r>
              <w:rPr>
                <w:rFonts w:ascii="Cambria Math" w:hAnsi="Cambria Math"/>
                <w:sz w:val="19"/>
                <w:szCs w:val="19"/>
              </w:rPr>
              <m:t>ν</m:t>
            </m:r>
          </m:e>
          <m:sub>
            <m:r>
              <w:rPr>
                <w:rFonts w:ascii="Cambria Math" w:hAnsi="Cambria Math"/>
                <w:sz w:val="19"/>
                <w:szCs w:val="19"/>
              </w:rPr>
              <m:t>t</m:t>
            </m:r>
          </m:sub>
        </m:sSub>
        <m:r>
          <m:rPr>
            <m:sty m:val="p"/>
          </m:rPr>
          <w:rPr>
            <w:rFonts w:ascii="Cambria Math" w:hAnsi="Cambria Math"/>
            <w:sz w:val="19"/>
            <w:szCs w:val="19"/>
          </w:rPr>
          <m:t>−</m:t>
        </m:r>
        <m:sSup>
          <m:e>
            <m:r>
              <w:rPr>
                <w:rFonts w:ascii="Cambria Math" w:hAnsi="Cambria Math"/>
                <w:sz w:val="19"/>
                <w:szCs w:val="19"/>
              </w:rPr>
              <m:t>c</m:t>
            </m:r>
          </m:e>
          <m:sup>
            <m:r>
              <w:rPr>
                <w:rFonts w:ascii="Cambria Math" w:hAnsi="Cambria Math"/>
                <w:sz w:val="19"/>
                <w:szCs w:val="19"/>
              </w:rPr>
              <m:t>d</m:t>
            </m:r>
            <m:r>
              <w:rPr>
                <w:rFonts w:ascii="Cambria Math" w:hAnsi="Cambria Math"/>
                <w:sz w:val="19"/>
                <w:szCs w:val="19"/>
              </w:rPr>
              <m:t>e</m:t>
            </m:r>
            <m:r>
              <w:rPr>
                <w:rFonts w:ascii="Cambria Math" w:hAnsi="Cambria Math"/>
                <w:sz w:val="19"/>
                <w:szCs w:val="19"/>
              </w:rPr>
              <m:t>g</m:t>
            </m:r>
          </m:sup>
        </m:sSup>
        <m:r>
          <m:rPr>
            <m:sty m:val="p"/>
          </m:rPr>
          <w:rPr>
            <w:rFonts w:ascii="Cambria Math" w:hAnsi="Cambria Math"/>
            <w:sz w:val="19"/>
            <w:szCs w:val="19"/>
          </w:rPr>
          <m:t>,</m:t>
        </m:r>
      </m:oMath>
      <w:r>
        <w:tab/>
      </w:r>
      <w:r>
        <w:t xml:space="preserve">(48)</w:t>
      </w:r>
    </w:p>
    <w:p>
      <w:pPr>
        <w:pStyle w:val="BodyText"/>
      </w:pPr>
      <w:r>
        <w:t xml:space="preserve">so one price of the recovery channel values both debts.</w:t>
      </w:r>
    </w:p>
    <w:p>
      <w:pPr>
        <w:pStyle w:val="BodyText"/>
      </w:pPr>
      <w:r>
        <w:t xml:space="preserve">The channel price</w:t>
      </w:r>
      <w:r>
        <w:t xml:space="preserve"> </w:t>
      </w:r>
      <m:oMath>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oMath>
      <w:r>
        <w:t xml:space="preserve"> </w:t>
      </w:r>
      <w:r>
        <w:t xml:space="preserve">exceeds the energy price by the scarcity of the connection,</w:t>
      </w:r>
      <w:r>
        <w:t xml:space="preserve"> </w:t>
      </w:r>
      <m:oMath>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bSup>
      </m:oMath>
      <w:r>
        <w:t xml:space="preserve">, and by the settlement value of the next event,</w:t>
      </w:r>
      <w:r>
        <w:t xml:space="preserve"> </w:t>
      </w:r>
      <m:oMath>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v</m:t>
            </m:r>
          </m:sup>
        </m:sSubSup>
      </m:oMath>
      <w:r>
        <w:t xml:space="preserve">. Independent recovery schedules catch-up against</w:t>
      </w:r>
      <w:r>
        <w:t xml:space="preserve"> </w:t>
      </w:r>
      <m:oMath>
        <m:sSub>
          <m:e>
            <m:r>
              <w:rPr>
                <w:rFonts w:ascii="Cambria Math" w:hAnsi="Cambria Math"/>
                <w:sz w:val="19"/>
                <w:szCs w:val="19"/>
              </w:rPr>
              <m:t>π</m:t>
            </m:r>
          </m:e>
          <m:sub>
            <m:r>
              <w:rPr>
                <w:rFonts w:ascii="Cambria Math" w:hAnsi="Cambria Math"/>
                <w:sz w:val="19"/>
                <w:szCs w:val="19"/>
              </w:rPr>
              <m:t>t</m:t>
            </m:r>
          </m:sub>
        </m:sSub>
      </m:oMath>
      <w:r>
        <w:t xml:space="preserve"> </w:t>
      </w:r>
      <w:r>
        <w:t xml:space="preserve">or against its own share of the commitment, ignores</w:t>
      </w:r>
      <w:r>
        <w:t xml:space="preserve"> </w:t>
      </w:r>
      <m:oMath>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bSup>
      </m:oMath>
      <w:r>
        <w:t xml:space="preserve"> </w:t>
      </w:r>
      <w:r>
        <w:t xml:space="preserve">and breaks the equality (48). Proposition 3 characterises the prices at a joint optimum; it does not imply that a price alone coordinates the subsystems. The response of a linear IT model to a given price is generally not unique, and the validity indicators make the full model mixed-integer. Section 4.3 therefore includes two price-coordinated benchmarks, the one-way day-ahead price of IR-P and the iteratively updated two-way price of IR-PD.</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TableCaption"/>
      </w:pPr>
      <w:r>
        <w:rPr>
          <w:bCs/>
          <w:b/>
        </w:rPr>
        <w:t xml:space="preserve">Table 2</w:t>
      </w:r>
      <w:r>
        <w:br/>
      </w:r>
      <w:r>
        <w:t xml:space="preserve">Assumptions, scope and numerical verification of the propositions.</w:t>
      </w:r>
    </w:p>
    <w:tbl>
      <w:tblPr>
        <w:tblStyle w:val="Table"/>
        <w:tblW w:w="10206" w:type="dxa"/>
        <w:jc w:val="start"/>
        <w:tblBorders>
          <w:top w:val="single" w:sz="6" w:space="0" w:color="000000"/>
          <w:bottom w:val="single" w:sz="6" w:space="0" w:color="000000"/>
        </w:tblBorders>
        <w:tblLayout w:type="fixed"/>
        <w:tblLook w:firstRow="1" w:lastRow="0" w:firstColumn="0" w:lastColumn="0" w:noHBand="0" w:noVBand="0" w:val="0020"/>
      </w:tblPr>
      <w:tblGrid>
        <w:gridCol w:w="1598"/>
        <w:gridCol w:w="1872"/>
        <w:gridCol w:w="1735"/>
        <w:gridCol w:w="2382"/>
        <w:gridCol w:w="2619"/>
      </w:tblGrid>
      <w:tr>
        <w:trPr>
          <w:tblHeader w:val="true"/>
        </w:trPr>
        <w:tc>
          <w:tcPr>
            <w:tcW w:w="1598" w:type="dxa"/>
            <w:tcBorders>
              <w:bottom w:val="single" w:sz="4" w:space="0" w:color="000000"/>
            </w:tcBorders>
          </w:tcPr>
          <w:p>
            <w:pPr>
              <w:pStyle w:val="TableText"/>
              <w:jc w:val="left"/>
            </w:pPr>
            <w:r>
              <w:t xml:space="preserve">Proposition</w:t>
            </w:r>
          </w:p>
        </w:tc>
        <w:tc>
          <w:tcPr>
            <w:tcW w:w="1872" w:type="dxa"/>
            <w:tcBorders>
              <w:bottom w:val="single" w:sz="4" w:space="0" w:color="000000"/>
            </w:tcBorders>
          </w:tcPr>
          <w:p>
            <w:pPr>
              <w:pStyle w:val="TableText"/>
              <w:jc w:val="left"/>
            </w:pPr>
            <w:r>
              <w:t xml:space="preserve">Assumptions</w:t>
            </w:r>
          </w:p>
        </w:tc>
        <w:tc>
          <w:tcPr>
            <w:tcW w:w="1735" w:type="dxa"/>
            <w:tcBorders>
              <w:bottom w:val="single" w:sz="4" w:space="0" w:color="000000"/>
            </w:tcBorders>
          </w:tcPr>
          <w:p>
            <w:pPr>
              <w:pStyle w:val="TableText"/>
              <w:jc w:val="left"/>
            </w:pPr>
            <w:r>
              <w:t xml:space="preserve">Scope of the result</w:t>
            </w:r>
          </w:p>
        </w:tc>
        <w:tc>
          <w:tcPr>
            <w:tcW w:w="2382" w:type="dxa"/>
            <w:tcBorders>
              <w:bottom w:val="single" w:sz="4" w:space="0" w:color="000000"/>
            </w:tcBorders>
          </w:tcPr>
          <w:p>
            <w:pPr>
              <w:pStyle w:val="TableText"/>
              <w:jc w:val="left"/>
            </w:pPr>
            <w:r>
              <w:t xml:space="preserve">Difference from the full model</w:t>
            </w:r>
          </w:p>
        </w:tc>
        <w:tc>
          <w:tcPr>
            <w:tcW w:w="2619" w:type="dxa"/>
            <w:tcBorders>
              <w:bottom w:val="single" w:sz="4" w:space="0" w:color="000000"/>
            </w:tcBorders>
          </w:tcPr>
          <w:p>
            <w:pPr>
              <w:pStyle w:val="TableText"/>
              <w:jc w:val="left"/>
            </w:pPr>
            <w:r>
              <w:t xml:space="preserve">Numerical verification</w:t>
            </w:r>
          </w:p>
        </w:tc>
      </w:tr>
      <w:tr>
        <w:tc>
          <w:tcPr>
            <w:tcW w:w="1598" w:type="dxa"/>
          </w:tcPr>
          <w:p>
            <w:pPr>
              <w:pStyle w:val="TableText"/>
              <w:jc w:val="left"/>
            </w:pPr>
            <w:r>
              <w:t xml:space="preserve">1 Capability bound</w:t>
            </w:r>
          </w:p>
        </w:tc>
        <w:tc>
          <w:tcPr>
            <w:tcW w:w="1872" w:type="dxa"/>
          </w:tcPr>
          <w:p>
            <w:pPr>
              <w:pStyle w:val="TableText"/>
              <w:jc w:val="left"/>
            </w:pPr>
            <w:r>
              <w:t xml:space="preserve">(H1) reductions measured against the no-DR operation; (H2) constant</w:t>
            </w:r>
            <w:r>
              <w:t xml:space="preserve"> </w:t>
            </w:r>
            <m:oMath>
              <m:r>
                <w:rPr>
                  <w:rFonts w:ascii="Cambria Math" w:hAnsi="Cambria Math"/>
                  <w:sz w:val="15"/>
                  <w:szCs w:val="15"/>
                </w:rPr>
                <m:t>ψ</m:t>
              </m:r>
            </m:oMath>
            <w:r>
              <w:t xml:space="preserve"> </w:t>
            </w:r>
            <w:r>
              <w:t xml:space="preserve">and COP in</w:t>
            </w:r>
            <w:r>
              <w:t xml:space="preserve"> </w:t>
            </w:r>
            <m:oMath>
              <m:r>
                <m:rPr>
                  <m:scr m:val="script"/>
                  <m:sty m:val="p"/>
                </m:rPr>
                <w:rPr>
                  <w:rFonts w:ascii="Cambria Math" w:hAnsi="Cambria Math"/>
                  <w:sz w:val="15"/>
                  <w:szCs w:val="15"/>
                </w:rPr>
                <m:t>I</m:t>
              </m:r>
              <m:r>
                <m:rPr>
                  <m:sty m:val="p"/>
                </m:rPr>
                <w:rPr>
                  <w:rFonts w:ascii="Cambria Math" w:hAnsi="Cambria Math"/>
                  <w:sz w:val="15"/>
                  <w:szCs w:val="15"/>
                </w:rPr>
                <m:t>∪</m:t>
              </m:r>
              <m:sSub>
                <m:e>
                  <m:r>
                    <m:rPr>
                      <m:scr m:val="script"/>
                      <m:sty m:val="p"/>
                    </m:rPr>
                    <w:rPr>
                      <w:rFonts w:ascii="Cambria Math" w:hAnsi="Cambria Math"/>
                      <w:sz w:val="15"/>
                      <w:szCs w:val="15"/>
                    </w:rPr>
                    <m:t>T</m:t>
                  </m:r>
                </m:e>
                <m:sub>
                  <m:r>
                    <w:rPr>
                      <w:rFonts w:ascii="Cambria Math" w:hAnsi="Cambria Math"/>
                      <w:sz w:val="15"/>
                      <w:szCs w:val="15"/>
                    </w:rPr>
                    <m:t>B</m:t>
                  </m:r>
                </m:sub>
              </m:sSub>
            </m:oMath>
          </w:p>
        </w:tc>
        <w:tc>
          <w:tcPr>
            <w:tcW w:w="1735" w:type="dxa"/>
          </w:tcPr>
          <w:p>
            <w:pPr>
              <w:pStyle w:val="TableText"/>
              <w:jc w:val="left"/>
            </w:pPr>
            <w:r>
              <w:t xml:space="preserve">Upper bound on the reduction deliverable in B by any controller, given the state after A</w:t>
            </w:r>
          </w:p>
        </w:tc>
        <w:tc>
          <w:tcPr>
            <w:tcW w:w="2382" w:type="dxa"/>
          </w:tcPr>
          <w:p>
            <w:pPr>
              <w:pStyle w:val="TableText"/>
              <w:jc w:val="left"/>
            </w:pPr>
            <w:r>
              <w:t xml:space="preserve">Time-varying COP, PV and inference load; the bound uses the largest</w:t>
            </w:r>
            <w:r>
              <w:t xml:space="preserve"> </w:t>
            </w:r>
            <m:oMath>
              <m:sSub>
                <m:e>
                  <m:r>
                    <w:rPr>
                      <w:rFonts w:ascii="Cambria Math" w:hAnsi="Cambria Math"/>
                      <w:sz w:val="15"/>
                      <w:szCs w:val="15"/>
                    </w:rPr>
                    <m:t>ψ</m:t>
                  </m:r>
                </m:e>
                <m:sub>
                  <m:r>
                    <w:rPr>
                      <w:rFonts w:ascii="Cambria Math" w:hAnsi="Cambria Math"/>
                      <w:sz w:val="15"/>
                      <w:szCs w:val="15"/>
                    </w:rPr>
                    <m:t>t</m:t>
                  </m:r>
                </m:sub>
              </m:sSub>
            </m:oMath>
            <w:r>
              <w:t xml:space="preserve"> </w:t>
            </w:r>
            <w:r>
              <w:t xml:space="preserve">of the interval</w:t>
            </w:r>
          </w:p>
        </w:tc>
        <w:tc>
          <w:tcPr>
            <w:tcW w:w="2619" w:type="dxa"/>
          </w:tcPr>
          <w:p>
            <w:pPr>
              <w:pStyle w:val="TableText"/>
              <w:jc w:val="left"/>
            </w:pPr>
            <w:r>
              <w:t xml:space="preserve">Never violated in 80 cases on the DR day; within 0.05 MW in 55–60 % of them (Section 3.7.1, Fig. S3)</w:t>
            </w:r>
          </w:p>
        </w:tc>
      </w:tr>
      <w:tr>
        <w:tc>
          <w:tcPr>
            <w:tcW w:w="1598" w:type="dxa"/>
          </w:tcPr>
          <w:p>
            <w:pPr>
              <w:pStyle w:val="TableText"/>
              <w:jc w:val="left"/>
            </w:pPr>
            <w:r>
              <w:t xml:space="preserve">2 Value of joint recovery</w:t>
            </w:r>
          </w:p>
        </w:tc>
        <w:tc>
          <w:tcPr>
            <w:tcW w:w="1872" w:type="dxa"/>
          </w:tcPr>
          <w:p>
            <w:pPr>
              <w:pStyle w:val="TableText"/>
              <w:jc w:val="left"/>
            </w:pPr>
            <w:r>
              <w:t xml:space="preserve">One class, constant arrivals</w:t>
            </w:r>
            <w:r>
              <w:t xml:space="preserve"> </w:t>
            </w:r>
            <m:oMath>
              <m:sSub>
                <m:e>
                  <m:r>
                    <w:rPr>
                      <w:rFonts w:ascii="Cambria Math" w:hAnsi="Cambria Math"/>
                      <w:sz w:val="15"/>
                      <w:szCs w:val="15"/>
                    </w:rPr>
                    <m:t>p</m:t>
                  </m:r>
                </m:e>
                <m:sub>
                  <m:r>
                    <w:rPr>
                      <w:rFonts w:ascii="Cambria Math" w:hAnsi="Cambria Math"/>
                      <w:sz w:val="15"/>
                      <w:szCs w:val="15"/>
                    </w:rPr>
                    <m:t>f</m:t>
                  </m:r>
                </m:sub>
              </m:sSub>
            </m:oMath>
            <w:r>
              <w:t xml:space="preserve">,</w:t>
            </w:r>
            <w:r>
              <w:t xml:space="preserve"> </w:t>
            </w:r>
            <m:oMath>
              <m:r>
                <w:rPr>
                  <w:rFonts w:ascii="Cambria Math" w:hAnsi="Cambria Math"/>
                  <w:sz w:val="15"/>
                  <w:szCs w:val="15"/>
                </w:rPr>
                <m:t>L</m:t>
              </m:r>
              <m:r>
                <m:rPr>
                  <m:sty m:val="p"/>
                </m:rPr>
                <w:rPr>
                  <w:rFonts w:ascii="Cambria Math" w:hAnsi="Cambria Math"/>
                  <w:sz w:val="15"/>
                  <w:szCs w:val="15"/>
                </w:rPr>
                <m:t>≥</m:t>
              </m:r>
              <m:sSub>
                <m:e>
                  <m:r>
                    <w:rPr>
                      <w:rFonts w:ascii="Cambria Math" w:hAnsi="Cambria Math"/>
                      <w:sz w:val="15"/>
                      <w:szCs w:val="15"/>
                    </w:rPr>
                    <m:t>D</m:t>
                  </m:r>
                </m:e>
                <m:sub>
                  <m:r>
                    <w:rPr>
                      <w:rFonts w:ascii="Cambria Math" w:hAnsi="Cambria Math"/>
                      <w:sz w:val="15"/>
                      <w:szCs w:val="15"/>
                    </w:rPr>
                    <m:t>B</m:t>
                  </m:r>
                </m:sub>
              </m:sSub>
            </m:oMath>
            <w:r>
              <w:t xml:space="preserve">, constant channel width</w:t>
            </w:r>
            <w:r>
              <w:t xml:space="preserve"> </w:t>
            </w:r>
            <m:oMath>
              <m:r>
                <w:rPr>
                  <w:rFonts w:ascii="Cambria Math" w:hAnsi="Cambria Math"/>
                  <w:sz w:val="15"/>
                  <w:szCs w:val="15"/>
                </w:rPr>
                <m:t>h</m:t>
              </m:r>
              <m:r>
                <m:rPr>
                  <m:sty m:val="p"/>
                </m:rPr>
                <w:rPr>
                  <w:rFonts w:ascii="Cambria Math" w:hAnsi="Cambria Math"/>
                  <w:sz w:val="15"/>
                  <w:szCs w:val="15"/>
                </w:rPr>
                <m:t>≤</m:t>
              </m:r>
              <m:sSup>
                <m:e>
                  <m:acc>
                    <m:accPr>
                      <m:chr m:val="‾"/>
                    </m:accPr>
                    <m:e>
                      <m:r>
                        <w:rPr>
                          <w:rFonts w:ascii="Cambria Math" w:hAnsi="Cambria Math"/>
                          <w:sz w:val="15"/>
                          <w:szCs w:val="15"/>
                        </w:rPr>
                        <m:t>P</m:t>
                      </m:r>
                    </m:e>
                  </m:acc>
                </m:e>
                <m:sup>
                  <m:r>
                    <w:rPr>
                      <w:rFonts w:ascii="Cambria Math" w:hAnsi="Cambria Math"/>
                      <w:sz w:val="15"/>
                      <w:szCs w:val="15"/>
                    </w:rPr>
                    <m:t>B</m:t>
                  </m:r>
                </m:sup>
              </m:sSup>
            </m:oMath>
          </w:p>
        </w:tc>
        <w:tc>
          <w:tcPr>
            <w:tcW w:w="1735" w:type="dxa"/>
          </w:tcPr>
          <w:p>
            <w:pPr>
              <w:pStyle w:val="TableText"/>
              <w:jc w:val="left"/>
            </w:pPr>
            <w:r>
              <w:t xml:space="preserve">Allocation of the channel to catch-up and recharge; minimum recovery interval</w:t>
            </w:r>
          </w:p>
        </w:tc>
        <w:tc>
          <w:tcPr>
            <w:tcW w:w="2382" w:type="dxa"/>
          </w:tcPr>
          <w:p>
            <w:pPr>
              <w:pStyle w:val="TableText"/>
              <w:jc w:val="left"/>
            </w:pPr>
            <w:r>
              <w:t xml:space="preserve">Three classes and a time-varying channel; the benchmarks of Section 4.3 optimise their recovery instead of repaying the whole debt first</w:t>
            </w:r>
          </w:p>
        </w:tc>
        <w:tc>
          <w:tcPr>
            <w:tcW w:w="2619" w:type="dxa"/>
          </w:tcPr>
          <w:p>
            <w:pPr>
              <w:pStyle w:val="TableText"/>
              <w:jc w:val="left"/>
            </w:pPr>
            <w:r>
              <w:t xml:space="preserve">C3 carried across events, 57 % of the channel to the BESS (Section 5.2); foresight value vanishes at 2–3 h (Section 5.4.1); staged benchmark SR-D (Section 5.3.4)</w:t>
            </w:r>
          </w:p>
        </w:tc>
      </w:tr>
      <w:tr>
        <w:tc>
          <w:tcPr>
            <w:tcW w:w="1598" w:type="dxa"/>
          </w:tcPr>
          <w:p>
            <w:pPr>
              <w:pStyle w:val="TableText"/>
              <w:jc w:val="left"/>
            </w:pPr>
            <w:r>
              <w:t xml:space="preserve">3 Single channel price</w:t>
            </w:r>
          </w:p>
        </w:tc>
        <w:tc>
          <w:tcPr>
            <w:tcW w:w="1872" w:type="dxa"/>
          </w:tcPr>
          <w:p>
            <w:pPr>
              <w:pStyle w:val="TableText"/>
              <w:jc w:val="left"/>
            </w:pPr>
            <w:r>
              <w:t xml:space="preserve">Validity indicators fixed (LP); interior catch-up and recharge; minimum import not binding</w:t>
            </w:r>
          </w:p>
        </w:tc>
        <w:tc>
          <w:tcPr>
            <w:tcW w:w="1735" w:type="dxa"/>
          </w:tcPr>
          <w:p>
            <w:pPr>
              <w:pStyle w:val="TableText"/>
              <w:jc w:val="left"/>
            </w:pPr>
            <w:r>
              <w:t xml:space="preserve">Marginal values of both debts at a joint optimum</w:t>
            </w:r>
          </w:p>
        </w:tc>
        <w:tc>
          <w:tcPr>
            <w:tcW w:w="2382" w:type="dxa"/>
          </w:tcPr>
          <w:p>
            <w:pPr>
              <w:pStyle w:val="TableText"/>
              <w:jc w:val="left"/>
            </w:pPr>
            <w:r>
              <w:t xml:space="preserve">Mixed-integer settlement; non-unique LP responses to a price</w:t>
            </w:r>
          </w:p>
        </w:tc>
        <w:tc>
          <w:tcPr>
            <w:tcW w:w="2619" w:type="dxa"/>
          </w:tcPr>
          <w:p>
            <w:pPr>
              <w:pStyle w:val="TableText"/>
              <w:jc w:val="left"/>
            </w:pPr>
            <w:r>
              <w:t xml:space="preserve">One-way (IR-P) and iterative two-way (IR-PD) price coordination (Section 5.3.4, Fig. S5)</w:t>
            </w:r>
          </w:p>
        </w:tc>
      </w:tr>
      <w:tr>
        <w:tc>
          <w:tcPr>
            <w:tcW w:w="1598" w:type="dxa"/>
          </w:tcPr>
          <w:p>
            <w:pPr>
              <w:pStyle w:val="TableText"/>
              <w:jc w:val="left"/>
            </w:pPr>
            <w:r>
              <w:t xml:space="preserve">4 Exact robust capacity</w:t>
            </w:r>
          </w:p>
        </w:tc>
        <w:tc>
          <w:tcPr>
            <w:tcW w:w="1872" w:type="dxa"/>
          </w:tcPr>
          <w:p>
            <w:pPr>
              <w:pStyle w:val="TableText"/>
              <w:jc w:val="left"/>
            </w:pPr>
            <w:r>
              <w:t xml:space="preserve">Empirical capability distribution on the grid; 1-Wasserstein ball of radius</w:t>
            </w:r>
            <w:r>
              <w:t xml:space="preserve"> </w:t>
            </w:r>
            <m:oMath>
              <m:r>
                <w:rPr>
                  <w:rFonts w:ascii="Cambria Math" w:hAnsi="Cambria Math"/>
                  <w:sz w:val="15"/>
                  <w:szCs w:val="15"/>
                </w:rPr>
                <m:t>ε</m:t>
              </m:r>
            </m:oMath>
          </w:p>
        </w:tc>
        <w:tc>
          <w:tcPr>
            <w:tcW w:w="1735" w:type="dxa"/>
          </w:tcPr>
          <w:p>
            <w:pPr>
              <w:pStyle w:val="TableText"/>
              <w:jc w:val="left"/>
            </w:pPr>
            <w:r>
              <w:t xml:space="preserve">Robust capacity for every distribution within the ball</w:t>
            </w:r>
          </w:p>
        </w:tc>
        <w:tc>
          <w:tcPr>
            <w:tcW w:w="2382" w:type="dxa"/>
          </w:tcPr>
          <w:p>
            <w:pPr>
              <w:pStyle w:val="TableText"/>
              <w:jc w:val="left"/>
            </w:pPr>
            <w:r>
              <w:t xml:space="preserve">No guarantee for distributions outside the ball</w:t>
            </w:r>
          </w:p>
        </w:tc>
        <w:tc>
          <w:tcPr>
            <w:tcW w:w="2619" w:type="dxa"/>
          </w:tcPr>
          <w:p>
            <w:pPr>
              <w:pStyle w:val="TableText"/>
              <w:jc w:val="left"/>
            </w:pPr>
            <w:r>
              <w:t xml:space="preserve">Out-of-sample calibration on the 26 operating days (Section 5.6.2)</w:t>
            </w:r>
          </w:p>
        </w:tc>
      </w:tr>
    </w:tbl>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37"/>
    <w:bookmarkEnd w:id="38"/>
    <w:bookmarkEnd w:id="39"/>
    <w:bookmarkStart w:id="51" w:name="Xfb5511b2430a8518c21d8b90caea4b06b05b6b2"/>
    <w:p>
      <w:pPr>
        <w:pStyle w:val="Heading1"/>
      </w:pPr>
      <w:r>
        <w:t xml:space="preserve">4. Recovery-aware coordinated scheduling framework</w:t>
      </w:r>
    </w:p>
    <w:p>
      <w:pPr>
        <w:pStyle w:val="FirstParagraph"/>
      </w:pPr>
      <w:r>
        <w:t xml:space="preserve">The framework comprises two layers (Fig. 2). The day-ahead layer derives the commitments from the closed-loop capability of the intraday controller on historical days, and the intraday layer operates the AIDC with cross-event joint recovery. Algorithm 1 in Table 3 summarises both layers.</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6477000" cy="3821315"/>
            <wp:effectExtent b="0" l="0" r="0" t="0"/>
            <wp:docPr descr="" title="" id="41" name="Picture"/>
            <a:graphic>
              <a:graphicData uri="http://schemas.openxmlformats.org/drawingml/2006/picture">
                <pic:pic>
                  <pic:nvPicPr>
                    <pic:cNvPr descr="/home/user/datacenter/paper/figures/Fig2_framework.png" id="42" name="Picture"/>
                    <pic:cNvPicPr>
                      <a:picLocks noChangeArrowheads="1" noChangeAspect="1"/>
                    </pic:cNvPicPr>
                  </pic:nvPicPr>
                  <pic:blipFill>
                    <a:blip r:embed="rId40"/>
                    <a:stretch>
                      <a:fillRect/>
                    </a:stretch>
                  </pic:blipFill>
                  <pic:spPr bwMode="auto">
                    <a:xfrm>
                      <a:off x="0" y="0"/>
                      <a:ext cx="6477000" cy="3821315"/>
                    </a:xfrm>
                    <a:prstGeom prst="rect">
                      <a:avLst/>
                    </a:prstGeom>
                    <a:noFill/>
                    <a:ln w="9525">
                      <a:noFill/>
                      <a:headEnd/>
                      <a:tailEnd/>
                    </a:ln>
                  </pic:spPr>
                </pic:pic>
              </a:graphicData>
            </a:graphic>
          </wp:inline>
        </w:drawing>
      </w:r>
    </w:p>
    <w:p>
      <w:pPr>
        <w:pStyle w:val="FigureCaption"/>
      </w:pPr>
      <w:r>
        <w:rPr>
          <w:bCs/>
          <w:b/>
        </w:rPr>
        <w:t xml:space="preserve">Fig. 2.</w:t>
      </w:r>
      <w:r>
        <w:t xml:space="preserve"> </w:t>
      </w:r>
      <w:r>
        <w:t xml:space="preserve">Recovery-aware coordinated scheduling framework. Day-ahead layer: closed-loop back-test of the intraday controller on the historical days, capability per day (49), Wasserstein-robust capacity by sorting the capability margins (Proposition 4) and cost-optimal commitment (57). Intraday layer: cross-event joint recovery MPC (60) with a 15-min step and an 18-h horizon over all confirmed events. Mini schematics show the historical days, the back-test grid (delivered until the first failure), the empirical capability distribution, the sorted capability margins, the back-tested cost, the measured state, the forecasts, the rolling horizon over the events and the settlement; badges give the lines of Algorithm 1 in Table 3.</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Start w:id="47" w:name="day-ahead-recovery-aware-commitment"/>
    <w:p>
      <w:pPr>
        <w:pStyle w:val="Heading2"/>
      </w:pPr>
      <w:r>
        <w:t xml:space="preserve">4.1. Day-ahead recovery-aware commitment</w:t>
      </w:r>
    </w:p>
    <w:bookmarkStart w:id="43" w:name="X37f9b18f4e96bb9814fc784081f3b6206332fc9"/>
    <w:p>
      <w:pPr>
        <w:pStyle w:val="Heading3"/>
      </w:pPr>
      <w:r>
        <w:t xml:space="preserve">4.1.1. Closed-loop capability on historical days</w:t>
      </w:r>
    </w:p>
    <w:p>
      <w:pPr>
        <w:pStyle w:val="FirstParagraph"/>
      </w:pPr>
      <w:r>
        <w:t xml:space="preserve">The commitment of every event must anticipate the recovery state that the preceding events leave behind, as delivered by the controller that operates the AIDC. The day-ahead layer therefore measures the capability of that controller in closed loop. For every historical day</w:t>
      </w:r>
      <w:r>
        <w:t xml:space="preserve"> </w:t>
      </w:r>
      <m:oMath>
        <m:r>
          <w:rPr>
            <w:rFonts w:ascii="Cambria Math" w:hAnsi="Cambria Math"/>
            <w:sz w:val="19"/>
            <w:szCs w:val="19"/>
          </w:rPr>
          <m:t>d</m:t>
        </m:r>
      </m:oMath>
      <w:r>
        <w:t xml:space="preserve"> </w:t>
      </w:r>
      <w:r>
        <w:t xml:space="preserve">of</w:t>
      </w:r>
      <w:r>
        <w:t xml:space="preserve"> </w:t>
      </w:r>
      <m:oMath>
        <m:sSup>
          <m:e>
            <m:r>
              <w:rPr>
                <w:rFonts w:ascii="Cambria Math" w:hAnsi="Cambria Math"/>
                <w:sz w:val="19"/>
                <w:szCs w:val="19"/>
              </w:rPr>
              <m:t>Ω</m:t>
            </m:r>
          </m:e>
          <m:sup>
            <m:r>
              <w:rPr>
                <w:rFonts w:ascii="Cambria Math" w:hAnsi="Cambria Math"/>
                <w:sz w:val="19"/>
                <w:szCs w:val="19"/>
              </w:rPr>
              <m:t>D</m:t>
            </m:r>
            <m:r>
              <w:rPr>
                <w:rFonts w:ascii="Cambria Math" w:hAnsi="Cambria Math"/>
                <w:sz w:val="19"/>
                <w:szCs w:val="19"/>
              </w:rPr>
              <m:t>A</m:t>
            </m:r>
          </m:sup>
        </m:sSup>
      </m:oMath>
      <w:r>
        <w:t xml:space="preserve"> </w:t>
      </w:r>
      <w:r>
        <w:t xml:space="preserve">and every candidate commitment</w:t>
      </w:r>
      <w:r>
        <w:t xml:space="preserve"> </w:t>
      </w:r>
      <m:oMath>
        <m:r>
          <w:rPr>
            <w:rFonts w:ascii="Cambria Math" w:hAnsi="Cambria Math"/>
            <w:sz w:val="19"/>
            <w:szCs w:val="19"/>
          </w:rPr>
          <m:t>C</m:t>
        </m:r>
      </m:oMath>
      <w:r>
        <w:t xml:space="preserve"> </w:t>
      </w:r>
      <w:r>
        <w:t xml:space="preserve">of the grid</w:t>
      </w:r>
      <w:r>
        <w:t xml:space="preserve"> </w:t>
      </w:r>
      <m:oMath>
        <m:r>
          <m:rPr>
            <m:scr m:val="script"/>
            <m:sty m:val="p"/>
          </m:rPr>
          <w:rPr>
            <w:rFonts w:ascii="Cambria Math" w:hAnsi="Cambria Math"/>
            <w:sz w:val="19"/>
            <w:szCs w:val="19"/>
          </w:rPr>
          <m:t>G</m:t>
        </m:r>
      </m:oMath>
      <w:r>
        <w:t xml:space="preserve">, the intraday controller of Section 4.2 is simulated with the realised data of day</w:t>
      </w:r>
      <w:r>
        <w:t xml:space="preserve"> </w:t>
      </w:r>
      <m:oMath>
        <m:r>
          <w:rPr>
            <w:rFonts w:ascii="Cambria Math" w:hAnsi="Cambria Math"/>
            <w:sz w:val="19"/>
            <w:szCs w:val="19"/>
          </w:rPr>
          <m:t>d</m:t>
        </m:r>
      </m:oMath>
      <w:r>
        <w:t xml:space="preserve">, which yields the comprehensive cost</w:t>
      </w:r>
      <w:r>
        <w:t xml:space="preserve"> </w:t>
      </w:r>
      <m:oMath>
        <m:sSub>
          <m:e>
            <m:r>
              <w:rPr>
                <w:rFonts w:ascii="Cambria Math" w:hAnsi="Cambria Math"/>
                <w:sz w:val="19"/>
                <w:szCs w:val="19"/>
              </w:rPr>
              <m:t>J</m:t>
            </m:r>
          </m:e>
          <m:sub>
            <m:r>
              <w:rPr>
                <w:rFonts w:ascii="Cambria Math" w:hAnsi="Cambria Math"/>
                <w:sz w:val="19"/>
                <w:szCs w:val="19"/>
              </w:rPr>
              <m:t>d</m:t>
            </m:r>
          </m:sub>
        </m:sSub>
        <m:d>
          <m:dPr>
            <m:begChr m:val="("/>
            <m:sepChr m:val=""/>
            <m:endChr m:val=")"/>
            <m:grow/>
          </m:dPr>
          <m:e>
            <m:r>
              <w:rPr>
                <w:rFonts w:ascii="Cambria Math" w:hAnsi="Cambria Math"/>
                <w:sz w:val="19"/>
                <w:szCs w:val="19"/>
              </w:rPr>
              <m:t>C</m:t>
            </m:r>
          </m:e>
        </m:d>
      </m:oMath>
      <w:r>
        <w:t xml:space="preserve">, the full-delivery indicator</w:t>
      </w:r>
      <w:r>
        <w:t xml:space="preserve"> </w:t>
      </w:r>
      <m:oMath>
        <m:sSub>
          <m:e>
            <m:r>
              <w:rPr>
                <w:rFonts w:ascii="Cambria Math" w:hAnsi="Cambria Math"/>
                <w:sz w:val="19"/>
                <w:szCs w:val="19"/>
              </w:rPr>
              <m:t>u</m:t>
            </m:r>
          </m:e>
          <m:sub>
            <m:r>
              <w:rPr>
                <w:rFonts w:ascii="Cambria Math" w:hAnsi="Cambria Math"/>
                <w:sz w:val="19"/>
                <w:szCs w:val="19"/>
              </w:rPr>
              <m:t>d</m:t>
            </m:r>
          </m:sub>
        </m:sSub>
        <m:d>
          <m:dPr>
            <m:begChr m:val="("/>
            <m:sepChr m:val=""/>
            <m:endChr m:val=")"/>
            <m:grow/>
          </m:dPr>
          <m:e>
            <m:r>
              <w:rPr>
                <w:rFonts w:ascii="Cambria Math" w:hAnsi="Cambria Math"/>
                <w:sz w:val="19"/>
                <w:szCs w:val="19"/>
              </w:rPr>
              <m:t>C</m:t>
            </m:r>
          </m:e>
        </m:d>
      </m:oMath>
      <w:r>
        <w:t xml:space="preserve"> </w:t>
      </w:r>
      <w:r>
        <w:t xml:space="preserve">of (33) and the capability</w:t>
      </w:r>
    </w:p>
    <w:p>
      <w:pPr>
        <w:pStyle w:val="Equation"/>
      </w:pPr>
      <w:r>
        <w:tab/>
      </w:r>
      <m:oMath>
        <m:m>
          <m:mPr>
            <m:baseJc m:val="center"/>
            <m:plcHide m:val="on"/>
            <m:mcs>
              <m:mc>
                <m:mcPr>
                  <m:count m:val="1"/>
                  <m:mcJc m:val="right"/>
                </m:mcPr>
              </m:mc>
              <m:mc>
                <m:mcPr>
                  <m:count m:val="1"/>
                  <m:mcJc m:val="left"/>
                </m:mcPr>
              </m:mc>
            </m:mcs>
          </m:mPr>
          <m:mr>
            <m:e>
              <m:sSub>
                <m:e>
                  <m:r>
                    <w:rPr>
                      <w:rFonts w:ascii="Cambria Math" w:hAnsi="Cambria Math"/>
                      <w:sz w:val="19"/>
                      <w:szCs w:val="19"/>
                    </w:rPr>
                    <m:t>ξ</m:t>
                  </m:r>
                </m:e>
                <m:sub>
                  <m:r>
                    <w:rPr>
                      <w:rFonts w:ascii="Cambria Math" w:hAnsi="Cambria Math"/>
                      <w:sz w:val="19"/>
                      <w:szCs w:val="19"/>
                    </w:rPr>
                    <m:t>d</m:t>
                  </m:r>
                </m:sub>
              </m:sSub>
              <m:r>
                <m:rPr>
                  <m:sty m:val="p"/>
                </m:rPr>
                <w:rPr>
                  <w:rFonts w:ascii="Cambria Math" w:hAnsi="Cambria Math"/>
                  <w:sz w:val="19"/>
                  <w:szCs w:val="19"/>
                </w:rPr>
                <m:t>=</m:t>
              </m:r>
              <m:r>
                <w:rPr>
                  <w:rFonts w:ascii="Cambria Math" w:hAnsi="Cambria Math"/>
                  <w:sz w:val="19"/>
                  <w:szCs w:val="19"/>
                </w:rPr>
                <m:t>​</m:t>
              </m:r>
            </m:e>
            <m:e>
              <m:r>
                <m:rPr>
                  <m:sty m:val="p"/>
                </m:rPr>
                <w:rPr>
                  <w:rFonts w:ascii="Cambria Math" w:hAnsi="Cambria Math"/>
                  <w:sz w:val="19"/>
                  <w:szCs w:val="19"/>
                </w:rPr>
                <m:t>max</m:t>
              </m:r>
              <m:d>
                <m:dPr>
                  <m:begChr m:val="{"/>
                  <m:sepChr m:val=""/>
                  <m:endChr m:val="}"/>
                  <m:grow/>
                </m:dPr>
                <m:e>
                  <m:r>
                    <w:rPr>
                      <w:rFonts w:ascii="Cambria Math" w:hAnsi="Cambria Math"/>
                      <w:sz w:val="19"/>
                      <w:szCs w:val="19"/>
                    </w:rPr>
                    <m:t>C</m:t>
                  </m:r>
                  <m:r>
                    <m:rPr>
                      <m:sty m:val="p"/>
                    </m:rPr>
                    <w:rPr>
                      <w:rFonts w:ascii="Cambria Math" w:hAnsi="Cambria Math"/>
                      <w:sz w:val="19"/>
                      <w:szCs w:val="19"/>
                    </w:rPr>
                    <m:t>∈</m:t>
                  </m:r>
                  <m:r>
                    <m:rPr>
                      <m:scr m:val="script"/>
                      <m:sty m:val="p"/>
                    </m:rP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u</m:t>
                      </m:r>
                    </m:e>
                    <m:sub>
                      <m:r>
                        <w:rPr>
                          <w:rFonts w:ascii="Cambria Math" w:hAnsi="Cambria Math"/>
                          <w:sz w:val="19"/>
                          <w:szCs w:val="19"/>
                        </w:rPr>
                        <m:t>d</m:t>
                      </m:r>
                    </m:sub>
                  </m:sSub>
                  <m:d>
                    <m:dPr>
                      <m:begChr m:val="("/>
                      <m:sepChr m:val=""/>
                      <m:endChr m:val=")"/>
                      <m:grow/>
                    </m:dPr>
                    <m:e>
                      <m:r>
                        <w:rPr>
                          <w:rFonts w:ascii="Cambria Math" w:hAnsi="Cambria Math"/>
                          <w:sz w:val="19"/>
                          <w:szCs w:val="19"/>
                        </w:rPr>
                        <m:t>C</m:t>
                      </m:r>
                      <m:r>
                        <m:rPr>
                          <m:sty m:val="p"/>
                        </m:rPr>
                        <w:rPr>
                          <w:rFonts w:ascii="Cambria Math" w:hAnsi="Cambria Math"/>
                          <w:sz w:val="19"/>
                          <w:szCs w:val="19"/>
                        </w:rPr>
                        <m:t>′</m:t>
                      </m:r>
                    </m:e>
                  </m:d>
                  <m:r>
                    <m:rPr>
                      <m:sty m:val="p"/>
                    </m:rPr>
                    <w:rPr>
                      <w:rFonts w:ascii="Cambria Math" w:hAnsi="Cambria Math"/>
                      <w:sz w:val="19"/>
                      <w:szCs w:val="19"/>
                    </w:rPr>
                    <m:t>=</m:t>
                  </m:r>
                  <m:r>
                    <w:rPr>
                      <w:rFonts w:ascii="Cambria Math" w:hAnsi="Cambria Math"/>
                      <w:sz w:val="19"/>
                      <w:szCs w:val="19"/>
                    </w:rPr>
                    <m:t>1</m:t>
                  </m:r>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m:rPr>
                      <m:sty m:val="p"/>
                    </m:rPr>
                    <w:rPr>
                      <w:rFonts w:ascii="Cambria Math" w:hAnsi="Cambria Math"/>
                      <w:sz w:val="19"/>
                      <w:szCs w:val="19"/>
                    </w:rPr>
                    <m:t>∈</m:t>
                  </m:r>
                  <m:r>
                    <m:rPr>
                      <m:scr m:val="script"/>
                      <m:sty m:val="p"/>
                    </m:rP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C</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C</m:t>
                  </m:r>
                </m:e>
              </m:d>
            </m:e>
          </m:mr>
          <m:mr>
            <m:e/>
            <m:e>
              <m:r>
                <m:rPr>
                  <m:sty m:val="p"/>
                </m:rPr>
                <w:rPr>
                  <w:rFonts w:ascii="Cambria Math" w:hAnsi="Cambria Math"/>
                  <w:sz w:val="19"/>
                  <w:szCs w:val="19"/>
                </w:rPr>
                <m:t>+</m:t>
              </m:r>
              <m:f>
                <m:fPr>
                  <m:type m:val="lin"/>
                </m:fPr>
                <m:num>
                  <m:r>
                    <w:rPr>
                      <w:rFonts w:ascii="Cambria Math" w:hAnsi="Cambria Math"/>
                      <w:sz w:val="19"/>
                      <w:szCs w:val="19"/>
                    </w:rPr>
                    <m:t>1</m:t>
                  </m:r>
                </m:num>
                <m:den>
                  <m:r>
                    <w:rPr>
                      <w:rFonts w:ascii="Cambria Math" w:hAnsi="Cambria Math"/>
                      <w:sz w:val="19"/>
                      <w:szCs w:val="19"/>
                    </w:rPr>
                    <m:t>2</m:t>
                  </m:r>
                </m:den>
              </m:f>
              <m:sSub>
                <m:e>
                  <m:r>
                    <w:rPr>
                      <w:rFonts w:ascii="Cambria Math" w:hAnsi="Cambria Math"/>
                      <w:sz w:val="19"/>
                      <w:szCs w:val="19"/>
                    </w:rPr>
                    <m:t>Δ</m:t>
                  </m:r>
                </m:e>
                <m:sub>
                  <m:r>
                    <m:rPr>
                      <m:scr m:val="script"/>
                      <m:sty m:val="p"/>
                    </m:rPr>
                    <w:rPr>
                      <w:rFonts w:ascii="Cambria Math" w:hAnsi="Cambria Math"/>
                      <w:sz w:val="19"/>
                      <w:szCs w:val="19"/>
                    </w:rPr>
                    <m:t>G</m:t>
                  </m:r>
                </m:sub>
              </m:sSub>
              <m:r>
                <m:rPr>
                  <m:sty m:val="p"/>
                </m:rPr>
                <w:rPr>
                  <w:rFonts w:ascii="Cambria Math" w:hAnsi="Cambria Math"/>
                  <w:sz w:val="19"/>
                  <w:szCs w:val="19"/>
                </w:rPr>
                <m:t>,</m:t>
              </m:r>
            </m:e>
          </m:mr>
        </m:m>
      </m:oMath>
      <w:r>
        <w:tab/>
      </w:r>
      <w:r>
        <w:t xml:space="preserve">(49)</w:t>
      </w:r>
    </w:p>
    <w:p>
      <w:pPr>
        <w:pStyle w:val="BodyText"/>
      </w:pPr>
      <w:r>
        <w:t xml:space="preserve">the midpoint between the largest uniform commitment that the controller delivers in full on day</w:t>
      </w:r>
      <w:r>
        <w:t xml:space="preserve"> </w:t>
      </w:r>
      <m:oMath>
        <m:r>
          <w:rPr>
            <w:rFonts w:ascii="Cambria Math" w:hAnsi="Cambria Math"/>
            <w:sz w:val="19"/>
            <w:szCs w:val="19"/>
          </w:rPr>
          <m:t>d</m:t>
        </m:r>
      </m:oMath>
      <w:r>
        <w:t xml:space="preserve"> </w:t>
      </w:r>
      <w:r>
        <w:t xml:space="preserve">and the next commitment of the grid (step</w:t>
      </w:r>
      <w:r>
        <w:t xml:space="preserve"> </w:t>
      </w:r>
      <m:oMath>
        <m:sSub>
          <m:e>
            <m:r>
              <w:rPr>
                <w:rFonts w:ascii="Cambria Math" w:hAnsi="Cambria Math"/>
                <w:sz w:val="19"/>
                <w:szCs w:val="19"/>
              </w:rPr>
              <m:t>Δ</m:t>
            </m:r>
          </m:e>
          <m:sub>
            <m:r>
              <m:rPr>
                <m:scr m:val="script"/>
                <m:sty m:val="p"/>
              </m:rPr>
              <w:rPr>
                <w:rFonts w:ascii="Cambria Math" w:hAnsi="Cambria Math"/>
                <w:sz w:val="19"/>
                <w:szCs w:val="19"/>
              </w:rPr>
              <m:t>G</m:t>
            </m:r>
          </m:sub>
        </m:sSub>
      </m:oMath>
      <w:r>
        <w:t xml:space="preserve">), at which delivery first fails. The back-test visits the commitments in increasing order and stops simulating a day after its first failure; it yields every</w:t>
      </w:r>
      <w:r>
        <w:t xml:space="preserve"> </w:t>
      </w:r>
      <m:oMath>
        <m:sSub>
          <m:e>
            <m:r>
              <w:rPr>
                <w:rFonts w:ascii="Cambria Math" w:hAnsi="Cambria Math"/>
                <w:sz w:val="19"/>
                <w:szCs w:val="19"/>
              </w:rPr>
              <m:t>ξ</m:t>
            </m:r>
          </m:e>
          <m:sub>
            <m:r>
              <w:rPr>
                <w:rFonts w:ascii="Cambria Math" w:hAnsi="Cambria Math"/>
                <w:sz w:val="19"/>
                <w:szCs w:val="19"/>
              </w:rPr>
              <m:t>d</m:t>
            </m:r>
          </m:sub>
        </m:sSub>
      </m:oMath>
      <w:r>
        <w:t xml:space="preserve">, and every</w:t>
      </w:r>
      <w:r>
        <w:t xml:space="preserve"> </w:t>
      </w:r>
      <m:oMath>
        <m:sSub>
          <m:e>
            <m:r>
              <w:rPr>
                <w:rFonts w:ascii="Cambria Math" w:hAnsi="Cambria Math"/>
                <w:sz w:val="19"/>
                <w:szCs w:val="19"/>
              </w:rPr>
              <m:t>J</m:t>
            </m:r>
          </m:e>
          <m:sub>
            <m:r>
              <w:rPr>
                <w:rFonts w:ascii="Cambria Math" w:hAnsi="Cambria Math"/>
                <w:sz w:val="19"/>
                <w:szCs w:val="19"/>
              </w:rPr>
              <m:t>d</m:t>
            </m:r>
          </m:sub>
        </m:sSub>
        <m:d>
          <m:dPr>
            <m:begChr m:val="("/>
            <m:sepChr m:val=""/>
            <m:endChr m:val=")"/>
            <m:grow/>
          </m:dPr>
          <m:e>
            <m:r>
              <w:rPr>
                <w:rFonts w:ascii="Cambria Math" w:hAnsi="Cambria Math"/>
                <w:sz w:val="19"/>
                <w:szCs w:val="19"/>
              </w:rPr>
              <m:t>C</m:t>
            </m:r>
          </m:e>
        </m:d>
      </m:oMath>
      <w:r>
        <w:t xml:space="preserve"> </w:t>
      </w:r>
      <w:r>
        <w:t xml:space="preserve">for</w:t>
      </w:r>
      <w:r>
        <w:t xml:space="preserve"> </w:t>
      </w:r>
      <m:oMath>
        <m:r>
          <w:rPr>
            <w:rFonts w:ascii="Cambria Math" w:hAnsi="Cambria Math"/>
            <w:sz w:val="19"/>
            <w:szCs w:val="19"/>
          </w:rPr>
          <m:t>C</m:t>
        </m:r>
        <m:r>
          <m:rPr>
            <m:sty m:val="p"/>
          </m:rPr>
          <w:rPr>
            <w:rFonts w:ascii="Cambria Math" w:hAnsi="Cambria Math"/>
            <w:sz w:val="19"/>
            <w:szCs w:val="19"/>
          </w:rPr>
          <m:t>≤</m:t>
        </m:r>
        <m:sSub>
          <m:e>
            <m:r>
              <m:rPr>
                <m:sty m:val="p"/>
              </m:rPr>
              <w:rPr>
                <w:rFonts w:ascii="Cambria Math" w:hAnsi="Cambria Math"/>
                <w:sz w:val="19"/>
                <w:szCs w:val="19"/>
              </w:rPr>
              <m:t>min</m:t>
            </m:r>
          </m:e>
          <m:sub>
            <m:r>
              <w:rPr>
                <w:rFonts w:ascii="Cambria Math" w:hAnsi="Cambria Math"/>
                <w:sz w:val="19"/>
                <w:szCs w:val="19"/>
              </w:rPr>
              <m:t>d</m:t>
            </m:r>
          </m:sub>
        </m:sSub>
        <m:sSub>
          <m:e>
            <m:r>
              <w:rPr>
                <w:rFonts w:ascii="Cambria Math" w:hAnsi="Cambria Math"/>
                <w:sz w:val="19"/>
                <w:szCs w:val="19"/>
              </w:rPr>
              <m:t>ξ</m:t>
            </m:r>
          </m:e>
          <m:sub>
            <m:r>
              <w:rPr>
                <w:rFonts w:ascii="Cambria Math" w:hAnsi="Cambria Math"/>
                <w:sz w:val="19"/>
                <w:szCs w:val="19"/>
              </w:rPr>
              <m:t>d</m:t>
            </m:r>
          </m:sub>
        </m:sSub>
      </m:oMath>
      <w:r>
        <w:t xml:space="preserve">, with about half of the closed-loop runs of the full grid.</w:t>
      </w:r>
    </w:p>
    <w:bookmarkEnd w:id="43"/>
    <w:bookmarkStart w:id="44" w:name="Xadcc2e01ac3c598a94067ee960f0a1ce38e1627"/>
    <w:p>
      <w:pPr>
        <w:pStyle w:val="Heading3"/>
      </w:pPr>
      <w:r>
        <w:t xml:space="preserve">4.1.2. Wasserstein ambiguity set and dual reformulation</w:t>
      </w:r>
    </w:p>
    <w:p>
      <w:pPr>
        <w:pStyle w:val="FirstParagraph"/>
      </w:pPr>
      <w:r>
        <w:t xml:space="preserve">The empirical distribution</w:t>
      </w:r>
      <w:r>
        <w:t xml:space="preserve"> </w:t>
      </w:r>
      <m:oMath>
        <m:sSub>
          <m:e>
            <m:acc>
              <m:accPr>
                <m:chr m:val="̂"/>
              </m:accPr>
              <m:e>
                <m:r>
                  <w:rPr>
                    <w:rFonts w:ascii="Cambria Math" w:hAnsi="Cambria Math"/>
                    <w:sz w:val="19"/>
                    <w:szCs w:val="19"/>
                  </w:rPr>
                  <m:t>P</m:t>
                </m:r>
              </m:e>
            </m:acc>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N</m:t>
            </m:r>
          </m:den>
        </m:f>
        <m:nary>
          <m:naryPr>
            <m:chr m:val="∑"/>
            <m:limLoc m:val="undOvr"/>
            <m:subHide m:val="off"/>
            <m:supHide m:val="on"/>
          </m:naryPr>
          <m:sub>
            <m:r>
              <w:rPr>
                <w:rFonts w:ascii="Cambria Math" w:hAnsi="Cambria Math"/>
                <w:sz w:val="19"/>
                <w:szCs w:val="19"/>
              </w:rPr>
              <m:t>d</m:t>
            </m:r>
          </m:sub>
          <m:sup>
            <m:r>
              <w:rPr>
                <w:rFonts w:ascii="Cambria Math" w:hAnsi="Cambria Math"/>
                <w:sz w:val="19"/>
                <w:szCs w:val="19"/>
              </w:rPr>
              <m:t>​</m:t>
            </m:r>
          </m:sup>
          <m:e>
            <m:sSub>
              <m:e>
                <m:r>
                  <w:rPr>
                    <w:rFonts w:ascii="Cambria Math" w:hAnsi="Cambria Math"/>
                    <w:sz w:val="19"/>
                    <w:szCs w:val="19"/>
                  </w:rPr>
                  <m:t>δ</m:t>
                </m:r>
              </m:e>
              <m:sub>
                <m:sSub>
                  <m:e>
                    <m:r>
                      <w:rPr>
                        <w:rFonts w:ascii="Cambria Math" w:hAnsi="Cambria Math"/>
                        <w:sz w:val="19"/>
                        <w:szCs w:val="19"/>
                      </w:rPr>
                      <m:t>ξ</m:t>
                    </m:r>
                  </m:e>
                  <m:sub>
                    <m:r>
                      <w:rPr>
                        <w:rFonts w:ascii="Cambria Math" w:hAnsi="Cambria Math"/>
                        <w:sz w:val="19"/>
                        <w:szCs w:val="19"/>
                      </w:rPr>
                      <m:t>d</m:t>
                    </m:r>
                  </m:sub>
                </m:sSub>
              </m:sub>
            </m:sSub>
          </m:e>
        </m:nary>
      </m:oMath>
      <w:r>
        <w:t xml:space="preserve"> </w:t>
      </w:r>
      <w:r>
        <w:t xml:space="preserve">summarises the deliverability of the controller on the</w:t>
      </w:r>
      <w:r>
        <w:t xml:space="preserve"> </w:t>
      </w:r>
      <m:oMath>
        <m:r>
          <w:rPr>
            <w:rFonts w:ascii="Cambria Math" w:hAnsi="Cambria Math"/>
            <w:sz w:val="19"/>
            <w:szCs w:val="19"/>
          </w:rPr>
          <m:t>N</m:t>
        </m:r>
      </m:oMath>
      <w:r>
        <w:t xml:space="preserve"> </w:t>
      </w:r>
      <w:r>
        <w:t xml:space="preserve">historical days. Because the operating day can differ from them, the commitment is protected against all distributions within the 1-Wasserstein ball</w:t>
      </w:r>
      <w:r>
        <w:t xml:space="preserve"> </w:t>
      </w:r>
      <m:oMath>
        <m:sSub>
          <m:e>
            <m:r>
              <m:rPr>
                <m:scr m:val="script"/>
                <m:sty m:val="p"/>
              </m:rPr>
              <w:rPr>
                <w:rFonts w:ascii="Cambria Math" w:hAnsi="Cambria Math"/>
                <w:sz w:val="19"/>
                <w:szCs w:val="19"/>
              </w:rPr>
              <m:t>B</m:t>
            </m:r>
          </m:e>
          <m:sub>
            <m:r>
              <w:rPr>
                <w:rFonts w:ascii="Cambria Math" w:hAnsi="Cambria Math"/>
                <w:sz w:val="19"/>
                <w:szCs w:val="19"/>
              </w:rPr>
              <m:t>ε</m:t>
            </m:r>
          </m:sub>
        </m:sSub>
        <m:d>
          <m:dPr>
            <m:begChr m:val="("/>
            <m:sepChr m:val=""/>
            <m:endChr m:val=")"/>
            <m:grow/>
          </m:dPr>
          <m:e>
            <m:sSub>
              <m:e>
                <m:acc>
                  <m:accPr>
                    <m:chr m:val="̂"/>
                  </m:accPr>
                  <m:e>
                    <m:r>
                      <w:rPr>
                        <w:rFonts w:ascii="Cambria Math" w:hAnsi="Cambria Math"/>
                        <w:sz w:val="19"/>
                        <w:szCs w:val="19"/>
                      </w:rPr>
                      <m:t>P</m:t>
                    </m:r>
                  </m:e>
                </m:acc>
              </m:e>
              <m:sub>
                <m:r>
                  <w:rPr>
                    <w:rFonts w:ascii="Cambria Math" w:hAnsi="Cambria Math"/>
                    <w:sz w:val="19"/>
                    <w:szCs w:val="19"/>
                  </w:rPr>
                  <m:t>N</m:t>
                </m:r>
              </m:sub>
            </m:sSub>
          </m:e>
        </m:d>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W</m:t>
            </m:r>
          </m:e>
          <m:sub>
            <m:r>
              <w:rPr>
                <w:rFonts w:ascii="Cambria Math" w:hAnsi="Cambria Math"/>
                <w:sz w:val="19"/>
                <w:szCs w:val="19"/>
              </w:rPr>
              <m:t>1</m:t>
            </m:r>
          </m:sub>
        </m:sSub>
        <m:d>
          <m:dPr>
            <m:begChr m:val="("/>
            <m:sepChr m:val=""/>
            <m:endChr m:val=")"/>
            <m:grow/>
          </m:dPr>
          <m:e>
            <m:r>
              <w:rPr>
                <w:rFonts w:ascii="Cambria Math" w:hAnsi="Cambria Math"/>
                <w:sz w:val="19"/>
                <w:szCs w:val="19"/>
              </w:rPr>
              <m:t>Q</m:t>
            </m:r>
            <m:r>
              <m:rPr>
                <m:sty m:val="p"/>
              </m:rPr>
              <w:rPr>
                <w:rFonts w:ascii="Cambria Math" w:hAnsi="Cambria Math"/>
                <w:sz w:val="19"/>
                <w:szCs w:val="19"/>
              </w:rPr>
              <m:t>,</m:t>
            </m:r>
            <m:sSub>
              <m:e>
                <m:acc>
                  <m:accPr>
                    <m:chr m:val="̂"/>
                  </m:accPr>
                  <m:e>
                    <m:r>
                      <w:rPr>
                        <w:rFonts w:ascii="Cambria Math" w:hAnsi="Cambria Math"/>
                        <w:sz w:val="19"/>
                        <w:szCs w:val="19"/>
                      </w:rPr>
                      <m:t>P</m:t>
                    </m:r>
                  </m:e>
                </m:acc>
              </m:e>
              <m:sub>
                <m:r>
                  <w:rPr>
                    <w:rFonts w:ascii="Cambria Math" w:hAnsi="Cambria Math"/>
                    <w:sz w:val="19"/>
                    <w:szCs w:val="19"/>
                  </w:rPr>
                  <m:t>N</m:t>
                </m:r>
              </m:sub>
            </m:sSub>
          </m:e>
        </m:d>
        <m:r>
          <m:rPr>
            <m:sty m:val="p"/>
          </m:rPr>
          <w:rPr>
            <w:rFonts w:ascii="Cambria Math" w:hAnsi="Cambria Math"/>
            <w:sz w:val="19"/>
            <w:szCs w:val="19"/>
          </w:rPr>
          <m:t>≤</m:t>
        </m:r>
        <m:r>
          <w:rPr>
            <w:rFonts w:ascii="Cambria Math" w:hAnsi="Cambria Math"/>
            <w:sz w:val="19"/>
            <w:szCs w:val="19"/>
          </w:rPr>
          <m:t>ε</m:t>
        </m:r>
        <m:r>
          <m:rPr>
            <m:sty m:val="p"/>
          </m:rPr>
          <w:rPr>
            <w:rFonts w:ascii="Cambria Math" w:hAnsi="Cambria Math"/>
            <w:sz w:val="19"/>
            <w:szCs w:val="19"/>
          </w:rPr>
          <m:t>}</m:t>
        </m:r>
      </m:oMath>
      <w:r>
        <w:t xml:space="preserve"> </w:t>
      </w:r>
      <w:r>
        <w:t xml:space="preserve">[37],</w:t>
      </w:r>
    </w:p>
    <w:p>
      <w:pPr>
        <w:pStyle w:val="Equation"/>
      </w:pPr>
      <w:r>
        <w:tab/>
      </w:r>
      <m:oMath>
        <m:sSubSup>
          <m:e>
            <m:r>
              <w:rPr>
                <w:rFonts w:ascii="Cambria Math" w:hAnsi="Cambria Math"/>
                <w:sz w:val="19"/>
                <w:szCs w:val="19"/>
              </w:rPr>
              <m:t>C</m:t>
            </m:r>
          </m:e>
          <m:sub>
            <m:r>
              <w:rPr>
                <w:rFonts w:ascii="Cambria Math" w:hAnsi="Cambria Math"/>
                <w:sz w:val="19"/>
                <w:szCs w:val="19"/>
              </w:rPr>
              <m:t>ρ</m:t>
            </m:r>
          </m:sub>
          <m:sup>
            <m:r>
              <w:rPr>
                <w:rFonts w:ascii="Cambria Math" w:hAnsi="Cambria Math"/>
                <w:sz w:val="19"/>
                <w:szCs w:val="19"/>
              </w:rPr>
              <m:t>D</m:t>
            </m:r>
            <m:r>
              <w:rPr>
                <w:rFonts w:ascii="Cambria Math" w:hAnsi="Cambria Math"/>
                <w:sz w:val="19"/>
                <w:szCs w:val="19"/>
              </w:rPr>
              <m:t>R</m:t>
            </m:r>
            <m:r>
              <w:rPr>
                <w:rFonts w:ascii="Cambria Math" w:hAnsi="Cambria Math"/>
                <w:sz w:val="19"/>
                <w:szCs w:val="19"/>
              </w:rPr>
              <m:t>O</m:t>
            </m:r>
          </m:sup>
        </m:sSubSup>
        <m:d>
          <m:dPr>
            <m:begChr m:val="("/>
            <m:sepChr m:val=""/>
            <m:endChr m:val=")"/>
            <m:grow/>
          </m:dPr>
          <m:e>
            <m:r>
              <w:rPr>
                <w:rFonts w:ascii="Cambria Math" w:hAnsi="Cambria Math"/>
                <w:sz w:val="19"/>
                <w:szCs w:val="19"/>
              </w:rPr>
              <m:t>ε</m:t>
            </m:r>
          </m:e>
        </m:d>
        <m:r>
          <m:rPr>
            <m:sty m:val="p"/>
          </m:rPr>
          <w:rPr>
            <w:rFonts w:ascii="Cambria Math" w:hAnsi="Cambria Math"/>
            <w:sz w:val="19"/>
            <w:szCs w:val="19"/>
          </w:rPr>
          <m:t>=</m:t>
        </m:r>
        <m:r>
          <m:rPr>
            <m:sty m:val="p"/>
          </m:rPr>
          <w:rPr>
            <w:rFonts w:ascii="Cambria Math" w:hAnsi="Cambria Math"/>
            <w:sz w:val="19"/>
            <w:szCs w:val="19"/>
          </w:rPr>
          <m:t>max</m:t>
        </m:r>
        <m:d>
          <m:dPr>
            <m:begChr m:val="{"/>
            <m:sepChr m:val=""/>
            <m:endChr m:val="}"/>
            <m:grow/>
          </m:dPr>
          <m:e>
            <m:r>
              <w:rPr>
                <w:rFonts w:ascii="Cambria Math" w:hAnsi="Cambria Math"/>
                <w:sz w:val="19"/>
                <w:szCs w:val="19"/>
              </w:rPr>
              <m:t>C</m:t>
            </m:r>
            <m:r>
              <m:rPr>
                <m:sty m:val="p"/>
              </m:rPr>
              <w:rPr>
                <w:rFonts w:ascii="Cambria Math" w:hAnsi="Cambria Math"/>
                <w:sz w:val="19"/>
                <w:szCs w:val="19"/>
              </w:rPr>
              <m:t>∈</m:t>
            </m:r>
            <m:r>
              <m:rPr>
                <m:scr m:val="script"/>
                <m:sty m:val="p"/>
              </m:rP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 </m:t>
            </m:r>
            <m:sSub>
              <m:e>
                <m:r>
                  <m:rPr>
                    <m:lit/>
                    <m:sty m:val="p"/>
                  </m:rPr>
                  <w:rPr>
                    <w:rFonts w:ascii="Cambria Math" w:hAnsi="Cambria Math"/>
                    <w:sz w:val="19"/>
                    <w:szCs w:val="19"/>
                  </w:rPr>
                  <m:t>inf</m:t>
                </m:r>
              </m:e>
              <m:sub>
                <m:r>
                  <w:rPr>
                    <w:rFonts w:ascii="Cambria Math" w:hAnsi="Cambria Math"/>
                    <w:sz w:val="19"/>
                    <w:szCs w:val="19"/>
                  </w:rPr>
                  <m:t>Q</m:t>
                </m:r>
                <m:r>
                  <m:rPr>
                    <m:sty m:val="p"/>
                  </m:rPr>
                  <w:rPr>
                    <w:rFonts w:ascii="Cambria Math" w:hAnsi="Cambria Math"/>
                    <w:sz w:val="19"/>
                    <w:szCs w:val="19"/>
                  </w:rPr>
                  <m:t>∈</m:t>
                </m:r>
                <m:sSub>
                  <m:e>
                    <m:r>
                      <m:rPr>
                        <m:scr m:val="script"/>
                        <m:sty m:val="p"/>
                      </m:rPr>
                      <w:rPr>
                        <w:rFonts w:ascii="Cambria Math" w:hAnsi="Cambria Math"/>
                        <w:sz w:val="19"/>
                        <w:szCs w:val="19"/>
                      </w:rPr>
                      <m:t>B</m:t>
                    </m:r>
                  </m:e>
                  <m:sub>
                    <m:r>
                      <w:rPr>
                        <w:rFonts w:ascii="Cambria Math" w:hAnsi="Cambria Math"/>
                        <w:sz w:val="19"/>
                        <w:szCs w:val="19"/>
                      </w:rPr>
                      <m:t>ε</m:t>
                    </m:r>
                  </m:sub>
                </m:sSub>
                <m:d>
                  <m:dPr>
                    <m:begChr m:val="("/>
                    <m:sepChr m:val=""/>
                    <m:endChr m:val=")"/>
                    <m:grow/>
                  </m:dPr>
                  <m:e>
                    <m:sSub>
                      <m:e>
                        <m:acc>
                          <m:accPr>
                            <m:chr m:val="̂"/>
                          </m:accPr>
                          <m:e>
                            <m:r>
                              <w:rPr>
                                <w:rFonts w:ascii="Cambria Math" w:hAnsi="Cambria Math"/>
                                <w:sz w:val="19"/>
                                <w:szCs w:val="19"/>
                              </w:rPr>
                              <m:t>P</m:t>
                            </m:r>
                          </m:e>
                        </m:acc>
                      </m:e>
                      <m:sub>
                        <m:r>
                          <w:rPr>
                            <w:rFonts w:ascii="Cambria Math" w:hAnsi="Cambria Math"/>
                            <w:sz w:val="19"/>
                            <w:szCs w:val="19"/>
                          </w:rPr>
                          <m:t>N</m:t>
                        </m:r>
                      </m:sub>
                    </m:sSub>
                  </m:e>
                </m:d>
              </m:sub>
            </m:sSub>
            <m:r>
              <w:rPr>
                <w:rFonts w:ascii="Cambria Math" w:hAnsi="Cambria Math"/>
                <w:sz w:val="19"/>
                <w:szCs w:val="19"/>
              </w:rPr>
              <m:t>Q</m:t>
            </m:r>
            <m:d>
              <m:dPr>
                <m:begChr m:val="("/>
                <m:sepChr m:val=""/>
                <m:endChr m:val=")"/>
                <m:grow/>
              </m:dPr>
              <m:e>
                <m:r>
                  <w:rPr>
                    <w:rFonts w:ascii="Cambria Math" w:hAnsi="Cambria Math"/>
                    <w:sz w:val="19"/>
                    <w:szCs w:val="19"/>
                  </w:rPr>
                  <m:t>ξ</m:t>
                </m:r>
                <m:r>
                  <m:rPr>
                    <m:sty m:val="p"/>
                  </m:rPr>
                  <w:rPr>
                    <w:rFonts w:ascii="Cambria Math" w:hAnsi="Cambria Math"/>
                    <w:sz w:val="19"/>
                    <w:szCs w:val="19"/>
                  </w:rPr>
                  <m:t>≥</m:t>
                </m:r>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ρ</m:t>
            </m:r>
          </m:e>
        </m:d>
        <m:r>
          <m:rPr>
            <m:sty m:val="p"/>
          </m:rPr>
          <w:rPr>
            <w:rFonts w:ascii="Cambria Math" w:hAnsi="Cambria Math"/>
            <w:sz w:val="19"/>
            <w:szCs w:val="19"/>
          </w:rPr>
          <m:t>,</m:t>
        </m:r>
      </m:oMath>
      <w:r>
        <w:tab/>
      </w:r>
      <w:r>
        <w:t xml:space="preserve">(50)</w:t>
      </w:r>
    </w:p>
    <w:p>
      <w:pPr>
        <w:pStyle w:val="BodyText"/>
      </w:pPr>
      <w:r>
        <w:t xml:space="preserve">the distributionally robust counterpart of (34). The radius</w:t>
      </w:r>
      <w:r>
        <w:t xml:space="preserve"> </w:t>
      </w:r>
      <m:oMath>
        <m:r>
          <w:rPr>
            <w:rFonts w:ascii="Cambria Math" w:hAnsi="Cambria Math"/>
            <w:sz w:val="19"/>
            <w:szCs w:val="19"/>
          </w:rPr>
          <m:t>ε</m:t>
        </m:r>
      </m:oMath>
      <w:r>
        <w:t xml:space="preserve"> </w:t>
      </w:r>
      <w:r>
        <w:t xml:space="preserve">(MW) is the largest average shift of the capability that the commitment must withstand.</w:t>
      </w:r>
    </w:p>
    <w:p>
      <w:pPr>
        <w:pStyle w:val="BodyText"/>
      </w:pPr>
      <w:r>
        <w:t xml:space="preserve">The inner problem of (50) is an optimisation over probability distributions. For a commitment</w:t>
      </w:r>
      <w:r>
        <w:t xml:space="preserve"> </w:t>
      </w:r>
      <m:oMath>
        <m:r>
          <w:rPr>
            <w:rFonts w:ascii="Cambria Math" w:hAnsi="Cambria Math"/>
            <w:sz w:val="19"/>
            <w:szCs w:val="19"/>
          </w:rPr>
          <m:t>C</m:t>
        </m:r>
      </m:oMath>
      <w:r>
        <w:t xml:space="preserve">, let</w:t>
      </w:r>
      <w:r>
        <w:t xml:space="preserve"> </w:t>
      </w:r>
      <m:oMath>
        <m:sSub>
          <m:e>
            <m:r>
              <m:rPr>
                <m:scr m:val="script"/>
                <m:sty m:val="p"/>
              </m:rPr>
              <w:rPr>
                <w:rFonts w:ascii="Cambria Math" w:hAnsi="Cambria Math"/>
                <w:sz w:val="19"/>
                <w:szCs w:val="19"/>
              </w:rPr>
              <m:t>D</m:t>
            </m:r>
          </m:e>
          <m:sub>
            <m:r>
              <w:rPr>
                <w:rFonts w:ascii="Cambria Math" w:hAnsi="Cambria Math"/>
                <w:sz w:val="19"/>
                <w:szCs w:val="19"/>
              </w:rPr>
              <m:t>C</m:t>
            </m:r>
          </m:sub>
        </m:sSub>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sSub>
          <m:e>
            <m:r>
              <w:rPr>
                <w:rFonts w:ascii="Cambria Math" w:hAnsi="Cambria Math"/>
                <w:sz w:val="19"/>
                <w:szCs w:val="19"/>
              </w:rPr>
              <m:t>ξ</m:t>
            </m:r>
          </m:e>
          <m:sub>
            <m:r>
              <w:rPr>
                <w:rFonts w:ascii="Cambria Math" w:hAnsi="Cambria Math"/>
                <w:sz w:val="19"/>
                <w:szCs w:val="19"/>
              </w:rPr>
              <m:t>d</m:t>
            </m:r>
          </m:sub>
        </m:sSub>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oMath>
      <w:r>
        <w:t xml:space="preserve"> </w:t>
      </w:r>
      <w:r>
        <w:t xml:space="preserve">be the days that deliver it,</w:t>
      </w:r>
      <w:r>
        <w:t xml:space="preserve"> </w:t>
      </w:r>
      <m:oMath>
        <m:r>
          <w:rPr>
            <w:rFonts w:ascii="Cambria Math" w:hAnsi="Cambria Math"/>
            <w:sz w:val="19"/>
            <w:szCs w:val="19"/>
          </w:rPr>
          <m:t>n</m:t>
        </m:r>
        <m:d>
          <m:dPr>
            <m:begChr m:val="("/>
            <m:sepChr m:val=""/>
            <m:endChr m:val=")"/>
            <m:grow/>
          </m:dPr>
          <m:e>
            <m:r>
              <w:rPr>
                <w:rFonts w:ascii="Cambria Math" w:hAnsi="Cambria Math"/>
                <w:sz w:val="19"/>
                <w:szCs w:val="19"/>
              </w:rPr>
              <m:t>C</m:t>
            </m:r>
          </m:e>
        </m:d>
        <m:r>
          <m:rPr>
            <m:sty m:val="p"/>
          </m:rPr>
          <w:rPr>
            <w:rFonts w:ascii="Cambria Math" w:hAnsi="Cambria Math"/>
            <w:sz w:val="19"/>
            <w:szCs w:val="19"/>
          </w:rPr>
          <m:t>=</m:t>
        </m:r>
        <m:d>
          <m:dPr>
            <m:begChr m:val="|"/>
            <m:sepChr m:val=""/>
            <m:endChr m:val="|"/>
            <m:grow/>
          </m:dPr>
          <m:e>
            <m:sSub>
              <m:e>
                <m:r>
                  <m:rPr>
                    <m:scr m:val="script"/>
                    <m:sty m:val="p"/>
                  </m:rPr>
                  <w:rPr>
                    <w:rFonts w:ascii="Cambria Math" w:hAnsi="Cambria Math"/>
                    <w:sz w:val="19"/>
                    <w:szCs w:val="19"/>
                  </w:rPr>
                  <m:t>D</m:t>
                </m:r>
              </m:e>
              <m:sub>
                <m:r>
                  <w:rPr>
                    <w:rFonts w:ascii="Cambria Math" w:hAnsi="Cambria Math"/>
                    <w:sz w:val="19"/>
                    <w:szCs w:val="19"/>
                  </w:rPr>
                  <m:t>C</m:t>
                </m:r>
              </m:sub>
            </m:sSub>
          </m:e>
        </m:d>
      </m:oMath>
      <w:r>
        <w:t xml:space="preserve">, and</w:t>
      </w:r>
      <w:r>
        <w:t xml:space="preserve"> </w:t>
      </w:r>
      <m:oMath>
        <m:sSub>
          <m:e>
            <m:r>
              <w:rPr>
                <w:rFonts w:ascii="Cambria Math" w:hAnsi="Cambria Math"/>
                <w:sz w:val="19"/>
                <w:szCs w:val="19"/>
              </w:rPr>
              <m:t>δ</m:t>
            </m:r>
          </m:e>
          <m:sub>
            <m:r>
              <w:rPr>
                <w:rFonts w:ascii="Cambria Math" w:hAnsi="Cambria Math"/>
                <w:sz w:val="19"/>
                <w:szCs w:val="19"/>
              </w:rPr>
              <m:t>d</m:t>
            </m:r>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sSub>
          <m:e>
            <m:r>
              <w:rPr>
                <w:rFonts w:ascii="Cambria Math" w:hAnsi="Cambria Math"/>
                <w:sz w:val="19"/>
                <w:szCs w:val="19"/>
              </w:rPr>
              <m:t>ξ</m:t>
            </m:r>
          </m:e>
          <m:sub>
            <m:r>
              <w:rPr>
                <w:rFonts w:ascii="Cambria Math" w:hAnsi="Cambria Math"/>
                <w:sz w:val="19"/>
                <w:szCs w:val="19"/>
              </w:rPr>
              <m:t>d</m:t>
            </m:r>
          </m:sub>
        </m:sSub>
        <m:r>
          <m:rPr>
            <m:sty m:val="p"/>
          </m:rPr>
          <w:rPr>
            <w:rFonts w:ascii="Cambria Math" w:hAnsi="Cambria Math"/>
            <w:sz w:val="19"/>
            <w:szCs w:val="19"/>
          </w:rPr>
          <m:t>−</m:t>
        </m:r>
        <m:r>
          <w:rPr>
            <w:rFonts w:ascii="Cambria Math" w:hAnsi="Cambria Math"/>
            <w:sz w:val="19"/>
            <w:szCs w:val="19"/>
          </w:rPr>
          <m:t>C</m:t>
        </m:r>
      </m:oMath>
      <w:r>
        <w:t xml:space="preserve"> </w:t>
      </w:r>
      <w:r>
        <w:t xml:space="preserve">their capability margins. The least favourable distribution moves the probability mass</w:t>
      </w:r>
      <w:r>
        <w:t xml:space="preserve"> </w:t>
      </w:r>
      <m:oMath>
        <m:sSub>
          <m:e>
            <m:r>
              <w:rPr>
                <w:rFonts w:ascii="Cambria Math" w:hAnsi="Cambria Math"/>
                <w:sz w:val="19"/>
                <w:szCs w:val="19"/>
              </w:rPr>
              <m:t>w</m:t>
            </m:r>
          </m:e>
          <m:sub>
            <m:r>
              <w:rPr>
                <w:rFonts w:ascii="Cambria Math" w:hAnsi="Cambria Math"/>
                <w:sz w:val="19"/>
                <w:szCs w:val="19"/>
              </w:rPr>
              <m:t>d</m:t>
            </m:r>
          </m:sub>
        </m:sSub>
        <m:r>
          <m:rPr>
            <m:sty m:val="p"/>
          </m:rPr>
          <w:rPr>
            <w:rFonts w:ascii="Cambria Math" w:hAnsi="Cambria Math"/>
            <w:sz w:val="19"/>
            <w:szCs w:val="19"/>
          </w:rPr>
          <m:t>∈</m:t>
        </m:r>
        <m:d>
          <m:dPr>
            <m:begChr m:val="["/>
            <m:sepChr m:val=""/>
            <m:endChr m:val="]"/>
            <m:grow/>
          </m:dPr>
          <m:e>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N</m:t>
            </m:r>
          </m:e>
        </m:d>
      </m:oMath>
      <w:r>
        <w:t xml:space="preserve"> </w:t>
      </w:r>
      <w:r>
        <w:t xml:space="preserve">from the atoms in</w:t>
      </w:r>
      <w:r>
        <w:t xml:space="preserve"> </w:t>
      </w:r>
      <m:oMath>
        <m:sSub>
          <m:e>
            <m:r>
              <m:rPr>
                <m:scr m:val="script"/>
                <m:sty m:val="p"/>
              </m:rPr>
              <w:rPr>
                <w:rFonts w:ascii="Cambria Math" w:hAnsi="Cambria Math"/>
                <w:sz w:val="19"/>
                <w:szCs w:val="19"/>
              </w:rPr>
              <m:t>D</m:t>
            </m:r>
          </m:e>
          <m:sub>
            <m:r>
              <w:rPr>
                <w:rFonts w:ascii="Cambria Math" w:hAnsi="Cambria Math"/>
                <w:sz w:val="19"/>
                <w:szCs w:val="19"/>
              </w:rPr>
              <m:t>C</m:t>
            </m:r>
          </m:sub>
        </m:sSub>
      </m:oMath>
      <w:r>
        <w:t xml:space="preserve"> </w:t>
      </w:r>
      <w:r>
        <w:t xml:space="preserve">to just below</w:t>
      </w:r>
      <w:r>
        <w:t xml:space="preserve"> </w:t>
      </w:r>
      <m:oMath>
        <m:r>
          <w:rPr>
            <w:rFonts w:ascii="Cambria Math" w:hAnsi="Cambria Math"/>
            <w:sz w:val="19"/>
            <w:szCs w:val="19"/>
          </w:rPr>
          <m:t>C</m:t>
        </m:r>
      </m:oMath>
      <w:r>
        <w:t xml:space="preserve">, at the transport cost</w:t>
      </w:r>
      <w:r>
        <w:t xml:space="preserve"> </w:t>
      </w:r>
      <m:oMath>
        <m:sSub>
          <m:e>
            <m:r>
              <w:rPr>
                <w:rFonts w:ascii="Cambria Math" w:hAnsi="Cambria Math"/>
                <w:sz w:val="19"/>
                <w:szCs w:val="19"/>
              </w:rPr>
              <m:t>δ</m:t>
            </m:r>
          </m:e>
          <m:sub>
            <m:r>
              <w:rPr>
                <w:rFonts w:ascii="Cambria Math" w:hAnsi="Cambria Math"/>
                <w:sz w:val="19"/>
                <w:szCs w:val="19"/>
              </w:rPr>
              <m:t>d</m:t>
            </m:r>
          </m:sub>
        </m:sSub>
        <m:d>
          <m:dPr>
            <m:begChr m:val="("/>
            <m:sepChr m:val=""/>
            <m:endChr m:val=")"/>
            <m:grow/>
          </m:dPr>
          <m:e>
            <m:r>
              <w:rPr>
                <w:rFonts w:ascii="Cambria Math" w:hAnsi="Cambria Math"/>
                <w:sz w:val="19"/>
                <w:szCs w:val="19"/>
              </w:rPr>
              <m:t>C</m:t>
            </m:r>
          </m:e>
        </m:d>
      </m:oMath>
      <w:r>
        <w:t xml:space="preserve"> </w:t>
      </w:r>
      <w:r>
        <w:t xml:space="preserve">per unit of mass, so that the worst-case failure probability is</w:t>
      </w:r>
    </w:p>
    <w:p>
      <w:pPr>
        <w:pStyle w:val="Equation"/>
      </w:pPr>
      <w:r>
        <w:tab/>
      </w:r>
      <m:oMath>
        <m:sSub>
          <m:e>
            <m:r>
              <m:rPr>
                <m:lit/>
                <m:sty m:val="p"/>
              </m:rPr>
              <w:rPr>
                <w:rFonts w:ascii="Cambria Math" w:hAnsi="Cambria Math"/>
                <w:sz w:val="19"/>
                <w:szCs w:val="19"/>
              </w:rPr>
              <m:t>sup</m:t>
            </m:r>
          </m:e>
          <m:sub>
            <m:r>
              <w:rPr>
                <w:rFonts w:ascii="Cambria Math" w:hAnsi="Cambria Math"/>
                <w:sz w:val="19"/>
                <w:szCs w:val="19"/>
              </w:rPr>
              <m:t>Q</m:t>
            </m:r>
            <m:r>
              <m:rPr>
                <m:sty m:val="p"/>
              </m:rPr>
              <w:rPr>
                <w:rFonts w:ascii="Cambria Math" w:hAnsi="Cambria Math"/>
                <w:sz w:val="19"/>
                <w:szCs w:val="19"/>
              </w:rPr>
              <m:t>∈</m:t>
            </m:r>
            <m:sSub>
              <m:e>
                <m:r>
                  <m:rPr>
                    <m:scr m:val="script"/>
                    <m:sty m:val="p"/>
                  </m:rPr>
                  <w:rPr>
                    <w:rFonts w:ascii="Cambria Math" w:hAnsi="Cambria Math"/>
                    <w:sz w:val="19"/>
                    <w:szCs w:val="19"/>
                  </w:rPr>
                  <m:t>B</m:t>
                </m:r>
              </m:e>
              <m:sub>
                <m:r>
                  <w:rPr>
                    <w:rFonts w:ascii="Cambria Math" w:hAnsi="Cambria Math"/>
                    <w:sz w:val="19"/>
                    <w:szCs w:val="19"/>
                  </w:rPr>
                  <m:t>ε</m:t>
                </m:r>
              </m:sub>
            </m:sSub>
            <m:d>
              <m:dPr>
                <m:begChr m:val="("/>
                <m:sepChr m:val=""/>
                <m:endChr m:val=")"/>
                <m:grow/>
              </m:dPr>
              <m:e>
                <m:sSub>
                  <m:e>
                    <m:acc>
                      <m:accPr>
                        <m:chr m:val="̂"/>
                      </m:accPr>
                      <m:e>
                        <m:r>
                          <w:rPr>
                            <w:rFonts w:ascii="Cambria Math" w:hAnsi="Cambria Math"/>
                            <w:sz w:val="19"/>
                            <w:szCs w:val="19"/>
                          </w:rPr>
                          <m:t>P</m:t>
                        </m:r>
                      </m:e>
                    </m:acc>
                  </m:e>
                  <m:sub>
                    <m:r>
                      <w:rPr>
                        <w:rFonts w:ascii="Cambria Math" w:hAnsi="Cambria Math"/>
                        <w:sz w:val="19"/>
                        <w:szCs w:val="19"/>
                      </w:rPr>
                      <m:t>N</m:t>
                    </m:r>
                  </m:sub>
                </m:sSub>
              </m:e>
            </m:d>
          </m:sub>
        </m:sSub>
        <m:r>
          <w:rPr>
            <w:rFonts w:ascii="Cambria Math" w:hAnsi="Cambria Math"/>
            <w:sz w:val="19"/>
            <w:szCs w:val="19"/>
          </w:rPr>
          <m:t>Q</m:t>
        </m:r>
        <m:d>
          <m:dPr>
            <m:begChr m:val="("/>
            <m:sepChr m:val=""/>
            <m:endChr m:val=")"/>
            <m:grow/>
          </m:dPr>
          <m:e>
            <m:r>
              <w:rPr>
                <w:rFonts w:ascii="Cambria Math" w:hAnsi="Cambria Math"/>
                <w:sz w:val="19"/>
                <w:szCs w:val="19"/>
              </w:rPr>
              <m:t>ξ</m:t>
            </m:r>
            <m:r>
              <m:rPr>
                <m:sty m:val="p"/>
              </m:rPr>
              <w:rPr>
                <w:rFonts w:ascii="Cambria Math" w:hAnsi="Cambria Math"/>
                <w:sz w:val="19"/>
                <w:szCs w:val="19"/>
              </w:rPr>
              <m:t>&lt;</m:t>
            </m:r>
            <m:r>
              <w:rPr>
                <w:rFonts w:ascii="Cambria Math" w:hAnsi="Cambria Math"/>
                <w:sz w:val="19"/>
                <w:szCs w:val="19"/>
              </w:rPr>
              <m:t>C</m:t>
            </m:r>
          </m:e>
        </m:d>
        <m:r>
          <m:rPr>
            <m:sty m:val="p"/>
          </m:rPr>
          <w:rPr>
            <w:rFonts w:ascii="Cambria Math" w:hAnsi="Cambria Math"/>
            <w:sz w:val="19"/>
            <w:szCs w:val="19"/>
          </w:rPr>
          <m:t>=</m:t>
        </m:r>
        <m:f>
          <m:fPr>
            <m:type m:val="bar"/>
          </m:fPr>
          <m:num>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n</m:t>
            </m:r>
            <m:d>
              <m:dPr>
                <m:begChr m:val="("/>
                <m:sepChr m:val=""/>
                <m:endChr m:val=")"/>
                <m:grow/>
              </m:dPr>
              <m:e>
                <m:r>
                  <w:rPr>
                    <w:rFonts w:ascii="Cambria Math" w:hAnsi="Cambria Math"/>
                    <w:sz w:val="19"/>
                    <w:szCs w:val="19"/>
                  </w:rPr>
                  <m:t>C</m:t>
                </m:r>
              </m:e>
            </m:d>
          </m:num>
          <m:den>
            <m:r>
              <w:rPr>
                <w:rFonts w:ascii="Cambria Math" w:hAnsi="Cambria Math"/>
                <w:sz w:val="19"/>
                <w:szCs w:val="19"/>
              </w:rPr>
              <m:t>N</m:t>
            </m:r>
          </m:den>
        </m:f>
        <m:r>
          <m:rPr>
            <m:sty m:val="p"/>
          </m:rPr>
          <w:rPr>
            <w:rFonts w:ascii="Cambria Math" w:hAnsi="Cambria Math"/>
            <w:sz w:val="19"/>
            <w:szCs w:val="19"/>
          </w:rPr>
          <m:t>+</m:t>
        </m:r>
        <m:sSubSup>
          <m:e>
            <m:r>
              <w:rPr>
                <w:rFonts w:ascii="Cambria Math" w:hAnsi="Cambria Math"/>
                <w:sz w:val="19"/>
                <w:szCs w:val="19"/>
              </w:rPr>
              <m:t>m</m:t>
            </m:r>
          </m:e>
          <m:sub>
            <m:r>
              <w:rPr>
                <w:rFonts w:ascii="Cambria Math" w:hAnsi="Cambria Math"/>
                <w:sz w:val="19"/>
                <w:szCs w:val="19"/>
              </w:rPr>
              <m:t>C</m:t>
            </m:r>
          </m:sub>
          <m:sup>
            <m:r>
              <m:rPr>
                <m:lit/>
                <m:sty m:val="p"/>
              </m:rPr>
              <w:rPr>
                <w:rFonts w:ascii="Cambria Math" w:hAnsi="Cambria Math"/>
                <w:sz w:val="19"/>
                <w:szCs w:val="19"/>
              </w:rPr>
              <m:t>*</m:t>
            </m:r>
          </m:sup>
        </m:sSubSup>
        <m:d>
          <m:dPr>
            <m:begChr m:val="("/>
            <m:sepChr m:val=""/>
            <m:endChr m:val=")"/>
            <m:grow/>
          </m:dPr>
          <m:e>
            <m:r>
              <w:rPr>
                <w:rFonts w:ascii="Cambria Math" w:hAnsi="Cambria Math"/>
                <w:sz w:val="19"/>
                <w:szCs w:val="19"/>
              </w:rPr>
              <m:t>ε</m:t>
            </m:r>
          </m:e>
        </m:d>
        <m:r>
          <m:rPr>
            <m:sty m:val="p"/>
          </m:rPr>
          <w:rPr>
            <w:rFonts w:ascii="Cambria Math" w:hAnsi="Cambria Math"/>
            <w:sz w:val="19"/>
            <w:szCs w:val="19"/>
          </w:rPr>
          <m:t>,</m:t>
        </m:r>
      </m:oMath>
      <w:r>
        <w:tab/>
      </w:r>
      <w:r>
        <w:t xml:space="preserve">(51)</w:t>
      </w:r>
    </w:p>
    <w:p>
      <w:pPr>
        <w:pStyle w:val="BodyText"/>
      </w:pPr>
      <w:r>
        <w:t xml:space="preserve">where the largest mass that the transport budget can remove is the fractional knapsack problem</w:t>
      </w:r>
    </w:p>
    <w:p>
      <w:pPr>
        <w:pStyle w:val="Equation"/>
      </w:pPr>
      <w:r>
        <w:tab/>
      </w:r>
      <m:oMath>
        <m:m>
          <m:mPr>
            <m:baseJc m:val="center"/>
            <m:plcHide m:val="on"/>
            <m:mcs>
              <m:mc>
                <m:mcPr>
                  <m:count m:val="1"/>
                  <m:mcJc m:val="right"/>
                </m:mcPr>
              </m:mc>
              <m:mc>
                <m:mcPr>
                  <m:count m:val="1"/>
                  <m:mcJc m:val="left"/>
                </m:mcPr>
              </m:mc>
            </m:mcs>
          </m:mPr>
          <m:mr>
            <m:e>
              <m:sSubSup>
                <m:e>
                  <m:r>
                    <w:rPr>
                      <w:rFonts w:ascii="Cambria Math" w:hAnsi="Cambria Math"/>
                      <w:sz w:val="19"/>
                      <w:szCs w:val="19"/>
                    </w:rPr>
                    <m:t>m</m:t>
                  </m:r>
                </m:e>
                <m:sub>
                  <m:r>
                    <w:rPr>
                      <w:rFonts w:ascii="Cambria Math" w:hAnsi="Cambria Math"/>
                      <w:sz w:val="19"/>
                      <w:szCs w:val="19"/>
                    </w:rPr>
                    <m:t>C</m:t>
                  </m:r>
                </m:sub>
                <m:sup>
                  <m:r>
                    <m:rPr>
                      <m:lit/>
                      <m:sty m:val="p"/>
                    </m:rPr>
                    <w:rPr>
                      <w:rFonts w:ascii="Cambria Math" w:hAnsi="Cambria Math"/>
                      <w:sz w:val="19"/>
                      <w:szCs w:val="19"/>
                    </w:rPr>
                    <m:t>*</m:t>
                  </m:r>
                </m:sup>
              </m:sSubSup>
              <m:d>
                <m:dPr>
                  <m:begChr m:val="("/>
                  <m:sepChr m:val=""/>
                  <m:endChr m:val=")"/>
                  <m:grow/>
                </m:dPr>
                <m:e>
                  <m:r>
                    <w:rPr>
                      <w:rFonts w:ascii="Cambria Math" w:hAnsi="Cambria Math"/>
                      <w:sz w:val="19"/>
                      <w:szCs w:val="19"/>
                    </w:rPr>
                    <m:t>ε</m:t>
                  </m:r>
                </m:e>
              </m:d>
              <m:r>
                <m:rPr>
                  <m:sty m:val="p"/>
                </m:rPr>
                <w:rPr>
                  <w:rFonts w:ascii="Cambria Math" w:hAnsi="Cambria Math"/>
                  <w:sz w:val="19"/>
                  <w:szCs w:val="19"/>
                </w:rPr>
                <m:t>=</m:t>
              </m:r>
              <m:sSub>
                <m:e>
                  <m:r>
                    <m:rPr>
                      <m:sty m:val="p"/>
                    </m:rPr>
                    <w:rPr>
                      <w:rFonts w:ascii="Cambria Math" w:hAnsi="Cambria Math"/>
                      <w:sz w:val="19"/>
                      <w:szCs w:val="19"/>
                    </w:rPr>
                    <m:t>max</m:t>
                  </m:r>
                </m:e>
                <m:sub>
                  <m:r>
                    <w:rPr>
                      <w:rFonts w:ascii="Cambria Math" w:hAnsi="Cambria Math"/>
                      <w:sz w:val="19"/>
                      <w:szCs w:val="19"/>
                    </w:rPr>
                    <m:t>w</m:t>
                  </m:r>
                </m:sub>
              </m:sSub>
              <m:r>
                <m:rPr>
                  <m:sty m:val="p"/>
                </m:rPr>
                <w:rPr>
                  <w:rFonts w:ascii="Cambria Math" w:hAnsi="Cambria Math"/>
                  <w:sz w:val="19"/>
                  <w:szCs w:val="19"/>
                </w:rPr>
                <m:t>{</m:t>
              </m:r>
            </m:e>
            <m:e>
              <m:nary>
                <m:naryPr>
                  <m:chr m:val="∑"/>
                  <m:limLoc m:val="undOvr"/>
                  <m:subHide m:val="off"/>
                  <m:supHide m:val="on"/>
                </m:naryPr>
                <m:sub>
                  <m:r>
                    <w:rPr>
                      <w:rFonts w:ascii="Cambria Math" w:hAnsi="Cambria Math"/>
                      <w:sz w:val="19"/>
                      <w:szCs w:val="19"/>
                    </w:rPr>
                    <m:t>d</m:t>
                  </m:r>
                  <m:r>
                    <m:rPr>
                      <m:sty m:val="p"/>
                    </m:rPr>
                    <w:rPr>
                      <w:rFonts w:ascii="Cambria Math" w:hAnsi="Cambria Math"/>
                      <w:sz w:val="19"/>
                      <w:szCs w:val="19"/>
                    </w:rPr>
                    <m:t>∈</m:t>
                  </m:r>
                  <m:sSub>
                    <m:e>
                      <m:r>
                        <m:rPr>
                          <m:scr m:val="script"/>
                          <m:sty m:val="p"/>
                        </m:rPr>
                        <w:rPr>
                          <w:rFonts w:ascii="Cambria Math" w:hAnsi="Cambria Math"/>
                          <w:sz w:val="19"/>
                          <w:szCs w:val="19"/>
                        </w:rPr>
                        <m:t>D</m:t>
                      </m:r>
                    </m:e>
                    <m:sub>
                      <m:r>
                        <w:rPr>
                          <w:rFonts w:ascii="Cambria Math" w:hAnsi="Cambria Math"/>
                          <w:sz w:val="19"/>
                          <w:szCs w:val="19"/>
                        </w:rPr>
                        <m:t>C</m:t>
                      </m:r>
                    </m:sub>
                  </m:sSub>
                </m:sub>
                <m:sup>
                  <m:r>
                    <w:rPr>
                      <w:rFonts w:ascii="Cambria Math" w:hAnsi="Cambria Math"/>
                      <w:sz w:val="19"/>
                      <w:szCs w:val="19"/>
                    </w:rPr>
                    <m:t>​</m:t>
                  </m:r>
                </m:sup>
                <m:e>
                  <m:sSub>
                    <m:e>
                      <m:r>
                        <w:rPr>
                          <w:rFonts w:ascii="Cambria Math" w:hAnsi="Cambria Math"/>
                          <w:sz w:val="19"/>
                          <w:szCs w:val="19"/>
                        </w:rPr>
                        <m:t>w</m:t>
                      </m:r>
                    </m:e>
                    <m:sub>
                      <m:r>
                        <w:rPr>
                          <w:rFonts w:ascii="Cambria Math" w:hAnsi="Cambria Math"/>
                          <w:sz w:val="19"/>
                          <w:szCs w:val="19"/>
                        </w:rPr>
                        <m:t>d</m:t>
                      </m:r>
                    </m:sub>
                  </m:sSub>
                </m:e>
              </m:nary>
              <m:r>
                <m:rPr>
                  <m:sty m:val="p"/>
                </m:rPr>
                <w:rPr>
                  <w:rFonts w:ascii="Cambria Math" w:hAnsi="Cambria Math"/>
                  <w:sz w:val="19"/>
                  <w:szCs w:val="19"/>
                </w:rPr>
                <m:t>:</m:t>
              </m:r>
              <m:r>
                <w:rPr>
                  <w:rFonts w:ascii="Cambria Math" w:hAnsi="Cambria Math"/>
                  <w:sz w:val="19"/>
                  <w:szCs w:val="19"/>
                </w:rPr>
                <m:t> </m:t>
              </m:r>
              <m:nary>
                <m:naryPr>
                  <m:chr m:val="∑"/>
                  <m:limLoc m:val="undOvr"/>
                  <m:subHide m:val="off"/>
                  <m:supHide m:val="on"/>
                </m:naryPr>
                <m:sub>
                  <m:r>
                    <w:rPr>
                      <w:rFonts w:ascii="Cambria Math" w:hAnsi="Cambria Math"/>
                      <w:sz w:val="19"/>
                      <w:szCs w:val="19"/>
                    </w:rPr>
                    <m:t>d</m:t>
                  </m:r>
                  <m:r>
                    <m:rPr>
                      <m:sty m:val="p"/>
                    </m:rPr>
                    <w:rPr>
                      <w:rFonts w:ascii="Cambria Math" w:hAnsi="Cambria Math"/>
                      <w:sz w:val="19"/>
                      <w:szCs w:val="19"/>
                    </w:rPr>
                    <m:t>∈</m:t>
                  </m:r>
                  <m:sSub>
                    <m:e>
                      <m:r>
                        <m:rPr>
                          <m:scr m:val="script"/>
                          <m:sty m:val="p"/>
                        </m:rPr>
                        <w:rPr>
                          <w:rFonts w:ascii="Cambria Math" w:hAnsi="Cambria Math"/>
                          <w:sz w:val="19"/>
                          <w:szCs w:val="19"/>
                        </w:rPr>
                        <m:t>D</m:t>
                      </m:r>
                    </m:e>
                    <m:sub>
                      <m:r>
                        <w:rPr>
                          <w:rFonts w:ascii="Cambria Math" w:hAnsi="Cambria Math"/>
                          <w:sz w:val="19"/>
                          <w:szCs w:val="19"/>
                        </w:rPr>
                        <m:t>C</m:t>
                      </m:r>
                    </m:sub>
                  </m:sSub>
                </m:sub>
                <m:sup>
                  <m:r>
                    <w:rPr>
                      <w:rFonts w:ascii="Cambria Math" w:hAnsi="Cambria Math"/>
                      <w:sz w:val="19"/>
                      <w:szCs w:val="19"/>
                    </w:rPr>
                    <m:t>​</m:t>
                  </m:r>
                </m:sup>
                <m:e>
                  <m:sSub>
                    <m:e>
                      <m:r>
                        <w:rPr>
                          <w:rFonts w:ascii="Cambria Math" w:hAnsi="Cambria Math"/>
                          <w:sz w:val="19"/>
                          <w:szCs w:val="19"/>
                        </w:rPr>
                        <m:t>w</m:t>
                      </m:r>
                    </m:e>
                    <m:sub>
                      <m:r>
                        <w:rPr>
                          <w:rFonts w:ascii="Cambria Math" w:hAnsi="Cambria Math"/>
                          <w:sz w:val="19"/>
                          <w:szCs w:val="19"/>
                        </w:rPr>
                        <m:t>d</m:t>
                      </m:r>
                    </m:sub>
                  </m:sSub>
                </m:e>
              </m:nary>
              <m:r>
                <w:rPr>
                  <w:rFonts w:ascii="Cambria Math" w:hAnsi="Cambria Math"/>
                  <w:sz w:val="19"/>
                  <w:szCs w:val="19"/>
                </w:rPr>
                <m:t> </m:t>
              </m:r>
              <m:sSub>
                <m:e>
                  <m:r>
                    <w:rPr>
                      <w:rFonts w:ascii="Cambria Math" w:hAnsi="Cambria Math"/>
                      <w:sz w:val="19"/>
                      <w:szCs w:val="19"/>
                    </w:rPr>
                    <m:t>δ</m:t>
                  </m:r>
                </m:e>
                <m:sub>
                  <m:r>
                    <w:rPr>
                      <w:rFonts w:ascii="Cambria Math" w:hAnsi="Cambria Math"/>
                      <w:sz w:val="19"/>
                      <w:szCs w:val="19"/>
                    </w:rPr>
                    <m:t>d</m:t>
                  </m:r>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ε</m:t>
              </m:r>
              <m:r>
                <m:rPr>
                  <m:sty m:val="p"/>
                </m:rPr>
                <w:rPr>
                  <w:rFonts w:ascii="Cambria Math" w:hAnsi="Cambria Math"/>
                  <w:sz w:val="19"/>
                  <w:szCs w:val="19"/>
                </w:rPr>
                <m:t>,</m:t>
              </m:r>
            </m:e>
          </m:mr>
          <m:mr>
            <m:e/>
            <m:e>
              <m:r>
                <w:rPr>
                  <w:rFonts w:ascii="Cambria Math" w:hAnsi="Cambria Math"/>
                  <w:sz w:val="19"/>
                  <w:szCs w:val="19"/>
                </w:rPr>
                <m:t>0</m:t>
              </m:r>
              <m:r>
                <m:rPr>
                  <m:sty m:val="p"/>
                </m:rPr>
                <w:rPr>
                  <w:rFonts w:ascii="Cambria Math" w:hAnsi="Cambria Math"/>
                  <w:sz w:val="19"/>
                  <w:szCs w:val="19"/>
                </w:rPr>
                <m:t>≤</m:t>
              </m:r>
              <m:sSub>
                <m:e>
                  <m:r>
                    <w:rPr>
                      <w:rFonts w:ascii="Cambria Math" w:hAnsi="Cambria Math"/>
                      <w:sz w:val="19"/>
                      <w:szCs w:val="19"/>
                    </w:rPr>
                    <m:t>w</m:t>
                  </m:r>
                </m:e>
                <m:sub>
                  <m:r>
                    <w:rPr>
                      <w:rFonts w:ascii="Cambria Math" w:hAnsi="Cambria Math"/>
                      <w:sz w:val="19"/>
                      <w:szCs w:val="19"/>
                    </w:rPr>
                    <m:t>d</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N</m:t>
                  </m:r>
                </m:den>
              </m:f>
              <m:r>
                <w:rPr>
                  <w:rFonts w:ascii="Cambria Math" w:hAnsi="Cambria Math"/>
                  <w:sz w:val="19"/>
                  <w:szCs w:val="19"/>
                </w:rPr>
                <m:t> </m:t>
              </m:r>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sSub>
                <m:e>
                  <m:r>
                    <m:rPr>
                      <m:scr m:val="script"/>
                      <m:sty m:val="p"/>
                    </m:rPr>
                    <w:rPr>
                      <w:rFonts w:ascii="Cambria Math" w:hAnsi="Cambria Math"/>
                      <w:sz w:val="19"/>
                      <w:szCs w:val="19"/>
                    </w:rPr>
                    <m:t>D</m:t>
                  </m:r>
                </m:e>
                <m:sub>
                  <m:r>
                    <w:rPr>
                      <w:rFonts w:ascii="Cambria Math" w:hAnsi="Cambria Math"/>
                      <w:sz w:val="19"/>
                      <w:szCs w:val="19"/>
                    </w:rPr>
                    <m:t>C</m:t>
                  </m:r>
                </m:sub>
              </m:sSub>
              <m:r>
                <m:rPr>
                  <m:sty m:val="p"/>
                </m:rPr>
                <w:rPr>
                  <w:rFonts w:ascii="Cambria Math" w:hAnsi="Cambria Math"/>
                  <w:sz w:val="19"/>
                  <w:szCs w:val="19"/>
                </w:rPr>
                <m:t>}</m:t>
              </m:r>
              <m:r>
                <m:rPr>
                  <m:sty m:val="p"/>
                </m:rPr>
                <w:rPr>
                  <w:rFonts w:ascii="Cambria Math" w:hAnsi="Cambria Math"/>
                  <w:sz w:val="19"/>
                  <w:szCs w:val="19"/>
                </w:rPr>
                <m:t>.</m:t>
              </m:r>
            </m:e>
          </m:mr>
        </m:m>
      </m:oMath>
      <w:r>
        <w:tab/>
      </w:r>
      <w:r>
        <w:t xml:space="preserve">(52)</w:t>
      </w:r>
    </w:p>
    <w:p>
      <w:pPr>
        <w:pStyle w:val="BodyText"/>
      </w:pPr>
      <w:r>
        <w:t xml:space="preserve">With the multiplier</w:t>
      </w:r>
      <w:r>
        <w:t xml:space="preserve"> </w:t>
      </w:r>
      <m:oMath>
        <m:r>
          <w:rPr>
            <w:rFonts w:ascii="Cambria Math" w:hAnsi="Cambria Math"/>
            <w:sz w:val="19"/>
            <w:szCs w:val="19"/>
          </w:rPr>
          <m:t>λ</m:t>
        </m:r>
        <m:r>
          <m:rPr>
            <m:sty m:val="p"/>
          </m:rPr>
          <w:rPr>
            <w:rFonts w:ascii="Cambria Math" w:hAnsi="Cambria Math"/>
            <w:sz w:val="19"/>
            <w:szCs w:val="19"/>
          </w:rPr>
          <m:t>≥</m:t>
        </m:r>
        <m:r>
          <w:rPr>
            <w:rFonts w:ascii="Cambria Math" w:hAnsi="Cambria Math"/>
            <w:sz w:val="19"/>
            <w:szCs w:val="19"/>
          </w:rPr>
          <m:t>0</m:t>
        </m:r>
      </m:oMath>
      <w:r>
        <w:t xml:space="preserve"> </w:t>
      </w:r>
      <w:r>
        <w:t xml:space="preserve">of the transport budget and</w:t>
      </w:r>
      <w:r>
        <w:t xml:space="preserve"> </w:t>
      </w:r>
      <m:oMath>
        <m:sSub>
          <m:e>
            <m:r>
              <w:rPr>
                <w:rFonts w:ascii="Cambria Math" w:hAnsi="Cambria Math"/>
                <w:sz w:val="19"/>
                <w:szCs w:val="19"/>
              </w:rPr>
              <m:t>υ</m:t>
            </m:r>
          </m:e>
          <m:sub>
            <m:r>
              <w:rPr>
                <w:rFonts w:ascii="Cambria Math" w:hAnsi="Cambria Math"/>
                <w:sz w:val="19"/>
                <w:szCs w:val="19"/>
              </w:rPr>
              <m:t>d</m:t>
            </m:r>
          </m:sub>
        </m:sSub>
        <m:r>
          <m:rPr>
            <m:sty m:val="p"/>
          </m:rPr>
          <w:rPr>
            <w:rFonts w:ascii="Cambria Math" w:hAnsi="Cambria Math"/>
            <w:sz w:val="19"/>
            <w:szCs w:val="19"/>
          </w:rPr>
          <m:t>≥</m:t>
        </m:r>
        <m:r>
          <w:rPr>
            <w:rFonts w:ascii="Cambria Math" w:hAnsi="Cambria Math"/>
            <w:sz w:val="19"/>
            <w:szCs w:val="19"/>
          </w:rPr>
          <m:t>0</m:t>
        </m:r>
      </m:oMath>
      <w:r>
        <w:t xml:space="preserve"> </w:t>
      </w:r>
      <w:r>
        <w:t xml:space="preserve">of the upper bounds, the linear-programming dual of (52) is</w:t>
      </w:r>
      <w:r>
        <w:t xml:space="preserve"> </w:t>
      </w:r>
      <m:oMath>
        <m:r>
          <m:rPr>
            <m:sty m:val="p"/>
          </m:rPr>
          <w:rPr>
            <w:rFonts w:ascii="Cambria Math" w:hAnsi="Cambria Math"/>
            <w:sz w:val="19"/>
            <w:szCs w:val="19"/>
          </w:rPr>
          <m:t>min</m:t>
        </m:r>
        <m:r>
          <m:rPr>
            <m:sty m:val="p"/>
          </m:rPr>
          <w:rPr>
            <w:rFonts w:ascii="Cambria Math" w:hAnsi="Cambria Math"/>
            <w:sz w:val="19"/>
            <w:szCs w:val="19"/>
          </w:rPr>
          <m:t>{</m:t>
        </m:r>
        <m:r>
          <w:rPr>
            <w:rFonts w:ascii="Cambria Math" w:hAnsi="Cambria Math"/>
            <w:sz w:val="19"/>
            <w:szCs w:val="19"/>
          </w:rPr>
          <m:t>λ</m:t>
        </m:r>
        <m:r>
          <w:rPr>
            <w:rFonts w:ascii="Cambria Math" w:hAnsi="Cambria Math"/>
            <w:sz w:val="19"/>
            <w:szCs w:val="19"/>
          </w:rPr>
          <m:t>ε</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N</m:t>
            </m:r>
          </m:den>
        </m:f>
        <m:nary>
          <m:naryPr>
            <m:chr m:val="∑"/>
            <m:limLoc m:val="undOvr"/>
            <m:subHide m:val="off"/>
            <m:supHide m:val="on"/>
          </m:naryPr>
          <m:sub>
            <m:r>
              <w:rPr>
                <w:rFonts w:ascii="Cambria Math" w:hAnsi="Cambria Math"/>
                <w:sz w:val="19"/>
                <w:szCs w:val="19"/>
              </w:rPr>
              <m:t>d</m:t>
            </m:r>
          </m:sub>
          <m:sup>
            <m:r>
              <w:rPr>
                <w:rFonts w:ascii="Cambria Math" w:hAnsi="Cambria Math"/>
                <w:sz w:val="19"/>
                <w:szCs w:val="19"/>
              </w:rPr>
              <m:t>​</m:t>
            </m:r>
          </m:sup>
          <m:e>
            <m:sSub>
              <m:e>
                <m:r>
                  <w:rPr>
                    <w:rFonts w:ascii="Cambria Math" w:hAnsi="Cambria Math"/>
                    <w:sz w:val="19"/>
                    <w:szCs w:val="19"/>
                  </w:rPr>
                  <m:t>υ</m:t>
                </m:r>
              </m:e>
              <m:sub>
                <m:r>
                  <w:rPr>
                    <w:rFonts w:ascii="Cambria Math" w:hAnsi="Cambria Math"/>
                    <w:sz w:val="19"/>
                    <w:szCs w:val="19"/>
                  </w:rPr>
                  <m:t>d</m:t>
                </m:r>
              </m:sub>
            </m:sSub>
          </m:e>
        </m:nary>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υ</m:t>
            </m:r>
          </m:e>
          <m:sub>
            <m:r>
              <w:rPr>
                <w:rFonts w:ascii="Cambria Math" w:hAnsi="Cambria Math"/>
                <w:sz w:val="19"/>
                <w:szCs w:val="19"/>
              </w:rPr>
              <m:t>d</m:t>
            </m:r>
          </m:sub>
        </m:sSub>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λ</m:t>
        </m:r>
        <m:sSub>
          <m:e>
            <m:r>
              <w:rPr>
                <w:rFonts w:ascii="Cambria Math" w:hAnsi="Cambria Math"/>
                <w:sz w:val="19"/>
                <w:szCs w:val="19"/>
              </w:rPr>
              <m:t>δ</m:t>
            </m:r>
          </m:e>
          <m:sub>
            <m:r>
              <w:rPr>
                <w:rFonts w:ascii="Cambria Math" w:hAnsi="Cambria Math"/>
                <w:sz w:val="19"/>
                <w:szCs w:val="19"/>
              </w:rPr>
              <m:t>d</m:t>
            </m:r>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υ</m:t>
            </m:r>
          </m:e>
          <m:sub>
            <m:r>
              <w:rPr>
                <w:rFonts w:ascii="Cambria Math" w:hAnsi="Cambria Math"/>
                <w:sz w:val="19"/>
                <w:szCs w:val="19"/>
              </w:rPr>
              <m:t>d</m:t>
            </m:r>
          </m:sub>
        </m:sSub>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t xml:space="preserve">. Eliminating</w:t>
      </w:r>
      <w:r>
        <w:t xml:space="preserve"> </w:t>
      </w:r>
      <m:oMath>
        <m:sSub>
          <m:e>
            <m:r>
              <w:rPr>
                <w:rFonts w:ascii="Cambria Math" w:hAnsi="Cambria Math"/>
                <w:sz w:val="19"/>
                <w:szCs w:val="19"/>
              </w:rPr>
              <m:t>υ</m:t>
            </m:r>
          </m:e>
          <m:sub>
            <m:r>
              <w:rPr>
                <w:rFonts w:ascii="Cambria Math" w:hAnsi="Cambria Math"/>
                <w:sz w:val="19"/>
                <w:szCs w:val="19"/>
              </w:rPr>
              <m:t>d</m:t>
            </m:r>
          </m:sub>
        </m:sSub>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λ</m:t>
        </m:r>
        <m:sSub>
          <m:e>
            <m:r>
              <w:rPr>
                <w:rFonts w:ascii="Cambria Math" w:hAnsi="Cambria Math"/>
                <w:sz w:val="19"/>
                <w:szCs w:val="19"/>
              </w:rPr>
              <m:t>δ</m:t>
            </m:r>
          </m:e>
          <m:sub>
            <m:r>
              <w:rPr>
                <w:rFonts w:ascii="Cambria Math" w:hAnsi="Cambria Math"/>
                <w:sz w:val="19"/>
                <w:szCs w:val="19"/>
              </w:rPr>
              <m:t>d</m:t>
            </m:r>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t xml:space="preserve"> </w:t>
      </w:r>
      <w:r>
        <w:t xml:space="preserve">gives the one-dimensional problem</w:t>
      </w:r>
    </w:p>
    <w:p>
      <w:pPr>
        <w:pStyle w:val="Equation"/>
      </w:pPr>
      <w:r>
        <w:tab/>
      </w:r>
      <m:oMath>
        <m:m>
          <m:mPr>
            <m:baseJc m:val="center"/>
            <m:plcHide m:val="on"/>
            <m:mcs>
              <m:mc>
                <m:mcPr>
                  <m:count m:val="1"/>
                  <m:mcJc m:val="right"/>
                </m:mcPr>
              </m:mc>
              <m:mc>
                <m:mcPr>
                  <m:count m:val="1"/>
                  <m:mcJc m:val="left"/>
                </m:mcPr>
              </m:mc>
            </m:mcs>
          </m:mPr>
          <m:mr>
            <m:e>
              <m:sSubSup>
                <m:e>
                  <m:r>
                    <w:rPr>
                      <w:rFonts w:ascii="Cambria Math" w:hAnsi="Cambria Math"/>
                      <w:sz w:val="19"/>
                      <w:szCs w:val="19"/>
                    </w:rPr>
                    <m:t>m</m:t>
                  </m:r>
                </m:e>
                <m:sub>
                  <m:r>
                    <w:rPr>
                      <w:rFonts w:ascii="Cambria Math" w:hAnsi="Cambria Math"/>
                      <w:sz w:val="19"/>
                      <w:szCs w:val="19"/>
                    </w:rPr>
                    <m:t>C</m:t>
                  </m:r>
                </m:sub>
                <m:sup>
                  <m:r>
                    <m:rPr>
                      <m:lit/>
                      <m:sty m:val="p"/>
                    </m:rPr>
                    <w:rPr>
                      <w:rFonts w:ascii="Cambria Math" w:hAnsi="Cambria Math"/>
                      <w:sz w:val="19"/>
                      <w:szCs w:val="19"/>
                    </w:rPr>
                    <m:t>*</m:t>
                  </m:r>
                </m:sup>
              </m:sSubSup>
              <m:d>
                <m:dPr>
                  <m:begChr m:val="("/>
                  <m:sepChr m:val=""/>
                  <m:endChr m:val=")"/>
                  <m:grow/>
                </m:dPr>
                <m:e>
                  <m:r>
                    <w:rPr>
                      <w:rFonts w:ascii="Cambria Math" w:hAnsi="Cambria Math"/>
                      <w:sz w:val="19"/>
                      <w:szCs w:val="19"/>
                    </w:rPr>
                    <m:t>ε</m:t>
                  </m:r>
                </m:e>
              </m:d>
              <m:r>
                <m:rPr>
                  <m:sty m:val="p"/>
                </m:rPr>
                <w:rPr>
                  <w:rFonts w:ascii="Cambria Math" w:hAnsi="Cambria Math"/>
                  <w:sz w:val="19"/>
                  <w:szCs w:val="19"/>
                </w:rPr>
                <m:t>=</m:t>
              </m:r>
              <m:sSub>
                <m:e>
                  <m:r>
                    <m:rPr>
                      <m:sty m:val="p"/>
                    </m:rPr>
                    <w:rPr>
                      <w:rFonts w:ascii="Cambria Math" w:hAnsi="Cambria Math"/>
                      <w:sz w:val="19"/>
                      <w:szCs w:val="19"/>
                    </w:rPr>
                    <m:t>min</m:t>
                  </m:r>
                </m:e>
                <m:sub>
                  <m:r>
                    <w:rPr>
                      <w:rFonts w:ascii="Cambria Math" w:hAnsi="Cambria Math"/>
                      <w:sz w:val="19"/>
                      <w:szCs w:val="19"/>
                    </w:rPr>
                    <m:t>λ</m:t>
                  </m:r>
                  <m:r>
                    <m:rPr>
                      <m:sty m:val="p"/>
                    </m:rPr>
                    <w:rPr>
                      <w:rFonts w:ascii="Cambria Math" w:hAnsi="Cambria Math"/>
                      <w:sz w:val="19"/>
                      <w:szCs w:val="19"/>
                    </w:rPr>
                    <m:t>≥</m:t>
                  </m:r>
                  <m:r>
                    <w:rPr>
                      <w:rFonts w:ascii="Cambria Math" w:hAnsi="Cambria Math"/>
                      <w:sz w:val="19"/>
                      <w:szCs w:val="19"/>
                    </w:rPr>
                    <m:t>0</m:t>
                  </m:r>
                </m:sub>
              </m:sSub>
              <m:r>
                <m:rPr>
                  <m:sty m:val="p"/>
                </m:rPr>
                <w:rPr>
                  <w:rFonts w:ascii="Cambria Math" w:hAnsi="Cambria Math"/>
                  <w:sz w:val="19"/>
                  <w:szCs w:val="19"/>
                </w:rPr>
                <m:t>{</m:t>
              </m:r>
            </m:e>
            <m:e>
              <m:r>
                <w:rPr>
                  <w:rFonts w:ascii="Cambria Math" w:hAnsi="Cambria Math"/>
                  <w:sz w:val="19"/>
                  <w:szCs w:val="19"/>
                </w:rPr>
                <m:t>λ</m:t>
              </m:r>
              <m:r>
                <w:rPr>
                  <w:rFonts w:ascii="Cambria Math" w:hAnsi="Cambria Math"/>
                  <w:sz w:val="19"/>
                  <w:szCs w:val="19"/>
                </w:rPr>
                <m:t>ε</m:t>
              </m:r>
            </m:e>
          </m:mr>
          <m:mr>
            <m:e/>
            <m:e>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N</m:t>
                  </m:r>
                </m:den>
              </m:f>
              <m:nary>
                <m:naryPr>
                  <m:chr m:val="∑"/>
                  <m:limLoc m:val="undOvr"/>
                  <m:subHide m:val="off"/>
                  <m:supHide m:val="on"/>
                </m:naryPr>
                <m:sub>
                  <m:r>
                    <w:rPr>
                      <w:rFonts w:ascii="Cambria Math" w:hAnsi="Cambria Math"/>
                      <w:sz w:val="19"/>
                      <w:szCs w:val="19"/>
                    </w:rPr>
                    <m:t>d</m:t>
                  </m:r>
                  <m:r>
                    <m:rPr>
                      <m:sty m:val="p"/>
                    </m:rPr>
                    <w:rPr>
                      <w:rFonts w:ascii="Cambria Math" w:hAnsi="Cambria Math"/>
                      <w:sz w:val="19"/>
                      <w:szCs w:val="19"/>
                    </w:rPr>
                    <m:t>∈</m:t>
                  </m:r>
                  <m:sSub>
                    <m:e>
                      <m:r>
                        <m:rPr>
                          <m:scr m:val="script"/>
                          <m:sty m:val="p"/>
                        </m:rPr>
                        <w:rPr>
                          <w:rFonts w:ascii="Cambria Math" w:hAnsi="Cambria Math"/>
                          <w:sz w:val="19"/>
                          <w:szCs w:val="19"/>
                        </w:rPr>
                        <m:t>D</m:t>
                      </m:r>
                    </m:e>
                    <m:sub>
                      <m:r>
                        <w:rPr>
                          <w:rFonts w:ascii="Cambria Math" w:hAnsi="Cambria Math"/>
                          <w:sz w:val="19"/>
                          <w:szCs w:val="19"/>
                        </w:rPr>
                        <m:t>C</m:t>
                      </m:r>
                    </m:sub>
                  </m:sSub>
                </m:sub>
                <m:sup>
                  <m:r>
                    <w:rPr>
                      <w:rFonts w:ascii="Cambria Math" w:hAnsi="Cambria Math"/>
                      <w:sz w:val="19"/>
                      <w:szCs w:val="19"/>
                    </w:rPr>
                    <m:t>​</m:t>
                  </m:r>
                </m:sup>
                <m:e>
                  <m:r>
                    <m:rPr>
                      <m:sty m:val="p"/>
                    </m:rPr>
                    <w:rPr>
                      <w:rFonts w:ascii="Cambria Math" w:hAnsi="Cambria Math"/>
                      <w:sz w:val="19"/>
                      <w:szCs w:val="19"/>
                    </w:rPr>
                    <m:t>max</m:t>
                  </m:r>
                </m:e>
              </m:nary>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λ</m:t>
              </m:r>
              <m:r>
                <w:rPr>
                  <w:rFonts w:ascii="Cambria Math" w:hAnsi="Cambria Math"/>
                  <w:sz w:val="19"/>
                  <w:szCs w:val="19"/>
                </w:rPr>
                <m:t> </m:t>
              </m:r>
              <m:sSub>
                <m:e>
                  <m:r>
                    <w:rPr>
                      <w:rFonts w:ascii="Cambria Math" w:hAnsi="Cambria Math"/>
                      <w:sz w:val="19"/>
                      <w:szCs w:val="19"/>
                    </w:rPr>
                    <m:t>δ</m:t>
                  </m:r>
                </m:e>
                <m:sub>
                  <m:r>
                    <w:rPr>
                      <w:rFonts w:ascii="Cambria Math" w:hAnsi="Cambria Math"/>
                      <w:sz w:val="19"/>
                      <w:szCs w:val="19"/>
                    </w:rPr>
                    <m:t>d</m:t>
                  </m:r>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m:t>
              </m:r>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e>
          </m:mr>
        </m:m>
      </m:oMath>
      <w:r>
        <w:tab/>
      </w:r>
      <w:r>
        <w:t xml:space="preserve">(53)</w:t>
      </w:r>
    </w:p>
    <w:p>
      <w:pPr>
        <w:pStyle w:val="BodyText"/>
      </w:pPr>
      <w:r>
        <w:t xml:space="preserve">where strong duality holds because (52) is a feasible and bounded linear program and</w:t>
      </w:r>
      <w:r>
        <w:t xml:space="preserve"> </w:t>
      </w:r>
      <m:oMath>
        <m:r>
          <w:rPr>
            <w:rFonts w:ascii="Cambria Math" w:hAnsi="Cambria Math"/>
            <w:sz w:val="19"/>
            <w:szCs w:val="19"/>
          </w:rPr>
          <m:t>λ</m:t>
        </m:r>
      </m:oMath>
      <w:r>
        <w:t xml:space="preserve"> </w:t>
      </w:r>
      <w:r>
        <w:t xml:space="preserve">is the shadow price of the transport budget. The objective of (53) is convex and piecewise linear in</w:t>
      </w:r>
      <w:r>
        <w:t xml:space="preserve"> </w:t>
      </w:r>
      <m:oMath>
        <m:r>
          <w:rPr>
            <w:rFonts w:ascii="Cambria Math" w:hAnsi="Cambria Math"/>
            <w:sz w:val="19"/>
            <w:szCs w:val="19"/>
          </w:rPr>
          <m:t>λ</m:t>
        </m:r>
      </m:oMath>
      <w:r>
        <w:t xml:space="preserve"> </w:t>
      </w:r>
      <w:r>
        <w:t xml:space="preserve">with breakpoints at</w:t>
      </w:r>
      <w:r>
        <w:t xml:space="preserve"> </w:t>
      </w:r>
      <m:oMath>
        <m:r>
          <w:rPr>
            <w:rFonts w:ascii="Cambria Math" w:hAnsi="Cambria Math"/>
            <w:sz w:val="19"/>
            <w:szCs w:val="19"/>
          </w:rPr>
          <m:t>λ</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b>
          <m:e>
            <m:r>
              <w:rPr>
                <w:rFonts w:ascii="Cambria Math" w:hAnsi="Cambria Math"/>
                <w:sz w:val="19"/>
                <w:szCs w:val="19"/>
              </w:rPr>
              <m:t>δ</m:t>
            </m:r>
          </m:e>
          <m:sub>
            <m:r>
              <w:rPr>
                <w:rFonts w:ascii="Cambria Math" w:hAnsi="Cambria Math"/>
                <w:sz w:val="19"/>
                <w:szCs w:val="19"/>
              </w:rPr>
              <m:t>d</m:t>
            </m:r>
          </m:sub>
        </m:sSub>
        <m:d>
          <m:dPr>
            <m:begChr m:val="("/>
            <m:sepChr m:val=""/>
            <m:endChr m:val=")"/>
            <m:grow/>
          </m:dPr>
          <m:e>
            <m:r>
              <w:rPr>
                <w:rFonts w:ascii="Cambria Math" w:hAnsi="Cambria Math"/>
                <w:sz w:val="19"/>
                <w:szCs w:val="19"/>
              </w:rPr>
              <m:t>C</m:t>
            </m:r>
          </m:e>
        </m:d>
      </m:oMath>
      <w:r>
        <w:t xml:space="preserve">, so the infinite-dimensional inner problem of (50) reduces to sorting the capability margins.</w:t>
      </w:r>
    </w:p>
    <w:p>
      <w:pPr>
        <w:pStyle w:val="BodyText"/>
      </w:pPr>
      <w:r>
        <w:rPr>
          <w:bCs/>
          <w:b/>
        </w:rPr>
        <w:t xml:space="preserve">Proposition 4 (exact distributionally robust firm capacity).</w:t>
      </w:r>
      <w:r>
        <w:t xml:space="preserve"> </w:t>
      </w:r>
      <w:r>
        <w:t xml:space="preserve">For a commitment</w:t>
      </w:r>
      <w:r>
        <w:t xml:space="preserve"> </w:t>
      </w:r>
      <m:oMath>
        <m:r>
          <w:rPr>
            <w:rFonts w:ascii="Cambria Math" w:hAnsi="Cambria Math"/>
            <w:sz w:val="19"/>
            <w:szCs w:val="19"/>
          </w:rPr>
          <m:t>C</m:t>
        </m:r>
      </m:oMath>
      <w:r>
        <w:t xml:space="preserve">, let</w:t>
      </w:r>
      <w:r>
        <w:t xml:space="preserve"> </w:t>
      </w:r>
      <m:oMath>
        <m:sSub>
          <m:e>
            <m:r>
              <w:rPr>
                <w:rFonts w:ascii="Cambria Math" w:hAnsi="Cambria Math"/>
                <w:sz w:val="19"/>
                <w:szCs w:val="19"/>
              </w:rPr>
              <m:t>δ</m:t>
            </m:r>
          </m:e>
          <m:sub>
            <m:d>
              <m:dPr>
                <m:begChr m:val="("/>
                <m:sepChr m:val=""/>
                <m:endChr m:val=")"/>
                <m:grow/>
              </m:dPr>
              <m:e>
                <m:r>
                  <w:rPr>
                    <w:rFonts w:ascii="Cambria Math" w:hAnsi="Cambria Math"/>
                    <w:sz w:val="19"/>
                    <w:szCs w:val="19"/>
                  </w:rPr>
                  <m:t>1</m:t>
                </m:r>
              </m:e>
            </m:d>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sSub>
          <m:e>
            <m:r>
              <w:rPr>
                <w:rFonts w:ascii="Cambria Math" w:hAnsi="Cambria Math"/>
                <w:sz w:val="19"/>
                <w:szCs w:val="19"/>
              </w:rPr>
              <m:t>δ</m:t>
            </m:r>
          </m:e>
          <m:sub>
            <m:d>
              <m:dPr>
                <m:begChr m:val="("/>
                <m:sepChr m:val=""/>
                <m:endChr m:val=")"/>
                <m:grow/>
              </m:dPr>
              <m:e>
                <m:r>
                  <w:rPr>
                    <w:rFonts w:ascii="Cambria Math" w:hAnsi="Cambria Math"/>
                    <w:sz w:val="19"/>
                    <w:szCs w:val="19"/>
                  </w:rPr>
                  <m:t>2</m:t>
                </m:r>
              </m:e>
            </m:d>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r>
          <m:rPr>
            <m:sty m:val="p"/>
          </m:rPr>
          <w:rPr>
            <w:rFonts w:ascii="Cambria Math" w:hAnsi="Cambria Math"/>
            <w:sz w:val="19"/>
            <w:szCs w:val="19"/>
          </w:rPr>
          <m:t>…</m:t>
        </m:r>
      </m:oMath>
      <w:r>
        <w:t xml:space="preserve"> </w:t>
      </w:r>
      <w:r>
        <w:t xml:space="preserve">be the sorted margins of the days in</w:t>
      </w:r>
      <w:r>
        <w:t xml:space="preserve"> </w:t>
      </w:r>
      <m:oMath>
        <m:sSub>
          <m:e>
            <m:r>
              <m:rPr>
                <m:scr m:val="script"/>
                <m:sty m:val="p"/>
              </m:rPr>
              <w:rPr>
                <w:rFonts w:ascii="Cambria Math" w:hAnsi="Cambria Math"/>
                <w:sz w:val="19"/>
                <w:szCs w:val="19"/>
              </w:rPr>
              <m:t>D</m:t>
            </m:r>
          </m:e>
          <m:sub>
            <m:r>
              <w:rPr>
                <w:rFonts w:ascii="Cambria Math" w:hAnsi="Cambria Math"/>
                <w:sz w:val="19"/>
                <w:szCs w:val="19"/>
              </w:rPr>
              <m:t>C</m:t>
            </m:r>
          </m:sub>
        </m:sSub>
      </m:oMath>
      <w:r>
        <w:t xml:space="preserve"> </w:t>
      </w:r>
      <w:r>
        <w:t xml:space="preserve">and</w:t>
      </w:r>
      <w:r>
        <w:t xml:space="preserve"> </w:t>
      </w:r>
      <m:oMath>
        <m:r>
          <w:rPr>
            <w:rFonts w:ascii="Cambria Math" w:hAnsi="Cambria Math"/>
            <w:sz w:val="19"/>
            <w:szCs w:val="19"/>
          </w:rPr>
          <m:t>q</m:t>
        </m:r>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n</m:t>
        </m:r>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ρ</m:t>
        </m:r>
        <m:r>
          <w:rPr>
            <w:rFonts w:ascii="Cambria Math" w:hAnsi="Cambria Math"/>
            <w:sz w:val="19"/>
            <w:szCs w:val="19"/>
          </w:rPr>
          <m:t>N</m:t>
        </m:r>
      </m:oMath>
      <w:r>
        <w:t xml:space="preserve">. The robust constraint in (50) holds if and only if</w:t>
      </w:r>
      <w:r>
        <w:t xml:space="preserve"> </w:t>
      </w:r>
      <m:oMath>
        <m:r>
          <w:rPr>
            <w:rFonts w:ascii="Cambria Math" w:hAnsi="Cambria Math"/>
            <w:sz w:val="19"/>
            <w:szCs w:val="19"/>
          </w:rPr>
          <m:t>q</m:t>
        </m:r>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0</m:t>
        </m:r>
      </m:oMath>
      <w:r>
        <w:t xml:space="preserve"> </w:t>
      </w:r>
      <w:r>
        <w:t xml:space="preserve">and</w:t>
      </w:r>
    </w:p>
    <w:p>
      <w:pPr>
        <w:pStyle w:val="Equation"/>
      </w:pPr>
      <w:r>
        <w:tab/>
      </w:r>
      <m:oMath>
        <m:m>
          <m:mPr>
            <m:baseJc m:val="center"/>
            <m:plcHide m:val="on"/>
            <m:mcs>
              <m:mc>
                <m:mcPr>
                  <m:count m:val="1"/>
                  <m:mcJc m:val="right"/>
                </m:mcPr>
              </m:mc>
              <m:mc>
                <m:mcPr>
                  <m:count m:val="1"/>
                  <m:mcJc m:val="left"/>
                </m:mcPr>
              </m:mc>
            </m:mcs>
          </m:mPr>
          <m:mr>
            <m:e>
              <m:sSub>
                <m:e>
                  <m:r>
                    <w:rPr>
                      <w:rFonts w:ascii="Cambria Math" w:hAnsi="Cambria Math"/>
                      <w:sz w:val="19"/>
                      <w:szCs w:val="19"/>
                    </w:rPr>
                    <m:t>Φ</m:t>
                  </m:r>
                </m:e>
                <m:sub>
                  <m:r>
                    <w:rPr>
                      <w:rFonts w:ascii="Cambria Math" w:hAnsi="Cambria Math"/>
                      <w:sz w:val="19"/>
                      <w:szCs w:val="19"/>
                    </w:rPr>
                    <m:t>ρ</m:t>
                  </m:r>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N</m:t>
                  </m:r>
                </m:den>
              </m:f>
              <m:r>
                <m:rPr>
                  <m:sty m:val="p"/>
                </m:rPr>
                <w:rPr>
                  <w:rFonts w:ascii="Cambria Math" w:hAnsi="Cambria Math"/>
                  <w:sz w:val="19"/>
                  <w:szCs w:val="19"/>
                </w:rPr>
                <m:t>[</m:t>
              </m:r>
            </m:e>
            <m:e>
              <m:nary>
                <m:naryPr>
                  <m:chr m:val="∑"/>
                  <m:limLoc m:val="undOvr"/>
                  <m:subHide m:val="off"/>
                  <m:supHide m:val="off"/>
                </m:naryPr>
                <m:sub>
                  <m:r>
                    <w:rPr>
                      <w:rFonts w:ascii="Cambria Math" w:hAnsi="Cambria Math"/>
                      <w:sz w:val="19"/>
                      <w:szCs w:val="19"/>
                    </w:rPr>
                    <m:t>j</m:t>
                  </m:r>
                  <m:r>
                    <m:rPr>
                      <m:sty m:val="p"/>
                    </m:rPr>
                    <w:rPr>
                      <w:rFonts w:ascii="Cambria Math" w:hAnsi="Cambria Math"/>
                      <w:sz w:val="19"/>
                      <w:szCs w:val="19"/>
                    </w:rPr>
                    <m:t>=</m:t>
                  </m:r>
                  <m:r>
                    <w:rPr>
                      <w:rFonts w:ascii="Cambria Math" w:hAnsi="Cambria Math"/>
                      <w:sz w:val="19"/>
                      <w:szCs w:val="19"/>
                    </w:rPr>
                    <m:t>1</m:t>
                  </m:r>
                </m:sub>
                <m:sup>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sup>
                <m:e>
                  <m:sSub>
                    <m:e>
                      <m:r>
                        <w:rPr>
                          <w:rFonts w:ascii="Cambria Math" w:hAnsi="Cambria Math"/>
                          <w:sz w:val="19"/>
                          <w:szCs w:val="19"/>
                        </w:rPr>
                        <m:t>δ</m:t>
                      </m:r>
                    </m:e>
                    <m:sub>
                      <m:d>
                        <m:dPr>
                          <m:begChr m:val="("/>
                          <m:sepChr m:val=""/>
                          <m:endChr m:val=")"/>
                          <m:grow/>
                        </m:dPr>
                        <m:e>
                          <m:r>
                            <w:rPr>
                              <w:rFonts w:ascii="Cambria Math" w:hAnsi="Cambria Math"/>
                              <w:sz w:val="19"/>
                              <w:szCs w:val="19"/>
                            </w:rPr>
                            <m:t>j</m:t>
                          </m:r>
                        </m:e>
                      </m:d>
                    </m:sub>
                  </m:sSub>
                </m:e>
              </m:nary>
              <m:d>
                <m:dPr>
                  <m:begChr m:val="("/>
                  <m:sepChr m:val=""/>
                  <m:endChr m:val=")"/>
                  <m:grow/>
                </m:dPr>
                <m:e>
                  <m:r>
                    <w:rPr>
                      <w:rFonts w:ascii="Cambria Math" w:hAnsi="Cambria Math"/>
                      <w:sz w:val="19"/>
                      <w:szCs w:val="19"/>
                    </w:rPr>
                    <m:t>C</m:t>
                  </m:r>
                </m:e>
              </m:d>
            </m:e>
          </m:mr>
          <m:mr>
            <m:e/>
            <m:e>
              <m:r>
                <m:rPr>
                  <m:sty m:val="p"/>
                </m:rPr>
                <w:rPr>
                  <w:rFonts w:ascii="Cambria Math" w:hAnsi="Cambria Math"/>
                  <w:sz w:val="19"/>
                  <w:szCs w:val="19"/>
                </w:rPr>
                <m:t>+</m:t>
              </m:r>
              <m:d>
                <m:dPr>
                  <m:begChr m:val="("/>
                  <m:sepChr m:val=""/>
                  <m:endChr m:val=")"/>
                  <m:grow/>
                </m:dPr>
                <m:e>
                  <m:r>
                    <w:rPr>
                      <w:rFonts w:ascii="Cambria Math" w:hAnsi="Cambria Math"/>
                      <w:sz w:val="19"/>
                      <w:szCs w:val="19"/>
                    </w:rPr>
                    <m:t>q</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e>
              </m:d>
              <m:r>
                <w:rPr>
                  <w:rFonts w:ascii="Cambria Math" w:hAnsi="Cambria Math"/>
                  <w:sz w:val="19"/>
                  <w:szCs w:val="19"/>
                </w:rPr>
                <m:t> </m:t>
              </m:r>
              <m:sSub>
                <m:e>
                  <m:r>
                    <w:rPr>
                      <w:rFonts w:ascii="Cambria Math" w:hAnsi="Cambria Math"/>
                      <w:sz w:val="19"/>
                      <w:szCs w:val="19"/>
                    </w:rPr>
                    <m:t>δ</m:t>
                  </m:r>
                </m:e>
                <m:sub>
                  <m:d>
                    <m:dPr>
                      <m:begChr m:val="("/>
                      <m:sepChr m:val=""/>
                      <m:endChr m:val=")"/>
                      <m:grow/>
                    </m:dPr>
                    <m:e>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1</m:t>
                      </m:r>
                    </m:e>
                  </m:d>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ε</m:t>
              </m:r>
              <m:r>
                <m:rPr>
                  <m:sty m:val="p"/>
                </m:rPr>
                <w:rPr>
                  <w:rFonts w:ascii="Cambria Math" w:hAnsi="Cambria Math"/>
                  <w:sz w:val="19"/>
                  <w:szCs w:val="19"/>
                </w:rPr>
                <m:t>.</m:t>
              </m:r>
            </m:e>
          </m:mr>
        </m:m>
      </m:oMath>
      <w:r>
        <w:tab/>
      </w:r>
      <w:r>
        <w:t xml:space="preserve">(54)</w:t>
      </w:r>
    </w:p>
    <w:p>
      <w:pPr>
        <w:pStyle w:val="BodyText"/>
      </w:pPr>
      <w:r>
        <w:t xml:space="preserve">Hence (i)</w:t>
      </w:r>
      <w:r>
        <w:t xml:space="preserve"> </w:t>
      </w:r>
      <m:oMath>
        <m:sSubSup>
          <m:e>
            <m:r>
              <w:rPr>
                <w:rFonts w:ascii="Cambria Math" w:hAnsi="Cambria Math"/>
                <w:sz w:val="19"/>
                <w:szCs w:val="19"/>
              </w:rPr>
              <m:t>C</m:t>
            </m:r>
          </m:e>
          <m:sub>
            <m:r>
              <w:rPr>
                <w:rFonts w:ascii="Cambria Math" w:hAnsi="Cambria Math"/>
                <w:sz w:val="19"/>
                <w:szCs w:val="19"/>
              </w:rPr>
              <m:t>ρ</m:t>
            </m:r>
          </m:sub>
          <m:sup>
            <m:r>
              <w:rPr>
                <w:rFonts w:ascii="Cambria Math" w:hAnsi="Cambria Math"/>
                <w:sz w:val="19"/>
                <w:szCs w:val="19"/>
              </w:rPr>
              <m:t>D</m:t>
            </m:r>
            <m:r>
              <w:rPr>
                <w:rFonts w:ascii="Cambria Math" w:hAnsi="Cambria Math"/>
                <w:sz w:val="19"/>
                <w:szCs w:val="19"/>
              </w:rPr>
              <m:t>R</m:t>
            </m:r>
            <m:r>
              <w:rPr>
                <w:rFonts w:ascii="Cambria Math" w:hAnsi="Cambria Math"/>
                <w:sz w:val="19"/>
                <w:szCs w:val="19"/>
              </w:rPr>
              <m:t>O</m:t>
            </m:r>
          </m:sup>
        </m:sSubSup>
        <m:d>
          <m:dPr>
            <m:begChr m:val="("/>
            <m:sepChr m:val=""/>
            <m:endChr m:val=")"/>
            <m:grow/>
          </m:dPr>
          <m:e>
            <m:r>
              <w:rPr>
                <w:rFonts w:ascii="Cambria Math" w:hAnsi="Cambria Math"/>
                <w:sz w:val="19"/>
                <w:szCs w:val="19"/>
              </w:rPr>
              <m:t>ε</m:t>
            </m:r>
          </m:e>
        </m:d>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r>
          <w:rPr>
            <w:rFonts w:ascii="Cambria Math" w:hAnsi="Cambria Math"/>
            <w:sz w:val="19"/>
            <w:szCs w:val="19"/>
          </w:rPr>
          <m:t>C</m:t>
        </m:r>
        <m:r>
          <m:rPr>
            <m:sty m:val="p"/>
          </m:rPr>
          <w:rPr>
            <w:rFonts w:ascii="Cambria Math" w:hAnsi="Cambria Math"/>
            <w:sz w:val="19"/>
            <w:szCs w:val="19"/>
          </w:rPr>
          <m:t>∈</m:t>
        </m:r>
        <m:r>
          <m:rPr>
            <m:scr m:val="script"/>
            <m:sty m:val="p"/>
          </m:rP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q</m:t>
        </m:r>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Φ</m:t>
            </m:r>
          </m:e>
          <m:sub>
            <m:r>
              <w:rPr>
                <w:rFonts w:ascii="Cambria Math" w:hAnsi="Cambria Math"/>
                <w:sz w:val="19"/>
                <w:szCs w:val="19"/>
              </w:rPr>
              <m:t>ρ</m:t>
            </m:r>
          </m:sub>
        </m:sSub>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ε</m:t>
        </m:r>
        <m:r>
          <m:rPr>
            <m:sty m:val="p"/>
          </m:rPr>
          <w:rPr>
            <w:rFonts w:ascii="Cambria Math" w:hAnsi="Cambria Math"/>
            <w:sz w:val="19"/>
            <w:szCs w:val="19"/>
          </w:rPr>
          <m:t>}</m:t>
        </m:r>
      </m:oMath>
      <w:r>
        <w:t xml:space="preserve"> </w:t>
      </w:r>
      <w:r>
        <w:t xml:space="preserve">is obtained by sorting; (ii) for</w:t>
      </w:r>
      <w:r>
        <w:t xml:space="preserve"> </w:t>
      </w:r>
      <m:oMath>
        <m:r>
          <w:rPr>
            <w:rFonts w:ascii="Cambria Math" w:hAnsi="Cambria Math"/>
            <w:sz w:val="19"/>
            <w:szCs w:val="19"/>
          </w:rPr>
          <m:t>ε</m:t>
        </m:r>
        <m:r>
          <m:rPr>
            <m:sty m:val="p"/>
          </m:rPr>
          <w:rPr>
            <w:rFonts w:ascii="Cambria Math" w:hAnsi="Cambria Math"/>
            <w:sz w:val="19"/>
            <w:szCs w:val="19"/>
          </w:rPr>
          <m:t>=</m:t>
        </m:r>
        <m:r>
          <w:rPr>
            <w:rFonts w:ascii="Cambria Math" w:hAnsi="Cambria Math"/>
            <w:sz w:val="19"/>
            <w:szCs w:val="19"/>
          </w:rPr>
          <m:t>0</m:t>
        </m:r>
      </m:oMath>
      <w:r>
        <w:t xml:space="preserve"> </w:t>
      </w:r>
      <w:r>
        <w:t xml:space="preserve">it equals the sample-average capacity, the empirical</w:t>
      </w:r>
      <w:r>
        <w:t xml:space="preserve"> </w:t>
      </w:r>
      <m:oMath>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ρ</m:t>
            </m:r>
          </m:e>
        </m:d>
      </m:oMath>
      <w:r>
        <w:t xml:space="preserve">-quantile of</w:t>
      </w:r>
      <w:r>
        <w:t xml:space="preserve"> </w:t>
      </w:r>
      <m:oMath>
        <m:r>
          <w:rPr>
            <w:rFonts w:ascii="Cambria Math" w:hAnsi="Cambria Math"/>
            <w:sz w:val="19"/>
            <w:szCs w:val="19"/>
          </w:rPr>
          <m:t>ξ</m:t>
        </m:r>
      </m:oMath>
      <w:r>
        <w:t xml:space="preserve">; (iii) it is non-increasing in</w:t>
      </w:r>
      <w:r>
        <w:t xml:space="preserve"> </w:t>
      </w:r>
      <m:oMath>
        <m:r>
          <w:rPr>
            <w:rFonts w:ascii="Cambria Math" w:hAnsi="Cambria Math"/>
            <w:sz w:val="19"/>
            <w:szCs w:val="19"/>
          </w:rPr>
          <m:t>ε</m:t>
        </m:r>
      </m:oMath>
      <w:r>
        <w:t xml:space="preserve">, and it is insensitive to the radius when the days just above the commitment keep a large margin, i.e. when the capability distribution is concentrated.</w:t>
      </w:r>
    </w:p>
    <w:p>
      <w:pPr>
        <w:pStyle w:val="BodyText"/>
      </w:pPr>
      <m:oMath>
        <m:sSub>
          <m:e>
            <m:r>
              <w:rPr>
                <w:rFonts w:ascii="Cambria Math" w:hAnsi="Cambria Math"/>
                <w:sz w:val="19"/>
                <w:szCs w:val="19"/>
              </w:rPr>
              <m:t>Φ</m:t>
            </m:r>
          </m:e>
          <m:sub>
            <m:r>
              <w:rPr>
                <w:rFonts w:ascii="Cambria Math" w:hAnsi="Cambria Math"/>
                <w:sz w:val="19"/>
                <w:szCs w:val="19"/>
              </w:rPr>
              <m:t>ρ</m:t>
            </m:r>
          </m:sub>
        </m:sSub>
        <m:d>
          <m:dPr>
            <m:begChr m:val="("/>
            <m:sepChr m:val=""/>
            <m:endChr m:val=")"/>
            <m:grow/>
          </m:dPr>
          <m:e>
            <m:r>
              <w:rPr>
                <w:rFonts w:ascii="Cambria Math" w:hAnsi="Cambria Math"/>
                <w:sz w:val="19"/>
                <w:szCs w:val="19"/>
              </w:rPr>
              <m:t>C</m:t>
            </m:r>
          </m:e>
        </m:d>
      </m:oMath>
      <w:r>
        <w:t xml:space="preserve"> </w:t>
      </w:r>
      <w:r>
        <w:t xml:space="preserve">is the smallest average capability loss (MW) that would push the full-delivery probability below</w:t>
      </w:r>
      <w:r>
        <w:t xml:space="preserve"> </w:t>
      </w:r>
      <m:oMath>
        <m:r>
          <w:rPr>
            <w:rFonts w:ascii="Cambria Math" w:hAnsi="Cambria Math"/>
            <w:sz w:val="19"/>
            <w:szCs w:val="19"/>
          </w:rPr>
          <m:t>ρ</m:t>
        </m:r>
      </m:oMath>
      <w:r>
        <w:t xml:space="preserve">; it is the robust reliability margin of the commitment.</w:t>
      </w:r>
    </w:p>
    <w:bookmarkEnd w:id="44"/>
    <w:bookmarkStart w:id="45" w:name="X2c7193dfae7b36af0c54c07cdebba91f41a8206"/>
    <w:p>
      <w:pPr>
        <w:pStyle w:val="Heading3"/>
      </w:pPr>
      <w:r>
        <w:t xml:space="preserve">4.1.3. Radius selection and cost-optimal commitment</w:t>
      </w:r>
    </w:p>
    <w:p>
      <w:pPr>
        <w:pStyle w:val="FirstParagraph"/>
      </w:pPr>
      <w:r>
        <w:t xml:space="preserve">The radius is set to the expected 1-Wasserstein estimation error of the empirical distribution [43],</w:t>
      </w:r>
    </w:p>
    <w:p>
      <w:pPr>
        <w:pStyle w:val="Equation"/>
      </w:pPr>
      <w:r>
        <w:tab/>
      </w:r>
      <m:oMath>
        <m:sSub>
          <m:e>
            <m:r>
              <w:rPr>
                <w:rFonts w:ascii="Cambria Math" w:hAnsi="Cambria Math"/>
                <w:sz w:val="19"/>
                <w:szCs w:val="19"/>
              </w:rPr>
              <m:t>ε</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ad>
              <m:radPr>
                <m:degHide m:val="on"/>
              </m:radPr>
              <m:deg/>
              <m:e>
                <m:r>
                  <w:rPr>
                    <w:rFonts w:ascii="Cambria Math" w:hAnsi="Cambria Math"/>
                    <w:sz w:val="19"/>
                    <w:szCs w:val="19"/>
                  </w:rPr>
                  <m:t>N</m:t>
                </m:r>
              </m:e>
            </m:rad>
          </m:den>
        </m:f>
        <m:r>
          <m:rPr>
            <m:sty m:val="p"/>
          </m:rPr>
          <w:rPr>
            <w:rFonts w:ascii="Cambria Math" w:hAnsi="Cambria Math"/>
            <w:sz w:val="19"/>
            <w:szCs w:val="19"/>
          </w:rPr>
          <m:t>∫</m:t>
        </m:r>
        <m:rad>
          <m:radPr>
            <m:degHide m:val="on"/>
          </m:radPr>
          <m:deg/>
          <m:e>
            <m:sSub>
              <m:e>
                <m:acc>
                  <m:accPr>
                    <m:chr m:val="̂"/>
                  </m:accPr>
                  <m:e>
                    <m:r>
                      <w:rPr>
                        <w:rFonts w:ascii="Cambria Math" w:hAnsi="Cambria Math"/>
                        <w:sz w:val="19"/>
                        <w:szCs w:val="19"/>
                      </w:rPr>
                      <m:t>F</m:t>
                    </m:r>
                  </m:e>
                </m:acc>
              </m:e>
              <m:sub>
                <m:r>
                  <w:rPr>
                    <w:rFonts w:ascii="Cambria Math" w:hAnsi="Cambria Math"/>
                    <w:sz w:val="19"/>
                    <w:szCs w:val="19"/>
                  </w:rPr>
                  <m:t>N</m:t>
                </m:r>
              </m:sub>
            </m:sSub>
            <m:d>
              <m:dPr>
                <m:begChr m:val="("/>
                <m:sepChr m:val=""/>
                <m:endChr m:val=")"/>
                <m:grow/>
              </m:dPr>
              <m:e>
                <m:r>
                  <w:rPr>
                    <w:rFonts w:ascii="Cambria Math" w:hAnsi="Cambria Math"/>
                    <w:sz w:val="19"/>
                    <w:szCs w:val="19"/>
                  </w:rPr>
                  <m:t>ξ</m:t>
                </m:r>
              </m:e>
            </m:d>
            <m:d>
              <m:dPr>
                <m:begChr m:val="("/>
                <m:sepChr m:val=""/>
                <m:endChr m:val=")"/>
                <m:grow/>
              </m:dPr>
              <m:e>
                <m:r>
                  <w:rPr>
                    <w:rFonts w:ascii="Cambria Math" w:hAnsi="Cambria Math"/>
                    <w:sz w:val="19"/>
                    <w:szCs w:val="19"/>
                  </w:rPr>
                  <m:t>1</m:t>
                </m:r>
                <m:r>
                  <m:rPr>
                    <m:sty m:val="p"/>
                  </m:rPr>
                  <w:rPr>
                    <w:rFonts w:ascii="Cambria Math" w:hAnsi="Cambria Math"/>
                    <w:sz w:val="19"/>
                    <w:szCs w:val="19"/>
                  </w:rPr>
                  <m:t>−</m:t>
                </m:r>
                <m:sSub>
                  <m:e>
                    <m:acc>
                      <m:accPr>
                        <m:chr m:val="̂"/>
                      </m:accPr>
                      <m:e>
                        <m:r>
                          <w:rPr>
                            <w:rFonts w:ascii="Cambria Math" w:hAnsi="Cambria Math"/>
                            <w:sz w:val="19"/>
                            <w:szCs w:val="19"/>
                          </w:rPr>
                          <m:t>F</m:t>
                        </m:r>
                      </m:e>
                    </m:acc>
                  </m:e>
                  <m:sub>
                    <m:r>
                      <w:rPr>
                        <w:rFonts w:ascii="Cambria Math" w:hAnsi="Cambria Math"/>
                        <w:sz w:val="19"/>
                        <w:szCs w:val="19"/>
                      </w:rPr>
                      <m:t>N</m:t>
                    </m:r>
                  </m:sub>
                </m:sSub>
                <m:d>
                  <m:dPr>
                    <m:begChr m:val="("/>
                    <m:sepChr m:val=""/>
                    <m:endChr m:val=")"/>
                    <m:grow/>
                  </m:dPr>
                  <m:e>
                    <m:r>
                      <w:rPr>
                        <w:rFonts w:ascii="Cambria Math" w:hAnsi="Cambria Math"/>
                        <w:sz w:val="19"/>
                        <w:szCs w:val="19"/>
                      </w:rPr>
                      <m:t>ξ</m:t>
                    </m:r>
                  </m:e>
                </m:d>
              </m:e>
            </m:d>
          </m:e>
        </m:rad>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ξ</m:t>
        </m:r>
        <m:r>
          <m:rPr>
            <m:sty m:val="p"/>
          </m:rPr>
          <w:rPr>
            <w:rFonts w:ascii="Cambria Math" w:hAnsi="Cambria Math"/>
            <w:sz w:val="19"/>
            <w:szCs w:val="19"/>
          </w:rPr>
          <m:t>,</m:t>
        </m:r>
      </m:oMath>
      <w:r>
        <w:tab/>
      </w:r>
      <w:r>
        <w:t xml:space="preserve">(55)</w:t>
      </w:r>
    </w:p>
    <w:p>
      <w:pPr>
        <w:pStyle w:val="BodyText"/>
      </w:pPr>
      <w:r>
        <w:t xml:space="preserve">where</w:t>
      </w:r>
      <w:r>
        <w:t xml:space="preserve"> </w:t>
      </w:r>
      <m:oMath>
        <m:sSub>
          <m:e>
            <m:acc>
              <m:accPr>
                <m:chr m:val="̂"/>
              </m:accPr>
              <m:e>
                <m:r>
                  <w:rPr>
                    <w:rFonts w:ascii="Cambria Math" w:hAnsi="Cambria Math"/>
                    <w:sz w:val="19"/>
                    <w:szCs w:val="19"/>
                  </w:rPr>
                  <m:t>F</m:t>
                </m:r>
              </m:e>
            </m:acc>
          </m:e>
          <m:sub>
            <m:r>
              <w:rPr>
                <w:rFonts w:ascii="Cambria Math" w:hAnsi="Cambria Math"/>
                <w:sz w:val="19"/>
                <w:szCs w:val="19"/>
              </w:rPr>
              <m:t>N</m:t>
            </m:r>
          </m:sub>
        </m:sSub>
      </m:oMath>
      <w:r>
        <w:t xml:space="preserve"> </w:t>
      </w:r>
      <w:r>
        <w:t xml:space="preserve">is the empirical distribution function of the capability. The radius is small for a concentrated capability distribution and large for a dispersed one. It is a calibrated choice rather than a finite-sample guarantee: for</w:t>
      </w:r>
      <w:r>
        <w:t xml:space="preserve"> </w:t>
      </w:r>
      <m:oMath>
        <m:r>
          <w:rPr>
            <w:rFonts w:ascii="Cambria Math" w:hAnsi="Cambria Math"/>
            <w:sz w:val="19"/>
            <w:szCs w:val="19"/>
          </w:rPr>
          <m:t>N</m:t>
        </m:r>
      </m:oMath>
      <w:r>
        <w:t xml:space="preserve"> </w:t>
      </w:r>
      <w:r>
        <w:t xml:space="preserve">= 14, radii that contain the true distribution with high confidence exceed the spread of the capability itself (Appendix B). Its out-of-sample validity is therefore tested on the operating days, and a leave-one-out choice on</w:t>
      </w:r>
      <w:r>
        <w:t xml:space="preserve"> </w:t>
      </w:r>
      <m:oMath>
        <m:sSup>
          <m:e>
            <m:r>
              <w:rPr>
                <w:rFonts w:ascii="Cambria Math" w:hAnsi="Cambria Math"/>
                <w:sz w:val="19"/>
                <w:szCs w:val="19"/>
              </w:rPr>
              <m:t>Ω</m:t>
            </m:r>
          </m:e>
          <m:sup>
            <m:r>
              <w:rPr>
                <w:rFonts w:ascii="Cambria Math" w:hAnsi="Cambria Math"/>
                <w:sz w:val="19"/>
                <w:szCs w:val="19"/>
              </w:rPr>
              <m:t>D</m:t>
            </m:r>
            <m:r>
              <w:rPr>
                <w:rFonts w:ascii="Cambria Math" w:hAnsi="Cambria Math"/>
                <w:sz w:val="19"/>
                <w:szCs w:val="19"/>
              </w:rPr>
              <m:t>A</m:t>
            </m:r>
          </m:sup>
        </m:sSup>
      </m:oMath>
      <w:r>
        <w:t xml:space="preserve"> </w:t>
      </w:r>
      <w:r>
        <w:t xml:space="preserve">serves as a check (Section 5.6.2). Among the robustly deliverable commitments, the operator selects the one with the lowest mean back-tested cost</w:t>
      </w:r>
    </w:p>
    <w:p>
      <w:pPr>
        <w:pStyle w:val="Equation"/>
      </w:pPr>
      <w:r>
        <w:tab/>
      </w:r>
      <m:oMath>
        <m:acc>
          <m:accPr>
            <m:chr m:val="‾"/>
          </m:accPr>
          <m:e>
            <m:r>
              <w:rPr>
                <w:rFonts w:ascii="Cambria Math" w:hAnsi="Cambria Math"/>
                <w:sz w:val="19"/>
                <w:szCs w:val="19"/>
              </w:rPr>
              <m:t>J</m:t>
            </m:r>
          </m:e>
        </m:acc>
        <m:d>
          <m:dPr>
            <m:begChr m:val="("/>
            <m:sepChr m:val=""/>
            <m:endChr m:val=")"/>
            <m:grow/>
          </m:dPr>
          <m:e>
            <m:r>
              <w:rPr>
                <w:rFonts w:ascii="Cambria Math" w:hAnsi="Cambria Math"/>
                <w:sz w:val="19"/>
                <w:szCs w:val="19"/>
              </w:rPr>
              <m:t>C</m:t>
            </m:r>
          </m:e>
        </m:d>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N</m:t>
            </m:r>
          </m:den>
        </m:f>
        <m:nary>
          <m:naryPr>
            <m:chr m:val="∑"/>
            <m:limLoc m:val="undOvr"/>
            <m:subHide m:val="off"/>
            <m:supHide m:val="on"/>
          </m:naryPr>
          <m:sub>
            <m:r>
              <w:rPr>
                <w:rFonts w:ascii="Cambria Math" w:hAnsi="Cambria Math"/>
                <w:sz w:val="19"/>
                <w:szCs w:val="19"/>
              </w:rPr>
              <m:t>d</m:t>
            </m:r>
            <m:r>
              <m:rPr>
                <m:sty m:val="p"/>
              </m:rPr>
              <w:rPr>
                <w:rFonts w:ascii="Cambria Math" w:hAnsi="Cambria Math"/>
                <w:sz w:val="19"/>
                <w:szCs w:val="19"/>
              </w:rPr>
              <m:t>∈</m:t>
            </m:r>
            <m:sSup>
              <m:e>
                <m:r>
                  <w:rPr>
                    <w:rFonts w:ascii="Cambria Math" w:hAnsi="Cambria Math"/>
                    <w:sz w:val="19"/>
                    <w:szCs w:val="19"/>
                  </w:rPr>
                  <m:t>Ω</m:t>
                </m:r>
              </m:e>
              <m:sup>
                <m:r>
                  <w:rPr>
                    <w:rFonts w:ascii="Cambria Math" w:hAnsi="Cambria Math"/>
                    <w:sz w:val="19"/>
                    <w:szCs w:val="19"/>
                  </w:rPr>
                  <m:t>D</m:t>
                </m:r>
                <m:r>
                  <w:rPr>
                    <w:rFonts w:ascii="Cambria Math" w:hAnsi="Cambria Math"/>
                    <w:sz w:val="19"/>
                    <w:szCs w:val="19"/>
                  </w:rPr>
                  <m:t>A</m:t>
                </m:r>
              </m:sup>
            </m:sSup>
          </m:sub>
          <m:sup>
            <m:r>
              <w:rPr>
                <w:rFonts w:ascii="Cambria Math" w:hAnsi="Cambria Math"/>
                <w:sz w:val="19"/>
                <w:szCs w:val="19"/>
              </w:rPr>
              <m:t>​</m:t>
            </m:r>
          </m:sup>
          <m:e>
            <m:sSub>
              <m:e>
                <m:r>
                  <w:rPr>
                    <w:rFonts w:ascii="Cambria Math" w:hAnsi="Cambria Math"/>
                    <w:sz w:val="19"/>
                    <w:szCs w:val="19"/>
                  </w:rPr>
                  <m:t>J</m:t>
                </m:r>
              </m:e>
              <m:sub>
                <m:r>
                  <w:rPr>
                    <w:rFonts w:ascii="Cambria Math" w:hAnsi="Cambria Math"/>
                    <w:sz w:val="19"/>
                    <w:szCs w:val="19"/>
                  </w:rPr>
                  <m:t>d</m:t>
                </m:r>
              </m:sub>
            </m:sSub>
          </m:e>
        </m:nary>
        <m:d>
          <m:dPr>
            <m:begChr m:val="("/>
            <m:sepChr m:val=""/>
            <m:endChr m:val=")"/>
            <m:grow/>
          </m:dPr>
          <m:e>
            <m:r>
              <w:rPr>
                <w:rFonts w:ascii="Cambria Math" w:hAnsi="Cambria Math"/>
                <w:sz w:val="19"/>
                <w:szCs w:val="19"/>
              </w:rPr>
              <m:t>C</m:t>
            </m:r>
          </m:e>
        </m:d>
        <m:r>
          <m:rPr>
            <m:sty m:val="p"/>
          </m:rPr>
          <w:rPr>
            <w:rFonts w:ascii="Cambria Math" w:hAnsi="Cambria Math"/>
            <w:sz w:val="19"/>
            <w:szCs w:val="19"/>
          </w:rPr>
          <m:t>,</m:t>
        </m:r>
      </m:oMath>
      <w:r>
        <w:tab/>
      </w:r>
      <w:r>
        <w:t xml:space="preserve">(56)</w:t>
      </w:r>
    </w:p>
    <w:p>
      <w:pPr>
        <w:pStyle w:val="Equation"/>
      </w:pPr>
      <w:r>
        <w:tab/>
      </w:r>
      <m:oMath>
        <m:sSup>
          <m:e>
            <m:r>
              <w:rPr>
                <w:rFonts w:ascii="Cambria Math" w:hAnsi="Cambria Math"/>
                <w:sz w:val="19"/>
                <w:szCs w:val="19"/>
              </w:rPr>
              <m:t>C</m:t>
            </m:r>
          </m:e>
          <m:sup>
            <m:r>
              <m:rPr>
                <m:lit/>
                <m:sty m:val="p"/>
              </m:rPr>
              <w:rPr>
                <w:rFonts w:ascii="Cambria Math" w:hAnsi="Cambria Math"/>
                <w:sz w:val="19"/>
                <w:szCs w:val="19"/>
              </w:rPr>
              <m:t>*</m:t>
            </m:r>
          </m:sup>
        </m:sSup>
        <m:r>
          <m:rPr>
            <m:sty m:val="p"/>
          </m:rPr>
          <w:rPr>
            <w:rFonts w:ascii="Cambria Math" w:hAnsi="Cambria Math"/>
            <w:sz w:val="19"/>
            <w:szCs w:val="19"/>
          </w:rPr>
          <m:t>=</m:t>
        </m:r>
        <m:r>
          <m:rPr>
            <m:sty m:val="p"/>
          </m:rPr>
          <w:rPr>
            <w:rFonts w:ascii="Cambria Math" w:hAnsi="Cambria Math"/>
            <w:sz w:val="19"/>
            <w:szCs w:val="19"/>
          </w:rPr>
          <m:t>arg</m:t>
        </m:r>
        <m:r>
          <m:rPr>
            <m:sty m:val="p"/>
          </m:rPr>
          <w:rPr>
            <w:rFonts w:ascii="Cambria Math" w:hAnsi="Cambria Math"/>
            <w:sz w:val="19"/>
            <w:szCs w:val="19"/>
          </w:rPr>
          <m:t>min</m:t>
        </m:r>
        <m:d>
          <m:dPr>
            <m:begChr m:val="{"/>
            <m:sepChr m:val=""/>
            <m:endChr m:val="}"/>
            <m:grow/>
          </m:dPr>
          <m:e>
            <m:acc>
              <m:accPr>
                <m:chr m:val="‾"/>
              </m:accPr>
              <m:e>
                <m:r>
                  <w:rPr>
                    <w:rFonts w:ascii="Cambria Math" w:hAnsi="Cambria Math"/>
                    <w:sz w:val="19"/>
                    <w:szCs w:val="19"/>
                  </w:rPr>
                  <m:t>J</m:t>
                </m:r>
              </m:e>
            </m:acc>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C</m:t>
            </m:r>
            <m:r>
              <m:rPr>
                <m:sty m:val="p"/>
              </m:rPr>
              <w:rPr>
                <w:rFonts w:ascii="Cambria Math" w:hAnsi="Cambria Math"/>
                <w:sz w:val="19"/>
                <w:szCs w:val="19"/>
              </w:rPr>
              <m:t>∈</m:t>
            </m:r>
            <m:r>
              <m:rPr>
                <m:scr m:val="script"/>
                <m:sty m:val="p"/>
              </m:rP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C</m:t>
            </m:r>
            <m:r>
              <m:rPr>
                <m:sty m:val="p"/>
              </m:rPr>
              <w:rPr>
                <w:rFonts w:ascii="Cambria Math" w:hAnsi="Cambria Math"/>
                <w:sz w:val="19"/>
                <w:szCs w:val="19"/>
              </w:rPr>
              <m:t>≤</m:t>
            </m:r>
            <m:sSubSup>
              <m:e>
                <m:r>
                  <w:rPr>
                    <w:rFonts w:ascii="Cambria Math" w:hAnsi="Cambria Math"/>
                    <w:sz w:val="19"/>
                    <w:szCs w:val="19"/>
                  </w:rPr>
                  <m:t>C</m:t>
                </m:r>
              </m:e>
              <m:sub>
                <m:r>
                  <w:rPr>
                    <w:rFonts w:ascii="Cambria Math" w:hAnsi="Cambria Math"/>
                    <w:sz w:val="19"/>
                    <w:szCs w:val="19"/>
                  </w:rPr>
                  <m:t>ρ</m:t>
                </m:r>
              </m:sub>
              <m:sup>
                <m:r>
                  <w:rPr>
                    <w:rFonts w:ascii="Cambria Math" w:hAnsi="Cambria Math"/>
                    <w:sz w:val="19"/>
                    <w:szCs w:val="19"/>
                  </w:rPr>
                  <m:t>D</m:t>
                </m:r>
                <m:r>
                  <w:rPr>
                    <w:rFonts w:ascii="Cambria Math" w:hAnsi="Cambria Math"/>
                    <w:sz w:val="19"/>
                    <w:szCs w:val="19"/>
                  </w:rPr>
                  <m:t>R</m:t>
                </m:r>
                <m:r>
                  <w:rPr>
                    <w:rFonts w:ascii="Cambria Math" w:hAnsi="Cambria Math"/>
                    <w:sz w:val="19"/>
                    <w:szCs w:val="19"/>
                  </w:rPr>
                  <m:t>O</m:t>
                </m:r>
              </m:sup>
            </m:sSubSup>
            <m:d>
              <m:dPr>
                <m:begChr m:val="("/>
                <m:sepChr m:val=""/>
                <m:endChr m:val=")"/>
                <m:grow/>
              </m:dPr>
              <m:e>
                <m:r>
                  <w:rPr>
                    <w:rFonts w:ascii="Cambria Math" w:hAnsi="Cambria Math"/>
                    <w:sz w:val="19"/>
                    <w:szCs w:val="19"/>
                  </w:rPr>
                  <m:t>ε</m:t>
                </m:r>
              </m:e>
            </m:d>
          </m:e>
        </m:d>
        <m:r>
          <m:rPr>
            <m:sty m:val="p"/>
          </m:rPr>
          <w:rPr>
            <w:rFonts w:ascii="Cambria Math" w:hAnsi="Cambria Math"/>
            <w:sz w:val="19"/>
            <w:szCs w:val="19"/>
          </w:rPr>
          <m:t>.</m:t>
        </m:r>
      </m:oMath>
      <w:r>
        <w:tab/>
      </w:r>
      <w:r>
        <w:t xml:space="preserve">(57)</w:t>
      </w:r>
    </w:p>
    <w:p>
      <w:pPr>
        <w:pStyle w:val="BodyText"/>
      </w:pPr>
      <w:r>
        <w:t xml:space="preserve">Every strategy can be paired with this procedure, which makes the endogenous-commitment comparison of Section 5.6 fair: all strategies use the same days, the same objective and the same reliability target.</w:t>
      </w:r>
    </w:p>
    <w:bookmarkEnd w:id="45"/>
    <w:bookmarkStart w:id="46" w:name="perfect-recourse-benchmark-commitment"/>
    <w:p>
      <w:pPr>
        <w:pStyle w:val="Heading3"/>
      </w:pPr>
      <w:r>
        <w:t xml:space="preserve">4.1.4. Perfect-recourse benchmark commitment</w:t>
      </w:r>
    </w:p>
    <w:p>
      <w:pPr>
        <w:pStyle w:val="FirstParagraph"/>
      </w:pPr>
      <w:r>
        <w:t xml:space="preserve">For comparison, the commitments can also be obtained from a two-stage stochastic MILP with perfect recourse, in which</w:t>
      </w:r>
      <w:r>
        <w:t xml:space="preserve"> </w:t>
      </w:r>
      <m:oMath>
        <m:r>
          <m:rPr>
            <m:sty m:val="b"/>
          </m:rPr>
          <w:rPr>
            <w:rFonts w:ascii="Cambria Math" w:hAnsi="Cambria Math"/>
            <w:sz w:val="19"/>
            <w:szCs w:val="19"/>
          </w:rPr>
          <m:t>C</m:t>
        </m:r>
        <m:r>
          <m:rPr>
            <m:sty m:val="p"/>
          </m:rPr>
          <w:rPr>
            <w:rFonts w:ascii="Cambria Math" w:hAnsi="Cambria Math"/>
            <w:sz w:val="19"/>
            <w:szCs w:val="19"/>
          </w:rPr>
          <m:t>=</m:t>
        </m:r>
        <m:d>
          <m:dPr>
            <m:begChr m:val="("/>
            <m:sepChr m:val=""/>
            <m:endChr m:val=")"/>
            <m:grow/>
          </m:dPr>
          <m:e>
            <m:sSub>
              <m:e>
                <m:r>
                  <w:rPr>
                    <w:rFonts w:ascii="Cambria Math" w:hAnsi="Cambria Math"/>
                    <w:sz w:val="19"/>
                    <w:szCs w:val="19"/>
                  </w:rPr>
                  <m:t>C</m:t>
                </m:r>
              </m:e>
              <m:sub>
                <m:r>
                  <w:rPr>
                    <w:rFonts w:ascii="Cambria Math" w:hAnsi="Cambria Math"/>
                    <w:sz w:val="19"/>
                    <w:szCs w:val="19"/>
                  </w:rPr>
                  <m:t>1</m:t>
                </m:r>
              </m:sub>
            </m:sSub>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sSub>
              <m:e>
                <m:r>
                  <w:rPr>
                    <w:rFonts w:ascii="Cambria Math" w:hAnsi="Cambria Math"/>
                    <w:sz w:val="19"/>
                    <w:szCs w:val="19"/>
                  </w:rPr>
                  <m:t>C</m:t>
                </m:r>
              </m:e>
              <m:sub>
                <m:r>
                  <w:rPr>
                    <w:rFonts w:ascii="Cambria Math" w:hAnsi="Cambria Math"/>
                    <w:sz w:val="19"/>
                    <w:szCs w:val="19"/>
                  </w:rPr>
                  <m:t>K</m:t>
                </m:r>
              </m:sub>
            </m:sSub>
          </m:e>
        </m:d>
      </m:oMath>
      <w:r>
        <w:t xml:space="preserve"> </w:t>
      </w:r>
      <w:r>
        <w:t xml:space="preserve">is the first-stage decision and the joint recovery model (3)–(30) of every scenario</w:t>
      </w:r>
      <w:r>
        <w:t xml:space="preserve"> </w:t>
      </w:r>
      <m:oMath>
        <m:r>
          <w:rPr>
            <w:rFonts w:ascii="Cambria Math" w:hAnsi="Cambria Math"/>
            <w:sz w:val="19"/>
            <w:szCs w:val="19"/>
          </w:rPr>
          <m:t>ω</m:t>
        </m:r>
      </m:oMath>
      <w:r>
        <w:t xml:space="preserve"> </w:t>
      </w:r>
      <w:r>
        <w:t xml:space="preserve">with probability</w:t>
      </w:r>
      <w:r>
        <w:t xml:space="preserve"> </w:t>
      </w:r>
      <m:oMath>
        <m:sSub>
          <m:e>
            <m:r>
              <w:rPr>
                <w:rFonts w:ascii="Cambria Math" w:hAnsi="Cambria Math"/>
                <w:sz w:val="19"/>
                <w:szCs w:val="19"/>
              </w:rPr>
              <m:t>p</m:t>
            </m:r>
          </m:e>
          <m:sub>
            <m:r>
              <w:rPr>
                <w:rFonts w:ascii="Cambria Math" w:hAnsi="Cambria Math"/>
                <w:sz w:val="19"/>
                <w:szCs w:val="19"/>
              </w:rPr>
              <m:t>ω</m:t>
            </m:r>
          </m:sub>
        </m:sSub>
      </m:oMath>
      <w:r>
        <w:t xml:space="preserve"> </w:t>
      </w:r>
      <w:r>
        <w:t xml:space="preserve">is the second stage,</w:t>
      </w:r>
    </w:p>
    <w:p>
      <w:pPr>
        <w:pStyle w:val="Equation"/>
      </w:pPr>
      <w:r>
        <w:tab/>
      </w:r>
      <m:oMath>
        <m:sSub>
          <m:e>
            <m:r>
              <m:rPr>
                <m:sty m:val="p"/>
              </m:rPr>
              <w:rPr>
                <w:rFonts w:ascii="Cambria Math" w:hAnsi="Cambria Math"/>
                <w:sz w:val="19"/>
                <w:szCs w:val="19"/>
              </w:rPr>
              <m:t>min</m:t>
            </m:r>
          </m:e>
          <m:sub>
            <m:r>
              <m:rPr>
                <m:sty m:val="b"/>
              </m:rPr>
              <w:rPr>
                <w:rFonts w:ascii="Cambria Math" w:hAnsi="Cambria Math"/>
                <w:sz w:val="19"/>
                <w:szCs w:val="19"/>
              </w:rPr>
              <m:t>C</m:t>
            </m:r>
          </m:sub>
        </m:sSub>
        <m:r>
          <w:rPr>
            <w:rFonts w:ascii="Cambria Math" w:hAnsi="Cambria Math"/>
            <w:sz w:val="19"/>
            <w:szCs w:val="19"/>
          </w:rPr>
          <m:t> </m:t>
        </m:r>
        <m:r>
          <m:rPr>
            <m:sty m:val="p"/>
          </m:rPr>
          <w:rPr>
            <w:rFonts w:ascii="Cambria Math" w:hAnsi="Cambria Math"/>
            <w:sz w:val="19"/>
            <w:szCs w:val="19"/>
          </w:rPr>
          <m:t>−</m:t>
        </m:r>
        <m:sSup>
          <m:e>
            <m:r>
              <w:rPr>
                <w:rFonts w:ascii="Cambria Math" w:hAnsi="Cambria Math"/>
                <w:sz w:val="19"/>
                <w:szCs w:val="19"/>
              </w:rPr>
              <m:t>ϵ</m:t>
            </m:r>
          </m:e>
          <m:sup>
            <m:r>
              <w:rPr>
                <w:rFonts w:ascii="Cambria Math" w:hAnsi="Cambria Math"/>
                <w:sz w:val="19"/>
                <w:szCs w:val="19"/>
              </w:rPr>
              <m:t>C</m:t>
            </m:r>
          </m:sup>
        </m:sSup>
        <m:nary>
          <m:naryPr>
            <m:chr m:val="∑"/>
            <m:limLoc m:val="undOvr"/>
            <m:subHide m:val="off"/>
            <m:supHide m:val="on"/>
          </m:naryPr>
          <m:sub>
            <m:r>
              <w:rPr>
                <w:rFonts w:ascii="Cambria Math" w:hAnsi="Cambria Math"/>
                <w:sz w:val="19"/>
                <w:szCs w:val="19"/>
              </w:rPr>
              <m:t>k</m:t>
            </m:r>
          </m:sub>
          <m:sup>
            <m:r>
              <w:rPr>
                <w:rFonts w:ascii="Cambria Math" w:hAnsi="Cambria Math"/>
                <w:sz w:val="19"/>
                <w:szCs w:val="19"/>
              </w:rPr>
              <m:t>​</m:t>
            </m:r>
          </m:sup>
          <m:e>
            <m:sSub>
              <m:e>
                <m:r>
                  <w:rPr>
                    <w:rFonts w:ascii="Cambria Math" w:hAnsi="Cambria Math"/>
                    <w:sz w:val="19"/>
                    <w:szCs w:val="19"/>
                  </w:rPr>
                  <m:t>C</m:t>
                </m:r>
              </m:e>
              <m:sub>
                <m:r>
                  <w:rPr>
                    <w:rFonts w:ascii="Cambria Math" w:hAnsi="Cambria Math"/>
                    <w:sz w:val="19"/>
                    <w:szCs w:val="19"/>
                  </w:rPr>
                  <m:t>k</m:t>
                </m:r>
              </m:sub>
            </m:sSub>
          </m:e>
        </m:nary>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ω</m:t>
            </m:r>
          </m:sub>
          <m:sup>
            <m:r>
              <w:rPr>
                <w:rFonts w:ascii="Cambria Math" w:hAnsi="Cambria Math"/>
                <w:sz w:val="19"/>
                <w:szCs w:val="19"/>
              </w:rPr>
              <m:t>​</m:t>
            </m:r>
          </m:sup>
          <m:e>
            <m:sSub>
              <m:e>
                <m:r>
                  <w:rPr>
                    <w:rFonts w:ascii="Cambria Math" w:hAnsi="Cambria Math"/>
                    <w:sz w:val="19"/>
                    <w:szCs w:val="19"/>
                  </w:rPr>
                  <m:t>p</m:t>
                </m:r>
              </m:e>
              <m:sub>
                <m:r>
                  <w:rPr>
                    <w:rFonts w:ascii="Cambria Math" w:hAnsi="Cambria Math"/>
                    <w:sz w:val="19"/>
                    <w:szCs w:val="19"/>
                  </w:rPr>
                  <m:t>ω</m:t>
                </m:r>
              </m:sub>
            </m:sSub>
          </m:e>
        </m:nary>
        <m:sSub>
          <m:e>
            <m:r>
              <w:rPr>
                <w:rFonts w:ascii="Cambria Math" w:hAnsi="Cambria Math"/>
                <w:sz w:val="19"/>
                <w:szCs w:val="19"/>
              </w:rPr>
              <m:t>J</m:t>
            </m:r>
          </m:e>
          <m:sub>
            <m:r>
              <w:rPr>
                <w:rFonts w:ascii="Cambria Math" w:hAnsi="Cambria Math"/>
                <w:sz w:val="19"/>
                <w:szCs w:val="19"/>
              </w:rPr>
              <m:t>ω</m:t>
            </m:r>
          </m:sub>
        </m:sSub>
        <m:d>
          <m:dPr>
            <m:begChr m:val="("/>
            <m:sepChr m:val=""/>
            <m:endChr m:val=")"/>
            <m:grow/>
          </m:dPr>
          <m:e>
            <m:r>
              <m:rPr>
                <m:sty m:val="b"/>
              </m:rPr>
              <w:rPr>
                <w:rFonts w:ascii="Cambria Math" w:hAnsi="Cambria Math"/>
                <w:sz w:val="19"/>
                <w:szCs w:val="19"/>
              </w:rPr>
              <m:t>C</m:t>
            </m:r>
          </m:e>
        </m:d>
        <m:r>
          <m:rPr>
            <m:sty m:val="p"/>
          </m:rPr>
          <w:rPr>
            <w:rFonts w:ascii="Cambria Math" w:hAnsi="Cambria Math"/>
            <w:sz w:val="19"/>
            <w:szCs w:val="19"/>
          </w:rPr>
          <m:t>,</m:t>
        </m:r>
      </m:oMath>
      <w:r>
        <w:tab/>
      </w:r>
      <w:r>
        <w:t xml:space="preserve">(58)</w:t>
      </w:r>
    </w:p>
    <w:p>
      <w:pPr>
        <w:pStyle w:val="Equation"/>
      </w:pPr>
      <w:r>
        <w:tab/>
      </w:r>
      <m:oMath>
        <m:m>
          <m:mPr>
            <m:baseJc m:val="center"/>
            <m:plcHide m:val="on"/>
            <m:mcs>
              <m:mc>
                <m:mcPr>
                  <m:count m:val="1"/>
                  <m:mcJc m:val="right"/>
                </m:mcPr>
              </m:mc>
              <m:mc>
                <m:mcPr>
                  <m:count m:val="1"/>
                  <m:mcJc m:val="left"/>
                </m:mcPr>
              </m:mc>
            </m:mcs>
          </m:mPr>
          <m:mr>
            <m:e/>
            <m:e>
              <m:sSub>
                <m:e>
                  <m:acc>
                    <m:accPr>
                      <m:chr m:val="‾"/>
                    </m:accPr>
                    <m:e>
                      <m:r>
                        <w:rPr>
                          <w:rFonts w:ascii="Cambria Math" w:hAnsi="Cambria Math"/>
                          <w:sz w:val="19"/>
                          <w:szCs w:val="19"/>
                        </w:rPr>
                        <m:t>r</m:t>
                      </m:r>
                    </m:e>
                  </m:acc>
                </m:e>
                <m:sub>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ω</m:t>
                  </m:r>
                </m:sub>
              </m:sSub>
              <m:r>
                <m:rPr>
                  <m:sty m:val="p"/>
                </m:rPr>
                <w:rPr>
                  <w:rFonts w:ascii="Cambria Math" w:hAnsi="Cambria Math"/>
                  <w:sz w:val="19"/>
                  <w:szCs w:val="19"/>
                </w:rPr>
                <m:t>≥</m:t>
              </m:r>
              <m:d>
                <m:dPr>
                  <m:begChr m:val="("/>
                  <m:sepChr m:val=""/>
                  <m:endChr m:val=")"/>
                  <m:grow/>
                </m:dPr>
                <m:e>
                  <m:r>
                    <w:rPr>
                      <w:rFonts w:ascii="Cambria Math" w:hAnsi="Cambria Math"/>
                      <w:sz w:val="19"/>
                      <w:szCs w:val="19"/>
                    </w:rPr>
                    <m:t>1</m:t>
                  </m:r>
                  <m:r>
                    <m:rPr>
                      <m:sty m:val="p"/>
                    </m:rPr>
                    <w:rPr>
                      <w:rFonts w:ascii="Cambria Math" w:hAnsi="Cambria Math"/>
                      <w:sz w:val="19"/>
                      <w:szCs w:val="19"/>
                    </w:rPr>
                    <m:t>−</m:t>
                  </m:r>
                  <m:sSub>
                    <m:e>
                      <m:r>
                        <w:rPr>
                          <w:rFonts w:ascii="Cambria Math" w:hAnsi="Cambria Math"/>
                          <w:sz w:val="19"/>
                          <w:szCs w:val="19"/>
                        </w:rPr>
                        <m:t>ϵ</m:t>
                      </m:r>
                    </m:e>
                    <m:sub>
                      <m:r>
                        <w:rPr>
                          <w:rFonts w:ascii="Cambria Math" w:hAnsi="Cambria Math"/>
                          <w:sz w:val="19"/>
                          <w:szCs w:val="19"/>
                        </w:rPr>
                        <m:t>f</m:t>
                      </m:r>
                    </m:sub>
                  </m:sSub>
                </m:e>
              </m:d>
              <m:r>
                <w:rPr>
                  <w:rFonts w:ascii="Cambria Math" w:hAnsi="Cambria Math"/>
                  <w:sz w:val="19"/>
                  <w:szCs w:val="19"/>
                </w:rPr>
                <m:t> </m:t>
              </m:r>
              <m:sSub>
                <m:e>
                  <m:r>
                    <w:rPr>
                      <w:rFonts w:ascii="Cambria Math" w:hAnsi="Cambria Math"/>
                      <w:sz w:val="19"/>
                      <w:szCs w:val="19"/>
                    </w:rPr>
                    <m:t>C</m:t>
                  </m:r>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M</m:t>
              </m:r>
              <m:d>
                <m:dPr>
                  <m:begChr m:val="("/>
                  <m:sepChr m:val=""/>
                  <m:endChr m:val=")"/>
                  <m:grow/>
                </m:dPr>
                <m:e>
                  <m:r>
                    <w:rPr>
                      <w:rFonts w:ascii="Cambria Math" w:hAnsi="Cambria Math"/>
                      <w:sz w:val="19"/>
                      <w:szCs w:val="19"/>
                    </w:rPr>
                    <m:t>1</m:t>
                  </m:r>
                  <m:r>
                    <m:rPr>
                      <m:sty m:val="p"/>
                    </m:rPr>
                    <w:rPr>
                      <w:rFonts w:ascii="Cambria Math" w:hAnsi="Cambria Math"/>
                      <w:sz w:val="19"/>
                      <w:szCs w:val="19"/>
                    </w:rPr>
                    <m:t>−</m:t>
                  </m:r>
                  <m:sSub>
                    <m:e>
                      <m:r>
                        <w:rPr>
                          <w:rFonts w:ascii="Cambria Math" w:hAnsi="Cambria Math"/>
                          <w:sz w:val="19"/>
                          <w:szCs w:val="19"/>
                        </w:rPr>
                        <m:t>u</m:t>
                      </m:r>
                    </m:e>
                    <m:sub>
                      <m:r>
                        <w:rPr>
                          <w:rFonts w:ascii="Cambria Math" w:hAnsi="Cambria Math"/>
                          <w:sz w:val="19"/>
                          <w:szCs w:val="19"/>
                        </w:rPr>
                        <m:t>ω</m:t>
                      </m:r>
                    </m:sub>
                  </m:sSub>
                </m:e>
              </m:d>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ω</m:t>
              </m:r>
              <m:r>
                <m:rPr>
                  <m:sty m:val="p"/>
                </m:rPr>
                <w:rPr>
                  <w:rFonts w:ascii="Cambria Math" w:hAnsi="Cambria Math"/>
                  <w:sz w:val="19"/>
                  <w:szCs w:val="19"/>
                </w:rPr>
                <m:t>,</m:t>
              </m:r>
            </m:e>
          </m:mr>
          <m:mr>
            <m:e/>
            <m:e>
              <m:nary>
                <m:naryPr>
                  <m:chr m:val="∑"/>
                  <m:limLoc m:val="undOvr"/>
                  <m:subHide m:val="off"/>
                  <m:supHide m:val="on"/>
                </m:naryPr>
                <m:sub>
                  <m:r>
                    <w:rPr>
                      <w:rFonts w:ascii="Cambria Math" w:hAnsi="Cambria Math"/>
                      <w:sz w:val="19"/>
                      <w:szCs w:val="19"/>
                    </w:rPr>
                    <m:t>ω</m:t>
                  </m:r>
                </m:sub>
                <m:sup>
                  <m:r>
                    <w:rPr>
                      <w:rFonts w:ascii="Cambria Math" w:hAnsi="Cambria Math"/>
                      <w:sz w:val="19"/>
                      <w:szCs w:val="19"/>
                    </w:rPr>
                    <m:t>​</m:t>
                  </m:r>
                </m:sup>
                <m:e>
                  <m:sSub>
                    <m:e>
                      <m:r>
                        <w:rPr>
                          <w:rFonts w:ascii="Cambria Math" w:hAnsi="Cambria Math"/>
                          <w:sz w:val="19"/>
                          <w:szCs w:val="19"/>
                        </w:rPr>
                        <m:t>p</m:t>
                      </m:r>
                    </m:e>
                    <m:sub>
                      <m:r>
                        <w:rPr>
                          <w:rFonts w:ascii="Cambria Math" w:hAnsi="Cambria Math"/>
                          <w:sz w:val="19"/>
                          <w:szCs w:val="19"/>
                        </w:rPr>
                        <m:t>ω</m:t>
                      </m:r>
                    </m:sub>
                  </m:sSub>
                </m:e>
              </m:nary>
              <m:sSub>
                <m:e>
                  <m:r>
                    <w:rPr>
                      <w:rFonts w:ascii="Cambria Math" w:hAnsi="Cambria Math"/>
                      <w:sz w:val="19"/>
                      <w:szCs w:val="19"/>
                    </w:rPr>
                    <m:t>u</m:t>
                  </m:r>
                </m:e>
                <m:sub>
                  <m:r>
                    <w:rPr>
                      <w:rFonts w:ascii="Cambria Math" w:hAnsi="Cambria Math"/>
                      <w:sz w:val="19"/>
                      <w:szCs w:val="19"/>
                    </w:rPr>
                    <m:t>ω</m:t>
                  </m:r>
                </m:sub>
              </m:sSub>
              <m:r>
                <m:rPr>
                  <m:sty m:val="p"/>
                </m:rPr>
                <w:rPr>
                  <w:rFonts w:ascii="Cambria Math" w:hAnsi="Cambria Math"/>
                  <w:sz w:val="19"/>
                  <w:szCs w:val="19"/>
                </w:rPr>
                <m:t>≥</m:t>
              </m:r>
              <m:r>
                <w:rPr>
                  <w:rFonts w:ascii="Cambria Math" w:hAnsi="Cambria Math"/>
                  <w:sz w:val="19"/>
                  <w:szCs w:val="19"/>
                </w:rPr>
                <m:t>ρ</m:t>
              </m:r>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u</m:t>
                  </m:r>
                </m:e>
                <m:sub>
                  <m:r>
                    <w:rPr>
                      <w:rFonts w:ascii="Cambria Math" w:hAnsi="Cambria Math"/>
                      <w:sz w:val="19"/>
                      <w:szCs w:val="19"/>
                    </w:rPr>
                    <m:t>ω</m:t>
                  </m:r>
                </m:sub>
              </m:sSub>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m:rPr>
                  <m:sty m:val="p"/>
                </m:rPr>
                <w:rPr>
                  <w:rFonts w:ascii="Cambria Math" w:hAnsi="Cambria Math"/>
                  <w:sz w:val="19"/>
                  <w:szCs w:val="19"/>
                </w:rPr>
                <m:t>.</m:t>
              </m:r>
            </m:e>
          </m:mr>
        </m:m>
      </m:oMath>
      <w:r>
        <w:tab/>
      </w:r>
      <w:r>
        <w:t xml:space="preserve">(59)</w:t>
      </w:r>
    </w:p>
    <w:p>
      <w:pPr>
        <w:pStyle w:val="BodyText"/>
      </w:pPr>
      <w:r>
        <w:t xml:space="preserve">Because the recourse of (58)–(59) knows each scenario in advance, it measures the physical consecutive capability; in the case study it returns the single-event capabilities (8.18/7.98 MW in S1). Two-stage distributionally robust models solved by column-and-constraint generation [40] share this recourse structure, whereas the closed-loop capability (49) measures what the controller actually delivers.</w:t>
      </w:r>
    </w:p>
    <w:bookmarkEnd w:id="46"/>
    <w:bookmarkEnd w:id="47"/>
    <w:bookmarkStart w:id="48" w:name="intraday-cross-event-joint-recovery-mpc"/>
    <w:p>
      <w:pPr>
        <w:pStyle w:val="Heading2"/>
      </w:pPr>
      <w:r>
        <w:t xml:space="preserve">4.2. Intraday cross-event joint recovery MPC</w:t>
      </w:r>
    </w:p>
    <w:p>
      <w:pPr>
        <w:pStyle w:val="FirstParagraph"/>
      </w:pPr>
      <w:r>
        <w:t xml:space="preserve">Every 15 min the controller measures the state</w:t>
      </w:r>
      <w:r>
        <w:t xml:space="preserve"> </w:t>
      </w:r>
      <m:oMath>
        <m:sSub>
          <m:e>
            <m:acc>
              <m:accPr>
                <m:chr m:val="̂"/>
              </m:accPr>
              <m:e>
                <m:r>
                  <m:rPr>
                    <m:sty m:val="b"/>
                  </m:rPr>
                  <w:rPr>
                    <w:rFonts w:ascii="Cambria Math" w:hAnsi="Cambria Math"/>
                    <w:sz w:val="19"/>
                    <w:szCs w:val="19"/>
                  </w:rPr>
                  <m:t>x</m:t>
                </m:r>
              </m:e>
            </m:acc>
          </m:e>
          <m:sub>
            <m:r>
              <w:rPr>
                <w:rFonts w:ascii="Cambria Math" w:hAnsi="Cambria Math"/>
                <w:sz w:val="19"/>
                <w:szCs w:val="19"/>
              </w:rPr>
              <m:t>t</m:t>
            </m:r>
          </m:sub>
        </m:sSub>
      </m:oMath>
      <w:r>
        <w:t xml:space="preserve"> </w:t>
      </w:r>
      <w:r>
        <w:t xml:space="preserve">(backlogs, stored energy and cold, gas-engine output, event status), corrects the forecasts</w:t>
      </w:r>
      <w:r>
        <w:t xml:space="preserve"> </w:t>
      </w:r>
      <m:oMath>
        <m:sSub>
          <m:e>
            <m:acc>
              <m:accPr>
                <m:chr m:val="̂"/>
              </m:accPr>
              <m:e>
                <m:r>
                  <m:rPr>
                    <m:sty m:val="b"/>
                  </m:rPr>
                  <w:rPr>
                    <w:rFonts w:ascii="Cambria Math" w:hAnsi="Cambria Math"/>
                    <w:sz w:val="19"/>
                    <w:szCs w:val="19"/>
                  </w:rPr>
                  <m:t>w</m:t>
                </m:r>
              </m:e>
            </m:acc>
          </m:e>
          <m:sub>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t</m:t>
            </m:r>
          </m:sub>
        </m:sSub>
      </m:oMath>
      <w:r>
        <w:t xml:space="preserve"> </w:t>
      </w:r>
      <w:r>
        <w:t xml:space="preserve">of arrivals, inference load, PV and chiller COP by the latest observed errors, and solves</w:t>
      </w:r>
    </w:p>
    <w:p>
      <w:pPr>
        <w:pStyle w:val="Equation"/>
      </w:pPr>
      <w:r>
        <w:tab/>
      </w:r>
      <m:oMath>
        <m:sSubSup>
          <m:e>
            <m:r>
              <m:rPr>
                <m:sty m:val="b"/>
              </m:rPr>
              <w:rPr>
                <w:rFonts w:ascii="Cambria Math" w:hAnsi="Cambria Math"/>
                <w:sz w:val="19"/>
                <w:szCs w:val="19"/>
              </w:rPr>
              <m:t>u</m:t>
            </m:r>
          </m:e>
          <m:sub>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t</m:t>
            </m:r>
          </m:sub>
          <m:sup>
            <m:r>
              <m:rPr>
                <m:lit/>
                <m:sty m:val="p"/>
              </m:rPr>
              <w:rPr>
                <w:rFonts w:ascii="Cambria Math" w:hAnsi="Cambria Math"/>
                <w:sz w:val="19"/>
                <w:szCs w:val="19"/>
              </w:rPr>
              <m:t>*</m:t>
            </m:r>
          </m:sup>
        </m:sSubSup>
        <m:r>
          <m:rPr>
            <m:sty m:val="p"/>
          </m:rPr>
          <w:rPr>
            <w:rFonts w:ascii="Cambria Math" w:hAnsi="Cambria Math"/>
            <w:sz w:val="19"/>
            <w:szCs w:val="19"/>
          </w:rPr>
          <m:t>∈</m:t>
        </m:r>
        <m:r>
          <m:rPr>
            <m:sty m:val="p"/>
          </m:rPr>
          <w:rPr>
            <w:rFonts w:ascii="Cambria Math" w:hAnsi="Cambria Math"/>
            <w:sz w:val="19"/>
            <w:szCs w:val="19"/>
          </w:rPr>
          <m:t>arg</m:t>
        </m:r>
        <m:sSub>
          <m:e>
            <m:r>
              <m:rPr>
                <m:sty m:val="p"/>
              </m:rPr>
              <w:rPr>
                <w:rFonts w:ascii="Cambria Math" w:hAnsi="Cambria Math"/>
                <w:sz w:val="19"/>
                <w:szCs w:val="19"/>
              </w:rPr>
              <m:t>min</m:t>
            </m:r>
          </m:e>
          <m:sub>
            <m:r>
              <m:rPr>
                <m:sty m:val="b"/>
              </m:rPr>
              <w:rPr>
                <w:rFonts w:ascii="Cambria Math" w:hAnsi="Cambria Math"/>
                <w:sz w:val="19"/>
                <w:szCs w:val="19"/>
              </w:rPr>
              <m:t>u</m:t>
            </m:r>
            <m:r>
              <m:rPr>
                <m:sty m:val="p"/>
              </m:rPr>
              <w:rPr>
                <w:rFonts w:ascii="Cambria Math" w:hAnsi="Cambria Math"/>
                <w:sz w:val="19"/>
                <w:szCs w:val="19"/>
              </w:rPr>
              <m:t>∈</m:t>
            </m:r>
            <m:sSub>
              <m:e>
                <m:r>
                  <m:rPr>
                    <m:scr m:val="script"/>
                    <m:sty m:val="p"/>
                  </m:rPr>
                  <w:rPr>
                    <w:rFonts w:ascii="Cambria Math" w:hAnsi="Cambria Math"/>
                    <w:sz w:val="19"/>
                    <w:szCs w:val="19"/>
                  </w:rPr>
                  <m:t>U</m:t>
                </m:r>
              </m:e>
              <m:sub>
                <m:r>
                  <w:rPr>
                    <w:rFonts w:ascii="Cambria Math" w:hAnsi="Cambria Math"/>
                    <w:sz w:val="19"/>
                    <w:szCs w:val="19"/>
                  </w:rPr>
                  <m:t>t</m:t>
                </m:r>
              </m:sub>
            </m:sSub>
            <m:d>
              <m:dPr>
                <m:begChr m:val="("/>
                <m:sepChr m:val=""/>
                <m:endChr m:val=")"/>
                <m:grow/>
              </m:dPr>
              <m:e>
                <m:sSub>
                  <m:e>
                    <m:acc>
                      <m:accPr>
                        <m:chr m:val="̂"/>
                      </m:accPr>
                      <m:e>
                        <m:r>
                          <m:rPr>
                            <m:sty m:val="b"/>
                          </m:rPr>
                          <w:rPr>
                            <w:rFonts w:ascii="Cambria Math" w:hAnsi="Cambria Math"/>
                            <w:sz w:val="19"/>
                            <w:szCs w:val="19"/>
                          </w:rPr>
                          <m:t>x</m:t>
                        </m:r>
                      </m:e>
                    </m:acc>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 </m:t>
                </m:r>
                <m:sSub>
                  <m:e>
                    <m:acc>
                      <m:accPr>
                        <m:chr m:val="̂"/>
                      </m:accPr>
                      <m:e>
                        <m:r>
                          <m:rPr>
                            <m:sty m:val="b"/>
                          </m:rPr>
                          <w:rPr>
                            <w:rFonts w:ascii="Cambria Math" w:hAnsi="Cambria Math"/>
                            <w:sz w:val="19"/>
                            <w:szCs w:val="19"/>
                          </w:rPr>
                          <m:t>w</m:t>
                        </m:r>
                      </m:e>
                    </m:acc>
                  </m:e>
                  <m:sub>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t</m:t>
                    </m:r>
                  </m:sub>
                </m:sSub>
              </m:e>
            </m:d>
          </m:sub>
        </m:sSub>
        <m:sSub>
          <m:e>
            <m:r>
              <w:rPr>
                <w:rFonts w:ascii="Cambria Math" w:hAnsi="Cambria Math"/>
                <w:sz w:val="19"/>
                <w:szCs w:val="19"/>
              </w:rPr>
              <m:t>J</m:t>
            </m:r>
          </m:e>
          <m:sub>
            <m:d>
              <m:dPr>
                <m:begChr m:val="["/>
                <m:sepChr m:val=""/>
                <m:endChr m:val="]"/>
                <m:grow/>
              </m:dPr>
              <m:e>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t</m:t>
                </m:r>
                <m:r>
                  <m:rPr>
                    <m:sty m:val="p"/>
                  </m:rPr>
                  <w:rPr>
                    <w:rFonts w:ascii="Cambria Math" w:hAnsi="Cambria Math"/>
                    <w:sz w:val="19"/>
                    <w:szCs w:val="19"/>
                  </w:rPr>
                  <m:t>+</m:t>
                </m:r>
                <m:sSub>
                  <m:e>
                    <m:r>
                      <w:rPr>
                        <w:rFonts w:ascii="Cambria Math" w:hAnsi="Cambria Math"/>
                        <w:sz w:val="19"/>
                        <w:szCs w:val="19"/>
                      </w:rPr>
                      <m:t>T</m:t>
                    </m:r>
                  </m:e>
                  <m:sub>
                    <m:r>
                      <w:rPr>
                        <w:rFonts w:ascii="Cambria Math" w:hAnsi="Cambria Math"/>
                        <w:sz w:val="19"/>
                        <w:szCs w:val="19"/>
                      </w:rPr>
                      <m:t>H</m:t>
                    </m:r>
                  </m:sub>
                </m:sSub>
              </m:e>
            </m:d>
          </m:sub>
        </m:sSub>
        <m:d>
          <m:dPr>
            <m:begChr m:val="("/>
            <m:sepChr m:val=""/>
            <m:endChr m:val=")"/>
            <m:grow/>
          </m:dPr>
          <m:e>
            <m:r>
              <m:rPr>
                <m:sty m:val="b"/>
              </m:rPr>
              <w:rPr>
                <w:rFonts w:ascii="Cambria Math" w:hAnsi="Cambria Math"/>
                <w:sz w:val="19"/>
                <w:szCs w:val="19"/>
              </w:rPr>
              <m:t>u</m:t>
            </m:r>
          </m:e>
        </m:d>
        <m:r>
          <m:rPr>
            <m:sty m:val="p"/>
          </m:rPr>
          <w:rPr>
            <w:rFonts w:ascii="Cambria Math" w:hAnsi="Cambria Math"/>
            <w:sz w:val="19"/>
            <w:szCs w:val="19"/>
          </w:rPr>
          <m:t>,</m:t>
        </m:r>
        <m:r>
          <w:rPr>
            <w:rFonts w:ascii="Cambria Math" w:hAnsi="Cambria Math"/>
            <w:sz w:val="19"/>
            <w:szCs w:val="19"/>
          </w:rPr>
          <m:t>  </m:t>
        </m:r>
        <m:sSub>
          <m:e>
            <m:r>
              <m:rPr>
                <m:sty m:val="b"/>
              </m:rPr>
              <w:rPr>
                <w:rFonts w:ascii="Cambria Math" w:hAnsi="Cambria Math"/>
                <w:sz w:val="19"/>
                <w:szCs w:val="19"/>
              </w:rPr>
              <m:t>u</m:t>
            </m:r>
          </m:e>
          <m:sub>
            <m:r>
              <w:rPr>
                <w:rFonts w:ascii="Cambria Math" w:hAnsi="Cambria Math"/>
                <w:sz w:val="19"/>
                <w:szCs w:val="19"/>
              </w:rPr>
              <m:t>t</m:t>
            </m:r>
          </m:sub>
        </m:sSub>
        <m:r>
          <m:rPr>
            <m:sty m:val="p"/>
          </m:rPr>
          <w:rPr>
            <w:rFonts w:ascii="Cambria Math" w:hAnsi="Cambria Math"/>
            <w:sz w:val="19"/>
            <w:szCs w:val="19"/>
          </w:rPr>
          <m:t>=</m:t>
        </m:r>
        <m:sSubSup>
          <m:e>
            <m:r>
              <m:rPr>
                <m:sty m:val="b"/>
              </m:rPr>
              <w:rPr>
                <w:rFonts w:ascii="Cambria Math" w:hAnsi="Cambria Math"/>
                <w:sz w:val="19"/>
                <w:szCs w:val="19"/>
              </w:rPr>
              <m:t>u</m:t>
            </m:r>
          </m:e>
          <m:sub>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t</m:t>
            </m:r>
          </m:sub>
          <m:sup>
            <m:r>
              <m:rPr>
                <m:lit/>
                <m:sty m:val="p"/>
              </m:rPr>
              <w:rPr>
                <w:rFonts w:ascii="Cambria Math" w:hAnsi="Cambria Math"/>
                <w:sz w:val="19"/>
                <w:szCs w:val="19"/>
              </w:rPr>
              <m:t>*</m:t>
            </m:r>
          </m:sup>
        </m:sSubSup>
        <m:r>
          <m:rPr>
            <m:sty m:val="p"/>
          </m:rPr>
          <w:rPr>
            <w:rFonts w:ascii="Cambria Math" w:hAnsi="Cambria Math"/>
            <w:sz w:val="19"/>
            <w:szCs w:val="19"/>
          </w:rPr>
          <m:t>,</m:t>
        </m:r>
      </m:oMath>
      <w:r>
        <w:tab/>
      </w:r>
      <w:r>
        <w:t xml:space="preserve">(60)</w:t>
      </w:r>
    </w:p>
    <w:p>
      <w:pPr>
        <w:pStyle w:val="BodyText"/>
      </w:pPr>
      <w:r>
        <w:t xml:space="preserve">where</w:t>
      </w:r>
      <w:r>
        <w:t xml:space="preserve"> </w:t>
      </w:r>
      <m:oMath>
        <m:sSub>
          <m:e>
            <m:r>
              <m:rPr>
                <m:scr m:val="script"/>
                <m:sty m:val="p"/>
              </m:rPr>
              <w:rPr>
                <w:rFonts w:ascii="Cambria Math" w:hAnsi="Cambria Math"/>
                <w:sz w:val="19"/>
                <w:szCs w:val="19"/>
              </w:rPr>
              <m:t>U</m:t>
            </m:r>
          </m:e>
          <m:sub>
            <m:r>
              <w:rPr>
                <w:rFonts w:ascii="Cambria Math" w:hAnsi="Cambria Math"/>
                <w:sz w:val="19"/>
                <w:szCs w:val="19"/>
              </w:rPr>
              <m:t>t</m:t>
            </m:r>
          </m:sub>
        </m:sSub>
      </m:oMath>
      <w:r>
        <w:t xml:space="preserve"> </w:t>
      </w:r>
      <w:r>
        <w:t xml:space="preserve">is the feasible set of (3)–(24) and (25) over the 18-h horizon and</w:t>
      </w:r>
      <w:r>
        <w:t xml:space="preserve"> </w:t>
      </w:r>
      <m:oMath>
        <m:sSub>
          <m:e>
            <m:r>
              <w:rPr>
                <w:rFonts w:ascii="Cambria Math" w:hAnsi="Cambria Math"/>
                <w:sz w:val="19"/>
                <w:szCs w:val="19"/>
              </w:rPr>
              <m:t>J</m:t>
            </m:r>
          </m:e>
          <m:sub>
            <m:d>
              <m:dPr>
                <m:begChr m:val="["/>
                <m:sepChr m:val=""/>
                <m:endChr m:val="]"/>
                <m:grow/>
              </m:dPr>
              <m:e>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t</m:t>
                </m:r>
                <m:r>
                  <m:rPr>
                    <m:sty m:val="p"/>
                  </m:rPr>
                  <w:rPr>
                    <w:rFonts w:ascii="Cambria Math" w:hAnsi="Cambria Math"/>
                    <w:sz w:val="19"/>
                    <w:szCs w:val="19"/>
                  </w:rPr>
                  <m:t>+</m:t>
                </m:r>
                <m:sSub>
                  <m:e>
                    <m:r>
                      <w:rPr>
                        <w:rFonts w:ascii="Cambria Math" w:hAnsi="Cambria Math"/>
                        <w:sz w:val="19"/>
                        <w:szCs w:val="19"/>
                      </w:rPr>
                      <m:t>T</m:t>
                    </m:r>
                  </m:e>
                  <m:sub>
                    <m:r>
                      <w:rPr>
                        <w:rFonts w:ascii="Cambria Math" w:hAnsi="Cambria Math"/>
                        <w:sz w:val="19"/>
                        <w:szCs w:val="19"/>
                      </w:rPr>
                      <m:t>H</m:t>
                    </m:r>
                  </m:sub>
                </m:sSub>
              </m:e>
            </m:d>
          </m:sub>
        </m:sSub>
      </m:oMath>
      <w:r>
        <w:t xml:space="preserve"> </w:t>
      </w:r>
      <w:r>
        <w:t xml:space="preserve">the objective (26) over the same horizon, with the terminal value (30) of the storage debts and the backlog (JR-D). Because all confirmed events are visible within the horizon, the controller decides at every step which debt to repay first: it carries long-deadline backlog across events when doing so frees the channel for the storage that the next event needs, and it repays the debts that would otherwise fall due. An event that is not yet confirmed is treated as called if its call probability is at least 0.5 (certainty equivalence). The scenario variant JR-S replaces the forecast by a scenario tree with non-anticipative first-step decisions, in which an event that is not yet confirmed appears only in the scenarios in which it is called. The plant replay enforces the physical limits in the order storage, cold storage and deferrable computing, so that the grid import never exceeds</w:t>
      </w:r>
      <w:r>
        <w:t xml:space="preserve"> </w:t>
      </w:r>
      <m:oMath>
        <m:sSup>
          <m:e>
            <m:r>
              <w:rPr>
                <w:rFonts w:ascii="Cambria Math" w:hAnsi="Cambria Math"/>
                <w:sz w:val="19"/>
                <w:szCs w:val="19"/>
              </w:rPr>
              <m:t>P</m:t>
            </m:r>
          </m:e>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p>
      </m:oMath>
      <w:r>
        <w:t xml:space="preserve">.</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TableCaption"/>
      </w:pPr>
      <w:r>
        <w:rPr>
          <w:bCs/>
          <w:b/>
        </w:rPr>
        <w:t xml:space="preserve">Table 3</w:t>
      </w:r>
      <w:r>
        <w:br/>
      </w:r>
      <w:r>
        <w:t xml:space="preserve">Pseudocode of the recovery-aware commitment and the cross-event joint recovery.</w:t>
      </w:r>
    </w:p>
    <w:tbl>
      <w:tblPr>
        <w:tblStyle w:val="Table"/>
        <w:tblW w:w="10206" w:type="dxa"/>
        <w:jc w:val="start"/>
        <w:tblBorders>
          <w:top w:val="single" w:sz="6" w:space="0" w:color="000000"/>
          <w:bottom w:val="single" w:sz="6" w:space="0" w:color="000000"/>
        </w:tblBorders>
        <w:tblLayout w:type="fixed"/>
        <w:tblLook w:firstRow="1" w:lastRow="0" w:firstColumn="0" w:lastColumn="0" w:noHBand="0" w:noVBand="0" w:val="0020"/>
      </w:tblPr>
      <w:tblGrid>
        <w:gridCol w:w="10206"/>
      </w:tblGrid>
      <w:tr>
        <w:trPr>
          <w:tblHeader w:val="true"/>
        </w:trPr>
        <w:tc>
          <w:tcPr>
            <w:tcW w:w="10206" w:type="dxa"/>
            <w:tcBorders>
              <w:bottom w:val="single" w:sz="4" w:space="0" w:color="000000"/>
            </w:tcBorders>
          </w:tcPr>
          <w:p>
            <w:pPr>
              <w:pStyle w:val="TableText"/>
              <w:jc w:val="left"/>
            </w:pPr>
            <w:r>
              <w:rPr>
                <w:bCs/>
                <w:b/>
              </w:rPr>
              <w:t xml:space="preserve">Algorithm 1</w:t>
            </w:r>
            <w:r>
              <w:t xml:space="preserve"> </w:t>
            </w:r>
            <w:r>
              <w:t xml:space="preserve">Recovery-aware commitment and cross-event joint recovery</w:t>
            </w:r>
          </w:p>
        </w:tc>
      </w:tr>
      <w:tr>
        <w:tc>
          <w:tcPr>
            <w:tcW w:w="10206" w:type="dxa"/>
          </w:tcPr>
          <w:p>
            <w:pPr>
              <w:pStyle w:val="TableText"/>
              <w:jc w:val="left"/>
            </w:pPr>
            <w:r>
              <w:rPr>
                <w:bCs/>
                <w:b/>
              </w:rPr>
              <w:t xml:space="preserve">Input:</w:t>
            </w:r>
            <w:r>
              <w:t xml:space="preserve"> </w:t>
            </w:r>
            <w:r>
              <w:t xml:space="preserve">historical days</w:t>
            </w:r>
            <w:r>
              <w:t xml:space="preserve"> </w:t>
            </w:r>
            <m:oMath>
              <m:sSup>
                <m:e>
                  <m:r>
                    <w:rPr>
                      <w:rFonts w:ascii="Cambria Math" w:hAnsi="Cambria Math"/>
                      <w:sz w:val="15"/>
                      <w:szCs w:val="15"/>
                    </w:rPr>
                    <m:t>Ω</m:t>
                  </m:r>
                </m:e>
                <m:sup>
                  <m:r>
                    <w:rPr>
                      <w:rFonts w:ascii="Cambria Math" w:hAnsi="Cambria Math"/>
                      <w:sz w:val="15"/>
                      <w:szCs w:val="15"/>
                    </w:rPr>
                    <m:t>D</m:t>
                  </m:r>
                  <m:r>
                    <w:rPr>
                      <w:rFonts w:ascii="Cambria Math" w:hAnsi="Cambria Math"/>
                      <w:sz w:val="15"/>
                      <w:szCs w:val="15"/>
                    </w:rPr>
                    <m:t>A</m:t>
                  </m:r>
                </m:sup>
              </m:sSup>
            </m:oMath>
            <w:r>
              <w:t xml:space="preserve"> </w:t>
            </w:r>
            <w:r>
              <w:t xml:space="preserve">(</w:t>
            </w:r>
            <m:oMath>
              <m:r>
                <w:rPr>
                  <w:rFonts w:ascii="Cambria Math" w:hAnsi="Cambria Math"/>
                  <w:sz w:val="15"/>
                  <w:szCs w:val="15"/>
                </w:rPr>
                <m:t>N</m:t>
              </m:r>
            </m:oMath>
            <w:r>
              <w:t xml:space="preserve"> </w:t>
            </w:r>
            <w:r>
              <w:t xml:space="preserve">days), operating days</w:t>
            </w:r>
            <w:r>
              <w:t xml:space="preserve"> </w:t>
            </w:r>
            <m:oMath>
              <m:r>
                <w:rPr>
                  <w:rFonts w:ascii="Cambria Math" w:hAnsi="Cambria Math"/>
                  <w:sz w:val="15"/>
                  <w:szCs w:val="15"/>
                </w:rPr>
                <m:t>Ω</m:t>
              </m:r>
            </m:oMath>
            <w:r>
              <w:t xml:space="preserve">, commitment grid</w:t>
            </w:r>
            <w:r>
              <w:t xml:space="preserve"> </w:t>
            </w:r>
            <m:oMath>
              <m:r>
                <m:rPr>
                  <m:scr m:val="script"/>
                  <m:sty m:val="p"/>
                </m:rPr>
                <w:rPr>
                  <w:rFonts w:ascii="Cambria Math" w:hAnsi="Cambria Math"/>
                  <w:sz w:val="15"/>
                  <w:szCs w:val="15"/>
                </w:rPr>
                <m:t>G</m:t>
              </m:r>
            </m:oMath>
            <w:r>
              <w:t xml:space="preserve"> </w:t>
            </w:r>
            <w:r>
              <w:t xml:space="preserve">(step</w:t>
            </w:r>
            <w:r>
              <w:t xml:space="preserve"> </w:t>
            </w:r>
            <m:oMath>
              <m:sSub>
                <m:e>
                  <m:r>
                    <w:rPr>
                      <w:rFonts w:ascii="Cambria Math" w:hAnsi="Cambria Math"/>
                      <w:sz w:val="15"/>
                      <w:szCs w:val="15"/>
                    </w:rPr>
                    <m:t>Δ</m:t>
                  </m:r>
                </m:e>
                <m:sub>
                  <m:r>
                    <m:rPr>
                      <m:scr m:val="script"/>
                      <m:sty m:val="p"/>
                    </m:rPr>
                    <w:rPr>
                      <w:rFonts w:ascii="Cambria Math" w:hAnsi="Cambria Math"/>
                      <w:sz w:val="15"/>
                      <w:szCs w:val="15"/>
                    </w:rPr>
                    <m:t>G</m:t>
                  </m:r>
                </m:sub>
              </m:sSub>
            </m:oMath>
            <w:r>
              <w:t xml:space="preserve">), reliability</w:t>
            </w:r>
            <w:r>
              <w:t xml:space="preserve"> </w:t>
            </w:r>
            <m:oMath>
              <m:r>
                <w:rPr>
                  <w:rFonts w:ascii="Cambria Math" w:hAnsi="Cambria Math"/>
                  <w:sz w:val="15"/>
                  <w:szCs w:val="15"/>
                </w:rPr>
                <m:t>ρ</m:t>
              </m:r>
            </m:oMath>
            <w:r>
              <w:t xml:space="preserve">, event set</w:t>
            </w:r>
            <w:r>
              <w:t xml:space="preserve"> </w:t>
            </w:r>
            <m:oMath>
              <m:r>
                <m:rPr>
                  <m:scr m:val="script"/>
                  <m:sty m:val="p"/>
                </m:rPr>
                <w:rPr>
                  <w:rFonts w:ascii="Cambria Math" w:hAnsi="Cambria Math"/>
                  <w:sz w:val="15"/>
                  <w:szCs w:val="15"/>
                </w:rPr>
                <m:t>K</m:t>
              </m:r>
            </m:oMath>
            <w:r>
              <w:t xml:space="preserve">, horizon</w:t>
            </w:r>
            <w:r>
              <w:t xml:space="preserve"> </w:t>
            </w:r>
            <m:oMath>
              <m:sSub>
                <m:e>
                  <m:r>
                    <w:rPr>
                      <w:rFonts w:ascii="Cambria Math" w:hAnsi="Cambria Math"/>
                      <w:sz w:val="15"/>
                      <w:szCs w:val="15"/>
                    </w:rPr>
                    <m:t>T</m:t>
                  </m:r>
                </m:e>
                <m:sub>
                  <m:r>
                    <w:rPr>
                      <w:rFonts w:ascii="Cambria Math" w:hAnsi="Cambria Math"/>
                      <w:sz w:val="15"/>
                      <w:szCs w:val="15"/>
                    </w:rPr>
                    <m:t>H</m:t>
                  </m:r>
                </m:sub>
              </m:sSub>
            </m:oMath>
            <w:r>
              <w:t xml:space="preserve">, plant parameters (Table A1)</w:t>
            </w:r>
          </w:p>
        </w:tc>
      </w:tr>
      <w:tr>
        <w:tc>
          <w:tcPr>
            <w:tcW w:w="10206" w:type="dxa"/>
          </w:tcPr>
          <w:p>
            <w:pPr>
              <w:pStyle w:val="TableText"/>
              <w:jc w:val="left"/>
            </w:pPr>
            <w:r>
              <w:rPr>
                <w:bCs/>
                <w:b/>
              </w:rPr>
              <w:t xml:space="preserve">Output:</w:t>
            </w:r>
            <w:r>
              <w:t xml:space="preserve"> </w:t>
            </w:r>
            <w:r>
              <w:t xml:space="preserve">cost-optimal commitment</w:t>
            </w:r>
            <w:r>
              <w:t xml:space="preserve"> </w:t>
            </w:r>
            <m:oMath>
              <m:sSup>
                <m:e>
                  <m:r>
                    <w:rPr>
                      <w:rFonts w:ascii="Cambria Math" w:hAnsi="Cambria Math"/>
                      <w:sz w:val="15"/>
                      <w:szCs w:val="15"/>
                    </w:rPr>
                    <m:t>C</m:t>
                  </m:r>
                </m:e>
                <m:sup>
                  <m:r>
                    <m:rPr>
                      <m:lit/>
                      <m:sty m:val="p"/>
                    </m:rPr>
                    <w:rPr>
                      <w:rFonts w:ascii="Cambria Math" w:hAnsi="Cambria Math"/>
                      <w:sz w:val="15"/>
                      <w:szCs w:val="15"/>
                    </w:rPr>
                    <m:t>*</m:t>
                  </m:r>
                </m:sup>
              </m:sSup>
            </m:oMath>
            <w:r>
              <w:t xml:space="preserve">, firm capacity</w:t>
            </w:r>
            <w:r>
              <w:t xml:space="preserve"> </w:t>
            </w:r>
            <m:oMath>
              <m:sSubSup>
                <m:e>
                  <m:acc>
                    <m:accPr>
                      <m:chr m:val="̂"/>
                    </m:accPr>
                    <m:e>
                      <m:r>
                        <w:rPr>
                          <w:rFonts w:ascii="Cambria Math" w:hAnsi="Cambria Math"/>
                          <w:sz w:val="15"/>
                          <w:szCs w:val="15"/>
                        </w:rPr>
                        <m:t>C</m:t>
                      </m:r>
                    </m:e>
                  </m:acc>
                </m:e>
                <m:sub>
                  <m:r>
                    <w:rPr>
                      <w:rFonts w:ascii="Cambria Math" w:hAnsi="Cambria Math"/>
                      <w:sz w:val="15"/>
                      <w:szCs w:val="15"/>
                    </w:rPr>
                    <m:t>ρ</m:t>
                  </m:r>
                </m:sub>
                <m:sup>
                  <m:r>
                    <w:rPr>
                      <w:rFonts w:ascii="Cambria Math" w:hAnsi="Cambria Math"/>
                      <w:sz w:val="15"/>
                      <w:szCs w:val="15"/>
                    </w:rPr>
                    <m:t>f</m:t>
                  </m:r>
                  <m:r>
                    <w:rPr>
                      <w:rFonts w:ascii="Cambria Math" w:hAnsi="Cambria Math"/>
                      <w:sz w:val="15"/>
                      <w:szCs w:val="15"/>
                    </w:rPr>
                    <m:t>i</m:t>
                  </m:r>
                  <m:r>
                    <w:rPr>
                      <w:rFonts w:ascii="Cambria Math" w:hAnsi="Cambria Math"/>
                      <w:sz w:val="15"/>
                      <w:szCs w:val="15"/>
                    </w:rPr>
                    <m:t>r</m:t>
                  </m:r>
                  <m:r>
                    <w:rPr>
                      <w:rFonts w:ascii="Cambria Math" w:hAnsi="Cambria Math"/>
                      <w:sz w:val="15"/>
                      <w:szCs w:val="15"/>
                    </w:rPr>
                    <m:t>m</m:t>
                  </m:r>
                </m:sup>
              </m:sSubSup>
            </m:oMath>
            <w:r>
              <w:t xml:space="preserve">, closed-loop trajectories</w:t>
            </w:r>
          </w:p>
        </w:tc>
      </w:tr>
      <w:tr>
        <w:tc>
          <w:tcPr>
            <w:tcW w:w="10206" w:type="dxa"/>
          </w:tcPr>
          <w:p>
            <w:pPr>
              <w:pStyle w:val="TableText"/>
              <w:jc w:val="left"/>
            </w:pPr>
            <w:r>
              <w:rPr>
                <w:iCs/>
                <w:i/>
                <w:bCs/>
                <w:b/>
              </w:rPr>
              <w:t xml:space="preserve">Stage I: day-ahead recovery-aware commitment (Section 4.1)</w:t>
            </w:r>
          </w:p>
        </w:tc>
      </w:tr>
      <w:tr>
        <w:tc>
          <w:tcPr>
            <w:tcW w:w="10206" w:type="dxa"/>
          </w:tcPr>
          <w:p>
            <w:pPr>
              <w:pStyle w:val="TableText"/>
              <w:jc w:val="left"/>
            </w:pPr>
            <w:r>
              <w:t xml:space="preserve">1:</w:t>
            </w:r>
            <w:r>
              <w:t xml:space="preserve"> </w:t>
            </w:r>
            <w:r>
              <w:rPr>
                <w:bCs/>
                <w:b/>
              </w:rPr>
              <w:t xml:space="preserve">for</w:t>
            </w:r>
            <w:r>
              <w:t xml:space="preserve"> </w:t>
            </w:r>
            <m:oMath>
              <m:r>
                <w:rPr>
                  <w:rFonts w:ascii="Cambria Math" w:hAnsi="Cambria Math"/>
                  <w:sz w:val="15"/>
                  <w:szCs w:val="15"/>
                </w:rPr>
                <m:t>C</m:t>
              </m:r>
              <m:r>
                <m:rPr>
                  <m:sty m:val="p"/>
                </m:rPr>
                <w:rPr>
                  <w:rFonts w:ascii="Cambria Math" w:hAnsi="Cambria Math"/>
                  <w:sz w:val="15"/>
                  <w:szCs w:val="15"/>
                </w:rPr>
                <m:t>∈</m:t>
              </m:r>
              <m:r>
                <m:rPr>
                  <m:scr m:val="script"/>
                  <m:sty m:val="p"/>
                </m:rPr>
                <w:rPr>
                  <w:rFonts w:ascii="Cambria Math" w:hAnsi="Cambria Math"/>
                  <w:sz w:val="15"/>
                  <w:szCs w:val="15"/>
                </w:rPr>
                <m:t>G</m:t>
              </m:r>
            </m:oMath>
            <w:r>
              <w:t xml:space="preserve"> </w:t>
            </w:r>
            <w:r>
              <w:t xml:space="preserve">in increasing order and every day</w:t>
            </w:r>
            <w:r>
              <w:t xml:space="preserve"> </w:t>
            </w:r>
            <m:oMath>
              <m:r>
                <w:rPr>
                  <w:rFonts w:ascii="Cambria Math" w:hAnsi="Cambria Math"/>
                  <w:sz w:val="15"/>
                  <w:szCs w:val="15"/>
                </w:rPr>
                <m:t>d</m:t>
              </m:r>
              <m:r>
                <m:rPr>
                  <m:sty m:val="p"/>
                </m:rPr>
                <w:rPr>
                  <w:rFonts w:ascii="Cambria Math" w:hAnsi="Cambria Math"/>
                  <w:sz w:val="15"/>
                  <w:szCs w:val="15"/>
                </w:rPr>
                <m:t>∈</m:t>
              </m:r>
              <m:sSup>
                <m:e>
                  <m:r>
                    <w:rPr>
                      <w:rFonts w:ascii="Cambria Math" w:hAnsi="Cambria Math"/>
                      <w:sz w:val="15"/>
                      <w:szCs w:val="15"/>
                    </w:rPr>
                    <m:t>Ω</m:t>
                  </m:r>
                </m:e>
                <m:sup>
                  <m:r>
                    <w:rPr>
                      <w:rFonts w:ascii="Cambria Math" w:hAnsi="Cambria Math"/>
                      <w:sz w:val="15"/>
                      <w:szCs w:val="15"/>
                    </w:rPr>
                    <m:t>D</m:t>
                  </m:r>
                  <m:r>
                    <w:rPr>
                      <w:rFonts w:ascii="Cambria Math" w:hAnsi="Cambria Math"/>
                      <w:sz w:val="15"/>
                      <w:szCs w:val="15"/>
                    </w:rPr>
                    <m:t>A</m:t>
                  </m:r>
                </m:sup>
              </m:sSup>
            </m:oMath>
            <w:r>
              <w:t xml:space="preserve"> </w:t>
            </w:r>
            <w:r>
              <w:t xml:space="preserve">that delivered all smaller</w:t>
            </w:r>
            <w:r>
              <w:t xml:space="preserve"> </w:t>
            </w:r>
            <m:oMath>
              <m:r>
                <w:rPr>
                  <w:rFonts w:ascii="Cambria Math" w:hAnsi="Cambria Math"/>
                  <w:sz w:val="15"/>
                  <w:szCs w:val="15"/>
                </w:rPr>
                <m:t>C</m:t>
              </m:r>
            </m:oMath>
            <w:r>
              <w:t xml:space="preserve"> </w:t>
            </w:r>
            <w:r>
              <w:rPr>
                <w:bCs/>
                <w:b/>
              </w:rPr>
              <w:t xml:space="preserve">do</w:t>
            </w:r>
          </w:p>
        </w:tc>
      </w:tr>
      <w:tr>
        <w:tc>
          <w:tcPr>
            <w:tcW w:w="10206" w:type="dxa"/>
          </w:tcPr>
          <w:p>
            <w:pPr>
              <w:pStyle w:val="TableText"/>
              <w:jc w:val="left"/>
            </w:pPr>
            <w:r>
              <w:t xml:space="preserve">2:</w:t>
            </w:r>
            <w:r>
              <w:t xml:space="preserve"> </w:t>
            </w:r>
            <m:oMath>
              <m:r>
                <w:rPr>
                  <w:rFonts w:ascii="Cambria Math" w:hAnsi="Cambria Math"/>
                  <w:sz w:val="15"/>
                  <w:szCs w:val="15"/>
                </w:rPr>
                <m:t> </m:t>
              </m:r>
            </m:oMath>
            <w:r>
              <w:t xml:space="preserve"> </w:t>
            </w:r>
            <w:r>
              <w:t xml:space="preserve">run Stage III on day</w:t>
            </w:r>
            <w:r>
              <w:t xml:space="preserve"> </w:t>
            </w:r>
            <m:oMath>
              <m:r>
                <w:rPr>
                  <w:rFonts w:ascii="Cambria Math" w:hAnsi="Cambria Math"/>
                  <w:sz w:val="15"/>
                  <w:szCs w:val="15"/>
                </w:rPr>
                <m:t>d</m:t>
              </m:r>
            </m:oMath>
            <w:r>
              <w:t xml:space="preserve"> </w:t>
            </w:r>
            <w:r>
              <w:t xml:space="preserve">with commitment</w:t>
            </w:r>
            <w:r>
              <w:t xml:space="preserve"> </w:t>
            </w:r>
            <m:oMath>
              <m:r>
                <w:rPr>
                  <w:rFonts w:ascii="Cambria Math" w:hAnsi="Cambria Math"/>
                  <w:sz w:val="15"/>
                  <w:szCs w:val="15"/>
                </w:rPr>
                <m:t>C</m:t>
              </m:r>
            </m:oMath>
            <w:r>
              <w:t xml:space="preserve"> </w:t>
            </w:r>
            <w:r>
              <w:t xml:space="preserve">→ cost</w:t>
            </w:r>
            <w:r>
              <w:t xml:space="preserve"> </w:t>
            </w:r>
            <m:oMath>
              <m:sSub>
                <m:e>
                  <m:r>
                    <w:rPr>
                      <w:rFonts w:ascii="Cambria Math" w:hAnsi="Cambria Math"/>
                      <w:sz w:val="15"/>
                      <w:szCs w:val="15"/>
                    </w:rPr>
                    <m:t>J</m:t>
                  </m:r>
                </m:e>
                <m:sub>
                  <m:r>
                    <w:rPr>
                      <w:rFonts w:ascii="Cambria Math" w:hAnsi="Cambria Math"/>
                      <w:sz w:val="15"/>
                      <w:szCs w:val="15"/>
                    </w:rPr>
                    <m:t>d</m:t>
                  </m:r>
                </m:sub>
              </m:sSub>
              <m:d>
                <m:dPr>
                  <m:begChr m:val="("/>
                  <m:sepChr m:val=""/>
                  <m:endChr m:val=")"/>
                  <m:grow/>
                </m:dPr>
                <m:e>
                  <m:r>
                    <w:rPr>
                      <w:rFonts w:ascii="Cambria Math" w:hAnsi="Cambria Math"/>
                      <w:sz w:val="15"/>
                      <w:szCs w:val="15"/>
                    </w:rPr>
                    <m:t>C</m:t>
                  </m:r>
                </m:e>
              </m:d>
            </m:oMath>
            <w:r>
              <w:t xml:space="preserve"> </w:t>
            </w:r>
            <w:r>
              <w:t xml:space="preserve">and indicator</w:t>
            </w:r>
            <w:r>
              <w:t xml:space="preserve"> </w:t>
            </w:r>
            <m:oMath>
              <m:sSub>
                <m:e>
                  <m:r>
                    <w:rPr>
                      <w:rFonts w:ascii="Cambria Math" w:hAnsi="Cambria Math"/>
                      <w:sz w:val="15"/>
                      <w:szCs w:val="15"/>
                    </w:rPr>
                    <m:t>u</m:t>
                  </m:r>
                </m:e>
                <m:sub>
                  <m:r>
                    <w:rPr>
                      <w:rFonts w:ascii="Cambria Math" w:hAnsi="Cambria Math"/>
                      <w:sz w:val="15"/>
                      <w:szCs w:val="15"/>
                    </w:rPr>
                    <m:t>d</m:t>
                  </m:r>
                </m:sub>
              </m:sSub>
              <m:d>
                <m:dPr>
                  <m:begChr m:val="("/>
                  <m:sepChr m:val=""/>
                  <m:endChr m:val=")"/>
                  <m:grow/>
                </m:dPr>
                <m:e>
                  <m:r>
                    <w:rPr>
                      <w:rFonts w:ascii="Cambria Math" w:hAnsi="Cambria Math"/>
                      <w:sz w:val="15"/>
                      <w:szCs w:val="15"/>
                    </w:rPr>
                    <m:t>C</m:t>
                  </m:r>
                </m:e>
              </m:d>
            </m:oMath>
            <w:r>
              <w:t xml:space="preserve"> </w:t>
            </w:r>
            <w:r>
              <w:t xml:space="preserve">(33)</w:t>
            </w:r>
          </w:p>
        </w:tc>
      </w:tr>
      <w:tr>
        <w:tc>
          <w:tcPr>
            <w:tcW w:w="10206" w:type="dxa"/>
          </w:tcPr>
          <w:p>
            <w:pPr>
              <w:pStyle w:val="TableText"/>
              <w:jc w:val="left"/>
            </w:pPr>
            <w:r>
              <w:t xml:space="preserve">3: capability</w:t>
            </w:r>
            <w:r>
              <w:t xml:space="preserve"> </w:t>
            </w:r>
            <m:oMath>
              <m:sSub>
                <m:e>
                  <m:r>
                    <w:rPr>
                      <w:rFonts w:ascii="Cambria Math" w:hAnsi="Cambria Math"/>
                      <w:sz w:val="15"/>
                      <w:szCs w:val="15"/>
                    </w:rPr>
                    <m:t>ξ</m:t>
                  </m:r>
                </m:e>
                <m:sub>
                  <m:r>
                    <w:rPr>
                      <w:rFonts w:ascii="Cambria Math" w:hAnsi="Cambria Math"/>
                      <w:sz w:val="15"/>
                      <w:szCs w:val="15"/>
                    </w:rPr>
                    <m:t>d</m:t>
                  </m:r>
                </m:sub>
              </m:sSub>
            </m:oMath>
            <w:r>
              <w:t xml:space="preserve"> </w:t>
            </w:r>
            <w:r>
              <w:t xml:space="preserve">of every day (49); empirical distribution</w:t>
            </w:r>
            <w:r>
              <w:t xml:space="preserve"> </w:t>
            </w:r>
            <m:oMath>
              <m:sSub>
                <m:e>
                  <m:acc>
                    <m:accPr>
                      <m:chr m:val="̂"/>
                    </m:accPr>
                    <m:e>
                      <m:r>
                        <w:rPr>
                          <w:rFonts w:ascii="Cambria Math" w:hAnsi="Cambria Math"/>
                          <w:sz w:val="15"/>
                          <w:szCs w:val="15"/>
                        </w:rPr>
                        <m:t>P</m:t>
                      </m:r>
                    </m:e>
                  </m:acc>
                </m:e>
                <m:sub>
                  <m:r>
                    <w:rPr>
                      <w:rFonts w:ascii="Cambria Math" w:hAnsi="Cambria Math"/>
                      <w:sz w:val="15"/>
                      <w:szCs w:val="15"/>
                    </w:rPr>
                    <m:t>N</m:t>
                  </m:r>
                </m:sub>
              </m:sSub>
            </m:oMath>
            <w:r>
              <w:t xml:space="preserve">; radius</w:t>
            </w:r>
            <w:r>
              <w:t xml:space="preserve"> </w:t>
            </w:r>
            <m:oMath>
              <m:r>
                <w:rPr>
                  <w:rFonts w:ascii="Cambria Math" w:hAnsi="Cambria Math"/>
                  <w:sz w:val="15"/>
                  <w:szCs w:val="15"/>
                </w:rPr>
                <m:t>ε</m:t>
              </m:r>
              <m:r>
                <m:rPr>
                  <m:sty m:val="p"/>
                </m:rPr>
                <w:rPr>
                  <w:rFonts w:ascii="Cambria Math" w:hAnsi="Cambria Math"/>
                  <w:sz w:val="15"/>
                  <w:szCs w:val="15"/>
                </w:rPr>
                <m:t>←</m:t>
              </m:r>
              <m:sSub>
                <m:e>
                  <m:r>
                    <w:rPr>
                      <w:rFonts w:ascii="Cambria Math" w:hAnsi="Cambria Math"/>
                      <w:sz w:val="15"/>
                      <w:szCs w:val="15"/>
                    </w:rPr>
                    <m:t>ε</m:t>
                  </m:r>
                </m:e>
                <m:sub>
                  <m:r>
                    <w:rPr>
                      <w:rFonts w:ascii="Cambria Math" w:hAnsi="Cambria Math"/>
                      <w:sz w:val="15"/>
                      <w:szCs w:val="15"/>
                    </w:rPr>
                    <m:t>N</m:t>
                  </m:r>
                </m:sub>
              </m:sSub>
            </m:oMath>
            <w:r>
              <w:t xml:space="preserve"> </w:t>
            </w:r>
            <w:r>
              <w:t xml:space="preserve">(55)</w:t>
            </w:r>
          </w:p>
        </w:tc>
      </w:tr>
      <w:tr>
        <w:tc>
          <w:tcPr>
            <w:tcW w:w="10206" w:type="dxa"/>
          </w:tcPr>
          <w:p>
            <w:pPr>
              <w:pStyle w:val="TableText"/>
              <w:jc w:val="left"/>
            </w:pPr>
            <w:r>
              <w:t xml:space="preserve">4:</w:t>
            </w:r>
            <w:r>
              <w:t xml:space="preserve"> </w:t>
            </w:r>
            <w:r>
              <w:rPr>
                <w:bCs/>
                <w:b/>
              </w:rPr>
              <w:t xml:space="preserve">for</w:t>
            </w:r>
            <w:r>
              <w:t xml:space="preserve"> </w:t>
            </w:r>
            <m:oMath>
              <m:r>
                <w:rPr>
                  <w:rFonts w:ascii="Cambria Math" w:hAnsi="Cambria Math"/>
                  <w:sz w:val="15"/>
                  <w:szCs w:val="15"/>
                </w:rPr>
                <m:t>C</m:t>
              </m:r>
              <m:r>
                <m:rPr>
                  <m:sty m:val="p"/>
                </m:rPr>
                <w:rPr>
                  <w:rFonts w:ascii="Cambria Math" w:hAnsi="Cambria Math"/>
                  <w:sz w:val="15"/>
                  <w:szCs w:val="15"/>
                </w:rPr>
                <m:t>∈</m:t>
              </m:r>
              <m:r>
                <m:rPr>
                  <m:scr m:val="script"/>
                  <m:sty m:val="p"/>
                </m:rPr>
                <w:rPr>
                  <w:rFonts w:ascii="Cambria Math" w:hAnsi="Cambria Math"/>
                  <w:sz w:val="15"/>
                  <w:szCs w:val="15"/>
                </w:rPr>
                <m:t>G</m:t>
              </m:r>
            </m:oMath>
            <w:r>
              <w:t xml:space="preserve"> </w:t>
            </w:r>
            <w:r>
              <w:rPr>
                <w:bCs/>
                <w:b/>
              </w:rPr>
              <w:t xml:space="preserve">do</w:t>
            </w:r>
            <w:r>
              <w:t xml:space="preserve"> </w:t>
            </w:r>
            <w:r>
              <w:t xml:space="preserve">sort the margins</w:t>
            </w:r>
            <w:r>
              <w:t xml:space="preserve"> </w:t>
            </w:r>
            <m:oMath>
              <m:sSub>
                <m:e>
                  <m:r>
                    <w:rPr>
                      <w:rFonts w:ascii="Cambria Math" w:hAnsi="Cambria Math"/>
                      <w:sz w:val="15"/>
                      <w:szCs w:val="15"/>
                    </w:rPr>
                    <m:t>δ</m:t>
                  </m:r>
                </m:e>
                <m:sub>
                  <m:r>
                    <w:rPr>
                      <w:rFonts w:ascii="Cambria Math" w:hAnsi="Cambria Math"/>
                      <w:sz w:val="15"/>
                      <w:szCs w:val="15"/>
                    </w:rPr>
                    <m:t>d</m:t>
                  </m:r>
                </m:sub>
              </m:sSub>
              <m:d>
                <m:dPr>
                  <m:begChr m:val="("/>
                  <m:sepChr m:val=""/>
                  <m:endChr m:val=")"/>
                  <m:grow/>
                </m:dPr>
                <m:e>
                  <m:r>
                    <w:rPr>
                      <w:rFonts w:ascii="Cambria Math" w:hAnsi="Cambria Math"/>
                      <w:sz w:val="15"/>
                      <w:szCs w:val="15"/>
                    </w:rPr>
                    <m:t>C</m:t>
                  </m:r>
                </m:e>
              </m:d>
            </m:oMath>
            <w:r>
              <w:t xml:space="preserve">,</w:t>
            </w:r>
            <w:r>
              <w:t xml:space="preserve"> </w:t>
            </w:r>
            <m:oMath>
              <m:r>
                <w:rPr>
                  <w:rFonts w:ascii="Cambria Math" w:hAnsi="Cambria Math"/>
                  <w:sz w:val="15"/>
                  <w:szCs w:val="15"/>
                </w:rPr>
                <m:t>d</m:t>
              </m:r>
              <m:r>
                <m:rPr>
                  <m:sty m:val="p"/>
                </m:rPr>
                <w:rPr>
                  <w:rFonts w:ascii="Cambria Math" w:hAnsi="Cambria Math"/>
                  <w:sz w:val="15"/>
                  <w:szCs w:val="15"/>
                </w:rPr>
                <m:t>∈</m:t>
              </m:r>
              <m:sSub>
                <m:e>
                  <m:r>
                    <m:rPr>
                      <m:scr m:val="script"/>
                      <m:sty m:val="p"/>
                    </m:rPr>
                    <w:rPr>
                      <w:rFonts w:ascii="Cambria Math" w:hAnsi="Cambria Math"/>
                      <w:sz w:val="15"/>
                      <w:szCs w:val="15"/>
                    </w:rPr>
                    <m:t>D</m:t>
                  </m:r>
                </m:e>
                <m:sub>
                  <m:r>
                    <w:rPr>
                      <w:rFonts w:ascii="Cambria Math" w:hAnsi="Cambria Math"/>
                      <w:sz w:val="15"/>
                      <w:szCs w:val="15"/>
                    </w:rPr>
                    <m:t>C</m:t>
                  </m:r>
                </m:sub>
              </m:sSub>
            </m:oMath>
            <w:r>
              <w:t xml:space="preserve">;</w:t>
            </w:r>
            <w:r>
              <w:t xml:space="preserve"> </w:t>
            </w:r>
            <m:oMath>
              <m:r>
                <w:rPr>
                  <w:rFonts w:ascii="Cambria Math" w:hAnsi="Cambria Math"/>
                  <w:sz w:val="15"/>
                  <w:szCs w:val="15"/>
                </w:rPr>
                <m:t>q</m:t>
              </m:r>
              <m:d>
                <m:dPr>
                  <m:begChr m:val="("/>
                  <m:sepChr m:val=""/>
                  <m:endChr m:val=")"/>
                  <m:grow/>
                </m:dPr>
                <m:e>
                  <m:r>
                    <w:rPr>
                      <w:rFonts w:ascii="Cambria Math" w:hAnsi="Cambria Math"/>
                      <w:sz w:val="15"/>
                      <w:szCs w:val="15"/>
                    </w:rPr>
                    <m:t>C</m:t>
                  </m:r>
                </m:e>
              </m:d>
              <m:r>
                <m:rPr>
                  <m:sty m:val="p"/>
                </m:rPr>
                <w:rPr>
                  <w:rFonts w:ascii="Cambria Math" w:hAnsi="Cambria Math"/>
                  <w:sz w:val="15"/>
                  <w:szCs w:val="15"/>
                </w:rPr>
                <m:t>←</m:t>
              </m:r>
              <m:r>
                <w:rPr>
                  <w:rFonts w:ascii="Cambria Math" w:hAnsi="Cambria Math"/>
                  <w:sz w:val="15"/>
                  <w:szCs w:val="15"/>
                </w:rPr>
                <m:t>n</m:t>
              </m:r>
              <m:d>
                <m:dPr>
                  <m:begChr m:val="("/>
                  <m:sepChr m:val=""/>
                  <m:endChr m:val=")"/>
                  <m:grow/>
                </m:dPr>
                <m:e>
                  <m:r>
                    <w:rPr>
                      <w:rFonts w:ascii="Cambria Math" w:hAnsi="Cambria Math"/>
                      <w:sz w:val="15"/>
                      <w:szCs w:val="15"/>
                    </w:rPr>
                    <m:t>C</m:t>
                  </m:r>
                </m:e>
              </m:d>
              <m:r>
                <m:rPr>
                  <m:sty m:val="p"/>
                </m:rPr>
                <w:rPr>
                  <w:rFonts w:ascii="Cambria Math" w:hAnsi="Cambria Math"/>
                  <w:sz w:val="15"/>
                  <w:szCs w:val="15"/>
                </w:rPr>
                <m:t>−</m:t>
              </m:r>
              <m:r>
                <w:rPr>
                  <w:rFonts w:ascii="Cambria Math" w:hAnsi="Cambria Math"/>
                  <w:sz w:val="15"/>
                  <w:szCs w:val="15"/>
                </w:rPr>
                <m:t>ρ</m:t>
              </m:r>
              <m:r>
                <w:rPr>
                  <w:rFonts w:ascii="Cambria Math" w:hAnsi="Cambria Math"/>
                  <w:sz w:val="15"/>
                  <w:szCs w:val="15"/>
                </w:rPr>
                <m:t>N</m:t>
              </m:r>
            </m:oMath>
            <w:r>
              <w:t xml:space="preserve">; margin</w:t>
            </w:r>
            <w:r>
              <w:t xml:space="preserve"> </w:t>
            </w:r>
            <m:oMath>
              <m:sSub>
                <m:e>
                  <m:r>
                    <w:rPr>
                      <w:rFonts w:ascii="Cambria Math" w:hAnsi="Cambria Math"/>
                      <w:sz w:val="15"/>
                      <w:szCs w:val="15"/>
                    </w:rPr>
                    <m:t>Φ</m:t>
                  </m:r>
                </m:e>
                <m:sub>
                  <m:r>
                    <w:rPr>
                      <w:rFonts w:ascii="Cambria Math" w:hAnsi="Cambria Math"/>
                      <w:sz w:val="15"/>
                      <w:szCs w:val="15"/>
                    </w:rPr>
                    <m:t>ρ</m:t>
                  </m:r>
                </m:sub>
              </m:sSub>
              <m:d>
                <m:dPr>
                  <m:begChr m:val="("/>
                  <m:sepChr m:val=""/>
                  <m:endChr m:val=")"/>
                  <m:grow/>
                </m:dPr>
                <m:e>
                  <m:r>
                    <w:rPr>
                      <w:rFonts w:ascii="Cambria Math" w:hAnsi="Cambria Math"/>
                      <w:sz w:val="15"/>
                      <w:szCs w:val="15"/>
                    </w:rPr>
                    <m:t>C</m:t>
                  </m:r>
                </m:e>
              </m:d>
            </m:oMath>
            <w:r>
              <w:t xml:space="preserve"> </w:t>
            </w:r>
            <w:r>
              <w:t xml:space="preserve">(54)</w:t>
            </w:r>
          </w:p>
        </w:tc>
      </w:tr>
      <w:tr>
        <w:tc>
          <w:tcPr>
            <w:tcW w:w="10206" w:type="dxa"/>
          </w:tcPr>
          <w:p>
            <w:pPr>
              <w:pStyle w:val="TableText"/>
              <w:jc w:val="left"/>
            </w:pPr>
            <w:r>
              <w:t xml:space="preserve">5:</w:t>
            </w:r>
            <w:r>
              <w:t xml:space="preserve"> </w:t>
            </w:r>
            <m:oMath>
              <m:sSup>
                <m:e>
                  <m:r>
                    <w:rPr>
                      <w:rFonts w:ascii="Cambria Math" w:hAnsi="Cambria Math"/>
                      <w:sz w:val="15"/>
                      <w:szCs w:val="15"/>
                    </w:rPr>
                    <m:t>C</m:t>
                  </m:r>
                </m:e>
                <m:sup>
                  <m:r>
                    <w:rPr>
                      <w:rFonts w:ascii="Cambria Math" w:hAnsi="Cambria Math"/>
                      <w:sz w:val="15"/>
                      <w:szCs w:val="15"/>
                    </w:rPr>
                    <m:t>D</m:t>
                  </m:r>
                  <m:r>
                    <w:rPr>
                      <w:rFonts w:ascii="Cambria Math" w:hAnsi="Cambria Math"/>
                      <w:sz w:val="15"/>
                      <w:szCs w:val="15"/>
                    </w:rPr>
                    <m:t>R</m:t>
                  </m:r>
                  <m:r>
                    <w:rPr>
                      <w:rFonts w:ascii="Cambria Math" w:hAnsi="Cambria Math"/>
                      <w:sz w:val="15"/>
                      <w:szCs w:val="15"/>
                    </w:rPr>
                    <m:t>O</m:t>
                  </m:r>
                </m:sup>
              </m:sSup>
              <m:r>
                <m:rPr>
                  <m:sty m:val="p"/>
                </m:rPr>
                <w:rPr>
                  <w:rFonts w:ascii="Cambria Math" w:hAnsi="Cambria Math"/>
                  <w:sz w:val="15"/>
                  <w:szCs w:val="15"/>
                </w:rPr>
                <m:t>←</m:t>
              </m:r>
              <m:r>
                <m:rPr>
                  <m:sty m:val="p"/>
                </m:rPr>
                <w:rPr>
                  <w:rFonts w:ascii="Cambria Math" w:hAnsi="Cambria Math"/>
                  <w:sz w:val="15"/>
                  <w:szCs w:val="15"/>
                </w:rPr>
                <m:t>max</m:t>
              </m:r>
              <m:r>
                <m:rPr>
                  <m:sty m:val="p"/>
                </m:rPr>
                <w:rPr>
                  <w:rFonts w:ascii="Cambria Math" w:hAnsi="Cambria Math"/>
                  <w:sz w:val="15"/>
                  <w:szCs w:val="15"/>
                </w:rPr>
                <m:t>{</m:t>
              </m:r>
              <m:r>
                <w:rPr>
                  <w:rFonts w:ascii="Cambria Math" w:hAnsi="Cambria Math"/>
                  <w:sz w:val="15"/>
                  <w:szCs w:val="15"/>
                </w:rPr>
                <m:t>C</m:t>
              </m:r>
              <m:r>
                <m:rPr>
                  <m:sty m:val="p"/>
                </m:rPr>
                <w:rPr>
                  <w:rFonts w:ascii="Cambria Math" w:hAnsi="Cambria Math"/>
                  <w:sz w:val="15"/>
                  <w:szCs w:val="15"/>
                </w:rPr>
                <m:t>∈</m:t>
              </m:r>
              <m:r>
                <m:rPr>
                  <m:scr m:val="script"/>
                  <m:sty m:val="p"/>
                </m:rPr>
                <w:rPr>
                  <w:rFonts w:ascii="Cambria Math" w:hAnsi="Cambria Math"/>
                  <w:sz w:val="15"/>
                  <w:szCs w:val="15"/>
                </w:rPr>
                <m:t>G</m:t>
              </m:r>
              <m:r>
                <m:rPr>
                  <m:sty m:val="p"/>
                </m:rPr>
                <w:rPr>
                  <w:rFonts w:ascii="Cambria Math" w:hAnsi="Cambria Math"/>
                  <w:sz w:val="15"/>
                  <w:szCs w:val="15"/>
                </w:rPr>
                <m:t>:</m:t>
              </m:r>
              <m:r>
                <w:rPr>
                  <w:rFonts w:ascii="Cambria Math" w:hAnsi="Cambria Math"/>
                  <w:sz w:val="15"/>
                  <w:szCs w:val="15"/>
                </w:rPr>
                <m:t> </m:t>
              </m:r>
              <m:r>
                <w:rPr>
                  <w:rFonts w:ascii="Cambria Math" w:hAnsi="Cambria Math"/>
                  <w:sz w:val="15"/>
                  <w:szCs w:val="15"/>
                </w:rPr>
                <m:t>q</m:t>
              </m:r>
              <m:d>
                <m:dPr>
                  <m:begChr m:val="("/>
                  <m:sepChr m:val=""/>
                  <m:endChr m:val=")"/>
                  <m:grow/>
                </m:dPr>
                <m:e>
                  <m:r>
                    <w:rPr>
                      <w:rFonts w:ascii="Cambria Math" w:hAnsi="Cambria Math"/>
                      <w:sz w:val="15"/>
                      <w:szCs w:val="15"/>
                    </w:rPr>
                    <m:t>C</m:t>
                  </m:r>
                </m:e>
              </m:d>
              <m:r>
                <m:rPr>
                  <m:sty m:val="p"/>
                </m:rPr>
                <w:rPr>
                  <w:rFonts w:ascii="Cambria Math" w:hAnsi="Cambria Math"/>
                  <w:sz w:val="15"/>
                  <w:szCs w:val="15"/>
                </w:rPr>
                <m:t>≥</m:t>
              </m:r>
              <m:r>
                <w:rPr>
                  <w:rFonts w:ascii="Cambria Math" w:hAnsi="Cambria Math"/>
                  <w:sz w:val="15"/>
                  <w:szCs w:val="15"/>
                </w:rPr>
                <m:t>0</m:t>
              </m:r>
              <m:r>
                <m:rPr>
                  <m:sty m:val="p"/>
                </m:rPr>
                <w:rPr>
                  <w:rFonts w:ascii="Cambria Math" w:hAnsi="Cambria Math"/>
                  <w:sz w:val="15"/>
                  <w:szCs w:val="15"/>
                </w:rPr>
                <m:t>,</m:t>
              </m:r>
              <m:r>
                <w:rPr>
                  <w:rFonts w:ascii="Cambria Math" w:hAnsi="Cambria Math"/>
                  <w:sz w:val="15"/>
                  <w:szCs w:val="15"/>
                </w:rPr>
                <m:t> </m:t>
              </m:r>
              <m:sSub>
                <m:e>
                  <m:r>
                    <w:rPr>
                      <w:rFonts w:ascii="Cambria Math" w:hAnsi="Cambria Math"/>
                      <w:sz w:val="15"/>
                      <w:szCs w:val="15"/>
                    </w:rPr>
                    <m:t>Φ</m:t>
                  </m:r>
                </m:e>
                <m:sub>
                  <m:r>
                    <w:rPr>
                      <w:rFonts w:ascii="Cambria Math" w:hAnsi="Cambria Math"/>
                      <w:sz w:val="15"/>
                      <w:szCs w:val="15"/>
                    </w:rPr>
                    <m:t>ρ</m:t>
                  </m:r>
                </m:sub>
              </m:sSub>
              <m:d>
                <m:dPr>
                  <m:begChr m:val="("/>
                  <m:sepChr m:val=""/>
                  <m:endChr m:val=")"/>
                  <m:grow/>
                </m:dPr>
                <m:e>
                  <m:r>
                    <w:rPr>
                      <w:rFonts w:ascii="Cambria Math" w:hAnsi="Cambria Math"/>
                      <w:sz w:val="15"/>
                      <w:szCs w:val="15"/>
                    </w:rPr>
                    <m:t>C</m:t>
                  </m:r>
                </m:e>
              </m:d>
              <m:r>
                <m:rPr>
                  <m:sty m:val="p"/>
                </m:rPr>
                <w:rPr>
                  <w:rFonts w:ascii="Cambria Math" w:hAnsi="Cambria Math"/>
                  <w:sz w:val="15"/>
                  <w:szCs w:val="15"/>
                </w:rPr>
                <m:t>≥</m:t>
              </m:r>
              <m:r>
                <w:rPr>
                  <w:rFonts w:ascii="Cambria Math" w:hAnsi="Cambria Math"/>
                  <w:sz w:val="15"/>
                  <w:szCs w:val="15"/>
                </w:rPr>
                <m:t>ε</m:t>
              </m:r>
              <m:r>
                <m:rPr>
                  <m:sty m:val="p"/>
                </m:rPr>
                <w:rPr>
                  <w:rFonts w:ascii="Cambria Math" w:hAnsi="Cambria Math"/>
                  <w:sz w:val="15"/>
                  <w:szCs w:val="15"/>
                </w:rPr>
                <m:t>}</m:t>
              </m:r>
            </m:oMath>
            <w:r>
              <w:t xml:space="preserve"> </w:t>
            </w:r>
            <w:r>
              <w:t xml:space="preserve">(50);</w:t>
            </w:r>
            <w:r>
              <w:t xml:space="preserve"> </w:t>
            </w:r>
            <m:oMath>
              <m:sSup>
                <m:e>
                  <m:r>
                    <w:rPr>
                      <w:rFonts w:ascii="Cambria Math" w:hAnsi="Cambria Math"/>
                      <w:sz w:val="15"/>
                      <w:szCs w:val="15"/>
                    </w:rPr>
                    <m:t>C</m:t>
                  </m:r>
                </m:e>
                <m:sup>
                  <m:r>
                    <m:rPr>
                      <m:lit/>
                      <m:sty m:val="p"/>
                    </m:rPr>
                    <w:rPr>
                      <w:rFonts w:ascii="Cambria Math" w:hAnsi="Cambria Math"/>
                      <w:sz w:val="15"/>
                      <w:szCs w:val="15"/>
                    </w:rPr>
                    <m:t>*</m:t>
                  </m:r>
                </m:sup>
              </m:sSup>
              <m:r>
                <m:rPr>
                  <m:sty m:val="p"/>
                </m:rPr>
                <w:rPr>
                  <w:rFonts w:ascii="Cambria Math" w:hAnsi="Cambria Math"/>
                  <w:sz w:val="15"/>
                  <w:szCs w:val="15"/>
                </w:rPr>
                <m:t>←</m:t>
              </m:r>
              <m:r>
                <m:rPr>
                  <m:sty m:val="p"/>
                </m:rPr>
                <w:rPr>
                  <w:rFonts w:ascii="Cambria Math" w:hAnsi="Cambria Math"/>
                  <w:sz w:val="15"/>
                  <w:szCs w:val="15"/>
                </w:rPr>
                <m:t>arg</m:t>
              </m:r>
              <m:r>
                <m:rPr>
                  <m:sty m:val="p"/>
                </m:rPr>
                <w:rPr>
                  <w:rFonts w:ascii="Cambria Math" w:hAnsi="Cambria Math"/>
                  <w:sz w:val="15"/>
                  <w:szCs w:val="15"/>
                </w:rPr>
                <m:t>min</m:t>
              </m:r>
              <m:r>
                <m:rPr>
                  <m:sty m:val="p"/>
                </m:rPr>
                <w:rPr>
                  <w:rFonts w:ascii="Cambria Math" w:hAnsi="Cambria Math"/>
                  <w:sz w:val="15"/>
                  <w:szCs w:val="15"/>
                </w:rPr>
                <m:t>{</m:t>
              </m:r>
              <m:acc>
                <m:accPr>
                  <m:chr m:val="‾"/>
                </m:accPr>
                <m:e>
                  <m:r>
                    <w:rPr>
                      <w:rFonts w:ascii="Cambria Math" w:hAnsi="Cambria Math"/>
                      <w:sz w:val="15"/>
                      <w:szCs w:val="15"/>
                    </w:rPr>
                    <m:t>J</m:t>
                  </m:r>
                </m:e>
              </m:acc>
              <m:d>
                <m:dPr>
                  <m:begChr m:val="("/>
                  <m:sepChr m:val=""/>
                  <m:endChr m:val=")"/>
                  <m:grow/>
                </m:dPr>
                <m:e>
                  <m:r>
                    <w:rPr>
                      <w:rFonts w:ascii="Cambria Math" w:hAnsi="Cambria Math"/>
                      <w:sz w:val="15"/>
                      <w:szCs w:val="15"/>
                    </w:rPr>
                    <m:t>C</m:t>
                  </m:r>
                </m:e>
              </m:d>
              <m:r>
                <m:rPr>
                  <m:sty m:val="p"/>
                </m:rPr>
                <w:rPr>
                  <w:rFonts w:ascii="Cambria Math" w:hAnsi="Cambria Math"/>
                  <w:sz w:val="15"/>
                  <w:szCs w:val="15"/>
                </w:rPr>
                <m:t>:</m:t>
              </m:r>
              <m:r>
                <w:rPr>
                  <w:rFonts w:ascii="Cambria Math" w:hAnsi="Cambria Math"/>
                  <w:sz w:val="15"/>
                  <w:szCs w:val="15"/>
                </w:rPr>
                <m:t> </m:t>
              </m:r>
              <m:r>
                <w:rPr>
                  <w:rFonts w:ascii="Cambria Math" w:hAnsi="Cambria Math"/>
                  <w:sz w:val="15"/>
                  <w:szCs w:val="15"/>
                </w:rPr>
                <m:t>C</m:t>
              </m:r>
              <m:r>
                <m:rPr>
                  <m:sty m:val="p"/>
                </m:rPr>
                <w:rPr>
                  <w:rFonts w:ascii="Cambria Math" w:hAnsi="Cambria Math"/>
                  <w:sz w:val="15"/>
                  <w:szCs w:val="15"/>
                </w:rPr>
                <m:t>≤</m:t>
              </m:r>
              <m:sSup>
                <m:e>
                  <m:r>
                    <w:rPr>
                      <w:rFonts w:ascii="Cambria Math" w:hAnsi="Cambria Math"/>
                      <w:sz w:val="15"/>
                      <w:szCs w:val="15"/>
                    </w:rPr>
                    <m:t>C</m:t>
                  </m:r>
                </m:e>
                <m:sup>
                  <m:r>
                    <w:rPr>
                      <w:rFonts w:ascii="Cambria Math" w:hAnsi="Cambria Math"/>
                      <w:sz w:val="15"/>
                      <w:szCs w:val="15"/>
                    </w:rPr>
                    <m:t>D</m:t>
                  </m:r>
                  <m:r>
                    <w:rPr>
                      <w:rFonts w:ascii="Cambria Math" w:hAnsi="Cambria Math"/>
                      <w:sz w:val="15"/>
                      <w:szCs w:val="15"/>
                    </w:rPr>
                    <m:t>R</m:t>
                  </m:r>
                  <m:r>
                    <w:rPr>
                      <w:rFonts w:ascii="Cambria Math" w:hAnsi="Cambria Math"/>
                      <w:sz w:val="15"/>
                      <w:szCs w:val="15"/>
                    </w:rPr>
                    <m:t>O</m:t>
                  </m:r>
                </m:sup>
              </m:sSup>
              <m:r>
                <m:rPr>
                  <m:sty m:val="p"/>
                </m:rPr>
                <w:rPr>
                  <w:rFonts w:ascii="Cambria Math" w:hAnsi="Cambria Math"/>
                  <w:sz w:val="15"/>
                  <w:szCs w:val="15"/>
                </w:rPr>
                <m:t>}</m:t>
              </m:r>
            </m:oMath>
            <w:r>
              <w:t xml:space="preserve"> </w:t>
            </w:r>
            <w:r>
              <w:t xml:space="preserve">(57)</w:t>
            </w:r>
          </w:p>
        </w:tc>
      </w:tr>
      <w:tr>
        <w:tc>
          <w:tcPr>
            <w:tcW w:w="10206" w:type="dxa"/>
          </w:tcPr>
          <w:p>
            <w:pPr>
              <w:pStyle w:val="TableText"/>
              <w:jc w:val="left"/>
            </w:pPr>
            <w:r>
              <w:rPr>
                <w:iCs/>
                <w:i/>
                <w:bCs/>
                <w:b/>
              </w:rPr>
              <w:t xml:space="preserve">Stage II: firm capacity on the operating days (Section 3.6)</w:t>
            </w:r>
          </w:p>
        </w:tc>
      </w:tr>
      <w:tr>
        <w:tc>
          <w:tcPr>
            <w:tcW w:w="10206" w:type="dxa"/>
          </w:tcPr>
          <w:p>
            <w:pPr>
              <w:pStyle w:val="TableText"/>
              <w:jc w:val="left"/>
            </w:pPr>
            <w:r>
              <w:t xml:space="preserve">6:</w:t>
            </w:r>
            <w:r>
              <w:t xml:space="preserve"> </w:t>
            </w:r>
            <w:r>
              <w:rPr>
                <w:bCs/>
                <w:b/>
              </w:rPr>
              <w:t xml:space="preserve">for</w:t>
            </w:r>
            <w:r>
              <w:t xml:space="preserve"> </w:t>
            </w:r>
            <w:r>
              <w:t xml:space="preserve">every</w:t>
            </w:r>
            <w:r>
              <w:t xml:space="preserve"> </w:t>
            </w:r>
            <m:oMath>
              <m:r>
                <w:rPr>
                  <w:rFonts w:ascii="Cambria Math" w:hAnsi="Cambria Math"/>
                  <w:sz w:val="15"/>
                  <w:szCs w:val="15"/>
                </w:rPr>
                <m:t>C</m:t>
              </m:r>
              <m:r>
                <m:rPr>
                  <m:sty m:val="p"/>
                </m:rPr>
                <w:rPr>
                  <w:rFonts w:ascii="Cambria Math" w:hAnsi="Cambria Math"/>
                  <w:sz w:val="15"/>
                  <w:szCs w:val="15"/>
                </w:rPr>
                <m:t>∈</m:t>
              </m:r>
              <m:r>
                <m:rPr>
                  <m:scr m:val="script"/>
                  <m:sty m:val="p"/>
                </m:rPr>
                <w:rPr>
                  <w:rFonts w:ascii="Cambria Math" w:hAnsi="Cambria Math"/>
                  <w:sz w:val="15"/>
                  <w:szCs w:val="15"/>
                </w:rPr>
                <m:t>G</m:t>
              </m:r>
            </m:oMath>
            <w:r>
              <w:t xml:space="preserve"> </w:t>
            </w:r>
            <w:r>
              <w:t xml:space="preserve">and</w:t>
            </w:r>
            <w:r>
              <w:t xml:space="preserve"> </w:t>
            </w:r>
            <m:oMath>
              <m:r>
                <w:rPr>
                  <w:rFonts w:ascii="Cambria Math" w:hAnsi="Cambria Math"/>
                  <w:sz w:val="15"/>
                  <w:szCs w:val="15"/>
                </w:rPr>
                <m:t>ω</m:t>
              </m:r>
              <m:r>
                <m:rPr>
                  <m:sty m:val="p"/>
                </m:rPr>
                <w:rPr>
                  <w:rFonts w:ascii="Cambria Math" w:hAnsi="Cambria Math"/>
                  <w:sz w:val="15"/>
                  <w:szCs w:val="15"/>
                </w:rPr>
                <m:t>∈</m:t>
              </m:r>
              <m:r>
                <w:rPr>
                  <w:rFonts w:ascii="Cambria Math" w:hAnsi="Cambria Math"/>
                  <w:sz w:val="15"/>
                  <w:szCs w:val="15"/>
                </w:rPr>
                <m:t>Ω</m:t>
              </m:r>
            </m:oMath>
            <w:r>
              <w:t xml:space="preserve"> </w:t>
            </w:r>
            <w:r>
              <w:rPr>
                <w:bCs/>
                <w:b/>
              </w:rPr>
              <w:t xml:space="preserve">do</w:t>
            </w:r>
            <w:r>
              <w:t xml:space="preserve"> </w:t>
            </w:r>
            <w:r>
              <w:t xml:space="preserve">run Stage III with commitment</w:t>
            </w:r>
            <w:r>
              <w:t xml:space="preserve"> </w:t>
            </w:r>
            <m:oMath>
              <m:r>
                <w:rPr>
                  <w:rFonts w:ascii="Cambria Math" w:hAnsi="Cambria Math"/>
                  <w:sz w:val="15"/>
                  <w:szCs w:val="15"/>
                </w:rPr>
                <m:t>C</m:t>
              </m:r>
            </m:oMath>
          </w:p>
        </w:tc>
      </w:tr>
      <w:tr>
        <w:tc>
          <w:tcPr>
            <w:tcW w:w="10206" w:type="dxa"/>
          </w:tcPr>
          <w:p>
            <w:pPr>
              <w:pStyle w:val="TableText"/>
              <w:jc w:val="left"/>
            </w:pPr>
            <w:r>
              <w:t xml:space="preserve">7:</w:t>
            </w:r>
            <w:r>
              <w:t xml:space="preserve"> </w:t>
            </w:r>
            <m:oMath>
              <m:sSubSup>
                <m:e>
                  <m:acc>
                    <m:accPr>
                      <m:chr m:val="̂"/>
                    </m:accPr>
                    <m:e>
                      <m:r>
                        <w:rPr>
                          <w:rFonts w:ascii="Cambria Math" w:hAnsi="Cambria Math"/>
                          <w:sz w:val="15"/>
                          <w:szCs w:val="15"/>
                        </w:rPr>
                        <m:t>C</m:t>
                      </m:r>
                    </m:e>
                  </m:acc>
                </m:e>
                <m:sub>
                  <m:r>
                    <w:rPr>
                      <w:rFonts w:ascii="Cambria Math" w:hAnsi="Cambria Math"/>
                      <w:sz w:val="15"/>
                      <w:szCs w:val="15"/>
                    </w:rPr>
                    <m:t>ρ</m:t>
                  </m:r>
                </m:sub>
                <m:sup>
                  <m:r>
                    <w:rPr>
                      <w:rFonts w:ascii="Cambria Math" w:hAnsi="Cambria Math"/>
                      <w:sz w:val="15"/>
                      <w:szCs w:val="15"/>
                    </w:rPr>
                    <m:t>f</m:t>
                  </m:r>
                  <m:r>
                    <w:rPr>
                      <w:rFonts w:ascii="Cambria Math" w:hAnsi="Cambria Math"/>
                      <w:sz w:val="15"/>
                      <w:szCs w:val="15"/>
                    </w:rPr>
                    <m:t>i</m:t>
                  </m:r>
                  <m:r>
                    <w:rPr>
                      <w:rFonts w:ascii="Cambria Math" w:hAnsi="Cambria Math"/>
                      <w:sz w:val="15"/>
                      <w:szCs w:val="15"/>
                    </w:rPr>
                    <m:t>r</m:t>
                  </m:r>
                  <m:r>
                    <w:rPr>
                      <w:rFonts w:ascii="Cambria Math" w:hAnsi="Cambria Math"/>
                      <w:sz w:val="15"/>
                      <w:szCs w:val="15"/>
                    </w:rPr>
                    <m:t>m</m:t>
                  </m:r>
                </m:sup>
              </m:sSubSup>
              <m:r>
                <m:rPr>
                  <m:sty m:val="p"/>
                </m:rPr>
                <w:rPr>
                  <w:rFonts w:ascii="Cambria Math" w:hAnsi="Cambria Math"/>
                  <w:sz w:val="15"/>
                  <w:szCs w:val="15"/>
                </w:rPr>
                <m:t>←</m:t>
              </m:r>
            </m:oMath>
            <w:r>
              <w:t xml:space="preserve"> </w:t>
            </w:r>
            <w:r>
              <w:t xml:space="preserve">largest</w:t>
            </w:r>
            <w:r>
              <w:t xml:space="preserve"> </w:t>
            </w:r>
            <m:oMath>
              <m:r>
                <w:rPr>
                  <w:rFonts w:ascii="Cambria Math" w:hAnsi="Cambria Math"/>
                  <w:sz w:val="15"/>
                  <w:szCs w:val="15"/>
                </w:rPr>
                <m:t>C</m:t>
              </m:r>
            </m:oMath>
            <w:r>
              <w:t xml:space="preserve"> </w:t>
            </w:r>
            <w:r>
              <w:t xml:space="preserve">whose full-delivery share is at least</w:t>
            </w:r>
            <w:r>
              <w:t xml:space="preserve"> </w:t>
            </w:r>
            <m:oMath>
              <m:r>
                <w:rPr>
                  <w:rFonts w:ascii="Cambria Math" w:hAnsi="Cambria Math"/>
                  <w:sz w:val="15"/>
                  <w:szCs w:val="15"/>
                </w:rPr>
                <m:t>ρ</m:t>
              </m:r>
            </m:oMath>
            <w:r>
              <w:t xml:space="preserve"> </w:t>
            </w:r>
            <w:r>
              <w:t xml:space="preserve">for all</w:t>
            </w:r>
            <w:r>
              <w:t xml:space="preserve"> </w:t>
            </w:r>
            <m:oMath>
              <m:r>
                <w:rPr>
                  <w:rFonts w:ascii="Cambria Math" w:hAnsi="Cambria Math"/>
                  <w:sz w:val="15"/>
                  <w:szCs w:val="15"/>
                </w:rPr>
                <m:t>C</m:t>
              </m:r>
              <m:r>
                <m:rPr>
                  <m:sty m:val="p"/>
                </m:rPr>
                <w:rPr>
                  <w:rFonts w:ascii="Cambria Math" w:hAnsi="Cambria Math"/>
                  <w:sz w:val="15"/>
                  <w:szCs w:val="15"/>
                </w:rPr>
                <m:t>′</m:t>
              </m:r>
              <m:r>
                <m:rPr>
                  <m:sty m:val="p"/>
                </m:rPr>
                <w:rPr>
                  <w:rFonts w:ascii="Cambria Math" w:hAnsi="Cambria Math"/>
                  <w:sz w:val="15"/>
                  <w:szCs w:val="15"/>
                </w:rPr>
                <m:t>≤</m:t>
              </m:r>
              <m:r>
                <w:rPr>
                  <w:rFonts w:ascii="Cambria Math" w:hAnsi="Cambria Math"/>
                  <w:sz w:val="15"/>
                  <w:szCs w:val="15"/>
                </w:rPr>
                <m:t>C</m:t>
              </m:r>
            </m:oMath>
            <w:r>
              <w:t xml:space="preserve"> </w:t>
            </w:r>
            <w:r>
              <w:t xml:space="preserve">(36); bootstrap confidence intervals over days</w:t>
            </w:r>
          </w:p>
        </w:tc>
      </w:tr>
      <w:tr>
        <w:tc>
          <w:tcPr>
            <w:tcW w:w="10206" w:type="dxa"/>
          </w:tcPr>
          <w:p>
            <w:pPr>
              <w:pStyle w:val="TableText"/>
              <w:jc w:val="left"/>
            </w:pPr>
            <w:r>
              <w:rPr>
                <w:iCs/>
                <w:i/>
                <w:bCs/>
                <w:b/>
              </w:rPr>
              <w:t xml:space="preserve">Stage III: intraday cross-event joint recovery MPC (Section 4.2), every</w:t>
            </w:r>
            <w:r>
              <w:rPr>
                <w:iCs/>
                <w:i/>
                <w:bCs/>
                <w:b/>
              </w:rPr>
              <w:t xml:space="preserve"> </w:t>
            </w:r>
            <m:oMath>
              <m:r>
                <w:rPr>
                  <w:rFonts w:ascii="Cambria Math" w:hAnsi="Cambria Math"/>
                  <w:sz w:val="15"/>
                  <w:szCs w:val="15"/>
                </w:rPr>
                <m:t>Δ</m:t>
              </m:r>
              <m:r>
                <w:rPr>
                  <w:rFonts w:ascii="Cambria Math" w:hAnsi="Cambria Math"/>
                  <w:sz w:val="15"/>
                  <w:szCs w:val="15"/>
                </w:rPr>
                <m:t>t</m:t>
              </m:r>
            </m:oMath>
            <w:r>
              <w:rPr>
                <w:iCs/>
                <w:i/>
                <w:bCs/>
                <w:b/>
              </w:rPr>
              <w:t xml:space="preserve"> </w:t>
            </w:r>
            <w:r>
              <w:rPr>
                <w:iCs/>
                <w:i/>
                <w:bCs/>
                <w:b/>
              </w:rPr>
              <w:t xml:space="preserve">= 15 min</w:t>
            </w:r>
          </w:p>
        </w:tc>
      </w:tr>
      <w:tr>
        <w:tc>
          <w:tcPr>
            <w:tcW w:w="10206" w:type="dxa"/>
          </w:tcPr>
          <w:p>
            <w:pPr>
              <w:pStyle w:val="TableText"/>
              <w:jc w:val="left"/>
            </w:pPr>
            <w:r>
              <w:t xml:space="preserve">8: measure</w:t>
            </w:r>
            <w:r>
              <w:t xml:space="preserve"> </w:t>
            </w:r>
            <m:oMath>
              <m:sSub>
                <m:e>
                  <m:acc>
                    <m:accPr>
                      <m:chr m:val="̂"/>
                    </m:accPr>
                    <m:e>
                      <m:r>
                        <m:rPr>
                          <m:sty m:val="b"/>
                        </m:rPr>
                        <w:rPr>
                          <w:rFonts w:ascii="Cambria Math" w:hAnsi="Cambria Math"/>
                          <w:sz w:val="15"/>
                          <w:szCs w:val="15"/>
                        </w:rPr>
                        <m:t>x</m:t>
                      </m:r>
                    </m:e>
                  </m:acc>
                </m:e>
                <m:sub>
                  <m:r>
                    <w:rPr>
                      <w:rFonts w:ascii="Cambria Math" w:hAnsi="Cambria Math"/>
                      <w:sz w:val="15"/>
                      <w:szCs w:val="15"/>
                    </w:rPr>
                    <m:t>t</m:t>
                  </m:r>
                </m:sub>
              </m:sSub>
              <m:r>
                <m:rPr>
                  <m:sty m:val="p"/>
                </m:rPr>
                <w:rPr>
                  <w:rFonts w:ascii="Cambria Math" w:hAnsi="Cambria Math"/>
                  <w:sz w:val="15"/>
                  <w:szCs w:val="15"/>
                </w:rPr>
                <m:t>=</m:t>
              </m:r>
              <m:d>
                <m:dPr>
                  <m:begChr m:val="("/>
                  <m:sepChr m:val=""/>
                  <m:endChr m:val=")"/>
                  <m:grow/>
                </m:dPr>
                <m:e>
                  <m:sSub>
                    <m:e>
                      <m:r>
                        <w:rPr>
                          <w:rFonts w:ascii="Cambria Math" w:hAnsi="Cambria Math"/>
                          <w:sz w:val="15"/>
                          <w:szCs w:val="15"/>
                        </w:rPr>
                        <m:t>B</m:t>
                      </m:r>
                    </m:e>
                    <m:sub>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t</m:t>
                      </m:r>
                    </m:sub>
                  </m:sSub>
                  <m:r>
                    <m:rPr>
                      <m:sty m:val="p"/>
                    </m:rPr>
                    <w:rPr>
                      <w:rFonts w:ascii="Cambria Math" w:hAnsi="Cambria Math"/>
                      <w:sz w:val="15"/>
                      <w:szCs w:val="15"/>
                    </w:rPr>
                    <m:t>,</m:t>
                  </m:r>
                  <m:sSub>
                    <m:e>
                      <m:r>
                        <w:rPr>
                          <w:rFonts w:ascii="Cambria Math" w:hAnsi="Cambria Math"/>
                          <w:sz w:val="15"/>
                          <w:szCs w:val="15"/>
                        </w:rPr>
                        <m:t>B</m:t>
                      </m:r>
                    </m:e>
                    <m:sub>
                      <m:r>
                        <w:rPr>
                          <w:rFonts w:ascii="Cambria Math" w:hAnsi="Cambria Math"/>
                          <w:sz w:val="15"/>
                          <w:szCs w:val="15"/>
                        </w:rPr>
                        <m:t>2</m:t>
                      </m:r>
                      <m:r>
                        <m:rPr>
                          <m:sty m:val="p"/>
                        </m:rPr>
                        <w:rPr>
                          <w:rFonts w:ascii="Cambria Math" w:hAnsi="Cambria Math"/>
                          <w:sz w:val="15"/>
                          <w:szCs w:val="15"/>
                        </w:rPr>
                        <m:t>,</m:t>
                      </m:r>
                      <m:r>
                        <w:rPr>
                          <w:rFonts w:ascii="Cambria Math" w:hAnsi="Cambria Math"/>
                          <w:sz w:val="15"/>
                          <w:szCs w:val="15"/>
                        </w:rPr>
                        <m:t>t</m:t>
                      </m:r>
                    </m:sub>
                  </m:sSub>
                  <m:r>
                    <m:rPr>
                      <m:sty m:val="p"/>
                    </m:rPr>
                    <w:rPr>
                      <w:rFonts w:ascii="Cambria Math" w:hAnsi="Cambria Math"/>
                      <w:sz w:val="15"/>
                      <w:szCs w:val="15"/>
                    </w:rPr>
                    <m:t>,</m:t>
                  </m:r>
                  <m:sSub>
                    <m:e>
                      <m:r>
                        <w:rPr>
                          <w:rFonts w:ascii="Cambria Math" w:hAnsi="Cambria Math"/>
                          <w:sz w:val="15"/>
                          <w:szCs w:val="15"/>
                        </w:rPr>
                        <m:t>B</m:t>
                      </m:r>
                    </m:e>
                    <m:sub>
                      <m:r>
                        <w:rPr>
                          <w:rFonts w:ascii="Cambria Math" w:hAnsi="Cambria Math"/>
                          <w:sz w:val="15"/>
                          <w:szCs w:val="15"/>
                        </w:rPr>
                        <m:t>3</m:t>
                      </m:r>
                      <m:r>
                        <m:rPr>
                          <m:sty m:val="p"/>
                        </m:rPr>
                        <w:rPr>
                          <w:rFonts w:ascii="Cambria Math" w:hAnsi="Cambria Math"/>
                          <w:sz w:val="15"/>
                          <w:szCs w:val="15"/>
                        </w:rPr>
                        <m:t>,</m:t>
                      </m:r>
                      <m:r>
                        <w:rPr>
                          <w:rFonts w:ascii="Cambria Math" w:hAnsi="Cambria Math"/>
                          <w:sz w:val="15"/>
                          <w:szCs w:val="15"/>
                        </w:rPr>
                        <m:t>t</m:t>
                      </m:r>
                    </m:sub>
                  </m:sSub>
                  <m:r>
                    <m:rPr>
                      <m:sty m:val="p"/>
                    </m:rPr>
                    <w:rPr>
                      <w:rFonts w:ascii="Cambria Math" w:hAnsi="Cambria Math"/>
                      <w:sz w:val="15"/>
                      <w:szCs w:val="15"/>
                    </w:rPr>
                    <m:t>,</m:t>
                  </m:r>
                  <m:sSub>
                    <m:e>
                      <m:r>
                        <w:rPr>
                          <w:rFonts w:ascii="Cambria Math" w:hAnsi="Cambria Math"/>
                          <w:sz w:val="15"/>
                          <w:szCs w:val="15"/>
                        </w:rPr>
                        <m:t>E</m:t>
                      </m:r>
                    </m:e>
                    <m:sub>
                      <m:r>
                        <w:rPr>
                          <w:rFonts w:ascii="Cambria Math" w:hAnsi="Cambria Math"/>
                          <w:sz w:val="15"/>
                          <w:szCs w:val="15"/>
                        </w:rPr>
                        <m:t>t</m:t>
                      </m:r>
                    </m:sub>
                  </m:sSub>
                  <m:r>
                    <m:rPr>
                      <m:sty m:val="p"/>
                    </m:rPr>
                    <w:rPr>
                      <w:rFonts w:ascii="Cambria Math" w:hAnsi="Cambria Math"/>
                      <w:sz w:val="15"/>
                      <w:szCs w:val="15"/>
                    </w:rPr>
                    <m:t>,</m:t>
                  </m:r>
                  <m:sSub>
                    <m:e>
                      <m:r>
                        <w:rPr>
                          <w:rFonts w:ascii="Cambria Math" w:hAnsi="Cambria Math"/>
                          <w:sz w:val="15"/>
                          <w:szCs w:val="15"/>
                        </w:rPr>
                        <m:t>S</m:t>
                      </m:r>
                    </m:e>
                    <m:sub>
                      <m:r>
                        <w:rPr>
                          <w:rFonts w:ascii="Cambria Math" w:hAnsi="Cambria Math"/>
                          <w:sz w:val="15"/>
                          <w:szCs w:val="15"/>
                        </w:rPr>
                        <m:t>t</m:t>
                      </m:r>
                    </m:sub>
                  </m:sSub>
                </m:e>
              </m:d>
            </m:oMath>
            <w:r>
              <w:t xml:space="preserve">, the gas-engine state, the event status and the loads</w:t>
            </w:r>
          </w:p>
        </w:tc>
      </w:tr>
      <w:tr>
        <w:tc>
          <w:tcPr>
            <w:tcW w:w="10206" w:type="dxa"/>
          </w:tcPr>
          <w:p>
            <w:pPr>
              <w:pStyle w:val="TableText"/>
              <w:jc w:val="left"/>
            </w:pPr>
            <w:r>
              <w:t xml:space="preserve">9: correct the forecasts with the latest observed errors (JR-S: build the scenario tree)</w:t>
            </w:r>
          </w:p>
        </w:tc>
      </w:tr>
      <w:tr>
        <w:tc>
          <w:tcPr>
            <w:tcW w:w="10206" w:type="dxa"/>
          </w:tcPr>
          <w:p>
            <w:pPr>
              <w:pStyle w:val="TableText"/>
              <w:jc w:val="left"/>
            </w:pPr>
            <w:r>
              <w:t xml:space="preserve">10: solve the joint recovery MILP (60) over</w:t>
            </w:r>
            <w:r>
              <w:t xml:space="preserve"> </w:t>
            </w:r>
            <m:oMath>
              <m:r>
                <w:rPr>
                  <w:rFonts w:ascii="Cambria Math" w:hAnsi="Cambria Math"/>
                  <w:sz w:val="15"/>
                  <w:szCs w:val="15"/>
                </w:rPr>
                <m:t>t</m:t>
              </m:r>
              <m:r>
                <m:rPr>
                  <m:sty m:val="p"/>
                </m:rPr>
                <w:rPr>
                  <w:rFonts w:ascii="Cambria Math" w:hAnsi="Cambria Math"/>
                  <w:sz w:val="15"/>
                  <w:szCs w:val="15"/>
                </w:rPr>
                <m:t>,</m:t>
              </m:r>
              <m:r>
                <m:rPr>
                  <m:sty m:val="p"/>
                </m:rPr>
                <w:rPr>
                  <w:rFonts w:ascii="Cambria Math" w:hAnsi="Cambria Math"/>
                  <w:sz w:val="15"/>
                  <w:szCs w:val="15"/>
                </w:rPr>
                <m:t>…</m:t>
              </m:r>
              <m:r>
                <m:rPr>
                  <m:sty m:val="p"/>
                </m:rPr>
                <w:rPr>
                  <w:rFonts w:ascii="Cambria Math" w:hAnsi="Cambria Math"/>
                  <w:sz w:val="15"/>
                  <w:szCs w:val="15"/>
                </w:rPr>
                <m:t>,</m:t>
              </m:r>
              <m:r>
                <w:rPr>
                  <w:rFonts w:ascii="Cambria Math" w:hAnsi="Cambria Math"/>
                  <w:sz w:val="15"/>
                  <w:szCs w:val="15"/>
                </w:rPr>
                <m:t>t</m:t>
              </m:r>
              <m:r>
                <m:rPr>
                  <m:sty m:val="p"/>
                </m:rPr>
                <w:rPr>
                  <w:rFonts w:ascii="Cambria Math" w:hAnsi="Cambria Math"/>
                  <w:sz w:val="15"/>
                  <w:szCs w:val="15"/>
                </w:rPr>
                <m:t>+</m:t>
              </m:r>
              <m:sSub>
                <m:e>
                  <m:r>
                    <w:rPr>
                      <w:rFonts w:ascii="Cambria Math" w:hAnsi="Cambria Math"/>
                      <w:sz w:val="15"/>
                      <w:szCs w:val="15"/>
                    </w:rPr>
                    <m:t>T</m:t>
                  </m:r>
                </m:e>
                <m:sub>
                  <m:r>
                    <w:rPr>
                      <w:rFonts w:ascii="Cambria Math" w:hAnsi="Cambria Math"/>
                      <w:sz w:val="15"/>
                      <w:szCs w:val="15"/>
                    </w:rPr>
                    <m:t>H</m:t>
                  </m:r>
                </m:sub>
              </m:sSub>
            </m:oMath>
            <w:r>
              <w:t xml:space="preserve"> </w:t>
            </w:r>
            <w:r>
              <w:t xml:space="preserve">with all confirmed events</w:t>
            </w:r>
          </w:p>
        </w:tc>
      </w:tr>
      <w:tr>
        <w:tc>
          <w:tcPr>
            <w:tcW w:w="10206" w:type="dxa"/>
          </w:tcPr>
          <w:p>
            <w:pPr>
              <w:pStyle w:val="TableText"/>
              <w:jc w:val="left"/>
            </w:pPr>
            <w:r>
              <w:t xml:space="preserve">11: apply the first-step decisions; replay the plant (storage → TES → compute throttling)</w:t>
            </w:r>
          </w:p>
        </w:tc>
      </w:tr>
      <w:tr>
        <w:tc>
          <w:tcPr>
            <w:tcW w:w="10206" w:type="dxa"/>
          </w:tcPr>
          <w:p>
            <w:pPr>
              <w:pStyle w:val="TableText"/>
              <w:jc w:val="left"/>
            </w:pPr>
            <w:r>
              <w:t xml:space="preserve">12: update the backlogs by earliest-deadline-first execution and the settlement (21)–(24)</w:t>
            </w:r>
          </w:p>
        </w:tc>
      </w:tr>
      <w:tr>
        <w:tc>
          <w:tcPr>
            <w:tcW w:w="10206" w:type="dxa"/>
          </w:tcPr>
          <w:p>
            <w:pPr>
              <w:pStyle w:val="TableText"/>
              <w:jc w:val="left"/>
            </w:pPr>
            <w:r>
              <w:t xml:space="preserve">13:</w:t>
            </w:r>
            <w:r>
              <w:t xml:space="preserve"> </w:t>
            </w:r>
            <w:r>
              <w:rPr>
                <w:bCs/>
                <w:b/>
              </w:rPr>
              <w:t xml:space="preserve">return</w:t>
            </w:r>
            <w:r>
              <w:t xml:space="preserve"> </w:t>
            </w:r>
            <m:oMath>
              <m:sSup>
                <m:e>
                  <m:r>
                    <w:rPr>
                      <w:rFonts w:ascii="Cambria Math" w:hAnsi="Cambria Math"/>
                      <w:sz w:val="15"/>
                      <w:szCs w:val="15"/>
                    </w:rPr>
                    <m:t>C</m:t>
                  </m:r>
                </m:e>
                <m:sup>
                  <m:r>
                    <m:rPr>
                      <m:lit/>
                      <m:sty m:val="p"/>
                    </m:rPr>
                    <w:rPr>
                      <w:rFonts w:ascii="Cambria Math" w:hAnsi="Cambria Math"/>
                      <w:sz w:val="15"/>
                      <w:szCs w:val="15"/>
                    </w:rPr>
                    <m:t>*</m:t>
                  </m:r>
                </m:sup>
              </m:sSup>
            </m:oMath>
            <w:r>
              <w:t xml:space="preserve">,</w:t>
            </w:r>
            <w:r>
              <w:t xml:space="preserve"> </w:t>
            </w:r>
            <m:oMath>
              <m:sSubSup>
                <m:e>
                  <m:acc>
                    <m:accPr>
                      <m:chr m:val="̂"/>
                    </m:accPr>
                    <m:e>
                      <m:r>
                        <w:rPr>
                          <w:rFonts w:ascii="Cambria Math" w:hAnsi="Cambria Math"/>
                          <w:sz w:val="15"/>
                          <w:szCs w:val="15"/>
                        </w:rPr>
                        <m:t>C</m:t>
                      </m:r>
                    </m:e>
                  </m:acc>
                </m:e>
                <m:sub>
                  <m:r>
                    <w:rPr>
                      <w:rFonts w:ascii="Cambria Math" w:hAnsi="Cambria Math"/>
                      <w:sz w:val="15"/>
                      <w:szCs w:val="15"/>
                    </w:rPr>
                    <m:t>ρ</m:t>
                  </m:r>
                </m:sub>
                <m:sup>
                  <m:r>
                    <w:rPr>
                      <w:rFonts w:ascii="Cambria Math" w:hAnsi="Cambria Math"/>
                      <w:sz w:val="15"/>
                      <w:szCs w:val="15"/>
                    </w:rPr>
                    <m:t>f</m:t>
                  </m:r>
                  <m:r>
                    <w:rPr>
                      <w:rFonts w:ascii="Cambria Math" w:hAnsi="Cambria Math"/>
                      <w:sz w:val="15"/>
                      <w:szCs w:val="15"/>
                    </w:rPr>
                    <m:t>i</m:t>
                  </m:r>
                  <m:r>
                    <w:rPr>
                      <w:rFonts w:ascii="Cambria Math" w:hAnsi="Cambria Math"/>
                      <w:sz w:val="15"/>
                      <w:szCs w:val="15"/>
                    </w:rPr>
                    <m:t>r</m:t>
                  </m:r>
                  <m:r>
                    <w:rPr>
                      <w:rFonts w:ascii="Cambria Math" w:hAnsi="Cambria Math"/>
                      <w:sz w:val="15"/>
                      <w:szCs w:val="15"/>
                    </w:rPr>
                    <m:t>m</m:t>
                  </m:r>
                </m:sup>
              </m:sSubSup>
            </m:oMath>
            <w:r>
              <w:t xml:space="preserve"> </w:t>
            </w:r>
            <w:r>
              <w:t xml:space="preserve">and the trajectories</w:t>
            </w:r>
          </w:p>
        </w:tc>
      </w:tr>
    </w:tbl>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48"/>
    <w:bookmarkStart w:id="49" w:name="Xe60f4e51a24ddaf93e6f0521204d2f02adc5adc"/>
    <w:p>
      <w:pPr>
        <w:pStyle w:val="Heading2"/>
      </w:pPr>
      <w:r>
        <w:t xml:space="preserve">4.3. Benchmarks and controlled scenario matrix</w:t>
      </w:r>
    </w:p>
    <w:p>
      <w:pPr>
        <w:pStyle w:val="FirstParagraph"/>
      </w:pPr>
      <w:r>
        <w:t xml:space="preserve">All strategies face the same commitments, service deadlines, physical limits and settlement rules, and all use the forecasts, event information, 15-min step and 18-h horizon of JR-D: the benchmarks differ from JR-D in how the subsystems coordinate, not in what they know. Table 4 lists the controlled scenario matrix, which isolates the contribution of each resource, each device and each layer of coordination.</w:t>
      </w:r>
    </w:p>
    <w:p>
      <w:pPr>
        <w:pStyle w:val="Compact"/>
        <w:numPr>
          <w:ilvl w:val="0"/>
          <w:numId w:val="1002"/>
        </w:numPr>
      </w:pPr>
      <w:r>
        <w:rPr>
          <w:bCs/>
          <w:b/>
        </w:rPr>
        <w:t xml:space="preserve">IR-O*</w:t>
      </w:r>
      <w:r>
        <w:t xml:space="preserve"> </w:t>
      </w:r>
      <w:r>
        <w:t xml:space="preserve">— independent recovery with an optimised static split. The IT scheduler plans its own share</w:t>
      </w:r>
      <w:r>
        <w:t xml:space="preserve"> </w:t>
      </w:r>
      <m:oMath>
        <m:r>
          <w:rPr>
            <w:rFonts w:ascii="Cambria Math" w:hAnsi="Cambria Math"/>
            <w:sz w:val="15"/>
            <w:szCs w:val="15"/>
          </w:rPr>
          <m:t>α</m:t>
        </m:r>
        <m:sSub>
          <m:e>
            <m:r>
              <w:rPr>
                <w:rFonts w:ascii="Cambria Math" w:hAnsi="Cambria Math"/>
                <w:sz w:val="15"/>
                <w:szCs w:val="15"/>
              </w:rPr>
              <m:t>C</m:t>
            </m:r>
          </m:e>
          <m:sub>
            <m:r>
              <w:rPr>
                <w:rFonts w:ascii="Cambria Math" w:hAnsi="Cambria Math"/>
                <w:sz w:val="15"/>
                <w:szCs w:val="15"/>
              </w:rPr>
              <m:t>k</m:t>
            </m:r>
          </m:sub>
        </m:sSub>
      </m:oMath>
      <w:r>
        <w:t xml:space="preserve"> </w:t>
      </w:r>
      <w:r>
        <w:t xml:space="preserve">of every event and its catch-up with priority on the connection headroom; the facility energy-management system then optimises storage and IES with the IT schedule fixed. The split</w:t>
      </w:r>
      <w:r>
        <w:t xml:space="preserve"> </w:t>
      </w:r>
      <m:oMath>
        <m:r>
          <w:rPr>
            <w:rFonts w:ascii="Cambria Math" w:hAnsi="Cambria Math"/>
            <w:sz w:val="15"/>
            <w:szCs w:val="15"/>
          </w:rPr>
          <m:t>α</m:t>
        </m:r>
      </m:oMath>
      <w:r>
        <w:t xml:space="preserve"> </w:t>
      </w:r>
      <w:r>
        <w:t xml:space="preserve">is tuned day-ahead on the historical scenarios over</w:t>
      </w:r>
      <w:r>
        <w:t xml:space="preserve"> </w:t>
      </w:r>
      <m:oMath>
        <m:r>
          <w:rPr>
            <w:rFonts w:ascii="Cambria Math" w:hAnsi="Cambria Math"/>
            <w:sz w:val="15"/>
            <w:szCs w:val="15"/>
          </w:rPr>
          <m:t>α</m:t>
        </m:r>
        <m:r>
          <m:rPr>
            <m:sty m:val="p"/>
          </m:rPr>
          <w:rPr>
            <w:rFonts w:ascii="Cambria Math" w:hAnsi="Cambria Math"/>
            <w:sz w:val="15"/>
            <w:szCs w:val="15"/>
          </w:rPr>
          <m:t>∈</m:t>
        </m:r>
        <m:d>
          <m:dPr>
            <m:begChr m:val="["/>
            <m:sepChr m:val=""/>
            <m:endChr m:val="]"/>
            <m:grow/>
          </m:dPr>
          <m:e>
            <m:r>
              <w:rPr>
                <w:rFonts w:ascii="Cambria Math" w:hAnsi="Cambria Math"/>
                <w:sz w:val="15"/>
                <w:szCs w:val="15"/>
              </w:rPr>
              <m:t>0.2</m:t>
            </m:r>
            <m:r>
              <m:rPr>
                <m:sty m:val="p"/>
              </m:rPr>
              <w:rPr>
                <w:rFonts w:ascii="Cambria Math" w:hAnsi="Cambria Math"/>
                <w:sz w:val="15"/>
                <w:szCs w:val="15"/>
              </w:rPr>
              <m:t>,</m:t>
            </m:r>
            <m:r>
              <w:rPr>
                <w:rFonts w:ascii="Cambria Math" w:hAnsi="Cambria Math"/>
                <w:sz w:val="15"/>
                <w:szCs w:val="15"/>
              </w:rPr>
              <m:t>1.0</m:t>
            </m:r>
          </m:e>
        </m:d>
      </m:oMath>
      <w:r>
        <w:t xml:space="preserve"> </w:t>
      </w:r>
      <w:r>
        <w:t xml:space="preserve">for every commitment level.</w:t>
      </w:r>
    </w:p>
    <w:p>
      <w:pPr>
        <w:pStyle w:val="Compact"/>
        <w:numPr>
          <w:ilvl w:val="0"/>
          <w:numId w:val="1002"/>
        </w:numPr>
      </w:pPr>
      <w:r>
        <w:rPr>
          <w:bCs/>
          <w:b/>
        </w:rPr>
        <w:t xml:space="preserve">IR-P</w:t>
      </w:r>
      <w:r>
        <w:t xml:space="preserve"> </w:t>
      </w:r>
      <w:r>
        <w:t xml:space="preserve">— price-coordinated independent recovery. Instead of a fixed share, the IT scheduler prices its facility energy at the channel price</w:t>
      </w:r>
      <w:r>
        <w:t xml:space="preserve"> </w:t>
      </w:r>
      <m:oMath>
        <m:sSubSup>
          <m:e>
            <m:r>
              <w:rPr>
                <w:rFonts w:ascii="Cambria Math" w:hAnsi="Cambria Math"/>
                <w:sz w:val="15"/>
                <w:szCs w:val="15"/>
              </w:rPr>
              <m:t>λ</m:t>
            </m:r>
          </m:e>
          <m:sub>
            <m:r>
              <w:rPr>
                <w:rFonts w:ascii="Cambria Math" w:hAnsi="Cambria Math"/>
                <w:sz w:val="15"/>
                <w:szCs w:val="15"/>
              </w:rPr>
              <m:t>t</m:t>
            </m:r>
          </m:sub>
          <m:sup>
            <m:r>
              <w:rPr>
                <w:rFonts w:ascii="Cambria Math" w:hAnsi="Cambria Math"/>
                <w:sz w:val="15"/>
                <w:szCs w:val="15"/>
              </w:rPr>
              <m:t>e</m:t>
            </m:r>
            <m:r>
              <w:rPr>
                <w:rFonts w:ascii="Cambria Math" w:hAnsi="Cambria Math"/>
                <w:sz w:val="15"/>
                <w:szCs w:val="15"/>
              </w:rPr>
              <m:t>l</m:t>
            </m:r>
          </m:sup>
        </m:sSubSup>
      </m:oMath>
      <w:r>
        <w:t xml:space="preserve"> </w:t>
      </w:r>
      <w:r>
        <w:t xml:space="preserve">of the day-ahead joint plan (Proposition 3), i.e. at the TOU price plus the premium</w:t>
      </w:r>
      <w:r>
        <w:t xml:space="preserve"> </w:t>
      </w:r>
      <m:oMath>
        <m:sSubSup>
          <m:e>
            <m:r>
              <w:rPr>
                <w:rFonts w:ascii="Cambria Math" w:hAnsi="Cambria Math"/>
                <w:sz w:val="15"/>
                <w:szCs w:val="15"/>
              </w:rPr>
              <m:t>λ</m:t>
            </m:r>
          </m:e>
          <m:sub>
            <m:r>
              <w:rPr>
                <w:rFonts w:ascii="Cambria Math" w:hAnsi="Cambria Math"/>
                <w:sz w:val="15"/>
                <w:szCs w:val="15"/>
              </w:rPr>
              <m:t>t</m:t>
            </m:r>
          </m:sub>
          <m:sup>
            <m:r>
              <w:rPr>
                <w:rFonts w:ascii="Cambria Math" w:hAnsi="Cambria Math"/>
                <w:sz w:val="15"/>
                <w:szCs w:val="15"/>
              </w:rPr>
              <m:t>c</m:t>
            </m:r>
            <m:r>
              <w:rPr>
                <w:rFonts w:ascii="Cambria Math" w:hAnsi="Cambria Math"/>
                <w:sz w:val="15"/>
                <w:szCs w:val="15"/>
              </w:rPr>
              <m:t>a</m:t>
            </m:r>
            <m:r>
              <w:rPr>
                <w:rFonts w:ascii="Cambria Math" w:hAnsi="Cambria Math"/>
                <w:sz w:val="15"/>
                <w:szCs w:val="15"/>
              </w:rPr>
              <m:t>p</m:t>
            </m:r>
          </m:sup>
        </m:sSubSup>
        <m:r>
          <m:rPr>
            <m:sty m:val="p"/>
          </m:rPr>
          <w:rPr>
            <w:rFonts w:ascii="Cambria Math" w:hAnsi="Cambria Math"/>
            <w:sz w:val="15"/>
            <w:szCs w:val="15"/>
          </w:rPr>
          <m:t>+</m:t>
        </m:r>
        <m:sSubSup>
          <m:e>
            <m:r>
              <w:rPr>
                <w:rFonts w:ascii="Cambria Math" w:hAnsi="Cambria Math"/>
                <w:sz w:val="15"/>
                <w:szCs w:val="15"/>
              </w:rPr>
              <m:t>λ</m:t>
            </m:r>
          </m:e>
          <m:sub>
            <m:r>
              <w:rPr>
                <w:rFonts w:ascii="Cambria Math" w:hAnsi="Cambria Math"/>
                <w:sz w:val="15"/>
                <w:szCs w:val="15"/>
              </w:rPr>
              <m:t>t</m:t>
            </m:r>
          </m:sub>
          <m:sup>
            <m:r>
              <w:rPr>
                <w:rFonts w:ascii="Cambria Math" w:hAnsi="Cambria Math"/>
                <w:sz w:val="15"/>
                <w:szCs w:val="15"/>
              </w:rPr>
              <m:t>e</m:t>
            </m:r>
            <m:r>
              <w:rPr>
                <w:rFonts w:ascii="Cambria Math" w:hAnsi="Cambria Math"/>
                <w:sz w:val="15"/>
                <w:szCs w:val="15"/>
              </w:rPr>
              <m:t>v</m:t>
            </m:r>
          </m:sup>
        </m:sSubSup>
      </m:oMath>
      <w:r>
        <w:t xml:space="preserve">, a one-way, day-ahead price signal.</w:t>
      </w:r>
    </w:p>
    <w:p>
      <w:pPr>
        <w:pStyle w:val="Compact"/>
        <w:numPr>
          <w:ilvl w:val="0"/>
          <w:numId w:val="1002"/>
        </w:numPr>
      </w:pPr>
      <w:r>
        <w:rPr>
          <w:bCs/>
          <w:b/>
        </w:rPr>
        <w:t xml:space="preserve">IR-PD</w:t>
      </w:r>
      <w:r>
        <w:t xml:space="preserve"> </w:t>
      </w:r>
      <w:r>
        <w:t xml:space="preserve">— independent recovery with iterative two-way price coordination, renewed at every step. The facility prices the channel from the joint plan at the measured state; the IT scheduler answers with its own schedule at that price; the facility re-optimises with this schedule fixed and returns the marginal value of IT power under its best response, towards which the price moves with damping 0.5. After 12 rounds the IT applies the average of the schedules of rounds 7–12 (primal averaging of the price iteration), and the facility follows with it fixed.</w:t>
      </w:r>
    </w:p>
    <w:p>
      <w:pPr>
        <w:pStyle w:val="Compact"/>
        <w:numPr>
          <w:ilvl w:val="0"/>
          <w:numId w:val="1002"/>
        </w:numPr>
      </w:pPr>
      <w:r>
        <w:rPr>
          <w:bCs/>
          <w:b/>
        </w:rPr>
        <w:t xml:space="preserve">SR-D</w:t>
      </w:r>
      <w:r>
        <w:t xml:space="preserve"> </w:t>
      </w:r>
      <w:r>
        <w:t xml:space="preserve">— staged recovery with the forecasts and the joint delivery of JR-D. During an event SR-D acts as JR-D. Outside events, at every step, the computing schedule is planned first with the storage charging held at the no-DR schedule, so that the deferred work is caught up through the whole channel, and the storage and IES are planned afterwards with this computing schedule fixed. SR-D thus executes the recovery order of independent recovery in Proposition 2, computing debt first and storage debt after, with the information of JR-D.</w:t>
      </w:r>
    </w:p>
    <w:p>
      <w:pPr>
        <w:pStyle w:val="Compact"/>
        <w:numPr>
          <w:ilvl w:val="0"/>
          <w:numId w:val="1002"/>
        </w:numPr>
      </w:pPr>
      <w:r>
        <w:rPr>
          <w:bCs/>
          <w:b/>
        </w:rPr>
        <w:t xml:space="preserve">JR-M</w:t>
      </w:r>
      <w:r>
        <w:t xml:space="preserve"> </w:t>
      </w:r>
      <w:r>
        <w:t xml:space="preserve">— event-by-event joint recovery. The joint model is used, but only the current or next event is visible, which represents single-event DR scheduling and isolates the value of cross-event foresight.</w:t>
      </w:r>
    </w:p>
    <w:p>
      <w:pPr>
        <w:pStyle w:val="Compact"/>
        <w:numPr>
          <w:ilvl w:val="0"/>
          <w:numId w:val="1002"/>
        </w:numPr>
      </w:pPr>
      <w:r>
        <w:rPr>
          <w:bCs/>
          <w:b/>
        </w:rPr>
        <w:t xml:space="preserve">JR-oracle</w:t>
      </w:r>
      <w:r>
        <w:t xml:space="preserve"> </w:t>
      </w:r>
      <w:r>
        <w:t xml:space="preserve">— joint recovery with perfect information (reference).</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TableCaption"/>
      </w:pPr>
      <w:r>
        <w:rPr>
          <w:bCs/>
          <w:b/>
        </w:rPr>
        <w:t xml:space="preserve">Table 4</w:t>
      </w:r>
      <w:r>
        <w:br/>
      </w:r>
      <w:r>
        <w:t xml:space="preserve">Controlled scenario matrix (✓ included, × excluded, – not applicable). The resource and device configurations are operated by the JR-D controller with the connection limit of the base case.</w:t>
      </w:r>
    </w:p>
    <w:tbl>
      <w:tblPr>
        <w:tblStyle w:val="Table"/>
        <w:tblW w:w="10206" w:type="dxa"/>
        <w:jc w:val="start"/>
        <w:tblBorders>
          <w:top w:val="single" w:sz="6" w:space="0" w:color="000000"/>
          <w:bottom w:val="single" w:sz="6" w:space="0" w:color="000000"/>
        </w:tblBorders>
        <w:tblLayout w:type="fixed"/>
        <w:tblLook w:firstRow="1" w:lastRow="0" w:firstColumn="0" w:lastColumn="0" w:noHBand="0" w:noVBand="0" w:val="0020"/>
      </w:tblPr>
      <w:tblGrid>
        <w:gridCol w:w="2713"/>
        <w:gridCol w:w="1153"/>
        <w:gridCol w:w="712"/>
        <w:gridCol w:w="915"/>
        <w:gridCol w:w="882"/>
        <w:gridCol w:w="1323"/>
        <w:gridCol w:w="1186"/>
        <w:gridCol w:w="1322"/>
      </w:tblGrid>
      <w:tr>
        <w:trPr>
          <w:tblHeader w:val="true"/>
        </w:trPr>
        <w:tc>
          <w:tcPr>
            <w:tcW w:w="2713" w:type="dxa"/>
            <w:tcBorders>
              <w:bottom w:val="single" w:sz="4" w:space="0" w:color="000000"/>
            </w:tcBorders>
          </w:tcPr>
          <w:p>
            <w:pPr>
              <w:pStyle w:val="TableText"/>
              <w:jc w:val="left"/>
            </w:pPr>
            <w:r>
              <w:t xml:space="preserve">Configuration</w:t>
            </w:r>
          </w:p>
        </w:tc>
        <w:tc>
          <w:tcPr>
            <w:tcW w:w="1153" w:type="dxa"/>
            <w:tcBorders>
              <w:bottom w:val="single" w:sz="4" w:space="0" w:color="000000"/>
            </w:tcBorders>
          </w:tcPr>
          <w:p>
            <w:pPr>
              <w:pStyle w:val="TableText"/>
              <w:jc w:val="left"/>
            </w:pPr>
            <w:r>
              <w:t xml:space="preserve">Compute flexibility</w:t>
            </w:r>
          </w:p>
        </w:tc>
        <w:tc>
          <w:tcPr>
            <w:tcW w:w="712" w:type="dxa"/>
            <w:tcBorders>
              <w:bottom w:val="single" w:sz="4" w:space="0" w:color="000000"/>
            </w:tcBorders>
          </w:tcPr>
          <w:p>
            <w:pPr>
              <w:pStyle w:val="TableText"/>
              <w:jc w:val="left"/>
            </w:pPr>
            <w:r>
              <w:t xml:space="preserve">BESS</w:t>
            </w:r>
          </w:p>
        </w:tc>
        <w:tc>
          <w:tcPr>
            <w:tcW w:w="915" w:type="dxa"/>
            <w:tcBorders>
              <w:bottom w:val="single" w:sz="4" w:space="0" w:color="000000"/>
            </w:tcBorders>
          </w:tcPr>
          <w:p>
            <w:pPr>
              <w:pStyle w:val="TableText"/>
              <w:jc w:val="left"/>
            </w:pPr>
            <w:r>
              <w:t xml:space="preserve">Cold storage</w:t>
            </w:r>
          </w:p>
        </w:tc>
        <w:tc>
          <w:tcPr>
            <w:tcW w:w="882" w:type="dxa"/>
            <w:tcBorders>
              <w:bottom w:val="single" w:sz="4" w:space="0" w:color="000000"/>
            </w:tcBorders>
          </w:tcPr>
          <w:p>
            <w:pPr>
              <w:pStyle w:val="TableText"/>
              <w:jc w:val="left"/>
            </w:pPr>
            <w:r>
              <w:t xml:space="preserve">Gas engine</w:t>
            </w:r>
          </w:p>
        </w:tc>
        <w:tc>
          <w:tcPr>
            <w:tcW w:w="1323" w:type="dxa"/>
            <w:tcBorders>
              <w:bottom w:val="single" w:sz="4" w:space="0" w:color="000000"/>
            </w:tcBorders>
          </w:tcPr>
          <w:p>
            <w:pPr>
              <w:pStyle w:val="TableText"/>
              <w:jc w:val="left"/>
            </w:pPr>
            <w:r>
              <w:t xml:space="preserve">Absorption chiller</w:t>
            </w:r>
          </w:p>
        </w:tc>
        <w:tc>
          <w:tcPr>
            <w:tcW w:w="1186" w:type="dxa"/>
            <w:tcBorders>
              <w:bottom w:val="single" w:sz="4" w:space="0" w:color="000000"/>
            </w:tcBorders>
          </w:tcPr>
          <w:p>
            <w:pPr>
              <w:pStyle w:val="TableText"/>
              <w:jc w:val="left"/>
            </w:pPr>
            <w:r>
              <w:t xml:space="preserve">Joint recovery</w:t>
            </w:r>
          </w:p>
        </w:tc>
        <w:tc>
          <w:tcPr>
            <w:tcW w:w="1322" w:type="dxa"/>
            <w:tcBorders>
              <w:bottom w:val="single" w:sz="4" w:space="0" w:color="000000"/>
            </w:tcBorders>
          </w:tcPr>
          <w:p>
            <w:pPr>
              <w:pStyle w:val="TableText"/>
              <w:jc w:val="left"/>
            </w:pPr>
            <w:r>
              <w:t xml:space="preserve">Cross-event foresight</w:t>
            </w:r>
          </w:p>
        </w:tc>
      </w:tr>
      <w:tr>
        <w:tc>
          <w:tcPr>
            <w:tcW w:w="2713" w:type="dxa"/>
          </w:tcPr>
          <w:p>
            <w:pPr>
              <w:pStyle w:val="TableText"/>
              <w:jc w:val="left"/>
            </w:pPr>
            <w:r>
              <w:t xml:space="preserve">R1 BESS only</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w:t>
            </w:r>
          </w:p>
        </w:tc>
        <w:tc>
          <w:tcPr>
            <w:tcW w:w="1186" w:type="dxa"/>
          </w:tcPr>
          <w:p>
            <w:pPr>
              <w:pStyle w:val="TableText"/>
              <w:jc w:val="left"/>
            </w:pPr>
            <w:r>
              <w:t xml:space="preserve">–</w:t>
            </w:r>
          </w:p>
        </w:tc>
        <w:tc>
          <w:tcPr>
            <w:tcW w:w="1322" w:type="dxa"/>
          </w:tcPr>
          <w:p>
            <w:pPr>
              <w:pStyle w:val="TableText"/>
              <w:jc w:val="left"/>
            </w:pPr>
            <w:r>
              <w:t xml:space="preserve">✓</w:t>
            </w:r>
          </w:p>
        </w:tc>
      </w:tr>
      <w:tr>
        <w:tc>
          <w:tcPr>
            <w:tcW w:w="2713" w:type="dxa"/>
          </w:tcPr>
          <w:p>
            <w:pPr>
              <w:pStyle w:val="TableText"/>
              <w:jc w:val="left"/>
            </w:pPr>
            <w:r>
              <w:t xml:space="preserve">R2 Compute only</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w:t>
            </w:r>
          </w:p>
        </w:tc>
        <w:tc>
          <w:tcPr>
            <w:tcW w:w="1186" w:type="dxa"/>
          </w:tcPr>
          <w:p>
            <w:pPr>
              <w:pStyle w:val="TableText"/>
              <w:jc w:val="left"/>
            </w:pPr>
            <w:r>
              <w:t xml:space="preserve">–</w:t>
            </w:r>
          </w:p>
        </w:tc>
        <w:tc>
          <w:tcPr>
            <w:tcW w:w="1322" w:type="dxa"/>
          </w:tcPr>
          <w:p>
            <w:pPr>
              <w:pStyle w:val="TableText"/>
              <w:jc w:val="left"/>
            </w:pPr>
            <w:r>
              <w:t xml:space="preserve">✓</w:t>
            </w:r>
          </w:p>
        </w:tc>
      </w:tr>
      <w:tr>
        <w:tc>
          <w:tcPr>
            <w:tcW w:w="2713" w:type="dxa"/>
          </w:tcPr>
          <w:p>
            <w:pPr>
              <w:pStyle w:val="TableText"/>
              <w:jc w:val="left"/>
            </w:pPr>
            <w:r>
              <w:t xml:space="preserve">R3 Compute + BESS</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w:t>
            </w:r>
          </w:p>
        </w:tc>
        <w:tc>
          <w:tcPr>
            <w:tcW w:w="1186" w:type="dxa"/>
          </w:tcPr>
          <w:p>
            <w:pPr>
              <w:pStyle w:val="TableText"/>
              <w:jc w:val="left"/>
            </w:pPr>
            <w:r>
              <w:t xml:space="preserve">✓</w:t>
            </w:r>
          </w:p>
        </w:tc>
        <w:tc>
          <w:tcPr>
            <w:tcW w:w="1322" w:type="dxa"/>
          </w:tcPr>
          <w:p>
            <w:pPr>
              <w:pStyle w:val="TableText"/>
              <w:jc w:val="left"/>
            </w:pPr>
            <w:r>
              <w:t xml:space="preserve">✓</w:t>
            </w:r>
          </w:p>
        </w:tc>
      </w:tr>
      <w:tr>
        <w:tc>
          <w:tcPr>
            <w:tcW w:w="2713" w:type="dxa"/>
          </w:tcPr>
          <w:p>
            <w:pPr>
              <w:pStyle w:val="TableText"/>
              <w:jc w:val="left"/>
            </w:pPr>
            <w:r>
              <w:t xml:space="preserve">D1 w/o gas engine</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 (no heat)</w:t>
            </w:r>
          </w:p>
        </w:tc>
        <w:tc>
          <w:tcPr>
            <w:tcW w:w="1186" w:type="dxa"/>
          </w:tcPr>
          <w:p>
            <w:pPr>
              <w:pStyle w:val="TableText"/>
              <w:jc w:val="left"/>
            </w:pPr>
            <w:r>
              <w:t xml:space="preserve">✓</w:t>
            </w:r>
          </w:p>
        </w:tc>
        <w:tc>
          <w:tcPr>
            <w:tcW w:w="1322" w:type="dxa"/>
          </w:tcPr>
          <w:p>
            <w:pPr>
              <w:pStyle w:val="TableText"/>
              <w:jc w:val="left"/>
            </w:pPr>
            <w:r>
              <w:t xml:space="preserve">✓</w:t>
            </w:r>
          </w:p>
        </w:tc>
      </w:tr>
      <w:tr>
        <w:tc>
          <w:tcPr>
            <w:tcW w:w="2713" w:type="dxa"/>
          </w:tcPr>
          <w:p>
            <w:pPr>
              <w:pStyle w:val="TableText"/>
              <w:jc w:val="left"/>
            </w:pPr>
            <w:r>
              <w:t xml:space="preserve">D2 w/o absorption chiller</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w:t>
            </w:r>
          </w:p>
        </w:tc>
        <w:tc>
          <w:tcPr>
            <w:tcW w:w="1186" w:type="dxa"/>
          </w:tcPr>
          <w:p>
            <w:pPr>
              <w:pStyle w:val="TableText"/>
              <w:jc w:val="left"/>
            </w:pPr>
            <w:r>
              <w:t xml:space="preserve">✓</w:t>
            </w:r>
          </w:p>
        </w:tc>
        <w:tc>
          <w:tcPr>
            <w:tcW w:w="1322" w:type="dxa"/>
          </w:tcPr>
          <w:p>
            <w:pPr>
              <w:pStyle w:val="TableText"/>
              <w:jc w:val="left"/>
            </w:pPr>
            <w:r>
              <w:t xml:space="preserve">✓</w:t>
            </w:r>
          </w:p>
        </w:tc>
      </w:tr>
      <w:tr>
        <w:tc>
          <w:tcPr>
            <w:tcW w:w="2713" w:type="dxa"/>
          </w:tcPr>
          <w:p>
            <w:pPr>
              <w:pStyle w:val="TableText"/>
              <w:jc w:val="left"/>
            </w:pPr>
            <w:r>
              <w:t xml:space="preserve">D3 w/o cold storage</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w:t>
            </w:r>
          </w:p>
        </w:tc>
        <w:tc>
          <w:tcPr>
            <w:tcW w:w="1186" w:type="dxa"/>
          </w:tcPr>
          <w:p>
            <w:pPr>
              <w:pStyle w:val="TableText"/>
              <w:jc w:val="left"/>
            </w:pPr>
            <w:r>
              <w:t xml:space="preserve">✓</w:t>
            </w:r>
          </w:p>
        </w:tc>
        <w:tc>
          <w:tcPr>
            <w:tcW w:w="1322" w:type="dxa"/>
          </w:tcPr>
          <w:p>
            <w:pPr>
              <w:pStyle w:val="TableText"/>
              <w:jc w:val="left"/>
            </w:pPr>
            <w:r>
              <w:t xml:space="preserve">✓</w:t>
            </w:r>
          </w:p>
        </w:tc>
      </w:tr>
      <w:tr>
        <w:tc>
          <w:tcPr>
            <w:tcW w:w="2713" w:type="dxa"/>
          </w:tcPr>
          <w:p>
            <w:pPr>
              <w:pStyle w:val="TableText"/>
              <w:jc w:val="left"/>
            </w:pPr>
            <w:r>
              <w:t xml:space="preserve">D4 w/o all three</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w:t>
            </w:r>
          </w:p>
        </w:tc>
        <w:tc>
          <w:tcPr>
            <w:tcW w:w="1186" w:type="dxa"/>
          </w:tcPr>
          <w:p>
            <w:pPr>
              <w:pStyle w:val="TableText"/>
              <w:jc w:val="left"/>
            </w:pPr>
            <w:r>
              <w:t xml:space="preserve">✓</w:t>
            </w:r>
          </w:p>
        </w:tc>
        <w:tc>
          <w:tcPr>
            <w:tcW w:w="1322" w:type="dxa"/>
          </w:tcPr>
          <w:p>
            <w:pPr>
              <w:pStyle w:val="TableText"/>
              <w:jc w:val="left"/>
            </w:pPr>
            <w:r>
              <w:t xml:space="preserve">✓</w:t>
            </w:r>
          </w:p>
        </w:tc>
      </w:tr>
      <w:tr>
        <w:tc>
          <w:tcPr>
            <w:tcW w:w="2713" w:type="dxa"/>
          </w:tcPr>
          <w:p>
            <w:pPr>
              <w:pStyle w:val="TableText"/>
              <w:jc w:val="left"/>
            </w:pPr>
            <w:r>
              <w:t xml:space="preserve">IR-O* / IR-P / IR-PD</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w:t>
            </w:r>
          </w:p>
        </w:tc>
        <w:tc>
          <w:tcPr>
            <w:tcW w:w="1186" w:type="dxa"/>
          </w:tcPr>
          <w:p>
            <w:pPr>
              <w:pStyle w:val="TableText"/>
              <w:jc w:val="left"/>
            </w:pPr>
            <w:r>
              <w:t xml:space="preserve">×</w:t>
            </w:r>
          </w:p>
        </w:tc>
        <w:tc>
          <w:tcPr>
            <w:tcW w:w="1322" w:type="dxa"/>
          </w:tcPr>
          <w:p>
            <w:pPr>
              <w:pStyle w:val="TableText"/>
              <w:jc w:val="left"/>
            </w:pPr>
            <w:r>
              <w:t xml:space="preserve">✓</w:t>
            </w:r>
          </w:p>
        </w:tc>
      </w:tr>
      <w:tr>
        <w:tc>
          <w:tcPr>
            <w:tcW w:w="2713" w:type="dxa"/>
          </w:tcPr>
          <w:p>
            <w:pPr>
              <w:pStyle w:val="TableText"/>
              <w:jc w:val="left"/>
            </w:pPr>
            <w:r>
              <w:t xml:space="preserve">SR-D</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w:t>
            </w:r>
          </w:p>
        </w:tc>
        <w:tc>
          <w:tcPr>
            <w:tcW w:w="1186" w:type="dxa"/>
          </w:tcPr>
          <w:p>
            <w:pPr>
              <w:pStyle w:val="TableText"/>
              <w:jc w:val="left"/>
            </w:pPr>
            <w:r>
              <w:t xml:space="preserve">× (staged)</w:t>
            </w:r>
          </w:p>
        </w:tc>
        <w:tc>
          <w:tcPr>
            <w:tcW w:w="1322" w:type="dxa"/>
          </w:tcPr>
          <w:p>
            <w:pPr>
              <w:pStyle w:val="TableText"/>
              <w:jc w:val="left"/>
            </w:pPr>
            <w:r>
              <w:t xml:space="preserve">✓</w:t>
            </w:r>
          </w:p>
        </w:tc>
      </w:tr>
      <w:tr>
        <w:tc>
          <w:tcPr>
            <w:tcW w:w="2713" w:type="dxa"/>
          </w:tcPr>
          <w:p>
            <w:pPr>
              <w:pStyle w:val="TableText"/>
              <w:jc w:val="left"/>
            </w:pPr>
            <w:r>
              <w:t xml:space="preserve">JR-M</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w:t>
            </w:r>
          </w:p>
        </w:tc>
        <w:tc>
          <w:tcPr>
            <w:tcW w:w="1186" w:type="dxa"/>
          </w:tcPr>
          <w:p>
            <w:pPr>
              <w:pStyle w:val="TableText"/>
              <w:jc w:val="left"/>
            </w:pPr>
            <w:r>
              <w:t xml:space="preserve">✓</w:t>
            </w:r>
          </w:p>
        </w:tc>
        <w:tc>
          <w:tcPr>
            <w:tcW w:w="1322" w:type="dxa"/>
          </w:tcPr>
          <w:p>
            <w:pPr>
              <w:pStyle w:val="TableText"/>
              <w:jc w:val="left"/>
            </w:pPr>
            <w:r>
              <w:t xml:space="preserve">×</w:t>
            </w:r>
          </w:p>
        </w:tc>
      </w:tr>
      <w:tr>
        <w:tc>
          <w:tcPr>
            <w:tcW w:w="2713" w:type="dxa"/>
          </w:tcPr>
          <w:p>
            <w:pPr>
              <w:pStyle w:val="TableText"/>
              <w:jc w:val="left"/>
            </w:pPr>
            <w:r>
              <w:t xml:space="preserve">JR-D (proposed)</w:t>
            </w:r>
          </w:p>
        </w:tc>
        <w:tc>
          <w:tcPr>
            <w:tcW w:w="1153" w:type="dxa"/>
          </w:tcPr>
          <w:p>
            <w:pPr>
              <w:pStyle w:val="TableText"/>
              <w:jc w:val="left"/>
            </w:pPr>
            <w:r>
              <w:t xml:space="preserve">✓</w:t>
            </w:r>
          </w:p>
        </w:tc>
        <w:tc>
          <w:tcPr>
            <w:tcW w:w="712" w:type="dxa"/>
          </w:tcPr>
          <w:p>
            <w:pPr>
              <w:pStyle w:val="TableText"/>
              <w:jc w:val="left"/>
            </w:pPr>
            <w:r>
              <w:t xml:space="preserve">✓</w:t>
            </w:r>
          </w:p>
        </w:tc>
        <w:tc>
          <w:tcPr>
            <w:tcW w:w="915" w:type="dxa"/>
          </w:tcPr>
          <w:p>
            <w:pPr>
              <w:pStyle w:val="TableText"/>
              <w:jc w:val="left"/>
            </w:pPr>
            <w:r>
              <w:t xml:space="preserve">✓</w:t>
            </w:r>
          </w:p>
        </w:tc>
        <w:tc>
          <w:tcPr>
            <w:tcW w:w="882" w:type="dxa"/>
          </w:tcPr>
          <w:p>
            <w:pPr>
              <w:pStyle w:val="TableText"/>
              <w:jc w:val="left"/>
            </w:pPr>
            <w:r>
              <w:t xml:space="preserve">✓</w:t>
            </w:r>
          </w:p>
        </w:tc>
        <w:tc>
          <w:tcPr>
            <w:tcW w:w="1323" w:type="dxa"/>
          </w:tcPr>
          <w:p>
            <w:pPr>
              <w:pStyle w:val="TableText"/>
              <w:jc w:val="left"/>
            </w:pPr>
            <w:r>
              <w:t xml:space="preserve">✓</w:t>
            </w:r>
          </w:p>
        </w:tc>
        <w:tc>
          <w:tcPr>
            <w:tcW w:w="1186" w:type="dxa"/>
          </w:tcPr>
          <w:p>
            <w:pPr>
              <w:pStyle w:val="TableText"/>
              <w:jc w:val="left"/>
            </w:pPr>
            <w:r>
              <w:t xml:space="preserve">✓</w:t>
            </w:r>
          </w:p>
        </w:tc>
        <w:tc>
          <w:tcPr>
            <w:tcW w:w="1322" w:type="dxa"/>
          </w:tcPr>
          <w:p>
            <w:pPr>
              <w:pStyle w:val="TableText"/>
              <w:jc w:val="left"/>
            </w:pPr>
            <w:r>
              <w:t xml:space="preserve">✓</w:t>
            </w:r>
          </w:p>
        </w:tc>
      </w:tr>
    </w:tbl>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49"/>
    <w:bookmarkStart w:id="50" w:name="X1ee5b62e1f716d77a4e2035bc5dc839a15dc3ed"/>
    <w:p>
      <w:pPr>
        <w:pStyle w:val="Heading2"/>
      </w:pPr>
      <w:r>
        <w:t xml:space="preserve">4.4. Implementation and computational performance</w:t>
      </w:r>
    </w:p>
    <w:p>
      <w:pPr>
        <w:pStyle w:val="FirstParagraph"/>
      </w:pPr>
      <w:r>
        <w:t xml:space="preserve">The models are implemented in GNU Octave 8.4 and solved with GLPK 5.0 on one core of an Intel Xeon processor at 2.8 GHz; the implementation also supports Gurobi and the MATLAB solvers</w:t>
      </w:r>
      <w:r>
        <w:t xml:space="preserve"> </w:t>
      </w:r>
      <w:r>
        <w:rPr>
          <w:rStyle w:val="VerbatimChar"/>
        </w:rPr>
        <w:t xml:space="preserve">linprog</w:t>
      </w:r>
      <w:r>
        <w:t xml:space="preserve"> </w:t>
      </w:r>
      <w:r>
        <w:t xml:space="preserve">and</w:t>
      </w:r>
      <w:r>
        <w:t xml:space="preserve"> </w:t>
      </w:r>
      <w:r>
        <w:rPr>
          <w:rStyle w:val="VerbatimChar"/>
        </w:rPr>
        <w:t xml:space="preserve">intlinprog</w:t>
      </w:r>
      <w:r>
        <w:t xml:space="preserve">. Table 5 lists the size of the optimisation models and their solution times. With the full 18-h horizon and two visible events, the MILP of JR-D has 1 524 variables, of which two are binary (one validity indicator per event), and its solution takes 0.04 s on average; a closed-loop day of 120 MPC steps takes 5.2 s. The scenario variant JR-S, with five scenarios, is five times larger and takes 60.1 s per day. The iterative price coordination IR-PD solves 12 rounds of an IT scheduling LP and a facility MILP in every step and needs 24.3 s per day, 4.7 times JR-D; the staged controller SR-D solves the joint MILP twice outside the events and needs 8.8 s. In the more than 26 000 closed-loop runs recorded day by day in Section 5, the MILP that fixes the action of every step is solved to proven optimality (GLPK status optimal, zero relative gap), and no step requires the fallback controller. The controller therefore runs well within the 15-min step of the MPC.</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TableCaption"/>
      </w:pPr>
      <w:r>
        <w:rPr>
          <w:bCs/>
          <w:b/>
        </w:rPr>
        <w:t xml:space="preserve">Table 5</w:t>
      </w:r>
      <w:r>
        <w:br/>
      </w:r>
      <w:r>
        <w:t xml:space="preserve">Size and solution time of the optimisation models (S1, 7 MW, full 18-h horizon with both events visible). Closed-loop day: mean solver time per day over the closed-loop runs of S1 (26 operating days, all commitments).</w:t>
      </w:r>
    </w:p>
    <w:tbl>
      <w:tblPr>
        <w:tblStyle w:val="Table"/>
        <w:tblW w:w="10206" w:type="dxa"/>
        <w:jc w:val="start"/>
        <w:tblBorders>
          <w:top w:val="single" w:sz="6" w:space="0" w:color="000000"/>
          <w:bottom w:val="single" w:sz="6" w:space="0" w:color="000000"/>
        </w:tblBorders>
        <w:tblLayout w:type="fixed"/>
        <w:tblLook w:firstRow="1" w:lastRow="0" w:firstColumn="0" w:lastColumn="0" w:noHBand="0" w:noVBand="0" w:val="0020"/>
      </w:tblPr>
      <w:tblGrid>
        <w:gridCol w:w="884"/>
        <w:gridCol w:w="3538"/>
        <w:gridCol w:w="1905"/>
        <w:gridCol w:w="1837"/>
        <w:gridCol w:w="1191"/>
        <w:gridCol w:w="851"/>
      </w:tblGrid>
      <w:tr>
        <w:trPr>
          <w:tblHeader w:val="true"/>
        </w:trPr>
        <w:tc>
          <w:tcPr>
            <w:tcW w:w="884" w:type="dxa"/>
            <w:tcBorders>
              <w:bottom w:val="single" w:sz="4" w:space="0" w:color="000000"/>
            </w:tcBorders>
          </w:tcPr>
          <w:p>
            <w:pPr>
              <w:pStyle w:val="TableText"/>
              <w:jc w:val="left"/>
            </w:pPr>
            <w:r>
              <w:t xml:space="preserve">Controller</w:t>
            </w:r>
          </w:p>
        </w:tc>
        <w:tc>
          <w:tcPr>
            <w:tcW w:w="3538" w:type="dxa"/>
            <w:tcBorders>
              <w:bottom w:val="single" w:sz="4" w:space="0" w:color="000000"/>
            </w:tcBorders>
          </w:tcPr>
          <w:p>
            <w:pPr>
              <w:pStyle w:val="TableText"/>
              <w:jc w:val="left"/>
            </w:pPr>
            <w:r>
              <w:t xml:space="preserve">Model solved every 15 min</w:t>
            </w:r>
          </w:p>
        </w:tc>
        <w:tc>
          <w:tcPr>
            <w:tcW w:w="1905" w:type="dxa"/>
            <w:tcBorders>
              <w:bottom w:val="single" w:sz="4" w:space="0" w:color="000000"/>
            </w:tcBorders>
          </w:tcPr>
          <w:p>
            <w:pPr>
              <w:pStyle w:val="TableText"/>
              <w:jc w:val="left"/>
            </w:pPr>
            <w:r>
              <w:t xml:space="preserve">Variables (binary)</w:t>
            </w:r>
          </w:p>
        </w:tc>
        <w:tc>
          <w:tcPr>
            <w:tcW w:w="1837" w:type="dxa"/>
            <w:tcBorders>
              <w:bottom w:val="single" w:sz="4" w:space="0" w:color="000000"/>
            </w:tcBorders>
          </w:tcPr>
          <w:p>
            <w:pPr>
              <w:pStyle w:val="TableText"/>
              <w:jc w:val="left"/>
            </w:pPr>
            <w:r>
              <w:t xml:space="preserve">Constraints (inequality / equality)</w:t>
            </w:r>
          </w:p>
        </w:tc>
        <w:tc>
          <w:tcPr>
            <w:tcW w:w="1191" w:type="dxa"/>
            <w:tcBorders>
              <w:bottom w:val="single" w:sz="4" w:space="0" w:color="000000"/>
            </w:tcBorders>
          </w:tcPr>
          <w:p>
            <w:pPr>
              <w:pStyle w:val="TableText"/>
              <w:jc w:val="left"/>
            </w:pPr>
            <w:r>
              <w:t xml:space="preserve">Solution time per step, mean / max (s)</w:t>
            </w:r>
          </w:p>
        </w:tc>
        <w:tc>
          <w:tcPr>
            <w:tcW w:w="851" w:type="dxa"/>
            <w:tcBorders>
              <w:bottom w:val="single" w:sz="4" w:space="0" w:color="000000"/>
            </w:tcBorders>
          </w:tcPr>
          <w:p>
            <w:pPr>
              <w:pStyle w:val="TableText"/>
              <w:jc w:val="left"/>
            </w:pPr>
            <w:r>
              <w:t xml:space="preserve">Closed-loop day (s)</w:t>
            </w:r>
          </w:p>
        </w:tc>
      </w:tr>
      <w:tr>
        <w:tc>
          <w:tcPr>
            <w:tcW w:w="884" w:type="dxa"/>
          </w:tcPr>
          <w:p>
            <w:pPr>
              <w:pStyle w:val="TableText"/>
              <w:jc w:val="left"/>
            </w:pPr>
            <w:r>
              <w:t xml:space="preserve">JR-D</w:t>
            </w:r>
          </w:p>
        </w:tc>
        <w:tc>
          <w:tcPr>
            <w:tcW w:w="3538" w:type="dxa"/>
          </w:tcPr>
          <w:p>
            <w:pPr>
              <w:pStyle w:val="TableText"/>
              <w:jc w:val="left"/>
            </w:pPr>
            <w:r>
              <w:t xml:space="preserve">joint recovery MILP</w:t>
            </w:r>
          </w:p>
        </w:tc>
        <w:tc>
          <w:tcPr>
            <w:tcW w:w="1905" w:type="dxa"/>
          </w:tcPr>
          <w:p>
            <w:pPr>
              <w:pStyle w:val="TableText"/>
              <w:jc w:val="left"/>
            </w:pPr>
            <w:r>
              <w:t xml:space="preserve">1 524 (2)</w:t>
            </w:r>
          </w:p>
        </w:tc>
        <w:tc>
          <w:tcPr>
            <w:tcW w:w="1837" w:type="dxa"/>
          </w:tcPr>
          <w:p>
            <w:pPr>
              <w:pStyle w:val="TableText"/>
              <w:jc w:val="left"/>
            </w:pPr>
            <w:r>
              <w:t xml:space="preserve">604 / 504</w:t>
            </w:r>
          </w:p>
        </w:tc>
        <w:tc>
          <w:tcPr>
            <w:tcW w:w="1191" w:type="dxa"/>
          </w:tcPr>
          <w:p>
            <w:pPr>
              <w:pStyle w:val="TableText"/>
              <w:jc w:val="left"/>
            </w:pPr>
            <w:r>
              <w:t xml:space="preserve">0.04 / 0.08</w:t>
            </w:r>
            <w:r>
              <w:t xml:space="preserve"> </w:t>
            </w:r>
            <w:r>
              <w:rPr>
                <w:vertAlign w:val="superscript"/>
              </w:rPr>
              <w:t xml:space="preserve">a</w:t>
            </w:r>
          </w:p>
        </w:tc>
        <w:tc>
          <w:tcPr>
            <w:tcW w:w="851" w:type="dxa"/>
          </w:tcPr>
          <w:p>
            <w:pPr>
              <w:pStyle w:val="TableText"/>
              <w:jc w:val="left"/>
            </w:pPr>
            <w:r>
              <w:t xml:space="preserve">5.2</w:t>
            </w:r>
          </w:p>
        </w:tc>
      </w:tr>
      <w:tr>
        <w:tc>
          <w:tcPr>
            <w:tcW w:w="884" w:type="dxa"/>
          </w:tcPr>
          <w:p>
            <w:pPr>
              <w:pStyle w:val="TableText"/>
              <w:jc w:val="left"/>
            </w:pPr>
            <w:r>
              <w:t xml:space="preserve">JR-S</w:t>
            </w:r>
          </w:p>
        </w:tc>
        <w:tc>
          <w:tcPr>
            <w:tcW w:w="3538" w:type="dxa"/>
          </w:tcPr>
          <w:p>
            <w:pPr>
              <w:pStyle w:val="TableText"/>
              <w:jc w:val="left"/>
            </w:pPr>
            <w:r>
              <w:t xml:space="preserve">scenario MILP, 5 scenarios</w:t>
            </w:r>
          </w:p>
        </w:tc>
        <w:tc>
          <w:tcPr>
            <w:tcW w:w="1905" w:type="dxa"/>
          </w:tcPr>
          <w:p>
            <w:pPr>
              <w:pStyle w:val="TableText"/>
              <w:jc w:val="left"/>
            </w:pPr>
            <w:r>
              <w:t xml:space="preserve">7 620 (10)</w:t>
            </w:r>
          </w:p>
        </w:tc>
        <w:tc>
          <w:tcPr>
            <w:tcW w:w="1837" w:type="dxa"/>
          </w:tcPr>
          <w:p>
            <w:pPr>
              <w:pStyle w:val="TableText"/>
              <w:jc w:val="left"/>
            </w:pPr>
            <w:r>
              <w:t xml:space="preserve">3 020 / 2 564</w:t>
            </w:r>
          </w:p>
        </w:tc>
        <w:tc>
          <w:tcPr>
            <w:tcW w:w="1191" w:type="dxa"/>
          </w:tcPr>
          <w:p>
            <w:pPr>
              <w:pStyle w:val="TableText"/>
              <w:jc w:val="left"/>
            </w:pPr>
            <w:r>
              <w:t xml:space="preserve">0.93 / 1.20</w:t>
            </w:r>
            <w:r>
              <w:t xml:space="preserve"> </w:t>
            </w:r>
            <w:r>
              <w:rPr>
                <w:vertAlign w:val="superscript"/>
              </w:rPr>
              <w:t xml:space="preserve">a</w:t>
            </w:r>
          </w:p>
        </w:tc>
        <w:tc>
          <w:tcPr>
            <w:tcW w:w="851" w:type="dxa"/>
          </w:tcPr>
          <w:p>
            <w:pPr>
              <w:pStyle w:val="TableText"/>
              <w:jc w:val="left"/>
            </w:pPr>
            <w:r>
              <w:t xml:space="preserve">60.1</w:t>
            </w:r>
            <w:r>
              <w:t xml:space="preserve"> </w:t>
            </w:r>
            <w:r>
              <w:rPr>
                <w:vertAlign w:val="superscript"/>
              </w:rPr>
              <w:t xml:space="preserve">b</w:t>
            </w:r>
          </w:p>
        </w:tc>
      </w:tr>
      <w:tr>
        <w:tc>
          <w:tcPr>
            <w:tcW w:w="884" w:type="dxa"/>
          </w:tcPr>
          <w:p>
            <w:pPr>
              <w:pStyle w:val="TableText"/>
              <w:jc w:val="left"/>
            </w:pPr>
            <w:r>
              <w:t xml:space="preserve">JR-M</w:t>
            </w:r>
          </w:p>
        </w:tc>
        <w:tc>
          <w:tcPr>
            <w:tcW w:w="3538" w:type="dxa"/>
          </w:tcPr>
          <w:p>
            <w:pPr>
              <w:pStyle w:val="TableText"/>
              <w:jc w:val="left"/>
            </w:pPr>
            <w:r>
              <w:t xml:space="preserve">joint recovery MILP, one event visible</w:t>
            </w:r>
          </w:p>
        </w:tc>
        <w:tc>
          <w:tcPr>
            <w:tcW w:w="1905" w:type="dxa"/>
          </w:tcPr>
          <w:p>
            <w:pPr>
              <w:pStyle w:val="TableText"/>
              <w:jc w:val="left"/>
            </w:pPr>
            <w:r>
              <w:t xml:space="preserve">1 519 (1)</w:t>
            </w:r>
          </w:p>
        </w:tc>
        <w:tc>
          <w:tcPr>
            <w:tcW w:w="1837" w:type="dxa"/>
          </w:tcPr>
          <w:p>
            <w:pPr>
              <w:pStyle w:val="TableText"/>
              <w:jc w:val="left"/>
            </w:pPr>
            <w:r>
              <w:t xml:space="preserve">588 / 504</w:t>
            </w:r>
          </w:p>
        </w:tc>
        <w:tc>
          <w:tcPr>
            <w:tcW w:w="1191" w:type="dxa"/>
          </w:tcPr>
          <w:p>
            <w:pPr>
              <w:pStyle w:val="TableText"/>
              <w:jc w:val="left"/>
            </w:pPr>
            <w:r>
              <w:t xml:space="preserve">0.04 / 0.08</w:t>
            </w:r>
            <w:r>
              <w:t xml:space="preserve"> </w:t>
            </w:r>
            <w:r>
              <w:rPr>
                <w:vertAlign w:val="superscript"/>
              </w:rPr>
              <w:t xml:space="preserve">a</w:t>
            </w:r>
          </w:p>
        </w:tc>
        <w:tc>
          <w:tcPr>
            <w:tcW w:w="851" w:type="dxa"/>
          </w:tcPr>
          <w:p>
            <w:pPr>
              <w:pStyle w:val="TableText"/>
              <w:jc w:val="left"/>
            </w:pPr>
            <w:r>
              <w:t xml:space="preserve">4.7</w:t>
            </w:r>
          </w:p>
        </w:tc>
      </w:tr>
      <w:tr>
        <w:tc>
          <w:tcPr>
            <w:tcW w:w="884" w:type="dxa"/>
          </w:tcPr>
          <w:p>
            <w:pPr>
              <w:pStyle w:val="TableText"/>
              <w:jc w:val="left"/>
            </w:pPr>
            <w:r>
              <w:t xml:space="preserve">IR-O* / IR-P</w:t>
            </w:r>
          </w:p>
        </w:tc>
        <w:tc>
          <w:tcPr>
            <w:tcW w:w="3538" w:type="dxa"/>
          </w:tcPr>
          <w:p>
            <w:pPr>
              <w:pStyle w:val="TableText"/>
              <w:jc w:val="left"/>
            </w:pPr>
            <w:r>
              <w:t xml:space="preserve">IT scheduling LP, then facility MILP</w:t>
            </w:r>
          </w:p>
        </w:tc>
        <w:tc>
          <w:tcPr>
            <w:tcW w:w="1905" w:type="dxa"/>
          </w:tcPr>
          <w:p>
            <w:pPr>
              <w:pStyle w:val="TableText"/>
              <w:jc w:val="left"/>
            </w:pPr>
            <w:r>
              <w:t xml:space="preserve">656 (0) + 1 524 (2)</w:t>
            </w:r>
          </w:p>
        </w:tc>
        <w:tc>
          <w:tcPr>
            <w:tcW w:w="1837" w:type="dxa"/>
          </w:tcPr>
          <w:p>
            <w:pPr>
              <w:pStyle w:val="TableText"/>
              <w:jc w:val="left"/>
            </w:pPr>
            <w:r>
              <w:t xml:space="preserve">368 / 216 + 604 / 504</w:t>
            </w:r>
          </w:p>
        </w:tc>
        <w:tc>
          <w:tcPr>
            <w:tcW w:w="1191" w:type="dxa"/>
          </w:tcPr>
          <w:p>
            <w:pPr>
              <w:pStyle w:val="TableText"/>
              <w:jc w:val="left"/>
            </w:pPr>
            <w:r>
              <w:t xml:space="preserve">0.02 / 0.03</w:t>
            </w:r>
            <w:r>
              <w:t xml:space="preserve"> </w:t>
            </w:r>
            <w:r>
              <w:rPr>
                <w:vertAlign w:val="superscript"/>
              </w:rPr>
              <w:t xml:space="preserve">a</w:t>
            </w:r>
          </w:p>
        </w:tc>
        <w:tc>
          <w:tcPr>
            <w:tcW w:w="851" w:type="dxa"/>
          </w:tcPr>
          <w:p>
            <w:pPr>
              <w:pStyle w:val="TableText"/>
              <w:jc w:val="left"/>
            </w:pPr>
            <w:r>
              <w:t xml:space="preserve">2.1</w:t>
            </w:r>
          </w:p>
        </w:tc>
      </w:tr>
      <w:tr>
        <w:tc>
          <w:tcPr>
            <w:tcW w:w="884" w:type="dxa"/>
          </w:tcPr>
          <w:p>
            <w:pPr>
              <w:pStyle w:val="TableText"/>
              <w:jc w:val="left"/>
            </w:pPr>
            <w:r>
              <w:t xml:space="preserve">IR-PD</w:t>
            </w:r>
          </w:p>
        </w:tc>
        <w:tc>
          <w:tcPr>
            <w:tcW w:w="3538" w:type="dxa"/>
          </w:tcPr>
          <w:p>
            <w:pPr>
              <w:pStyle w:val="TableText"/>
              <w:jc w:val="left"/>
            </w:pPr>
            <w:r>
              <w:t xml:space="preserve">12 rounds of IT scheduling LP and facility MILP, then facility MILP</w:t>
            </w:r>
          </w:p>
        </w:tc>
        <w:tc>
          <w:tcPr>
            <w:tcW w:w="1905" w:type="dxa"/>
          </w:tcPr>
          <w:p>
            <w:pPr>
              <w:pStyle w:val="TableText"/>
              <w:jc w:val="left"/>
            </w:pPr>
            <w:r>
              <w:t xml:space="preserve">656 (0) + 1 524 (2) per round</w:t>
            </w:r>
          </w:p>
        </w:tc>
        <w:tc>
          <w:tcPr>
            <w:tcW w:w="1837" w:type="dxa"/>
          </w:tcPr>
          <w:p>
            <w:pPr>
              <w:pStyle w:val="TableText"/>
              <w:jc w:val="left"/>
            </w:pPr>
            <w:r>
              <w:t xml:space="preserve">368 / 216 + 604 / 504 per round</w:t>
            </w:r>
          </w:p>
        </w:tc>
        <w:tc>
          <w:tcPr>
            <w:tcW w:w="1191" w:type="dxa"/>
          </w:tcPr>
          <w:p>
            <w:pPr>
              <w:pStyle w:val="TableText"/>
              <w:jc w:val="left"/>
            </w:pPr>
            <w:r>
              <w:t xml:space="preserve">0.17 / 0.30</w:t>
            </w:r>
            <w:r>
              <w:t xml:space="preserve"> </w:t>
            </w:r>
            <w:r>
              <w:rPr>
                <w:vertAlign w:val="superscript"/>
              </w:rPr>
              <w:t xml:space="preserve">c</w:t>
            </w:r>
          </w:p>
        </w:tc>
        <w:tc>
          <w:tcPr>
            <w:tcW w:w="851" w:type="dxa"/>
          </w:tcPr>
          <w:p>
            <w:pPr>
              <w:pStyle w:val="TableText"/>
              <w:jc w:val="left"/>
            </w:pPr>
            <w:r>
              <w:t xml:space="preserve">24.3</w:t>
            </w:r>
          </w:p>
        </w:tc>
      </w:tr>
      <w:tr>
        <w:tc>
          <w:tcPr>
            <w:tcW w:w="884" w:type="dxa"/>
          </w:tcPr>
          <w:p>
            <w:pPr>
              <w:pStyle w:val="TableText"/>
              <w:jc w:val="left"/>
            </w:pPr>
            <w:r>
              <w:t xml:space="preserve">SR-D</w:t>
            </w:r>
          </w:p>
        </w:tc>
        <w:tc>
          <w:tcPr>
            <w:tcW w:w="3538" w:type="dxa"/>
          </w:tcPr>
          <w:p>
            <w:pPr>
              <w:pStyle w:val="TableText"/>
              <w:jc w:val="left"/>
            </w:pPr>
            <w:r>
              <w:t xml:space="preserve">joint recovery MILP in two stages (one inside an event)</w:t>
            </w:r>
          </w:p>
        </w:tc>
        <w:tc>
          <w:tcPr>
            <w:tcW w:w="1905" w:type="dxa"/>
          </w:tcPr>
          <w:p>
            <w:pPr>
              <w:pStyle w:val="TableText"/>
              <w:jc w:val="left"/>
            </w:pPr>
            <w:r>
              <w:t xml:space="preserve">2 × 1 524 (2)</w:t>
            </w:r>
          </w:p>
        </w:tc>
        <w:tc>
          <w:tcPr>
            <w:tcW w:w="1837" w:type="dxa"/>
          </w:tcPr>
          <w:p>
            <w:pPr>
              <w:pStyle w:val="TableText"/>
              <w:jc w:val="left"/>
            </w:pPr>
            <w:r>
              <w:t xml:space="preserve">2 × (604 / 504)</w:t>
            </w:r>
          </w:p>
        </w:tc>
        <w:tc>
          <w:tcPr>
            <w:tcW w:w="1191" w:type="dxa"/>
          </w:tcPr>
          <w:p>
            <w:pPr>
              <w:pStyle w:val="TableText"/>
              <w:jc w:val="left"/>
            </w:pPr>
            <w:r>
              <w:t xml:space="preserve">0.035 / 0.063</w:t>
            </w:r>
            <w:r>
              <w:t xml:space="preserve"> </w:t>
            </w:r>
            <w:r>
              <w:rPr>
                <w:vertAlign w:val="superscript"/>
              </w:rPr>
              <w:t xml:space="preserve">c</w:t>
            </w:r>
          </w:p>
        </w:tc>
        <w:tc>
          <w:tcPr>
            <w:tcW w:w="851" w:type="dxa"/>
          </w:tcPr>
          <w:p>
            <w:pPr>
              <w:pStyle w:val="TableText"/>
              <w:jc w:val="left"/>
            </w:pPr>
            <w:r>
              <w:t xml:space="preserve">8.8</w:t>
            </w:r>
          </w:p>
        </w:tc>
      </w:tr>
    </w:tbl>
    <w:p>
      <w:pPr>
        <w:pStyle w:val="TableNote"/>
      </w:pPr>
      <w:r>
        <w:rPr>
          <w:vertAlign w:val="superscript"/>
        </w:rPr>
        <w:t xml:space="preserve">a</w:t>
      </w:r>
      <w:r>
        <w:t xml:space="preserve"> </w:t>
      </w:r>
      <w:r>
        <w:t xml:space="preserve">Typical day; for JR-S the first 30 steps, which solve the full horizon.</w:t>
      </w:r>
      <w:r>
        <w:t xml:space="preserve"> </w:t>
      </w:r>
      <w:r>
        <w:rPr>
          <w:vertAlign w:val="superscript"/>
        </w:rPr>
        <w:t xml:space="preserve">b</w:t>
      </w:r>
      <w:r>
        <w:t xml:space="preserve"> </w:t>
      </w:r>
      <w:r>
        <w:t xml:space="preserve">Runs with event-call uncertainty (S4-U, 26 days).</w:t>
      </w:r>
      <w:r>
        <w:t xml:space="preserve"> </w:t>
      </w:r>
      <w:r>
        <w:rPr>
          <w:vertAlign w:val="superscript"/>
        </w:rPr>
        <w:t xml:space="preserve">c</w:t>
      </w:r>
      <w:r>
        <w:t xml:space="preserve"> </w:t>
      </w:r>
      <w:r>
        <w:t xml:space="preserve">DR day, measured in a separate run without other runs in parallel, in which JR-D takes 0.018 / 0.034 s per step and 2.2 s per day.</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50"/>
    <w:bookmarkEnd w:id="51"/>
    <w:bookmarkStart w:id="136" w:name="case-studies"/>
    <w:p>
      <w:pPr>
        <w:pStyle w:val="Heading1"/>
      </w:pPr>
      <w:r>
        <w:t xml:space="preserve">5. Case studies</w:t>
      </w:r>
    </w:p>
    <w:bookmarkStart w:id="55" w:name="case-description"/>
    <w:p>
      <w:pPr>
        <w:pStyle w:val="Heading2"/>
      </w:pPr>
      <w:r>
        <w:t xml:space="preserve">5.1. Case description</w:t>
      </w:r>
    </w:p>
    <w:bookmarkStart w:id="52" w:name="aidc-integrated-energy-system-and-data"/>
    <w:p>
      <w:pPr>
        <w:pStyle w:val="Heading3"/>
      </w:pPr>
      <w:r>
        <w:t xml:space="preserve">5.1.1. AIDC integrated energy system and data</w:t>
      </w:r>
    </w:p>
    <w:p>
      <w:pPr>
        <w:pStyle w:val="FirstParagraph"/>
      </w:pPr>
      <w:r>
        <w:t xml:space="preserve">The AIDC of Section 2.1 operates under the Jiangsu two-part TOU tariff and DR rules; its parameters are listed in Table A1. All load and weather profiles are derived from public data: the deferrable training and batch work from the Alibaba PAI GPU cluster trace [44], split by task runtime into the classes C1–C3; the online inference load from the Azure LLM inference trace 2024 [45]; and the PV output and chiller COP from ERA5 reanalysis weather of Suzhou in the summer of 2024. The DR day is a hot weekday (5 August 2024, maximum temperature 38.3 °C). The DR baseline is the average of the five preceding workdays [7,46], and the connection limit is</w:t>
      </w:r>
      <w:r>
        <w:t xml:space="preserve"> </w:t>
      </w:r>
      <m:oMath>
        <m:sSup>
          <m:e>
            <m:r>
              <w:rPr>
                <w:rFonts w:ascii="Cambria Math" w:hAnsi="Cambria Math"/>
                <w:sz w:val="19"/>
                <w:szCs w:val="19"/>
              </w:rPr>
              <m:t>P</m:t>
            </m:r>
          </m:e>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p>
      </m:oMath>
      <w:r>
        <w:t xml:space="preserve"> </w:t>
      </w:r>
      <w:r>
        <w:t xml:space="preserve">= 16.03 MW, 1.10 times the typical-day peak of 14.57 MW. Without DR the AIDC imports up to this limit when the BESS recharges in the valley hours (mean daily peak 15.82 MW over the operating days), whereas during the evening events the baseline is 9.4–9.8 MW. The recovery channel (1) is therefore about 6.4 MW wide: it repays both debts of a 7-MW event within a 3-h interval but only part of them within 30 min. The forecasts use the mean of the preceding weekdays for computing, of the available inference days for inference, and of the preceding three days for PV and temperature.</w:t>
      </w:r>
    </w:p>
    <w:bookmarkEnd w:id="52"/>
    <w:bookmarkStart w:id="53" w:name="event-scenarios-and-operating-days"/>
    <w:p>
      <w:pPr>
        <w:pStyle w:val="Heading3"/>
      </w:pPr>
      <w:r>
        <w:t xml:space="preserve">5.1.2. Event scenarios and operating days</w:t>
      </w:r>
    </w:p>
    <w:p>
      <w:pPr>
        <w:pStyle w:val="FirstParagraph"/>
      </w:pPr>
      <w:r>
        <w:t xml:space="preserve">Table 6 lists the event scenarios. The commitment is uniform across events (</w:t>
      </w:r>
      <m:oMath>
        <m:sSub>
          <m:e>
            <m:r>
              <w:rPr>
                <w:rFonts w:ascii="Cambria Math" w:hAnsi="Cambria Math"/>
                <w:sz w:val="19"/>
                <w:szCs w:val="19"/>
              </w:rPr>
              <m:t>C</m:t>
            </m:r>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C</m:t>
        </m:r>
      </m:oMath>
      <w:r>
        <w:t xml:space="preserve">), which corresponds to the standard DR product; non-uniform commitments are examined through the reliability region in Section 5.3.3. The historical days</w:t>
      </w:r>
      <w:r>
        <w:t xml:space="preserve"> </w:t>
      </w:r>
      <m:oMath>
        <m:sSup>
          <m:e>
            <m:r>
              <w:rPr>
                <w:rFonts w:ascii="Cambria Math" w:hAnsi="Cambria Math"/>
                <w:sz w:val="19"/>
                <w:szCs w:val="19"/>
              </w:rPr>
              <m:t>Ω</m:t>
            </m:r>
          </m:e>
          <m:sup>
            <m:r>
              <w:rPr>
                <w:rFonts w:ascii="Cambria Math" w:hAnsi="Cambria Math"/>
                <w:sz w:val="19"/>
                <w:szCs w:val="19"/>
              </w:rPr>
              <m:t>D</m:t>
            </m:r>
            <m:r>
              <w:rPr>
                <w:rFonts w:ascii="Cambria Math" w:hAnsi="Cambria Math"/>
                <w:sz w:val="19"/>
                <w:szCs w:val="19"/>
              </w:rPr>
              <m:t>A</m:t>
            </m:r>
          </m:sup>
        </m:sSup>
      </m:oMath>
      <w:r>
        <w:t xml:space="preserve"> </w:t>
      </w:r>
      <w:r>
        <w:t xml:space="preserve">are the 14 weekdays of the trace before the DR day; the deterministic forecasts and the IR-O* split are tuned on five of them, selected at the 10–90 % quantiles of the daily deferrable load. The operating-day set</w:t>
      </w:r>
      <w:r>
        <w:t xml:space="preserve"> </w:t>
      </w:r>
      <m:oMath>
        <m:r>
          <w:rPr>
            <w:rFonts w:ascii="Cambria Math" w:hAnsi="Cambria Math"/>
            <w:sz w:val="19"/>
            <w:szCs w:val="19"/>
          </w:rPr>
          <m:t>Ω</m:t>
        </m:r>
      </m:oMath>
      <w:r>
        <w:t xml:space="preserve"> </w:t>
      </w:r>
      <w:r>
        <w:t xml:space="preserve">(scenario S4) contains 26 days, each combining a different PAI weekday after the DR day with a hot summer day and an Azure inference day. On 16 of the 26 days the load without DR deviates from the baseline by more than 1 MW during at least one event, on 14 of them upwards (range −1.45 to +3.30 MW), so the commitments must be delivered under realistic baseline errors.</w:t>
      </w:r>
    </w:p>
    <w:p>
      <w:pPr>
        <w:pStyle w:val="BodyText"/>
      </w:pPr>
      <w:r>
        <w:t xml:space="preserve">All strategies of Section 4.3 use the same MPC settings (15-min step, 18-h horizon), the same commitments and the same settlement rules (Table 4). The static split of IR-O* is re-tuned on</w:t>
      </w:r>
      <w:r>
        <w:t xml:space="preserve"> </w:t>
      </w:r>
      <m:oMath>
        <m:sSup>
          <m:e>
            <m:r>
              <w:rPr>
                <w:rFonts w:ascii="Cambria Math" w:hAnsi="Cambria Math"/>
                <w:sz w:val="19"/>
                <w:szCs w:val="19"/>
              </w:rPr>
              <m:t>Ω</m:t>
            </m:r>
          </m:e>
          <m:sup>
            <m:r>
              <w:rPr>
                <w:rFonts w:ascii="Cambria Math" w:hAnsi="Cambria Math"/>
                <w:sz w:val="19"/>
                <w:szCs w:val="19"/>
              </w:rPr>
              <m:t>D</m:t>
            </m:r>
            <m:r>
              <w:rPr>
                <w:rFonts w:ascii="Cambria Math" w:hAnsi="Cambria Math"/>
                <w:sz w:val="19"/>
                <w:szCs w:val="19"/>
              </w:rPr>
              <m:t>A</m:t>
            </m:r>
          </m:sup>
        </m:sSup>
      </m:oMath>
      <w:r>
        <w:t xml:space="preserve"> </w:t>
      </w:r>
      <w:r>
        <w:t xml:space="preserve">for every commitment level (</w:t>
      </w:r>
      <m:oMath>
        <m:sSup>
          <m:e>
            <m:r>
              <w:rPr>
                <w:rFonts w:ascii="Cambria Math" w:hAnsi="Cambria Math"/>
                <w:sz w:val="19"/>
                <w:szCs w:val="19"/>
              </w:rPr>
              <m:t>α</m:t>
            </m:r>
          </m:e>
          <m:sup>
            <m:r>
              <m:rPr>
                <m:lit/>
                <m:sty m:val="p"/>
              </m:rPr>
              <w:rPr>
                <w:rFonts w:ascii="Cambria Math" w:hAnsi="Cambria Math"/>
                <w:sz w:val="19"/>
                <w:szCs w:val="19"/>
              </w:rPr>
              <m:t>*</m:t>
            </m:r>
          </m:sup>
        </m:sSup>
      </m:oMath>
      <w:r>
        <w:t xml:space="preserve"> </w:t>
      </w:r>
      <w:r>
        <w:t xml:space="preserve">between 0.2 and 0.9), so that the benchmark always operates in its best day-ahead configuration. Every strategy is simulated in closed loop on every operating day, and all statistics are reported with 95 % block-bootstrap confidence intervals over days.</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TableCaption"/>
      </w:pPr>
      <w:r>
        <w:rPr>
          <w:bCs/>
          <w:b/>
        </w:rPr>
        <w:t xml:space="preserve">Table 6</w:t>
      </w:r>
      <w:r>
        <w:br/>
      </w:r>
      <w:r>
        <w:t xml:space="preserve">Event scenarios.</w:t>
      </w:r>
    </w:p>
    <w:tbl>
      <w:tblPr>
        <w:tblStyle w:val="Table"/>
        <w:tblW w:w="10206" w:type="dxa"/>
        <w:jc w:val="start"/>
        <w:tblBorders>
          <w:top w:val="single" w:sz="6" w:space="0" w:color="000000"/>
          <w:bottom w:val="single" w:sz="6" w:space="0" w:color="000000"/>
        </w:tblBorders>
        <w:tblLayout w:type="fixed"/>
        <w:tblLook w:firstRow="1" w:lastRow="0" w:firstColumn="0" w:lastColumn="0" w:noHBand="0" w:noVBand="0" w:val="0020"/>
      </w:tblPr>
      <w:tblGrid>
        <w:gridCol w:w="680"/>
        <w:gridCol w:w="3674"/>
        <w:gridCol w:w="1701"/>
        <w:gridCol w:w="782"/>
        <w:gridCol w:w="3369"/>
      </w:tblGrid>
      <w:tr>
        <w:trPr>
          <w:tblHeader w:val="true"/>
        </w:trPr>
        <w:tc>
          <w:tcPr>
            <w:tcW w:w="680" w:type="dxa"/>
            <w:tcBorders>
              <w:bottom w:val="single" w:sz="4" w:space="0" w:color="000000"/>
            </w:tcBorders>
          </w:tcPr>
          <w:p>
            <w:pPr>
              <w:pStyle w:val="TableText"/>
              <w:jc w:val="left"/>
            </w:pPr>
            <w:r>
              <w:t xml:space="preserve">Scenario</w:t>
            </w:r>
          </w:p>
        </w:tc>
        <w:tc>
          <w:tcPr>
            <w:tcW w:w="3674" w:type="dxa"/>
            <w:tcBorders>
              <w:bottom w:val="single" w:sz="4" w:space="0" w:color="000000"/>
            </w:tcBorders>
          </w:tcPr>
          <w:p>
            <w:pPr>
              <w:pStyle w:val="TableText"/>
              <w:jc w:val="left"/>
            </w:pPr>
            <w:r>
              <w:t xml:space="preserve">Events (h)</w:t>
            </w:r>
          </w:p>
        </w:tc>
        <w:tc>
          <w:tcPr>
            <w:tcW w:w="1701" w:type="dxa"/>
            <w:tcBorders>
              <w:bottom w:val="single" w:sz="4" w:space="0" w:color="000000"/>
            </w:tcBorders>
          </w:tcPr>
          <w:p>
            <w:pPr>
              <w:pStyle w:val="TableText"/>
              <w:jc w:val="left"/>
            </w:pPr>
            <w:r>
              <w:t xml:space="preserve">Notice</w:t>
            </w:r>
          </w:p>
        </w:tc>
        <w:tc>
          <w:tcPr>
            <w:tcW w:w="782" w:type="dxa"/>
            <w:tcBorders>
              <w:bottom w:val="single" w:sz="4" w:space="0" w:color="000000"/>
            </w:tcBorders>
          </w:tcPr>
          <w:p>
            <w:pPr>
              <w:pStyle w:val="TableText"/>
              <w:jc w:val="left"/>
            </w:pPr>
            <w:r>
              <w:t xml:space="preserve">Price coefficient</w:t>
            </w:r>
          </w:p>
        </w:tc>
        <w:tc>
          <w:tcPr>
            <w:tcW w:w="3369" w:type="dxa"/>
            <w:tcBorders>
              <w:bottom w:val="single" w:sz="4" w:space="0" w:color="000000"/>
            </w:tcBorders>
          </w:tcPr>
          <w:p>
            <w:pPr>
              <w:pStyle w:val="TableText"/>
              <w:jc w:val="left"/>
            </w:pPr>
            <w:r>
              <w:t xml:space="preserve">Purpose</w:t>
            </w:r>
          </w:p>
        </w:tc>
      </w:tr>
      <w:tr>
        <w:tc>
          <w:tcPr>
            <w:tcW w:w="680" w:type="dxa"/>
          </w:tcPr>
          <w:p>
            <w:pPr>
              <w:pStyle w:val="TableText"/>
              <w:jc w:val="left"/>
            </w:pPr>
            <w:r>
              <w:t xml:space="preserve">S1</w:t>
            </w:r>
          </w:p>
        </w:tc>
        <w:tc>
          <w:tcPr>
            <w:tcW w:w="3674" w:type="dxa"/>
          </w:tcPr>
          <w:p>
            <w:pPr>
              <w:pStyle w:val="TableText"/>
              <w:jc w:val="left"/>
            </w:pPr>
            <w:r>
              <w:t xml:space="preserve">17–18, 19–20</w:t>
            </w:r>
          </w:p>
        </w:tc>
        <w:tc>
          <w:tcPr>
            <w:tcW w:w="1701" w:type="dxa"/>
          </w:tcPr>
          <w:p>
            <w:pPr>
              <w:pStyle w:val="TableText"/>
              <w:jc w:val="left"/>
            </w:pPr>
            <w:r>
              <w:t xml:space="preserve">day-ahead</w:t>
            </w:r>
          </w:p>
        </w:tc>
        <w:tc>
          <w:tcPr>
            <w:tcW w:w="782" w:type="dxa"/>
          </w:tcPr>
          <w:p>
            <w:pPr>
              <w:pStyle w:val="TableText"/>
              <w:jc w:val="left"/>
            </w:pPr>
            <w:r>
              <w:t xml:space="preserve">1.0</w:t>
            </w:r>
          </w:p>
        </w:tc>
        <w:tc>
          <w:tcPr>
            <w:tcW w:w="3369" w:type="dxa"/>
          </w:tcPr>
          <w:p>
            <w:pPr>
              <w:pStyle w:val="TableText"/>
              <w:jc w:val="left"/>
            </w:pPr>
            <w:r>
              <w:t xml:space="preserve">base case (Jiangsu: ≤ 2 agreed events, ≤ 2 h per day)</w:t>
            </w:r>
          </w:p>
        </w:tc>
      </w:tr>
      <w:tr>
        <w:tc>
          <w:tcPr>
            <w:tcW w:w="680" w:type="dxa"/>
          </w:tcPr>
          <w:p>
            <w:pPr>
              <w:pStyle w:val="TableText"/>
              <w:jc w:val="left"/>
            </w:pPr>
            <w:r>
              <w:t xml:space="preserve">S2</w:t>
            </w:r>
          </w:p>
        </w:tc>
        <w:tc>
          <w:tcPr>
            <w:tcW w:w="3674" w:type="dxa"/>
          </w:tcPr>
          <w:p>
            <w:pPr>
              <w:pStyle w:val="TableText"/>
              <w:jc w:val="left"/>
            </w:pPr>
            <w:r>
              <w:t xml:space="preserve">17–18, 18.5–19.5</w:t>
            </w:r>
          </w:p>
        </w:tc>
        <w:tc>
          <w:tcPr>
            <w:tcW w:w="1701" w:type="dxa"/>
          </w:tcPr>
          <w:p>
            <w:pPr>
              <w:pStyle w:val="TableText"/>
              <w:jc w:val="left"/>
            </w:pPr>
            <w:r>
              <w:t xml:space="preserve">day-ahead</w:t>
            </w:r>
          </w:p>
        </w:tc>
        <w:tc>
          <w:tcPr>
            <w:tcW w:w="782" w:type="dxa"/>
          </w:tcPr>
          <w:p>
            <w:pPr>
              <w:pStyle w:val="TableText"/>
              <w:jc w:val="left"/>
            </w:pPr>
            <w:r>
              <w:t xml:space="preserve">1.0</w:t>
            </w:r>
          </w:p>
        </w:tc>
        <w:tc>
          <w:tcPr>
            <w:tcW w:w="3369" w:type="dxa"/>
          </w:tcPr>
          <w:p>
            <w:pPr>
              <w:pStyle w:val="TableText"/>
              <w:jc w:val="left"/>
            </w:pPr>
            <w:r>
              <w:t xml:space="preserve">short interval τ = 30 min (15 min–3 h in Section 5.4)</w:t>
            </w:r>
          </w:p>
        </w:tc>
      </w:tr>
      <w:tr>
        <w:tc>
          <w:tcPr>
            <w:tcW w:w="680" w:type="dxa"/>
          </w:tcPr>
          <w:p>
            <w:pPr>
              <w:pStyle w:val="TableText"/>
              <w:jc w:val="left"/>
            </w:pPr>
            <w:r>
              <w:t xml:space="preserve">S3</w:t>
            </w:r>
          </w:p>
        </w:tc>
        <w:tc>
          <w:tcPr>
            <w:tcW w:w="3674" w:type="dxa"/>
          </w:tcPr>
          <w:p>
            <w:pPr>
              <w:pStyle w:val="TableText"/>
              <w:jc w:val="left"/>
            </w:pPr>
            <w:r>
              <w:t xml:space="preserve">17–18, 19–20, 21–22</w:t>
            </w:r>
          </w:p>
        </w:tc>
        <w:tc>
          <w:tcPr>
            <w:tcW w:w="1701" w:type="dxa"/>
          </w:tcPr>
          <w:p>
            <w:pPr>
              <w:pStyle w:val="TableText"/>
              <w:jc w:val="left"/>
            </w:pPr>
            <w:r>
              <w:t xml:space="preserve">day-ahead, day-ahead, 3 h</w:t>
            </w:r>
          </w:p>
        </w:tc>
        <w:tc>
          <w:tcPr>
            <w:tcW w:w="782" w:type="dxa"/>
          </w:tcPr>
          <w:p>
            <w:pPr>
              <w:pStyle w:val="TableText"/>
              <w:jc w:val="left"/>
            </w:pPr>
            <w:r>
              <w:t xml:space="preserve">1.0, 1.0, 1.4</w:t>
            </w:r>
          </w:p>
        </w:tc>
        <w:tc>
          <w:tcPr>
            <w:tcW w:w="3369" w:type="dxa"/>
          </w:tcPr>
          <w:p>
            <w:pPr>
              <w:pStyle w:val="TableText"/>
              <w:jc w:val="left"/>
            </w:pPr>
            <w:r>
              <w:t xml:space="preserve">high stress: additional rapid peak-shaving call</w:t>
            </w:r>
          </w:p>
        </w:tc>
      </w:tr>
      <w:tr>
        <w:tc>
          <w:tcPr>
            <w:tcW w:w="680" w:type="dxa"/>
          </w:tcPr>
          <w:p>
            <w:pPr>
              <w:pStyle w:val="TableText"/>
              <w:jc w:val="left"/>
            </w:pPr>
            <w:r>
              <w:t xml:space="preserve">S4</w:t>
            </w:r>
          </w:p>
        </w:tc>
        <w:tc>
          <w:tcPr>
            <w:tcW w:w="3674" w:type="dxa"/>
          </w:tcPr>
          <w:p>
            <w:pPr>
              <w:pStyle w:val="TableText"/>
              <w:jc w:val="left"/>
            </w:pPr>
            <w:r>
              <w:t xml:space="preserve">S1–S3 on the 26 operating days</w:t>
            </w:r>
          </w:p>
        </w:tc>
        <w:tc>
          <w:tcPr>
            <w:tcW w:w="1701" w:type="dxa"/>
          </w:tcPr>
          <w:p>
            <w:pPr>
              <w:pStyle w:val="TableText"/>
              <w:jc w:val="left"/>
            </w:pPr>
            <w:r>
              <w:t xml:space="preserve">as S1–S3</w:t>
            </w:r>
          </w:p>
        </w:tc>
        <w:tc>
          <w:tcPr>
            <w:tcW w:w="782" w:type="dxa"/>
          </w:tcPr>
          <w:p>
            <w:pPr>
              <w:pStyle w:val="TableText"/>
              <w:jc w:val="left"/>
            </w:pPr>
            <w:r>
              <w:t xml:space="preserve">as S1–S3</w:t>
            </w:r>
          </w:p>
        </w:tc>
        <w:tc>
          <w:tcPr>
            <w:tcW w:w="3369" w:type="dxa"/>
          </w:tcPr>
          <w:p>
            <w:pPr>
              <w:pStyle w:val="TableText"/>
              <w:jc w:val="left"/>
            </w:pPr>
            <w:r>
              <w:t xml:space="preserve">statistics and economics</w:t>
            </w:r>
          </w:p>
        </w:tc>
      </w:tr>
      <w:tr>
        <w:tc>
          <w:tcPr>
            <w:tcW w:w="680" w:type="dxa"/>
          </w:tcPr>
          <w:p>
            <w:pPr>
              <w:pStyle w:val="TableText"/>
              <w:jc w:val="left"/>
            </w:pPr>
            <w:r>
              <w:t xml:space="preserve">S4-U</w:t>
            </w:r>
          </w:p>
        </w:tc>
        <w:tc>
          <w:tcPr>
            <w:tcW w:w="3674" w:type="dxa"/>
          </w:tcPr>
          <w:p>
            <w:pPr>
              <w:pStyle w:val="TableText"/>
              <w:jc w:val="left"/>
            </w:pPr>
            <w:r>
              <w:t xml:space="preserve">17–18, 19–20, 21–22; third event called with probability 0.6</w:t>
            </w:r>
          </w:p>
        </w:tc>
        <w:tc>
          <w:tcPr>
            <w:tcW w:w="1701" w:type="dxa"/>
          </w:tcPr>
          <w:p>
            <w:pPr>
              <w:pStyle w:val="TableText"/>
              <w:jc w:val="left"/>
            </w:pPr>
            <w:r>
              <w:t xml:space="preserve">day-ahead, day-ahead, 1 h</w:t>
            </w:r>
          </w:p>
        </w:tc>
        <w:tc>
          <w:tcPr>
            <w:tcW w:w="782" w:type="dxa"/>
          </w:tcPr>
          <w:p>
            <w:pPr>
              <w:pStyle w:val="TableText"/>
              <w:jc w:val="left"/>
            </w:pPr>
            <w:r>
              <w:t xml:space="preserve">1.0, 1.0, 1.6</w:t>
            </w:r>
          </w:p>
        </w:tc>
        <w:tc>
          <w:tcPr>
            <w:tcW w:w="3369" w:type="dxa"/>
          </w:tcPr>
          <w:p>
            <w:pPr>
              <w:pStyle w:val="TableText"/>
              <w:jc w:val="left"/>
            </w:pPr>
            <w:r>
              <w:t xml:space="preserve">event-call uncertainty</w:t>
            </w:r>
          </w:p>
        </w:tc>
      </w:tr>
    </w:tbl>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53"/>
    <w:bookmarkStart w:id="54" w:name="nominal-and-actual-recovery-channel"/>
    <w:p>
      <w:pPr>
        <w:pStyle w:val="Heading3"/>
      </w:pPr>
      <w:r>
        <w:t xml:space="preserve">5.1.3. Nominal and actual recovery channel</w:t>
      </w:r>
    </w:p>
    <w:p>
      <w:pPr>
        <w:pStyle w:val="FirstParagraph"/>
      </w:pPr>
      <w:r>
        <w:t xml:space="preserve">The nominal channel (1) is the same on every operating day, 6.37 MWh in the 1-h interval of S1 and 3.17 MWh in the 30-min interval of S2. The actual channel (2) varies with the realised load, PV output and COP (supplementary Fig. S6). In S1 it averages 5.80 MWh (4.03–7.85 MWh) and is narrower than the nominal channel on 18 of the 26 days; in S2 it averages 2.84 MWh (1.92–3.92 MWh) and is narrower on 17 days. The difference is the baseline error integrated over the interval (correlation −1.00 with the mean deviation of the no-DR import from the baseline). Part of the actual channel exists only because the BESS shaves the evening peak in normal operation: with the storage of the no-DR operation held idle, as (H1) assumes, the channel shrinks to 4.39 MWh in S1 and 2.13 MWh in S2. The actual channel is the binding one. At 7 MW, the energy that JR-D imports above the no-DR operation in the interval never exceeds it and equals it on 20 of the 26 days in S1 and on all days in S2, whereas it exceeds the nominal channel on 3 days in S1 and on 9 days in S2. The nominal channel is therefore a planning quantity known day-ahead, and the propositions of Section 3.7 hold for the actual channel.</w:t>
      </w:r>
    </w:p>
    <w:bookmarkEnd w:id="54"/>
    <w:bookmarkEnd w:id="55"/>
    <w:bookmarkStart w:id="68" w:name="recovery-mechanism-on-a-typical-day"/>
    <w:p>
      <w:pPr>
        <w:pStyle w:val="Heading2"/>
      </w:pPr>
      <w:r>
        <w:t xml:space="preserve">5.2. Recovery mechanism on a typical day</w:t>
      </w:r>
    </w:p>
    <w:p>
      <w:pPr>
        <w:pStyle w:val="FirstParagraph"/>
      </w:pPr>
      <w:r>
        <w:t xml:space="preserve">Figs. 3, 4 and 5 trace the two events of S2 on a representative operating day with a uniform commitment of 7 MW and contrast them with the same events 3 h apart. With the 30-min interval, JR-D delivers 8.18 MW in the first and 8.02 MW in the second event, IR-O* delivers 7.00 MW and 6.84 MW and misses full delivery in the second event, and JR-M drops to 4.64 MW in the second event (Fig. 3a–b). With the 3-h interval all three strategies deliver both events in full (Fig. 4). On this day the shortfall of IR-O* is small (2 % of the commitment); on another operating day it reaches 17 %, and there too the 3-h interval restores full delivery. The difference therefore arises entirely from how the debts of the first event are incurred and repaid.</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5835599" cy="4295904"/>
            <wp:effectExtent b="0" l="0" r="0" t="0"/>
            <wp:docPr descr="" title="" id="57" name="Picture"/>
            <a:graphic>
              <a:graphicData uri="http://schemas.openxmlformats.org/drawingml/2006/picture">
                <pic:pic>
                  <pic:nvPicPr>
                    <pic:cNvPr descr="/home/user/datacenter/paper/figures/Fig3_power_balance.png" id="58" name="Picture"/>
                    <pic:cNvPicPr>
                      <a:picLocks noChangeArrowheads="1" noChangeAspect="1"/>
                    </pic:cNvPicPr>
                  </pic:nvPicPr>
                  <pic:blipFill>
                    <a:blip r:embed="rId56"/>
                    <a:stretch>
                      <a:fillRect/>
                    </a:stretch>
                  </pic:blipFill>
                  <pic:spPr bwMode="auto">
                    <a:xfrm>
                      <a:off x="0" y="0"/>
                      <a:ext cx="5835599" cy="4295904"/>
                    </a:xfrm>
                    <a:prstGeom prst="rect">
                      <a:avLst/>
                    </a:prstGeom>
                    <a:noFill/>
                    <a:ln w="9525">
                      <a:noFill/>
                      <a:headEnd/>
                      <a:tailEnd/>
                    </a:ln>
                  </pic:spPr>
                </pic:pic>
              </a:graphicData>
            </a:graphic>
          </wp:inline>
        </w:drawing>
      </w:r>
    </w:p>
    <w:p>
      <w:pPr>
        <w:pStyle w:val="FigureCaption"/>
      </w:pPr>
      <w:r>
        <w:rPr>
          <w:bCs/>
          <w:b/>
        </w:rPr>
        <w:t xml:space="preserve">Fig. 3.</w:t>
      </w:r>
      <w:r>
        <w:t xml:space="preserve"> </w:t>
      </w:r>
      <w:r>
        <w:t xml:space="preserve">Power balance on the typical day (S2, 30-min interval, 7 MW, operating day r21) under (a) IR-O* and (b) JR-D: supply (grid import, PV, gas engine, BESS discharge) above zero and demand below zero; events shaded. (c, d) Use of the recovery channel</w:t>
      </w:r>
      <w:r>
        <w:t xml:space="preserve"> </w:t>
      </w:r>
      <m:oMath>
        <m:sSup>
          <m:e>
            <m:r>
              <w:rPr>
                <w:rFonts w:ascii="Cambria Math" w:hAnsi="Cambria Math"/>
                <w:sz w:val="15"/>
                <w:szCs w:val="15"/>
              </w:rPr>
              <m:t>P</m:t>
            </m:r>
          </m:e>
          <m:sup>
            <m:r>
              <w:rPr>
                <w:rFonts w:ascii="Cambria Math" w:hAnsi="Cambria Math"/>
                <w:sz w:val="15"/>
                <w:szCs w:val="15"/>
              </w:rPr>
              <m:t>c</m:t>
            </m:r>
            <m:r>
              <w:rPr>
                <w:rFonts w:ascii="Cambria Math" w:hAnsi="Cambria Math"/>
                <w:sz w:val="15"/>
                <w:szCs w:val="15"/>
              </w:rPr>
              <m:t>a</m:t>
            </m:r>
            <m:r>
              <w:rPr>
                <w:rFonts w:ascii="Cambria Math" w:hAnsi="Cambria Math"/>
                <w:sz w:val="15"/>
                <w:szCs w:val="15"/>
              </w:rPr>
              <m:t>p</m:t>
            </m:r>
          </m:sup>
        </m:sSup>
        <m:r>
          <m:rPr>
            <m:sty m:val="p"/>
          </m:rPr>
          <w:rPr>
            <w:rFonts w:ascii="Cambria Math" w:hAnsi="Cambria Math"/>
            <w:sz w:val="15"/>
            <w:szCs w:val="15"/>
          </w:rPr>
          <m:t>−</m:t>
        </m:r>
        <m:sSubSup>
          <m:e>
            <m:r>
              <w:rPr>
                <w:rFonts w:ascii="Cambria Math" w:hAnsi="Cambria Math"/>
                <w:sz w:val="15"/>
                <w:szCs w:val="15"/>
              </w:rPr>
              <m:t>P</m:t>
            </m:r>
          </m:e>
          <m:sub>
            <m:r>
              <w:rPr>
                <w:rFonts w:ascii="Cambria Math" w:hAnsi="Cambria Math"/>
                <w:sz w:val="15"/>
                <w:szCs w:val="15"/>
              </w:rPr>
              <m:t>t</m:t>
            </m:r>
          </m:sub>
          <m:sup>
            <m:r>
              <w:rPr>
                <w:rFonts w:ascii="Cambria Math" w:hAnsi="Cambria Math"/>
                <w:sz w:val="15"/>
                <w:szCs w:val="15"/>
              </w:rPr>
              <m:t>b</m:t>
            </m:r>
            <m:r>
              <w:rPr>
                <w:rFonts w:ascii="Cambria Math" w:hAnsi="Cambria Math"/>
                <w:sz w:val="15"/>
                <w:szCs w:val="15"/>
              </w:rPr>
              <m:t>a</m:t>
            </m:r>
            <m:r>
              <w:rPr>
                <w:rFonts w:ascii="Cambria Math" w:hAnsi="Cambria Math"/>
                <w:sz w:val="15"/>
                <w:szCs w:val="15"/>
              </w:rPr>
              <m:t>s</m:t>
            </m:r>
            <m:r>
              <w:rPr>
                <w:rFonts w:ascii="Cambria Math" w:hAnsi="Cambria Math"/>
                <w:sz w:val="15"/>
                <w:szCs w:val="15"/>
              </w:rPr>
              <m:t>e</m:t>
            </m:r>
          </m:sup>
        </m:sSubSup>
      </m:oMath>
      <w:r>
        <w:t xml:space="preserve"> </w:t>
      </w:r>
      <w:r>
        <w:t xml:space="preserve">for compute catch-up and storage recharge, with the energies drawn in the interval between the events.</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5698799" cy="3717933"/>
            <wp:effectExtent b="0" l="0" r="0" t="0"/>
            <wp:docPr descr="" title="" id="60" name="Picture"/>
            <a:graphic>
              <a:graphicData uri="http://schemas.openxmlformats.org/drawingml/2006/picture">
                <pic:pic>
                  <pic:nvPicPr>
                    <pic:cNvPr descr="/home/user/datacenter/paper/figures/Fig4_backlog_storage.png" id="61" name="Picture"/>
                    <pic:cNvPicPr>
                      <a:picLocks noChangeArrowheads="1" noChangeAspect="1"/>
                    </pic:cNvPicPr>
                  </pic:nvPicPr>
                  <pic:blipFill>
                    <a:blip r:embed="rId59"/>
                    <a:stretch>
                      <a:fillRect/>
                    </a:stretch>
                  </pic:blipFill>
                  <pic:spPr bwMode="auto">
                    <a:xfrm>
                      <a:off x="0" y="0"/>
                      <a:ext cx="5698799" cy="3717933"/>
                    </a:xfrm>
                    <a:prstGeom prst="rect">
                      <a:avLst/>
                    </a:prstGeom>
                    <a:noFill/>
                    <a:ln w="9525">
                      <a:noFill/>
                      <a:headEnd/>
                      <a:tailEnd/>
                    </a:ln>
                  </pic:spPr>
                </pic:pic>
              </a:graphicData>
            </a:graphic>
          </wp:inline>
        </w:drawing>
      </w:r>
    </w:p>
    <w:p>
      <w:pPr>
        <w:pStyle w:val="FigureCaption"/>
      </w:pPr>
      <w:r>
        <w:rPr>
          <w:bCs/>
          <w:b/>
        </w:rPr>
        <w:t xml:space="preserve">Fig. 4.</w:t>
      </w:r>
      <w:r>
        <w:t xml:space="preserve"> </w:t>
      </w:r>
      <w:r>
        <w:t xml:space="preserve">Recovery states on the typical day for the 30-min (a, c) and the 3-h interval (b, d): (a, b) backlog of the deferrable classes under JR-D and total backlog under IR-O* and JR-M; (c, d) energy in the BESS and the cold storage.</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5479199" cy="2602467"/>
            <wp:effectExtent b="0" l="0" r="0" t="0"/>
            <wp:docPr descr="" title="" id="63" name="Picture"/>
            <a:graphic>
              <a:graphicData uri="http://schemas.openxmlformats.org/drawingml/2006/picture">
                <pic:pic>
                  <pic:nvPicPr>
                    <pic:cNvPr descr="/home/user/datacenter/paper/figures/Fig5_recovery_sankey.png" id="64" name="Picture"/>
                    <pic:cNvPicPr>
                      <a:picLocks noChangeArrowheads="1" noChangeAspect="1"/>
                    </pic:cNvPicPr>
                  </pic:nvPicPr>
                  <pic:blipFill>
                    <a:blip r:embed="rId62"/>
                    <a:stretch>
                      <a:fillRect/>
                    </a:stretch>
                  </pic:blipFill>
                  <pic:spPr bwMode="auto">
                    <a:xfrm>
                      <a:off x="0" y="0"/>
                      <a:ext cx="5479199" cy="2602467"/>
                    </a:xfrm>
                    <a:prstGeom prst="rect">
                      <a:avLst/>
                    </a:prstGeom>
                    <a:noFill/>
                    <a:ln w="9525">
                      <a:noFill/>
                      <a:headEnd/>
                      <a:tailEnd/>
                    </a:ln>
                  </pic:spPr>
                </pic:pic>
              </a:graphicData>
            </a:graphic>
          </wp:inline>
        </w:drawing>
      </w:r>
    </w:p>
    <w:p>
      <w:pPr>
        <w:pStyle w:val="FigureCaption"/>
      </w:pPr>
      <w:r>
        <w:rPr>
          <w:bCs/>
          <w:b/>
        </w:rPr>
        <w:t xml:space="preserve">Fig. 5.</w:t>
      </w:r>
      <w:r>
        <w:t xml:space="preserve"> </w:t>
      </w:r>
      <w:r>
        <w:t xml:space="preserve">Sources and uses of the recovery energy on the typical day (S2, 7 MW), relative to the no-DR operation of the same day, under (a) IR-O* and (b) JR-D: grid energy drawn through the channel is attributed to the connection margin, gas engine, absorption chiller, PV and cold storage; uses are catch-up and recharge in the interval and after the events.</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Start w:id="65" w:name="selection-of-the-deferred-work"/>
    <w:p>
      <w:pPr>
        <w:pStyle w:val="Heading3"/>
      </w:pPr>
      <w:r>
        <w:t xml:space="preserve">5.2.1. Selection of the deferred work</w:t>
      </w:r>
    </w:p>
    <w:p>
      <w:pPr>
        <w:pStyle w:val="FirstParagraph"/>
      </w:pPr>
      <w:r>
        <w:t xml:space="preserve">JR-D defers the long-deadline class C3 during the first event: at its end, 3.0×10³ GPU·h of C3 work are deferred, against 2.0×10³ GPU·h under IR-O* (Fig. 4a). Because C3 does not fall due before the end of the second event, this debt can be carried across it. This is the mechanism of Proposition 2: the necessary catch-up (43) is limited to the work that would fall due in the next event.</w:t>
      </w:r>
    </w:p>
    <w:bookmarkEnd w:id="65"/>
    <w:bookmarkStart w:id="66" w:name="allocation-of-the-recovery-channel"/>
    <w:p>
      <w:pPr>
        <w:pStyle w:val="Heading3"/>
      </w:pPr>
      <w:r>
        <w:t xml:space="preserve">5.2.2. Allocation of the recovery channel</w:t>
      </w:r>
    </w:p>
    <w:p>
      <w:pPr>
        <w:pStyle w:val="FirstParagraph"/>
      </w:pPr>
      <w:r>
        <w:t xml:space="preserve">In the 30-min interval the grid import of all strategies reaches the connection limit. IR-O* spends the channel on catch-up and recharges the BESS by only 0.16 MWh, whereas JR-D recharges it by 0.73 MWh and starts the second event with 6.22 MWh instead of 5.91 MWh (Fig. 3c–d). Measured against the no-DR operation, in which the BESS discharges to shave the evening peak, JR-D devotes 57 % of the recovery energy drawn in the interval to the BESS instead of 32 % (Fig. 5). JR-M, which plans each event alone, over-delivers the first event to collect the 120 % payment and empties the BESS to 1.27 MWh; the backlog it leaves cannot be deferred again, and the second event fails.</w:t>
      </w:r>
    </w:p>
    <w:bookmarkEnd w:id="66"/>
    <w:bookmarkStart w:id="67" w:name="X32ecd902a93e75203d04e6fa3c4f049c0611211"/>
    <w:p>
      <w:pPr>
        <w:pStyle w:val="Heading3"/>
      </w:pPr>
      <w:r>
        <w:t xml:space="preserve">5.2.3. Contribution of the integrated energy system to the channel</w:t>
      </w:r>
    </w:p>
    <w:p>
      <w:pPr>
        <w:pStyle w:val="FirstParagraph"/>
      </w:pPr>
      <w:r>
        <w:t xml:space="preserve">The gas engine and the absorption chiller provide 85 % of the energy that recovery draws through the channel (Fig. 5). The gas engine runs at full output with and without DR, so it adds no energy during recovery but lowers the import by 3 MW and thereby widens the headroom</w:t>
      </w:r>
      <w:r>
        <w:t xml:space="preserve"> </w:t>
      </w:r>
      <m:oMath>
        <m:sSup>
          <m:e>
            <m:r>
              <w:rPr>
                <w:rFonts w:ascii="Cambria Math" w:hAnsi="Cambria Math"/>
                <w:sz w:val="19"/>
                <w:szCs w:val="19"/>
              </w:rPr>
              <m:t>P</m:t>
            </m:r>
          </m:e>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b</m:t>
            </m:r>
            <m:r>
              <w:rPr>
                <w:rFonts w:ascii="Cambria Math" w:hAnsi="Cambria Math"/>
                <w:sz w:val="19"/>
                <w:szCs w:val="19"/>
              </w:rPr>
              <m:t>a</m:t>
            </m:r>
            <m:r>
              <w:rPr>
                <w:rFonts w:ascii="Cambria Math" w:hAnsi="Cambria Math"/>
                <w:sz w:val="19"/>
                <w:szCs w:val="19"/>
              </w:rPr>
              <m:t>s</m:t>
            </m:r>
            <m:r>
              <w:rPr>
                <w:rFonts w:ascii="Cambria Math" w:hAnsi="Cambria Math"/>
                <w:sz w:val="19"/>
                <w:szCs w:val="19"/>
              </w:rPr>
              <m:t>e</m:t>
            </m:r>
          </m:sup>
        </m:sSubSup>
      </m:oMath>
      <w:r>
        <w:t xml:space="preserve">; Section 5.7 quantifies these roles. These results confirm that the deliverable reduction of the second event is decided by the recovery state that the first event leaves behind, and that joint recovery shapes this state through both the choice of deferred work and the allocation of the channel.</w:t>
      </w:r>
    </w:p>
    <w:bookmarkEnd w:id="67"/>
    <w:bookmarkEnd w:id="68"/>
    <w:bookmarkStart w:id="79" w:name="firm-consecutive-dr-capacity-1"/>
    <w:p>
      <w:pPr>
        <w:pStyle w:val="Heading2"/>
      </w:pPr>
      <w:r>
        <w:t xml:space="preserve">5.3. Firm consecutive DR capacity</w:t>
      </w:r>
    </w:p>
    <w:bookmarkStart w:id="72" w:name="firm-capacity-of-the-controllers"/>
    <w:p>
      <w:pPr>
        <w:pStyle w:val="Heading3"/>
      </w:pPr>
      <w:r>
        <w:t xml:space="preserve">5.3.1. Firm capacity of the controllers</w:t>
      </w:r>
    </w:p>
    <w:p>
      <w:pPr>
        <w:pStyle w:val="FirstParagraph"/>
      </w:pPr>
      <w:r>
        <w:t xml:space="preserve">Fig. 6 shows the share of the 26 operating days on which every event is delivered in full, as a function of the uniform commitment, and Table 7 lists the firm capacities. JR-D firmly delivers 7.5 MW in S1 and in S2 (95 % CI 7.5–8 MW), 94 % of the single-event capability of the second event (7.98 MW). Above this level its share drops to 81 % at 8 MW and to zero at 8.5 MW, where the commitment exceeds what the AIDC can reduce below the baseline at the minimum import of 1.5 MW; this limit is physical, not a recovery limit. JR-M firmly delivers 6.5 MW in S1 but only 4.5 MW in S2, so cross-event foresight adds 1.0 MW (95 % CI 0.5–1.5) with the 1-h interval and 3.0 MW (2.5–3.0) with the 30-min interval. The third, rapid event of S3 makes the evening more demanding: JR-D firmly delivers 6.5 MW per event (4.5–7.0) and JR-M 4.5 MW (1.5–5.0), so foresight adds 2.0 MW (2.0–3.0), while the independent benchmarks deliver all three events in full on at most 77 % of the days at any commitment.</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5673599" cy="4289497"/>
            <wp:effectExtent b="0" l="0" r="0" t="0"/>
            <wp:docPr descr="" title="" id="70" name="Picture"/>
            <a:graphic>
              <a:graphicData uri="http://schemas.openxmlformats.org/drawingml/2006/picture">
                <pic:pic>
                  <pic:nvPicPr>
                    <pic:cNvPr descr="/home/user/datacenter/paper/figures/Fig6_reliable_capacity.png" id="71" name="Picture"/>
                    <pic:cNvPicPr>
                      <a:picLocks noChangeArrowheads="1" noChangeAspect="1"/>
                    </pic:cNvPicPr>
                  </pic:nvPicPr>
                  <pic:blipFill>
                    <a:blip r:embed="rId69"/>
                    <a:stretch>
                      <a:fillRect/>
                    </a:stretch>
                  </pic:blipFill>
                  <pic:spPr bwMode="auto">
                    <a:xfrm>
                      <a:off x="0" y="0"/>
                      <a:ext cx="5673599" cy="4289497"/>
                    </a:xfrm>
                    <a:prstGeom prst="rect">
                      <a:avLst/>
                    </a:prstGeom>
                    <a:noFill/>
                    <a:ln w="9525">
                      <a:noFill/>
                      <a:headEnd/>
                      <a:tailEnd/>
                    </a:ln>
                  </pic:spPr>
                </pic:pic>
              </a:graphicData>
            </a:graphic>
          </wp:inline>
        </w:drawing>
      </w:r>
    </w:p>
    <w:p>
      <w:pPr>
        <w:pStyle w:val="FigureCaption"/>
      </w:pPr>
      <w:r>
        <w:rPr>
          <w:bCs/>
          <w:b/>
        </w:rPr>
        <w:t xml:space="preserve">Fig. 6.</w:t>
      </w:r>
      <w:r>
        <w:t xml:space="preserve"> </w:t>
      </w:r>
      <w:r>
        <w:t xml:space="preserve">Share of the 26 operating days on which every event is delivered in full (a–c) and on which every event is valid under the 80 % rule (d–f) versus the uniform commitment (grid step 0.5 MW; base system; forecasts of Section 5.1.1 for all controllers), for S1, S2 and S3 and the six controllers (IR-PD and SR-D: Section 5.3.4; IR-PD in S3 from 3 MW); bands: 95 % block-bootstrap intervals for IR-O* and JR-D; ticks: firm capacities at 95 %; arrows: gain of JR-D over the best independent benchmark, IR-PD.</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TableCaption"/>
      </w:pPr>
      <w:r>
        <w:rPr>
          <w:bCs/>
          <w:b/>
        </w:rPr>
        <w:t xml:space="preserve">Table 7</w:t>
      </w:r>
      <w:r>
        <w:br/>
      </w:r>
      <w:r>
        <w:t xml:space="preserve">Firm consecutive DR capacity</w:t>
      </w:r>
      <w:r>
        <w:t xml:space="preserve"> </w:t>
      </w:r>
      <m:oMath>
        <m:sSubSup>
          <m:e>
            <m:r>
              <w:rPr>
                <w:rFonts w:ascii="Cambria Math" w:hAnsi="Cambria Math"/>
                <w:sz w:val="15"/>
                <w:szCs w:val="15"/>
              </w:rPr>
              <m:t>C</m:t>
            </m:r>
          </m:e>
          <m:sub>
            <m:r>
              <w:rPr>
                <w:rFonts w:ascii="Cambria Math" w:hAnsi="Cambria Math"/>
                <w:sz w:val="15"/>
                <w:szCs w:val="15"/>
              </w:rPr>
              <m:t>0.95</m:t>
            </m:r>
          </m:sub>
          <m:sup>
            <m:r>
              <w:rPr>
                <w:rFonts w:ascii="Cambria Math" w:hAnsi="Cambria Math"/>
                <w:sz w:val="15"/>
                <w:szCs w:val="15"/>
              </w:rPr>
              <m:t>f</m:t>
            </m:r>
            <m:r>
              <w:rPr>
                <w:rFonts w:ascii="Cambria Math" w:hAnsi="Cambria Math"/>
                <w:sz w:val="15"/>
                <w:szCs w:val="15"/>
              </w:rPr>
              <m:t>i</m:t>
            </m:r>
            <m:r>
              <w:rPr>
                <w:rFonts w:ascii="Cambria Math" w:hAnsi="Cambria Math"/>
                <w:sz w:val="15"/>
                <w:szCs w:val="15"/>
              </w:rPr>
              <m:t>r</m:t>
            </m:r>
            <m:r>
              <w:rPr>
                <w:rFonts w:ascii="Cambria Math" w:hAnsi="Cambria Math"/>
                <w:sz w:val="15"/>
                <w:szCs w:val="15"/>
              </w:rPr>
              <m:t>m</m:t>
            </m:r>
          </m:sup>
        </m:sSubSup>
      </m:oMath>
      <w:r>
        <w:t xml:space="preserve"> </w:t>
      </w:r>
      <w:r>
        <w:t xml:space="preserve">(MW) on the 26 operating days, with 95 % block-bootstrap confidence intervals, evaluated on the commitment grid with 0.5 MW steps (Sections 5.4–5.5 use bisection with 0.25 MW resolution, so 7.75 MW there corresponds to 7.5 MW on the grid);</w:t>
      </w:r>
      <w:r>
        <w:t xml:space="preserve"> </w:t>
      </w:r>
      <w:r>
        <w:t xml:space="preserve">“</w:t>
      </w:r>
      <w:r>
        <w:t xml:space="preserve">&lt; 1</w:t>
      </w:r>
      <w:r>
        <w:t xml:space="preserve">”</w:t>
      </w:r>
      <w:r>
        <w:t xml:space="preserve"> </w:t>
      </w:r>
      <w:r>
        <w:t xml:space="preserve">means that full delivery on 95 % of the days is not reached even at 1 MW.</w:t>
      </w:r>
    </w:p>
    <w:tbl>
      <w:tblPr>
        <w:tblStyle w:val="Table"/>
        <w:tblW w:w="10206" w:type="dxa"/>
        <w:jc w:val="start"/>
        <w:tblBorders>
          <w:top w:val="single" w:sz="6" w:space="0" w:color="000000"/>
          <w:bottom w:val="single" w:sz="6" w:space="0" w:color="000000"/>
        </w:tblBorders>
        <w:tblLayout w:type="fixed"/>
        <w:tblLook w:firstRow="1" w:lastRow="0" w:firstColumn="0" w:lastColumn="0" w:noHBand="0" w:noVBand="0" w:val="0020"/>
      </w:tblPr>
      <w:tblGrid>
        <w:gridCol w:w="884"/>
        <w:gridCol w:w="646"/>
        <w:gridCol w:w="544"/>
        <w:gridCol w:w="1565"/>
        <w:gridCol w:w="1191"/>
        <w:gridCol w:w="1191"/>
        <w:gridCol w:w="1156"/>
        <w:gridCol w:w="1531"/>
        <w:gridCol w:w="1498"/>
      </w:tblGrid>
      <w:tr>
        <w:trPr>
          <w:tblHeader w:val="true"/>
        </w:trPr>
        <w:tc>
          <w:tcPr>
            <w:tcW w:w="884" w:type="dxa"/>
            <w:tcBorders>
              <w:bottom w:val="single" w:sz="4" w:space="0" w:color="000000"/>
            </w:tcBorders>
          </w:tcPr>
          <w:p>
            <w:pPr>
              <w:pStyle w:val="TableText"/>
              <w:jc w:val="left"/>
            </w:pPr>
            <w:r>
              <w:t xml:space="preserve">Scenario</w:t>
            </w:r>
          </w:p>
        </w:tc>
        <w:tc>
          <w:tcPr>
            <w:tcW w:w="646" w:type="dxa"/>
            <w:tcBorders>
              <w:bottom w:val="single" w:sz="4" w:space="0" w:color="000000"/>
            </w:tcBorders>
          </w:tcPr>
          <w:p>
            <w:pPr>
              <w:pStyle w:val="TableText"/>
              <w:jc w:val="left"/>
            </w:pPr>
            <w:r>
              <w:t xml:space="preserve">IR-O*</w:t>
            </w:r>
          </w:p>
        </w:tc>
        <w:tc>
          <w:tcPr>
            <w:tcW w:w="544" w:type="dxa"/>
            <w:tcBorders>
              <w:bottom w:val="single" w:sz="4" w:space="0" w:color="000000"/>
            </w:tcBorders>
          </w:tcPr>
          <w:p>
            <w:pPr>
              <w:pStyle w:val="TableText"/>
              <w:jc w:val="left"/>
            </w:pPr>
            <w:r>
              <w:t xml:space="preserve">IR-P</w:t>
            </w:r>
          </w:p>
        </w:tc>
        <w:tc>
          <w:tcPr>
            <w:tcW w:w="1565" w:type="dxa"/>
            <w:tcBorders>
              <w:bottom w:val="single" w:sz="4" w:space="0" w:color="000000"/>
            </w:tcBorders>
          </w:tcPr>
          <w:p>
            <w:pPr>
              <w:pStyle w:val="TableText"/>
              <w:jc w:val="left"/>
            </w:pPr>
            <w:r>
              <w:t xml:space="preserve">IR-PD</w:t>
            </w:r>
          </w:p>
        </w:tc>
        <w:tc>
          <w:tcPr>
            <w:tcW w:w="1191" w:type="dxa"/>
            <w:tcBorders>
              <w:bottom w:val="single" w:sz="4" w:space="0" w:color="000000"/>
            </w:tcBorders>
          </w:tcPr>
          <w:p>
            <w:pPr>
              <w:pStyle w:val="TableText"/>
              <w:jc w:val="left"/>
            </w:pPr>
            <w:r>
              <w:t xml:space="preserve">SR-D</w:t>
            </w:r>
          </w:p>
        </w:tc>
        <w:tc>
          <w:tcPr>
            <w:tcW w:w="1191" w:type="dxa"/>
            <w:tcBorders>
              <w:bottom w:val="single" w:sz="4" w:space="0" w:color="000000"/>
            </w:tcBorders>
          </w:tcPr>
          <w:p>
            <w:pPr>
              <w:pStyle w:val="TableText"/>
              <w:jc w:val="left"/>
            </w:pPr>
            <w:r>
              <w:t xml:space="preserve">JR-M</w:t>
            </w:r>
          </w:p>
        </w:tc>
        <w:tc>
          <w:tcPr>
            <w:tcW w:w="1156" w:type="dxa"/>
            <w:tcBorders>
              <w:bottom w:val="single" w:sz="4" w:space="0" w:color="000000"/>
            </w:tcBorders>
          </w:tcPr>
          <w:p>
            <w:pPr>
              <w:pStyle w:val="TableText"/>
              <w:jc w:val="left"/>
            </w:pPr>
            <w:r>
              <w:t xml:space="preserve">JR-D</w:t>
            </w:r>
          </w:p>
        </w:tc>
        <w:tc>
          <w:tcPr>
            <w:tcW w:w="1531" w:type="dxa"/>
            <w:tcBorders>
              <w:bottom w:val="single" w:sz="4" w:space="0" w:color="000000"/>
            </w:tcBorders>
          </w:tcPr>
          <w:p>
            <w:pPr>
              <w:pStyle w:val="TableText"/>
              <w:jc w:val="left"/>
            </w:pPr>
            <w:r>
              <w:t xml:space="preserve">Foresight gain JR-D − JR-M</w:t>
            </w:r>
          </w:p>
        </w:tc>
        <w:tc>
          <w:tcPr>
            <w:tcW w:w="1498" w:type="dxa"/>
            <w:tcBorders>
              <w:bottom w:val="single" w:sz="4" w:space="0" w:color="000000"/>
            </w:tcBorders>
          </w:tcPr>
          <w:p>
            <w:pPr>
              <w:pStyle w:val="TableText"/>
              <w:jc w:val="left"/>
            </w:pPr>
            <w:r>
              <w:t xml:space="preserve">Gain JR-D − IR-PD</w:t>
            </w:r>
          </w:p>
        </w:tc>
      </w:tr>
      <w:tr>
        <w:tc>
          <w:tcPr>
            <w:tcW w:w="884" w:type="dxa"/>
          </w:tcPr>
          <w:p>
            <w:pPr>
              <w:pStyle w:val="TableText"/>
              <w:jc w:val="left"/>
            </w:pPr>
            <w:r>
              <w:t xml:space="preserve">S1</w:t>
            </w:r>
          </w:p>
        </w:tc>
        <w:tc>
          <w:tcPr>
            <w:tcW w:w="646" w:type="dxa"/>
          </w:tcPr>
          <w:p>
            <w:pPr>
              <w:pStyle w:val="TableText"/>
              <w:jc w:val="left"/>
            </w:pPr>
            <w:r>
              <w:t xml:space="preserve">&lt; 1</w:t>
            </w:r>
          </w:p>
        </w:tc>
        <w:tc>
          <w:tcPr>
            <w:tcW w:w="544" w:type="dxa"/>
          </w:tcPr>
          <w:p>
            <w:pPr>
              <w:pStyle w:val="TableText"/>
              <w:jc w:val="left"/>
            </w:pPr>
            <w:r>
              <w:t xml:space="preserve">&lt; 1</w:t>
            </w:r>
          </w:p>
        </w:tc>
        <w:tc>
          <w:tcPr>
            <w:tcW w:w="1565" w:type="dxa"/>
          </w:tcPr>
          <w:p>
            <w:pPr>
              <w:pStyle w:val="TableText"/>
              <w:jc w:val="left"/>
            </w:pPr>
            <w:r>
              <w:t xml:space="preserve">6.5 [6.5, 7.0]</w:t>
            </w:r>
          </w:p>
        </w:tc>
        <w:tc>
          <w:tcPr>
            <w:tcW w:w="1191" w:type="dxa"/>
          </w:tcPr>
          <w:p>
            <w:pPr>
              <w:pStyle w:val="TableText"/>
              <w:jc w:val="left"/>
            </w:pPr>
            <w:r>
              <w:t xml:space="preserve">7.0 [7.0, 7.0]</w:t>
            </w:r>
          </w:p>
        </w:tc>
        <w:tc>
          <w:tcPr>
            <w:tcW w:w="1191" w:type="dxa"/>
          </w:tcPr>
          <w:p>
            <w:pPr>
              <w:pStyle w:val="TableText"/>
              <w:jc w:val="left"/>
            </w:pPr>
            <w:r>
              <w:t xml:space="preserve">6.5 [6.0, 7.0]</w:t>
            </w:r>
          </w:p>
        </w:tc>
        <w:tc>
          <w:tcPr>
            <w:tcW w:w="1156" w:type="dxa"/>
          </w:tcPr>
          <w:p>
            <w:pPr>
              <w:pStyle w:val="TableText"/>
              <w:jc w:val="left"/>
            </w:pPr>
            <w:r>
              <w:t xml:space="preserve">7.5 [7.5, 8.0]</w:t>
            </w:r>
          </w:p>
        </w:tc>
        <w:tc>
          <w:tcPr>
            <w:tcW w:w="1531" w:type="dxa"/>
          </w:tcPr>
          <w:p>
            <w:pPr>
              <w:pStyle w:val="TableText"/>
              <w:jc w:val="left"/>
            </w:pPr>
            <w:r>
              <w:t xml:space="preserve">+1.0 [+0.5, +1.5]</w:t>
            </w:r>
          </w:p>
        </w:tc>
        <w:tc>
          <w:tcPr>
            <w:tcW w:w="1498" w:type="dxa"/>
          </w:tcPr>
          <w:p>
            <w:pPr>
              <w:pStyle w:val="TableText"/>
              <w:jc w:val="left"/>
            </w:pPr>
            <w:r>
              <w:t xml:space="preserve">+1.0 [+0.5, +1.0]</w:t>
            </w:r>
          </w:p>
        </w:tc>
      </w:tr>
      <w:tr>
        <w:tc>
          <w:tcPr>
            <w:tcW w:w="884" w:type="dxa"/>
          </w:tcPr>
          <w:p>
            <w:pPr>
              <w:pStyle w:val="TableText"/>
              <w:jc w:val="left"/>
            </w:pPr>
            <w:r>
              <w:t xml:space="preserve">S2</w:t>
            </w:r>
          </w:p>
        </w:tc>
        <w:tc>
          <w:tcPr>
            <w:tcW w:w="646" w:type="dxa"/>
          </w:tcPr>
          <w:p>
            <w:pPr>
              <w:pStyle w:val="TableText"/>
              <w:jc w:val="left"/>
            </w:pPr>
            <w:r>
              <w:t xml:space="preserve">&lt; 1</w:t>
            </w:r>
          </w:p>
        </w:tc>
        <w:tc>
          <w:tcPr>
            <w:tcW w:w="544" w:type="dxa"/>
          </w:tcPr>
          <w:p>
            <w:pPr>
              <w:pStyle w:val="TableText"/>
              <w:jc w:val="left"/>
            </w:pPr>
            <w:r>
              <w:t xml:space="preserve">&lt; 1</w:t>
            </w:r>
          </w:p>
        </w:tc>
        <w:tc>
          <w:tcPr>
            <w:tcW w:w="1565" w:type="dxa"/>
          </w:tcPr>
          <w:p>
            <w:pPr>
              <w:pStyle w:val="TableText"/>
              <w:jc w:val="left"/>
            </w:pPr>
            <w:r>
              <w:t xml:space="preserve">6.0 [5.0, 6.5]</w:t>
            </w:r>
          </w:p>
        </w:tc>
        <w:tc>
          <w:tcPr>
            <w:tcW w:w="1191" w:type="dxa"/>
          </w:tcPr>
          <w:p>
            <w:pPr>
              <w:pStyle w:val="TableText"/>
              <w:jc w:val="left"/>
            </w:pPr>
            <w:r>
              <w:t xml:space="preserve">7.0 [7.0, 7.5]</w:t>
            </w:r>
          </w:p>
        </w:tc>
        <w:tc>
          <w:tcPr>
            <w:tcW w:w="1191" w:type="dxa"/>
          </w:tcPr>
          <w:p>
            <w:pPr>
              <w:pStyle w:val="TableText"/>
              <w:jc w:val="left"/>
            </w:pPr>
            <w:r>
              <w:t xml:space="preserve">4.5 [4.5, 5.0]</w:t>
            </w:r>
          </w:p>
        </w:tc>
        <w:tc>
          <w:tcPr>
            <w:tcW w:w="1156" w:type="dxa"/>
          </w:tcPr>
          <w:p>
            <w:pPr>
              <w:pStyle w:val="TableText"/>
              <w:jc w:val="left"/>
            </w:pPr>
            <w:r>
              <w:t xml:space="preserve">7.5 [7.5, 8.0]</w:t>
            </w:r>
          </w:p>
        </w:tc>
        <w:tc>
          <w:tcPr>
            <w:tcW w:w="1531" w:type="dxa"/>
          </w:tcPr>
          <w:p>
            <w:pPr>
              <w:pStyle w:val="TableText"/>
              <w:jc w:val="left"/>
            </w:pPr>
            <w:r>
              <w:t xml:space="preserve">+3.0 [+2.5, +3.0]</w:t>
            </w:r>
          </w:p>
        </w:tc>
        <w:tc>
          <w:tcPr>
            <w:tcW w:w="1498" w:type="dxa"/>
          </w:tcPr>
          <w:p>
            <w:pPr>
              <w:pStyle w:val="TableText"/>
              <w:jc w:val="left"/>
            </w:pPr>
            <w:r>
              <w:t xml:space="preserve">+1.5 [+1.0, +2.5]</w:t>
            </w:r>
          </w:p>
        </w:tc>
      </w:tr>
      <w:tr>
        <w:tc>
          <w:tcPr>
            <w:tcW w:w="884" w:type="dxa"/>
          </w:tcPr>
          <w:p>
            <w:pPr>
              <w:pStyle w:val="TableText"/>
              <w:jc w:val="left"/>
            </w:pPr>
            <w:r>
              <w:t xml:space="preserve">S3</w:t>
            </w:r>
          </w:p>
        </w:tc>
        <w:tc>
          <w:tcPr>
            <w:tcW w:w="646" w:type="dxa"/>
          </w:tcPr>
          <w:p>
            <w:pPr>
              <w:pStyle w:val="TableText"/>
              <w:jc w:val="left"/>
            </w:pPr>
            <w:r>
              <w:t xml:space="preserve">&lt; 1</w:t>
            </w:r>
          </w:p>
        </w:tc>
        <w:tc>
          <w:tcPr>
            <w:tcW w:w="544" w:type="dxa"/>
          </w:tcPr>
          <w:p>
            <w:pPr>
              <w:pStyle w:val="TableText"/>
              <w:jc w:val="left"/>
            </w:pPr>
            <w:r>
              <w:t xml:space="preserve">&lt; 1</w:t>
            </w:r>
          </w:p>
        </w:tc>
        <w:tc>
          <w:tcPr>
            <w:tcW w:w="1565" w:type="dxa"/>
          </w:tcPr>
          <w:p>
            <w:pPr>
              <w:pStyle w:val="TableText"/>
              <w:jc w:val="left"/>
            </w:pPr>
            <w:r>
              <w:t xml:space="preserve">4.0 [4.0, 5.5]</w:t>
            </w:r>
            <w:r>
              <w:t xml:space="preserve"> </w:t>
            </w:r>
            <w:r>
              <w:rPr>
                <w:vertAlign w:val="superscript"/>
              </w:rPr>
              <w:t xml:space="preserve">a</w:t>
            </w:r>
          </w:p>
        </w:tc>
        <w:tc>
          <w:tcPr>
            <w:tcW w:w="1191" w:type="dxa"/>
          </w:tcPr>
          <w:p>
            <w:pPr>
              <w:pStyle w:val="TableText"/>
              <w:jc w:val="left"/>
            </w:pPr>
            <w:r>
              <w:t xml:space="preserve">4.0 [2.5, 4.5]</w:t>
            </w:r>
          </w:p>
        </w:tc>
        <w:tc>
          <w:tcPr>
            <w:tcW w:w="1191" w:type="dxa"/>
          </w:tcPr>
          <w:p>
            <w:pPr>
              <w:pStyle w:val="TableText"/>
              <w:jc w:val="left"/>
            </w:pPr>
            <w:r>
              <w:t xml:space="preserve">4.5 [1.5, 5.0]</w:t>
            </w:r>
          </w:p>
        </w:tc>
        <w:tc>
          <w:tcPr>
            <w:tcW w:w="1156" w:type="dxa"/>
          </w:tcPr>
          <w:p>
            <w:pPr>
              <w:pStyle w:val="TableText"/>
              <w:jc w:val="left"/>
            </w:pPr>
            <w:r>
              <w:t xml:space="preserve">6.5 [4.5, 7.0]</w:t>
            </w:r>
          </w:p>
        </w:tc>
        <w:tc>
          <w:tcPr>
            <w:tcW w:w="1531" w:type="dxa"/>
          </w:tcPr>
          <w:p>
            <w:pPr>
              <w:pStyle w:val="TableText"/>
              <w:jc w:val="left"/>
            </w:pPr>
            <w:r>
              <w:t xml:space="preserve">+2.0 [+2.0, +3.0]</w:t>
            </w:r>
          </w:p>
        </w:tc>
        <w:tc>
          <w:tcPr>
            <w:tcW w:w="1498" w:type="dxa"/>
          </w:tcPr>
          <w:p>
            <w:pPr>
              <w:pStyle w:val="TableText"/>
              <w:jc w:val="left"/>
            </w:pPr>
            <w:r>
              <w:t xml:space="preserve">+2.5 [+0.5, +3.0]</w:t>
            </w:r>
          </w:p>
        </w:tc>
      </w:tr>
    </w:tbl>
    <w:p>
      <w:pPr>
        <w:pStyle w:val="TableNote"/>
      </w:pPr>
      <w:r>
        <w:rPr>
          <w:vertAlign w:val="superscript"/>
        </w:rPr>
        <w:t xml:space="preserve">a</w:t>
      </w:r>
      <w:r>
        <w:t xml:space="preserve"> </w:t>
      </w:r>
      <w:r>
        <w:t xml:space="preserve">IR-PD in S3 evaluated from 3 MW (3, 4, 5, 5.5, 6, 6.5 and 7 MW); in S1 and S2 on 1–9 MW in 1-MW steps and at 6.5 MW.</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72"/>
    <w:bookmarkStart w:id="73" w:name="X84399591b19f3d71ac87bc2509ab7464518ae76"/>
    <w:p>
      <w:pPr>
        <w:pStyle w:val="Heading3"/>
      </w:pPr>
      <w:r>
        <w:t xml:space="preserve">5.3.2. Effect of baseline deviations on one-way coordinated independent recovery</w:t>
      </w:r>
    </w:p>
    <w:p>
      <w:pPr>
        <w:pStyle w:val="FirstParagraph"/>
      </w:pPr>
      <w:r>
        <w:t xml:space="preserve">IR-O* and IR-P do not reach 95 % at any commitment, not even at 1 MW, where they deliver in full on 69 % of the days in S1 and 73 % in S2. Their failures concentrate on the days on which the load without DR exceeds the baseline, by more than 1 MW on 14 of the 26 days and by up to 3.3 MW (Section 5.1.2); a reduction measured against the baseline then requires a correspondingly larger true reduction. The IT scheduler of independent recovery defers only its planned share of the commitment, so the whole deviation falls on the storage, which must also serve the second event. On the day with the largest deviation, IR-O* defers 4.9×10³ GPU·h at 3 MW in S2, less than on an average day, and delivers 1.26 MW and 2.35 MW instead of 3 MW; JR-D defers 9.5×10³ GPU·h, 2.8 times its average, and delivers both events in full. In S1 the facility controller of IR-O* also charges the BESS only for its own share (7.6 MWh on average at the start of the first event at 3 MW, against 11.3 MWh under JR-D). The firm capacity of one-way coordinated independent recovery is therefore limited by baseline uncertainty long before the recovery channel binds, and Section 5.8.4 shows that no static split, not even the best one in hindsight, removes this limit. Under the 80 % settlement rule the ordering is the same: on at least 95 % of the days JR-D is valid up to 9 MW, the top of the grid, in S1 and S2 and up to 7.5 MW in S3, JR-M up to 8.5, 5.5 and 5.0 MW, and the independent benchmarks not even at 1 MW. Even the payment validity of independent recovery cannot be guaranteed.</w:t>
      </w:r>
    </w:p>
    <w:bookmarkEnd w:id="73"/>
    <w:bookmarkStart w:id="77" w:name="two-event-firm-region"/>
    <w:p>
      <w:pPr>
        <w:pStyle w:val="Heading3"/>
      </w:pPr>
      <w:r>
        <w:t xml:space="preserve">5.3.3. Two-event firm region</w:t>
      </w:r>
    </w:p>
    <w:p>
      <w:pPr>
        <w:pStyle w:val="FirstParagraph"/>
      </w:pPr>
      <w:r>
        <w:t xml:space="preserve">Fig. 7 extends the uniform commitment to the two-event region (35) of S2: for a fixed first-event commitment</w:t>
      </w:r>
      <w:r>
        <w:t xml:space="preserve"> </w:t>
      </w:r>
      <m:oMath>
        <m:sSub>
          <m:e>
            <m:r>
              <w:rPr>
                <w:rFonts w:ascii="Cambria Math" w:hAnsi="Cambria Math"/>
                <w:sz w:val="19"/>
                <w:szCs w:val="19"/>
              </w:rPr>
              <m:t>C</m:t>
            </m:r>
          </m:e>
          <m:sub>
            <m:r>
              <w:rPr>
                <w:rFonts w:ascii="Cambria Math" w:hAnsi="Cambria Math"/>
                <w:sz w:val="19"/>
                <w:szCs w:val="19"/>
              </w:rPr>
              <m:t>1</m:t>
            </m:r>
          </m:sub>
        </m:sSub>
      </m:oMath>
      <w:r>
        <w:t xml:space="preserve">, it shows the largest second-event commitment that is delivered in full in both events on at least 95 % of the days. The boundary of JR-D is almost flat: JR-D firmly delivers 8.0 MW in the second event after a first event of 2 or 4 MW and still 7.75 MW after 6–8 MW, so a large first event barely reduces the deliverable capacity of the second one. The boundary of JR-M falls from 5.5 MW at</w:t>
      </w:r>
      <w:r>
        <w:t xml:space="preserve"> </w:t>
      </w:r>
      <m:oMath>
        <m:sSub>
          <m:e>
            <m:r>
              <w:rPr>
                <w:rFonts w:ascii="Cambria Math" w:hAnsi="Cambria Math"/>
                <w:sz w:val="19"/>
                <w:szCs w:val="19"/>
              </w:rPr>
              <m:t>C</m:t>
            </m:r>
          </m:e>
          <m:sub>
            <m:r>
              <w:rPr>
                <w:rFonts w:ascii="Cambria Math" w:hAnsi="Cambria Math"/>
                <w:sz w:val="19"/>
                <w:szCs w:val="19"/>
              </w:rPr>
              <m:t>1</m:t>
            </m:r>
          </m:sub>
        </m:sSub>
      </m:oMath>
      <w:r>
        <w:t xml:space="preserve"> </w:t>
      </w:r>
      <w:r>
        <w:t xml:space="preserve">= 2 MW to 3.75 MW at</w:t>
      </w:r>
      <w:r>
        <w:t xml:space="preserve"> </w:t>
      </w:r>
      <m:oMath>
        <m:sSub>
          <m:e>
            <m:r>
              <w:rPr>
                <w:rFonts w:ascii="Cambria Math" w:hAnsi="Cambria Math"/>
                <w:sz w:val="19"/>
                <w:szCs w:val="19"/>
              </w:rPr>
              <m:t>C</m:t>
            </m:r>
          </m:e>
          <m:sub>
            <m:r>
              <w:rPr>
                <w:rFonts w:ascii="Cambria Math" w:hAnsi="Cambria Math"/>
                <w:sz w:val="19"/>
                <w:szCs w:val="19"/>
              </w:rPr>
              <m:t>1</m:t>
            </m:r>
          </m:sub>
        </m:sSub>
      </m:oMath>
      <w:r>
        <w:t xml:space="preserve"> </w:t>
      </w:r>
      <w:r>
        <w:t xml:space="preserve">= 8 MW. Even a small first event limits JR-M, because an event-by-event plan prepares the storage only for the event at hand: with</w:t>
      </w:r>
      <w:r>
        <w:t xml:space="preserve"> </w:t>
      </w:r>
      <m:oMath>
        <m:sSub>
          <m:e>
            <m:r>
              <w:rPr>
                <w:rFonts w:ascii="Cambria Math" w:hAnsi="Cambria Math"/>
                <w:sz w:val="19"/>
                <w:szCs w:val="19"/>
              </w:rPr>
              <m:t>C</m:t>
            </m:r>
          </m:e>
          <m:sub>
            <m:r>
              <w:rPr>
                <w:rFonts w:ascii="Cambria Math" w:hAnsi="Cambria Math"/>
                <w:sz w:val="19"/>
                <w:szCs w:val="19"/>
              </w:rPr>
              <m:t>1</m:t>
            </m:r>
          </m:sub>
        </m:sSub>
      </m:oMath>
      <w:r>
        <w:t xml:space="preserve"> </w:t>
      </w:r>
      <w:r>
        <w:t xml:space="preserve">= 2 MW and</w:t>
      </w:r>
      <w:r>
        <w:t xml:space="preserve"> </w:t>
      </w:r>
      <m:oMath>
        <m:sSub>
          <m:e>
            <m:r>
              <w:rPr>
                <w:rFonts w:ascii="Cambria Math" w:hAnsi="Cambria Math"/>
                <w:sz w:val="19"/>
                <w:szCs w:val="19"/>
              </w:rPr>
              <m:t>C</m:t>
            </m:r>
          </m:e>
          <m:sub>
            <m:r>
              <w:rPr>
                <w:rFonts w:ascii="Cambria Math" w:hAnsi="Cambria Math"/>
                <w:sz w:val="19"/>
                <w:szCs w:val="19"/>
              </w:rPr>
              <m:t>2</m:t>
            </m:r>
          </m:sub>
        </m:sSub>
      </m:oMath>
      <w:r>
        <w:t xml:space="preserve"> </w:t>
      </w:r>
      <w:r>
        <w:t xml:space="preserve">= 6 MW (five sampled operating days), JR-M starts the first event with 4.4–5.9 MWh in the BESS, against 11.4 MWh under JR-D, and the second event with 4.1 MWh and up to 2.4×10³ GPU·h of backlog, whereas JR-D starts it with 7.4–7.7 MWh and no backlog. The independent benchmarks have no firm pair at all, since they are not firm even at (1, 1) MW.</w:t>
      </w:r>
    </w:p>
    <w:p>
      <w:pPr>
        <w:pStyle w:val="Figure"/>
      </w:pPr>
      <w:r>
        <w:drawing>
          <wp:inline>
            <wp:extent cx="2797199" cy="2596094"/>
            <wp:effectExtent b="0" l="0" r="0" t="0"/>
            <wp:docPr descr="" title="" id="75" name="Picture"/>
            <a:graphic>
              <a:graphicData uri="http://schemas.openxmlformats.org/drawingml/2006/picture">
                <pic:pic>
                  <pic:nvPicPr>
                    <pic:cNvPr descr="/home/user/datacenter/paper/figures/Fig7_two_event_region.png" id="76" name="Picture"/>
                    <pic:cNvPicPr>
                      <a:picLocks noChangeArrowheads="1" noChangeAspect="1"/>
                    </pic:cNvPicPr>
                  </pic:nvPicPr>
                  <pic:blipFill>
                    <a:blip r:embed="rId74"/>
                    <a:stretch>
                      <a:fillRect/>
                    </a:stretch>
                  </pic:blipFill>
                  <pic:spPr bwMode="auto">
                    <a:xfrm>
                      <a:off x="0" y="0"/>
                      <a:ext cx="2797199" cy="2596094"/>
                    </a:xfrm>
                    <a:prstGeom prst="rect">
                      <a:avLst/>
                    </a:prstGeom>
                    <a:noFill/>
                    <a:ln w="9525">
                      <a:noFill/>
                      <a:headEnd/>
                      <a:tailEnd/>
                    </a:ln>
                  </pic:spPr>
                </pic:pic>
              </a:graphicData>
            </a:graphic>
          </wp:inline>
        </w:drawing>
      </w:r>
    </w:p>
    <w:p>
      <w:pPr>
        <w:pStyle w:val="FigureCaption"/>
      </w:pPr>
      <w:r>
        <w:rPr>
          <w:bCs/>
          <w:b/>
        </w:rPr>
        <w:t xml:space="preserve">Fig. 7.</w:t>
      </w:r>
      <w:r>
        <w:t xml:space="preserve"> </w:t>
      </w:r>
      <w:r>
        <w:t xml:space="preserve">Two-event firm region in S2 (30-min interval, reliability 95 %): largest second-event commitment delivered in full for a fixed first-event commitment, for JR-D and JR-M (bisection on the 26 operating days), and the physical capability with perfect information on the DR day (dashed), which is the same for joint, event-by-event and independent recovery.</w:t>
      </w:r>
    </w:p>
    <w:p>
      <w:pPr>
        <w:pStyle w:val="BodyText"/>
      </w:pPr>
      <w:r>
        <w:t xml:space="preserve">With perfect information on the DR day (dashed in Fig. 7, supplementary Fig. S1), the second event can deliver 8.1 MW, expressed as a commitment delivered in full, whatever the first commitment, and this physical capability is the same for joint, event-by-event and independent recovery with the best static split. Physical capability therefore does not distinguish the controllers; firm capacity does. JR-D comes within 0.1–0.3 MW of the physical boundary, whereas JR-M stays 2.6–4.3 MW below it: the gap is created by operating in closed loop under forecast and baseline errors, which is exactly what a perfect-recourse assessment leaves out.</w:t>
      </w:r>
    </w:p>
    <w:bookmarkEnd w:id="77"/>
    <w:bookmarkStart w:id="78" w:name="stronger-benchmarks"/>
    <w:p>
      <w:pPr>
        <w:pStyle w:val="Heading3"/>
      </w:pPr>
      <w:r>
        <w:t xml:space="preserve">5.3.4. Stronger benchmarks</w:t>
      </w:r>
    </w:p>
    <w:p>
      <w:pPr>
        <w:pStyle w:val="FirstParagraph"/>
      </w:pPr>
      <w:r>
        <w:t xml:space="preserve">IR-O* and IR-P coordinate the IT scheduler and the facility once, before the day. The two stronger benchmarks of Section 4.3 test whether the advantage of JR-D stems from this weak coordination (Fig. 6, Table 7). IR-PD renews the channel price at every step and exchanges it with the IT scheduler in 12 rounds of two-way feedback. It delivers in full on all 26 days up to 6.5 MW in S1 and up to 5 MW in S2, and its firm capacities of 6.5 MW and 6.0 MW are far above those of IR-O* and IR-P, which are not firm at 1 MW: iterative price coordination recovers most of the value of coordination. It still stays 1.0 MW (S1) and 1.5 MW (S2) below JR-D. In S2 all six misses at 7 MW occur in the first event (5.9–6.7 MW instead of 7 MW), because a linear IT scheduler answers a given price with an extreme schedule and the average over the rounds does not recover the joint schedule. More rounds do not close the gap reliably: with 24 rounds per step IR-PD delivers 7 MW in full on all days in S1, against 85 % with 12 rounds, but on only 65 % of the days in S2, against 77 %, and with 48 rounds two of the six days that fail in S2 are delivered. In the three-event scenario S3, IR-PD delivers 3 and 4 MW in full on 96 % of the days but 5 MW on only 81 %, mostly missing the rapid third event, and it leaves overdue work on two operating days, against a firm capacity of 6.5 MW and no overdue work for JR-D. Iterative coordination is also more expensive: it needs 24 s of solver time per day with 12 rounds, 4.7 times JR-D, and at 7 MW its daily cost exceeds that of JR-D on every operating day, by 4.9 k CNY in S1 and 7.0 k CNY in S2 on average.</w:t>
      </w:r>
    </w:p>
    <w:p>
      <w:pPr>
        <w:pStyle w:val="BodyText"/>
      </w:pPr>
      <w:r>
        <w:t xml:space="preserve">SR-D has the forecasts, the joint delivery and the cross-event foresight of JR-D but repays the debts in the order of independent recovery, computing first. It delivers in full on all days up to 7.0 MW in S1 and S2, so its firm capacity lies 0.5 MW below that of JR-D on the grid and 0.5–0.75 MW below it by bisection (Section 5.10.1). This gap is the value of allocating the recovery channel jointly, which Proposition 2 isolates; the rest of the gain of JR-D over JR-M, 2.5 MW in S2, comes from cross-event foresight in the delivery of the first event and the preparation of the storage. With three events the order of repayment matters much more. In S3, SR-D firmly delivers only 4.0 MW, 2.5 MW below JR-D and below JR-M, and every miss occurs in the rapid third event: at 5 MW it enters that event with 3.8 MWh in the BESS and 128 GPU·h of backlog, whereas JR-D carries 893 GPU·h of long-deadline work across the second event and keeps 4.4 MWh for the third. Coordination therefore matters at two levels: a controller that coordinates through prices approaches the joint optimum only with iterative feedback and still falls 1.0–2.5 MW short, and within the joint controller the order of repayment is worth 0.5 MW with two events and 2.5 MW with three.</w:t>
      </w:r>
    </w:p>
    <w:bookmarkEnd w:id="78"/>
    <w:bookmarkEnd w:id="79"/>
    <w:bookmarkStart w:id="89" w:name="X4eda4816a475d9d8ab2e81920262fa7275786c7"/>
    <w:p>
      <w:pPr>
        <w:pStyle w:val="Heading2"/>
      </w:pPr>
      <w:r>
        <w:t xml:space="preserve">5.4. Capacity-gain decomposition and multidimensional sensitivity analysis</w:t>
      </w:r>
    </w:p>
    <w:bookmarkStart w:id="83" w:name="coordination-value-and-foresight-value"/>
    <w:p>
      <w:pPr>
        <w:pStyle w:val="Heading3"/>
      </w:pPr>
      <w:r>
        <w:t xml:space="preserve">5.4.1. Coordination value and foresight value</w:t>
      </w:r>
    </w:p>
    <w:p>
      <w:pPr>
        <w:pStyle w:val="FirstParagraph"/>
      </w:pPr>
      <w:r>
        <w:t xml:space="preserve">Fig. 8 decomposes the firm capacity over the event interval τ, from 15 min to 3 h (two one-hour events, base system, bisection on the 26 operating days). JR-D firmly delivers 7.50–8.00 MW at every interval: with cross-event foresight the firm capacity hardly depends on how soon the next event follows. Without foresight it does. The firm capacity of JR-M rises from 3.50 MW at 15 min to 4.75 MW at 30 min, 6.75 MW at 1 h and 7.75 MW at 2 h and 3 h, so the foresight value, the gain of JR-D over JR-M, is 4.0, 3.0, 1.0, 0.25 and 0 MW. It vanishes once the interval is long enough to repay both debts, the condition of Proposition 2. IR-O* stays below 1 MW at every interval, so the coordination value, the gain of JR-M over IR-O*, is at least 2.5 MW at 15 min and grows to at least 6.75 MW at 2 h and 3 h. Coordination is therefore valuable at every interval, because it lets one controller re-plan all resources on the measured state, while foresight adds its value precisely where coordination alone falls short, at short intervals.</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5641199" cy="2578311"/>
            <wp:effectExtent b="0" l="0" r="0" t="0"/>
            <wp:docPr descr="" title="" id="81" name="Picture"/>
            <a:graphic>
              <a:graphicData uri="http://schemas.openxmlformats.org/drawingml/2006/picture">
                <pic:pic>
                  <pic:nvPicPr>
                    <pic:cNvPr descr="/home/user/datacenter/paper/figures/Fig8_value_decomposition.png" id="82" name="Picture"/>
                    <pic:cNvPicPr>
                      <a:picLocks noChangeArrowheads="1" noChangeAspect="1"/>
                    </pic:cNvPicPr>
                  </pic:nvPicPr>
                  <pic:blipFill>
                    <a:blip r:embed="rId80"/>
                    <a:stretch>
                      <a:fillRect/>
                    </a:stretch>
                  </pic:blipFill>
                  <pic:spPr bwMode="auto">
                    <a:xfrm>
                      <a:off x="0" y="0"/>
                      <a:ext cx="5641199" cy="2578311"/>
                    </a:xfrm>
                    <a:prstGeom prst="rect">
                      <a:avLst/>
                    </a:prstGeom>
                    <a:noFill/>
                    <a:ln w="9525">
                      <a:noFill/>
                      <a:headEnd/>
                      <a:tailEnd/>
                    </a:ln>
                  </pic:spPr>
                </pic:pic>
              </a:graphicData>
            </a:graphic>
          </wp:inline>
        </w:drawing>
      </w:r>
    </w:p>
    <w:p>
      <w:pPr>
        <w:pStyle w:val="FigureCaption"/>
      </w:pPr>
      <w:r>
        <w:rPr>
          <w:bCs/>
          <w:b/>
        </w:rPr>
        <w:t xml:space="preserve">Fig. 8.</w:t>
      </w:r>
      <w:r>
        <w:t xml:space="preserve"> </w:t>
      </w:r>
      <w:r>
        <w:t xml:space="preserve">Firm capacity versus the event interval (two one-hour events, base system,</w:t>
      </w:r>
      <w:r>
        <w:t xml:space="preserve"> </w:t>
      </w:r>
      <m:oMath>
        <m:r>
          <w:rPr>
            <w:rFonts w:ascii="Cambria Math" w:hAnsi="Cambria Math"/>
            <w:sz w:val="15"/>
            <w:szCs w:val="15"/>
          </w:rPr>
          <m:t>ρ</m:t>
        </m:r>
      </m:oMath>
      <w:r>
        <w:t xml:space="preserve"> </w:t>
      </w:r>
      <w:r>
        <w:t xml:space="preserve">= 0.95, bisection on the 26 operating days with 0.25 MW resolution): (a) firm capacity of IR-O*, JR-M and JR-D with the coordination and foresight values shaded; (b) decomposition into the coordination value (JR-M − IR-O*, a lower bound where IR-O* stays below 1 MW, hatched) and the cross-event foresight value (JR-D − JR-M).</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83"/>
    <w:bookmarkStart w:id="87" w:name="event-interval-and-connection-margin"/>
    <w:p>
      <w:pPr>
        <w:pStyle w:val="Heading3"/>
      </w:pPr>
      <w:r>
        <w:t xml:space="preserve">5.4.2. Event interval and connection margin</w:t>
      </w:r>
    </w:p>
    <w:p>
      <w:pPr>
        <w:pStyle w:val="FirstParagraph"/>
      </w:pPr>
      <w:r>
        <w:t xml:space="preserve">At a fixed commitment of 7 MW, the interval–margin map (Fig. 9a–c) confirms the conditions of Proposition 2. JR-D delivers in full on 96–100 % of the days in all 20 combinations of τ and γ. JR-M delivers in full on 0–31 % of the days when the interval is 15 or 30 min and on 88–100 % from 1 h on, whatever the connection margin, so the foresight gain is 69–100 percentage points for τ ≤ 0.5 h, 0–12 points at 1 h and 0–4 points for τ ≥ 2 h (Fig. 9c). A wider connection does not restore the firm capacity of JR-M at short intervals: JR-M enters the interval with the battery that it emptied in the first event, and within 30 min the battery can take back at most 3 MWh at its 6-MW rating, whatever the connection (Section 5.5). Once the interval is long enough to repay both debts, the order of repayment no longer matters, and the advantage of joint recovery vanishes, as Proposition 2 predicts. The gain of JR-D over the best independent benchmark (12–54 points, Fig. 9b) shows no trend in τ, consistent with independent recovery failing on baseline deviations rather than on the channel.</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5709599" cy="2524051"/>
            <wp:effectExtent b="0" l="0" r="0" t="0"/>
            <wp:docPr descr="" title="" id="85" name="Picture"/>
            <a:graphic>
              <a:graphicData uri="http://schemas.openxmlformats.org/drawingml/2006/picture">
                <pic:pic>
                  <pic:nvPicPr>
                    <pic:cNvPr descr="/home/user/datacenter/paper/figures/Fig9_sensitivity.png" id="86" name="Picture"/>
                    <pic:cNvPicPr>
                      <a:picLocks noChangeArrowheads="1" noChangeAspect="1"/>
                    </pic:cNvPicPr>
                  </pic:nvPicPr>
                  <pic:blipFill>
                    <a:blip r:embed="rId84"/>
                    <a:stretch>
                      <a:fillRect/>
                    </a:stretch>
                  </pic:blipFill>
                  <pic:spPr bwMode="auto">
                    <a:xfrm>
                      <a:off x="0" y="0"/>
                      <a:ext cx="5709599" cy="2524051"/>
                    </a:xfrm>
                    <a:prstGeom prst="rect">
                      <a:avLst/>
                    </a:prstGeom>
                    <a:noFill/>
                    <a:ln w="9525">
                      <a:noFill/>
                      <a:headEnd/>
                      <a:tailEnd/>
                    </a:ln>
                  </pic:spPr>
                </pic:pic>
              </a:graphicData>
            </a:graphic>
          </wp:inline>
        </w:drawing>
      </w:r>
    </w:p>
    <w:p>
      <w:pPr>
        <w:pStyle w:val="FigureCaption"/>
      </w:pPr>
      <w:r>
        <w:rPr>
          <w:bCs/>
          <w:b/>
        </w:rPr>
        <w:t xml:space="preserve">Fig. 9.</w:t>
      </w:r>
      <w:r>
        <w:t xml:space="preserve"> </w:t>
      </w:r>
      <w:r>
        <w:t xml:space="preserve">Sensitivity at a uniform commitment of 7 MW (26 operating days, base devices): (a) full-delivery share of JR-D over the event interval and the connection margin; (b) gain of JR-D over the best independent benchmark; (c) gain over JR-M (percentage points); (d) full-delivery share versus the scale of the lag bounds (S1).</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87"/>
    <w:bookmarkStart w:id="88" w:name="lag-bounds-of-the-deferrable-work"/>
    <w:p>
      <w:pPr>
        <w:pStyle w:val="Heading3"/>
      </w:pPr>
      <w:r>
        <w:t xml:space="preserve">5.4.3. Lag bounds of the deferrable work</w:t>
      </w:r>
    </w:p>
    <w:p>
      <w:pPr>
        <w:pStyle w:val="FirstParagraph"/>
      </w:pPr>
      <w:r>
        <w:t xml:space="preserve">The lag bounds of the deferrable work decide how much debt can be carried (Fig. 9d; S1, 7 MW, connection kept). With all lag bounds scaled by 0.5, 0.75, 1, 1.25 and 1.5, JR-D delivers both events in full on 96–100 % of the days, whereas JR-M does so on 19, 46, 92, 100 and 100 %. Shorter deadlines shrink the debt that may be carried,</w:t>
      </w:r>
      <w:r>
        <w:t xml:space="preserve"> </w:t>
      </w:r>
      <m:oMath>
        <m:r>
          <m:rPr>
            <m:sty m:val="p"/>
          </m:rPr>
          <w:rPr>
            <w:rFonts w:ascii="Cambria Math" w:hAnsi="Cambria Math"/>
            <w:sz w:val="19"/>
            <w:szCs w:val="19"/>
          </w:rPr>
          <m:t>min</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sSub>
          <m:e>
            <m:r>
              <w:rPr>
                <w:rFonts w:ascii="Cambria Math" w:hAnsi="Cambria Math"/>
                <w:sz w:val="19"/>
                <w:szCs w:val="19"/>
              </w:rPr>
              <m:t>p</m:t>
            </m:r>
          </m:e>
          <m:sub>
            <m:r>
              <w:rPr>
                <w:rFonts w:ascii="Cambria Math" w:hAnsi="Cambria Math"/>
                <w:sz w:val="19"/>
                <w:szCs w:val="19"/>
              </w:rPr>
              <m:t>f</m:t>
            </m:r>
          </m:sub>
        </m:sSub>
        <m:d>
          <m:dPr>
            <m:begChr m:val="("/>
            <m:sepChr m:val=""/>
            <m:endChr m:val=")"/>
            <m:grow/>
          </m:dPr>
          <m:e>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e>
        </m:d>
        <m:r>
          <m:rPr>
            <m:sty m:val="p"/>
          </m:rPr>
          <w:rPr>
            <w:rFonts w:ascii="Cambria Math" w:hAnsi="Cambria Math"/>
            <w:sz w:val="19"/>
            <w:szCs w:val="19"/>
          </w:rPr>
          <m:t>}</m:t>
        </m:r>
      </m:oMath>
      <w:r>
        <w:t xml:space="preserve"> </w:t>
      </w:r>
      <w:r>
        <w:t xml:space="preserve">in (45), so event-by-event recovery exhausts the admissible delay, while cross-event foresight still finds a feasible order of repayment; longer deadlines let even an event-by-event plan wait. Independent recovery is unaffected (85 % for IR-O*, 12 % for IR-P at every scale), consistent with its failures stemming from baseline deviations rather than from deadlines.</w:t>
      </w:r>
    </w:p>
    <w:bookmarkEnd w:id="88"/>
    <w:bookmarkEnd w:id="89"/>
    <w:bookmarkStart w:id="96" w:name="X632c523b3126e39327cb659bb20ef2dd8433bcb"/>
    <w:p>
      <w:pPr>
        <w:pStyle w:val="Heading2"/>
      </w:pPr>
      <w:r>
        <w:t xml:space="preserve">5.5. Equivalent battery and connection capacity</w:t>
      </w:r>
    </w:p>
    <w:bookmarkStart w:id="93" w:name="battery-energy"/>
    <w:p>
      <w:pPr>
        <w:pStyle w:val="Heading3"/>
      </w:pPr>
      <w:r>
        <w:t xml:space="preserve">5.5.1. Battery energy</w:t>
      </w:r>
    </w:p>
    <w:p>
      <w:pPr>
        <w:pStyle w:val="FirstParagraph"/>
      </w:pPr>
      <w:r>
        <w:t xml:space="preserve">Fig. 10 translates the capacity gain into the battery energy and the connection capacity that it substitutes. The firm capacities are found by bisection on the 26 operating days of S2 (resolution 0.25 MW). With the connection limit kept at its base value, the firm capacity of JR-D rises from 3.75 MW without a BESS to 6.00 MW with 6 MWh and 7.75 MW with the base 12 MWh (Fig. 10a). JR-M gains much less from the same battery (3.75, 4.50 and 4.75 MW) and never exceeds 5.25 MW, and IR-O* stays below 1 MW at every size: a battery reserved for a fixed share of the reduction cannot absorb the baseline deviations that make static-split independent recovery fail. Cross-event foresight therefore substitutes battery energy. JR-D needs 2.7 MWh to firmly deliver the 4.75 MW that JR-M reaches with 12 MWh, a saving of 9.3 MWh, or about 5.6 million CNY at a system cost of 0.6 CNY/Wh, and no battery size lets JR-M reach the firm capacity of JR-D. Beyond 12 MWh the firm capacity of JR-D declines (7.50 MW at 18 MWh and 6.75 MW at 24 MWh). This decline stems from the baseline rule, not from recovery: a larger battery shaves the evening peak in normal operation, which lowers the five-day baseline and with it the reduction that can be shown against it.</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6477000" cy="2484126"/>
            <wp:effectExtent b="0" l="0" r="0" t="0"/>
            <wp:docPr descr="" title="" id="91" name="Picture"/>
            <a:graphic>
              <a:graphicData uri="http://schemas.openxmlformats.org/drawingml/2006/picture">
                <pic:pic>
                  <pic:nvPicPr>
                    <pic:cNvPr descr="/home/user/datacenter/paper/figures/Fig10_substitution.png" id="92" name="Picture"/>
                    <pic:cNvPicPr>
                      <a:picLocks noChangeArrowheads="1" noChangeAspect="1"/>
                    </pic:cNvPicPr>
                  </pic:nvPicPr>
                  <pic:blipFill>
                    <a:blip r:embed="rId90"/>
                    <a:stretch>
                      <a:fillRect/>
                    </a:stretch>
                  </pic:blipFill>
                  <pic:spPr bwMode="auto">
                    <a:xfrm>
                      <a:off x="0" y="0"/>
                      <a:ext cx="6477000" cy="2484126"/>
                    </a:xfrm>
                    <a:prstGeom prst="rect">
                      <a:avLst/>
                    </a:prstGeom>
                    <a:noFill/>
                    <a:ln w="9525">
                      <a:noFill/>
                      <a:headEnd/>
                      <a:tailEnd/>
                    </a:ln>
                  </pic:spPr>
                </pic:pic>
              </a:graphicData>
            </a:graphic>
          </wp:inline>
        </w:drawing>
      </w:r>
    </w:p>
    <w:p>
      <w:pPr>
        <w:pStyle w:val="FigureCaption"/>
      </w:pPr>
      <w:r>
        <w:rPr>
          <w:bCs/>
          <w:b/>
        </w:rPr>
        <w:t xml:space="preserve">Fig. 10.</w:t>
      </w:r>
      <w:r>
        <w:t xml:space="preserve"> </w:t>
      </w:r>
      <w:r>
        <w:t xml:space="preserve">System-level value of joint recovery in S2 (firm capacity by bisection, resolution 0.25 MW): (a) firm capacity versus BESS energy (2-h rating, connection fixed); (b) versus the connection limit; (c) battery energy and (d) connection capacity saved by cross-event foresight for every firm capacity that JR-M reaches (hatched: lower bound, because JR-D exceeds the target already at the smallest connection tested).</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93"/>
    <w:bookmarkStart w:id="94" w:name="connection-capacity"/>
    <w:p>
      <w:pPr>
        <w:pStyle w:val="Heading3"/>
      </w:pPr>
      <w:r>
        <w:t xml:space="preserve">5.5.2. Connection capacity</w:t>
      </w:r>
    </w:p>
    <w:p>
      <w:pPr>
        <w:pStyle w:val="FirstParagraph"/>
      </w:pPr>
      <w:r>
        <w:t xml:space="preserve">The connection margin matters much less (Fig. 10b). Raising the connection limit from 14.57 MW (</w:t>
      </w:r>
      <m:oMath>
        <m:r>
          <w:rPr>
            <w:rFonts w:ascii="Cambria Math" w:hAnsi="Cambria Math"/>
            <w:sz w:val="19"/>
            <w:szCs w:val="19"/>
          </w:rPr>
          <m:t>γ</m:t>
        </m:r>
      </m:oMath>
      <w:r>
        <w:t xml:space="preserve"> </w:t>
      </w:r>
      <w:r>
        <w:t xml:space="preserve">= 1.00) to 18.94 MW (</w:t>
      </w:r>
      <m:oMath>
        <m:r>
          <w:rPr>
            <w:rFonts w:ascii="Cambria Math" w:hAnsi="Cambria Math"/>
            <w:sz w:val="19"/>
            <w:szCs w:val="19"/>
          </w:rPr>
          <m:t>γ</m:t>
        </m:r>
      </m:oMath>
      <w:r>
        <w:t xml:space="preserve"> </w:t>
      </w:r>
      <w:r>
        <w:t xml:space="preserve">= 1.30) adds only 0.5 MW to the firm capacity of JR-D (7.50 → 8.00 MW) and of JR-M (4.50 → 5.00 MW), and IR-O* stays below 1 MW. Connection expansion alone cannot compensate for the lack of cross-event foresight: with 4.4 MW more connection than JR-D at</w:t>
      </w:r>
      <w:r>
        <w:t xml:space="preserve"> </w:t>
      </w:r>
      <m:oMath>
        <m:r>
          <w:rPr>
            <w:rFonts w:ascii="Cambria Math" w:hAnsi="Cambria Math"/>
            <w:sz w:val="19"/>
            <w:szCs w:val="19"/>
          </w:rPr>
          <m:t>γ</m:t>
        </m:r>
      </m:oMath>
      <w:r>
        <w:t xml:space="preserve"> </w:t>
      </w:r>
      <w:r>
        <w:t xml:space="preserve">= 1.00, JR-M still firmly delivers 2.5 MW less. Conversely, JR-D at the smallest margin tested (14.57 MW) firmly delivers more than JR-M at the base connection of 16.03 MW, with 1.46 MW less connection. At a 30-min interval the binding limit is the recharge rate of the battery (6 MW, at most 3 MWh within the interval), not the width of the channel: JR-M empties the battery in the first event and cannot restore it whatever the connection, whereas JR-D keeps the energy that the second event needs.</w:t>
      </w:r>
    </w:p>
    <w:bookmarkEnd w:id="94"/>
    <w:bookmarkStart w:id="95" w:name="X914b0017596258ada24b399b47b2697fc6e208f"/>
    <w:p>
      <w:pPr>
        <w:pStyle w:val="Heading3"/>
      </w:pPr>
      <w:r>
        <w:t xml:space="preserve">5.5.3. Substitution across target firm capacities</w:t>
      </w:r>
    </w:p>
    <w:p>
      <w:pPr>
        <w:pStyle w:val="FirstParagraph"/>
      </w:pPr>
      <w:r>
        <w:t xml:space="preserve">Fig. 10c and d generalise the substitution to every firm capacity that JR-M can reach, by interpolating the curves of Fig. 10a and b. The battery saved by cross-event foresight grows with the target: JR-D needs 0.67 MWh instead of 2.00 MWh to firmly deliver 4.0 MW, 2.00 instead of 6.00 MWh for 4.5 MW, 2.67 instead of 12.00 MWh for 4.75 MW and 4.0 instead of 18.0 MWh for 5.25 MW, savings of 1.33, 4.00, 9.33 and 14.0 MWh; no battery size lets JR-M exceed 5.25 MW (Fig. 10c). The connection saved is zero up to 4.5 MW, which JR-M reaches at the smallest margin tested, and grows to at least 0.73 MW at 4.75 MW, for which JR-M needs 15.30 MW (</w:t>
      </w:r>
      <m:oMath>
        <m:r>
          <w:rPr>
            <w:rFonts w:ascii="Cambria Math" w:hAnsi="Cambria Math"/>
            <w:sz w:val="19"/>
            <w:szCs w:val="19"/>
          </w:rPr>
          <m:t>γ</m:t>
        </m:r>
      </m:oMath>
      <w:r>
        <w:t xml:space="preserve"> </w:t>
      </w:r>
      <w:r>
        <w:t xml:space="preserve">= 1.05), and to at least 2.91 MW at 5.0 MW, for which it needs 17.49 MW (</w:t>
      </w:r>
      <m:oMath>
        <m:r>
          <w:rPr>
            <w:rFonts w:ascii="Cambria Math" w:hAnsi="Cambria Math"/>
            <w:sz w:val="19"/>
            <w:szCs w:val="19"/>
          </w:rPr>
          <m:t>γ</m:t>
        </m:r>
      </m:oMath>
      <w:r>
        <w:t xml:space="preserve"> </w:t>
      </w:r>
      <w:r>
        <w:t xml:space="preserve">= 1.20) (Fig. 10d); these savings are lower bounds, because JR-D exceeds every such target already at</w:t>
      </w:r>
      <w:r>
        <w:t xml:space="preserve"> </w:t>
      </w:r>
      <m:oMath>
        <m:r>
          <w:rPr>
            <w:rFonts w:ascii="Cambria Math" w:hAnsi="Cambria Math"/>
            <w:sz w:val="19"/>
            <w:szCs w:val="19"/>
          </w:rPr>
          <m:t>γ</m:t>
        </m:r>
      </m:oMath>
      <w:r>
        <w:t xml:space="preserve"> </w:t>
      </w:r>
      <w:r>
        <w:t xml:space="preserve">= 1.00. The value of cross-event foresight therefore rises steeply as the commitment approaches the limit of event-by-event recovery, where hardware substitutes for foresight only at a growing cost.</w:t>
      </w:r>
    </w:p>
    <w:bookmarkEnd w:id="95"/>
    <w:bookmarkEnd w:id="96"/>
    <w:bookmarkStart w:id="103" w:name="Xf69f47d92a251ef28c3ceaa33aebb0944aec0f5"/>
    <w:p>
      <w:pPr>
        <w:pStyle w:val="Heading2"/>
      </w:pPr>
      <w:r>
        <w:t xml:space="preserve">5.6. Distributionally robust day-ahead commitment</w:t>
      </w:r>
    </w:p>
    <w:bookmarkStart w:id="100" w:name="Xa5c59c7d53751b3926fb5792287b549e44855da"/>
    <w:p>
      <w:pPr>
        <w:pStyle w:val="Heading3"/>
      </w:pPr>
      <w:r>
        <w:t xml:space="preserve">5.6.1. Closed-loop capability on historical and operating days</w:t>
      </w:r>
    </w:p>
    <w:p>
      <w:pPr>
        <w:pStyle w:val="FirstParagraph"/>
      </w:pPr>
      <w:r>
        <w:t xml:space="preserve">Fig. 11a and d show the closed-loop capability</w:t>
      </w:r>
      <w:r>
        <w:t xml:space="preserve"> </w:t>
      </w:r>
      <m:oMath>
        <m:sSub>
          <m:e>
            <m:r>
              <w:rPr>
                <w:rFonts w:ascii="Cambria Math" w:hAnsi="Cambria Math"/>
                <w:sz w:val="19"/>
                <w:szCs w:val="19"/>
              </w:rPr>
              <m:t>ξ</m:t>
            </m:r>
          </m:e>
          <m:sub>
            <m:r>
              <w:rPr>
                <w:rFonts w:ascii="Cambria Math" w:hAnsi="Cambria Math"/>
                <w:sz w:val="19"/>
                <w:szCs w:val="19"/>
              </w:rPr>
              <m:t>d</m:t>
            </m:r>
          </m:sub>
        </m:sSub>
      </m:oMath>
      <w:r>
        <w:t xml:space="preserve"> </w:t>
      </w:r>
      <w:r>
        <w:t xml:space="preserve">(49) of every controller on the 14 historical days and on the 26 operating days. In S1, independent recovery has a dispersed, bimodal capability: IR-O* fails already at 1 MW on 4 of the 14 historical days and reaches 7.75–8.25 MW on the others, and the same pattern recurs on the operating days (8 of 26 below 1 MW). The capability of JR-M lies at 7.75–8.25 MW on the historical days and spreads down to 6.25 MW on the operating days. JR-D reaches 8.25 MW, the midpoint between the last delivered and the first failed commitment at its physical limit, on every historical day and on 21 of the 26 operating days.</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5871599" cy="4508876"/>
            <wp:effectExtent b="0" l="0" r="0" t="0"/>
            <wp:docPr descr="" title="" id="98" name="Picture"/>
            <a:graphic>
              <a:graphicData uri="http://schemas.openxmlformats.org/drawingml/2006/picture">
                <pic:pic>
                  <pic:nvPicPr>
                    <pic:cNvPr descr="/home/user/datacenter/paper/figures/Fig11_dro_calibration.png" id="99" name="Picture"/>
                    <pic:cNvPicPr>
                      <a:picLocks noChangeArrowheads="1" noChangeAspect="1"/>
                    </pic:cNvPicPr>
                  </pic:nvPicPr>
                  <pic:blipFill>
                    <a:blip r:embed="rId97"/>
                    <a:stretch>
                      <a:fillRect/>
                    </a:stretch>
                  </pic:blipFill>
                  <pic:spPr bwMode="auto">
                    <a:xfrm>
                      <a:off x="0" y="0"/>
                      <a:ext cx="5871599" cy="4508876"/>
                    </a:xfrm>
                    <a:prstGeom prst="rect">
                      <a:avLst/>
                    </a:prstGeom>
                    <a:noFill/>
                    <a:ln w="9525">
                      <a:noFill/>
                      <a:headEnd/>
                      <a:tailEnd/>
                    </a:ln>
                  </pic:spPr>
                </pic:pic>
              </a:graphicData>
            </a:graphic>
          </wp:inline>
        </w:drawing>
      </w:r>
    </w:p>
    <w:p>
      <w:pPr>
        <w:pStyle w:val="FigureCaption"/>
      </w:pPr>
      <w:r>
        <w:rPr>
          <w:bCs/>
          <w:b/>
        </w:rPr>
        <w:t xml:space="preserve">Fig. 11.</w:t>
      </w:r>
      <w:r>
        <w:t xml:space="preserve"> </w:t>
      </w:r>
      <w:r>
        <w:t xml:space="preserve">Distributionally robust commitment in S1 (a–c) and S2 (d–f): (a, d) closed-loop capability per day on the 14 historical days (filled) and the 26 operating days (hollow); (b, e) robust firm capacity versus the Wasserstein radius, star at the radius</w:t>
      </w:r>
      <w:r>
        <w:t xml:space="preserve"> </w:t>
      </w:r>
      <m:oMath>
        <m:sSub>
          <m:e>
            <m:r>
              <w:rPr>
                <w:rFonts w:ascii="Cambria Math" w:hAnsi="Cambria Math"/>
                <w:sz w:val="15"/>
                <w:szCs w:val="15"/>
              </w:rPr>
              <m:t>ε</m:t>
            </m:r>
          </m:e>
          <m:sub>
            <m:r>
              <w:rPr>
                <w:rFonts w:ascii="Cambria Math" w:hAnsi="Cambria Math"/>
                <w:sz w:val="15"/>
                <w:szCs w:val="15"/>
              </w:rPr>
              <m:t>N</m:t>
            </m:r>
          </m:sub>
        </m:sSub>
      </m:oMath>
      <w:r>
        <w:t xml:space="preserve"> </w:t>
      </w:r>
      <w:r>
        <w:t xml:space="preserve">(55); (c, f) predicted versus realised full-delivery probability for every commitment of the grid, sample average (hollow) and robust (filled).</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100"/>
    <w:bookmarkStart w:id="101" w:name="robust-firm-capacity-and-calibration"/>
    <w:p>
      <w:pPr>
        <w:pStyle w:val="Heading3"/>
      </w:pPr>
      <w:r>
        <w:t xml:space="preserve">5.6.2. Robust firm capacity and calibration</w:t>
      </w:r>
    </w:p>
    <w:p>
      <w:pPr>
        <w:pStyle w:val="FirstParagraph"/>
      </w:pPr>
      <w:r>
        <w:t xml:space="preserve">With</w:t>
      </w:r>
      <w:r>
        <w:t xml:space="preserve"> </w:t>
      </w:r>
      <m:oMath>
        <m:r>
          <w:rPr>
            <w:rFonts w:ascii="Cambria Math" w:hAnsi="Cambria Math"/>
            <w:sz w:val="19"/>
            <w:szCs w:val="19"/>
          </w:rPr>
          <m:t>ρ</m:t>
        </m:r>
      </m:oMath>
      <w:r>
        <w:t xml:space="preserve"> </w:t>
      </w:r>
      <w:r>
        <w:t xml:space="preserve">= 0.95 and</w:t>
      </w:r>
      <w:r>
        <w:t xml:space="preserve"> </w:t>
      </w:r>
      <m:oMath>
        <m:r>
          <w:rPr>
            <w:rFonts w:ascii="Cambria Math" w:hAnsi="Cambria Math"/>
            <w:sz w:val="19"/>
            <w:szCs w:val="19"/>
          </w:rPr>
          <m:t>N</m:t>
        </m:r>
      </m:oMath>
      <w:r>
        <w:t xml:space="preserve"> </w:t>
      </w:r>
      <w:r>
        <w:t xml:space="preserve">= 14, the sample-average capacity is the smallest historical capability rounded down to the grid (Table 8). The robust capacity (50) lowers it by the robust margin (54): because a 5 % share of the days may lose its whole margin, every 0.025 MW of radius costs 0.5 MW of commitment when all days lie above it (Fig. 11b, e). In S1 the radius (55) is 0.91 MW for IR-O*, 0.066 MW for JR-M and zero for JR-D, whose capability does not vary. For JR-M it lowers the commitment from 7.5 to 6.0 MW and corrects the over-confidence of the sample average: out of sample, 7.5 MW is delivered in full on 77 % of the days and 6.0 MW on all of them, and the worst-case probabilities within the ball, 0.74, 0.91 and 0.95 at 7.5, 7.0 and 6.5 MW, match the realised shares of 0.77, 0.92 and 0.96 (Fig. 11c). For IR-O* the radius even exceeds the actual distance between the historical and the operating capabilities (</w:t>
      </w:r>
      <m:oMath>
        <m:sSub>
          <m:e>
            <m:r>
              <w:rPr>
                <w:rFonts w:ascii="Cambria Math" w:hAnsi="Cambria Math"/>
                <w:sz w:val="19"/>
                <w:szCs w:val="19"/>
              </w:rPr>
              <m:t>W</m:t>
            </m:r>
          </m:e>
          <m:sub>
            <m:r>
              <w:rPr>
                <w:rFonts w:ascii="Cambria Math" w:hAnsi="Cambria Math"/>
                <w:sz w:val="19"/>
                <w:szCs w:val="19"/>
              </w:rPr>
              <m:t>1</m:t>
            </m:r>
          </m:sub>
        </m:sSub>
      </m:oMath>
      <w:r>
        <w:t xml:space="preserve"> </w:t>
      </w:r>
      <w:r>
        <w:t xml:space="preserve">= 0.81 MW), and no commitment of 1 MW or more is robust. For JR-D the robust capacity equals the sample-average 8.0 MW, its physical limit, which is delivered in full on only 81 % of the operating days, so the robust commitment misses its target out of sample. The operating days are more loaded than the historical ones: during the first event the load without DR exceeds the baseline by 0.78 MW on average, against −0.16 MW on the historical days, and the five days on which JR-D misses 8 MW, each time in the second event, all have the load above the baseline in both events (by 0.9–1.9 MW in the first and 0.8–2.8 MW in the second). The capability distribution of the operating days therefore lies outside the Wasserstein ball around the historical days: the radius covers the estimation error of 14 samples but not a systematic shift of the baseline error, so the guarantee of Proposition 4 does not carry over (level (i) of Section 3.6). The full delivery of the cost-optimal 7 MW on every operating day stems from the margin of 1 MW that the cost criterion keeps below the capability limit, not from the robust step (Section 5.6.3). With 26 failure-free days, its full-delivery probability exceeds 0.89 with 95 % confidence (Table 8); Section 5.10.4 extends the test to 78 realisations and to a DR day in another month.</w:t>
      </w:r>
    </w:p>
    <w:p>
      <w:pPr>
        <w:pStyle w:val="BodyText"/>
      </w:pPr>
      <w:r>
        <w:t xml:space="preserve">In S2 the capability of JR-D varies slightly (one historical day at 7.75 MW, the others at 8.25 MW). The radius is 0.034 MW and the robust capacity of 7.0 MW is delivered in full on every operating day; at 8 MW the robust probability of full delivery, 0.79, matches the realised share of 0.81, where the sample average predicts 0.93 (Fig. 11f). The capability of JR-M is dispersed between 5.25 and 7.75 MW; its radius of 0.25 MW leaves no robust commitment of 1 MW or more, whereas the sample average commits 5.0 MW and delivers it in full on only 92 % of the days. The price of robustness thus scales with the dispersion of the capability: it is negligible for the concentrated capability of JR-D and excludes any commitment for the dispersed capability of JR-M, which is a second reason, besides the larger capability itself, why cross-event joint recovery can commit more.</w:t>
      </w:r>
    </w:p>
    <w:p>
      <w:pPr>
        <w:pStyle w:val="BodyText"/>
      </w:pPr>
      <w:r>
        <w:t xml:space="preserve">A leave-one-out choice of the radius, the smallest radius at which the commitment computed from 13 historical days is delivered on the held-out day in at least 95 % of the 14 cases, measures only how consistent the historical days are with one another. In S1 it is zero for every controller and would keep the sample-average 7.5 MW of JR-M, which is delivered in full on only 77 % of the operating days; in S2 it is 0.015 MW and gives the same 7.0 MW for JR-D and 4.5 MW for JR-M. The expected estimation error (55) therefore errs on the side of reliability, which is the purpose of a firm commitment.</w:t>
      </w:r>
    </w:p>
    <w:bookmarkEnd w:id="101"/>
    <w:bookmarkStart w:id="102" w:name="X1b85f456584a592fb6b38015e5d20b06dc37461"/>
    <w:p>
      <w:pPr>
        <w:pStyle w:val="Heading3"/>
      </w:pPr>
      <w:r>
        <w:t xml:space="preserve">5.6.3. Cost-optimal commitment and comparison with physical capability</w:t>
      </w:r>
    </w:p>
    <w:p>
      <w:pPr>
        <w:pStyle w:val="FirstParagraph"/>
      </w:pPr>
      <w:r>
        <w:t xml:space="preserve">The commitment (57) minimises the back-tested cost below the robust capacity. It selects 7 MW for JR-D in both scenarios and 6 MW for JR-M in S1, which are delivered in full on all 26 operating days, with benefits of 44.8 (S1) and 43.1 k CNY/day (S2) for JR-D and 35.8 k CNY/day for JR-M (Table 8). For JR-D the cost minimum lies below the capability limit: the payment, capped at 120 % of the commitment, grows with the commitment only until the reduction reaches its physical maximum of about 8 MW, beyond which a larger commitment adds shortfall risk but no revenue; in S1 the robust margin at 7 MW is 0.063 MW, five times the margin at 8.0 MW. IR-O* and IR-P receive no robust commitment in either scenario, consistent with their out-of-sample performance: at 1 MW they deliver in full on only 69–73 % of the operating days.</w:t>
      </w:r>
    </w:p>
    <w:p>
      <w:pPr>
        <w:pStyle w:val="BodyText"/>
      </w:pPr>
      <w:r>
        <w:t xml:space="preserve">Commitments derived from physical capability are not deliverable. The perfect-recourse model (58)–(59) commits the single-event capabilities of 8.18/7.98 MW in S1, which JR-D delivers in full on 85 % of the days; operated by independent recovery, as in conventional single-event practice, the share falls to 27 % (IR-O*) and 0 % (IR-P). Supplementary Fig. S2 places all commitment methods in the plane of out-of-sample reliability and benefit.</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TableCaption"/>
      </w:pPr>
      <w:r>
        <w:rPr>
          <w:bCs/>
          <w:b/>
        </w:rPr>
        <w:t xml:space="preserve">Table 8</w:t>
      </w:r>
      <w:r>
        <w:br/>
      </w:r>
      <w:r>
        <w:t xml:space="preserve">Day-ahead commitment from the 14 historical days and its out-of-sample performance on the 26 operating days (</w:t>
      </w:r>
      <m:oMath>
        <m:r>
          <w:rPr>
            <w:rFonts w:ascii="Cambria Math" w:hAnsi="Cambria Math"/>
            <w:sz w:val="15"/>
            <w:szCs w:val="15"/>
          </w:rPr>
          <m:t>ρ</m:t>
        </m:r>
      </m:oMath>
      <w:r>
        <w:t xml:space="preserve"> </w:t>
      </w:r>
      <w:r>
        <w:t xml:space="preserve">= 0.95).</w:t>
      </w:r>
      <w:r>
        <w:t xml:space="preserve"> </w:t>
      </w:r>
      <m:oMath>
        <m:r>
          <w:rPr>
            <w:rFonts w:ascii="Cambria Math" w:hAnsi="Cambria Math"/>
            <w:sz w:val="15"/>
            <w:szCs w:val="15"/>
          </w:rPr>
          <m:t>ε</m:t>
        </m:r>
      </m:oMath>
      <w:r>
        <w:t xml:space="preserve">: radius (MW);</w:t>
      </w:r>
      <w:r>
        <w:t xml:space="preserve"> </w:t>
      </w:r>
      <m:oMath>
        <m:r>
          <w:rPr>
            <w:rFonts w:ascii="Cambria Math" w:hAnsi="Cambria Math"/>
            <w:sz w:val="15"/>
            <w:szCs w:val="15"/>
          </w:rPr>
          <m:t>Φ</m:t>
        </m:r>
      </m:oMath>
      <w:r>
        <w:t xml:space="preserve">: robust reliability margin (54) at the commitment (MW); lower 95 % bound: one-sided Clopper–Pearson bound of the full-delivery probability from the 26 operating days (Section 3.6).</w:t>
      </w:r>
    </w:p>
    <w:tbl>
      <w:tblPr>
        <w:tblStyle w:val="Table"/>
        <w:tblW w:w="10206" w:type="dxa"/>
        <w:jc w:val="start"/>
        <w:tblBorders>
          <w:top w:val="single" w:sz="6" w:space="0" w:color="000000"/>
          <w:bottom w:val="single" w:sz="6" w:space="0" w:color="000000"/>
        </w:tblBorders>
        <w:tblLayout w:type="fixed"/>
        <w:tblLook w:firstRow="1" w:lastRow="0" w:firstColumn="0" w:lastColumn="0" w:noHBand="0" w:noVBand="0" w:val="0020"/>
      </w:tblPr>
      <w:tblGrid>
        <w:gridCol w:w="885"/>
        <w:gridCol w:w="2450"/>
        <w:gridCol w:w="1225"/>
        <w:gridCol w:w="1293"/>
        <w:gridCol w:w="1055"/>
        <w:gridCol w:w="646"/>
        <w:gridCol w:w="850"/>
        <w:gridCol w:w="783"/>
        <w:gridCol w:w="1019"/>
      </w:tblGrid>
      <w:tr>
        <w:trPr>
          <w:tblHeader w:val="true"/>
        </w:trPr>
        <w:tc>
          <w:tcPr>
            <w:tcW w:w="885" w:type="dxa"/>
            <w:tcBorders>
              <w:bottom w:val="single" w:sz="4" w:space="0" w:color="000000"/>
            </w:tcBorders>
          </w:tcPr>
          <w:p>
            <w:pPr>
              <w:pStyle w:val="TableText"/>
              <w:jc w:val="left"/>
            </w:pPr>
            <w:r>
              <w:t xml:space="preserve">Scenario</w:t>
            </w:r>
          </w:p>
        </w:tc>
        <w:tc>
          <w:tcPr>
            <w:tcW w:w="2450" w:type="dxa"/>
            <w:tcBorders>
              <w:bottom w:val="single" w:sz="4" w:space="0" w:color="000000"/>
            </w:tcBorders>
          </w:tcPr>
          <w:p>
            <w:pPr>
              <w:pStyle w:val="TableText"/>
              <w:jc w:val="left"/>
            </w:pPr>
            <w:r>
              <w:t xml:space="preserve">Commitment method</w:t>
            </w:r>
          </w:p>
        </w:tc>
        <w:tc>
          <w:tcPr>
            <w:tcW w:w="1225" w:type="dxa"/>
            <w:tcBorders>
              <w:bottom w:val="single" w:sz="4" w:space="0" w:color="000000"/>
            </w:tcBorders>
          </w:tcPr>
          <w:p>
            <w:pPr>
              <w:pStyle w:val="TableText"/>
              <w:jc w:val="left"/>
            </w:pPr>
            <w:r>
              <w:t xml:space="preserve">Operated by</w:t>
            </w:r>
          </w:p>
        </w:tc>
        <w:tc>
          <w:tcPr>
            <w:tcW w:w="1293" w:type="dxa"/>
            <w:tcBorders>
              <w:bottom w:val="single" w:sz="4" w:space="0" w:color="000000"/>
            </w:tcBorders>
          </w:tcPr>
          <w:p>
            <w:pPr>
              <w:pStyle w:val="TableText"/>
              <w:jc w:val="left"/>
            </w:pPr>
            <w:r>
              <w:t xml:space="preserve">Commitment (MW)</w:t>
            </w:r>
          </w:p>
        </w:tc>
        <w:tc>
          <w:tcPr>
            <w:tcW w:w="1055" w:type="dxa"/>
            <w:tcBorders>
              <w:bottom w:val="single" w:sz="4" w:space="0" w:color="000000"/>
            </w:tcBorders>
          </w:tcPr>
          <w:p>
            <w:pPr>
              <w:pStyle w:val="TableText"/>
              <w:jc w:val="left"/>
            </w:pPr>
            <m:oMath>
              <m:r>
                <w:rPr>
                  <w:rFonts w:ascii="Cambria Math" w:hAnsi="Cambria Math"/>
                  <w:sz w:val="15"/>
                  <w:szCs w:val="15"/>
                </w:rPr>
                <m:t>ε</m:t>
              </m:r>
            </m:oMath>
          </w:p>
        </w:tc>
        <w:tc>
          <w:tcPr>
            <w:tcW w:w="646" w:type="dxa"/>
            <w:tcBorders>
              <w:bottom w:val="single" w:sz="4" w:space="0" w:color="000000"/>
            </w:tcBorders>
          </w:tcPr>
          <w:p>
            <w:pPr>
              <w:pStyle w:val="TableText"/>
              <w:jc w:val="left"/>
            </w:pPr>
            <m:oMath>
              <m:r>
                <w:rPr>
                  <w:rFonts w:ascii="Cambria Math" w:hAnsi="Cambria Math"/>
                  <w:sz w:val="15"/>
                  <w:szCs w:val="15"/>
                </w:rPr>
                <m:t>Φ</m:t>
              </m:r>
            </m:oMath>
          </w:p>
        </w:tc>
        <w:tc>
          <w:tcPr>
            <w:tcW w:w="850" w:type="dxa"/>
            <w:tcBorders>
              <w:bottom w:val="single" w:sz="4" w:space="0" w:color="000000"/>
            </w:tcBorders>
          </w:tcPr>
          <w:p>
            <w:pPr>
              <w:pStyle w:val="TableText"/>
              <w:jc w:val="left"/>
            </w:pPr>
            <w:r>
              <w:t xml:space="preserve">Days with full delivery (%)</w:t>
            </w:r>
          </w:p>
        </w:tc>
        <w:tc>
          <w:tcPr>
            <w:tcW w:w="783" w:type="dxa"/>
            <w:tcBorders>
              <w:bottom w:val="single" w:sz="4" w:space="0" w:color="000000"/>
            </w:tcBorders>
          </w:tcPr>
          <w:p>
            <w:pPr>
              <w:pStyle w:val="TableText"/>
              <w:jc w:val="left"/>
            </w:pPr>
            <w:r>
              <w:t xml:space="preserve">Lower 95 % bound</w:t>
            </w:r>
          </w:p>
        </w:tc>
        <w:tc>
          <w:tcPr>
            <w:tcW w:w="1019" w:type="dxa"/>
            <w:tcBorders>
              <w:bottom w:val="single" w:sz="4" w:space="0" w:color="000000"/>
            </w:tcBorders>
          </w:tcPr>
          <w:p>
            <w:pPr>
              <w:pStyle w:val="TableText"/>
              <w:jc w:val="left"/>
            </w:pPr>
            <w:r>
              <w:t xml:space="preserve">Benefit vs no DR (k CNY/day)</w:t>
            </w:r>
          </w:p>
        </w:tc>
      </w:tr>
      <w:tr>
        <w:tc>
          <w:tcPr>
            <w:tcW w:w="885" w:type="dxa"/>
          </w:tcPr>
          <w:p>
            <w:pPr>
              <w:pStyle w:val="TableText"/>
              <w:jc w:val="left"/>
            </w:pPr>
            <w:r>
              <w:t xml:space="preserve">S1</w:t>
            </w:r>
          </w:p>
        </w:tc>
        <w:tc>
          <w:tcPr>
            <w:tcW w:w="2450" w:type="dxa"/>
          </w:tcPr>
          <w:p>
            <w:pPr>
              <w:pStyle w:val="TableText"/>
              <w:jc w:val="left"/>
            </w:pPr>
            <w:r>
              <w:t xml:space="preserve">Perfect-recourse MILP (58)</w:t>
            </w:r>
          </w:p>
        </w:tc>
        <w:tc>
          <w:tcPr>
            <w:tcW w:w="1225" w:type="dxa"/>
          </w:tcPr>
          <w:p>
            <w:pPr>
              <w:pStyle w:val="TableText"/>
              <w:jc w:val="left"/>
            </w:pPr>
            <w:r>
              <w:t xml:space="preserve">JR-D</w:t>
            </w:r>
          </w:p>
        </w:tc>
        <w:tc>
          <w:tcPr>
            <w:tcW w:w="1293" w:type="dxa"/>
          </w:tcPr>
          <w:p>
            <w:pPr>
              <w:pStyle w:val="TableText"/>
              <w:jc w:val="left"/>
            </w:pPr>
            <w:r>
              <w:t xml:space="preserve">8.18 / 7.98</w:t>
            </w:r>
          </w:p>
        </w:tc>
        <w:tc>
          <w:tcPr>
            <w:tcW w:w="1055" w:type="dxa"/>
          </w:tcPr>
          <w:p>
            <w:pPr>
              <w:pStyle w:val="TableText"/>
              <w:jc w:val="left"/>
            </w:pPr>
            <w:r>
              <w:t xml:space="preserve">–</w:t>
            </w:r>
          </w:p>
        </w:tc>
        <w:tc>
          <w:tcPr>
            <w:tcW w:w="646" w:type="dxa"/>
          </w:tcPr>
          <w:p>
            <w:pPr>
              <w:pStyle w:val="TableText"/>
              <w:jc w:val="left"/>
            </w:pPr>
            <w:r>
              <w:t xml:space="preserve">–</w:t>
            </w:r>
          </w:p>
        </w:tc>
        <w:tc>
          <w:tcPr>
            <w:tcW w:w="850" w:type="dxa"/>
          </w:tcPr>
          <w:p>
            <w:pPr>
              <w:pStyle w:val="TableText"/>
              <w:jc w:val="left"/>
            </w:pPr>
            <w:r>
              <w:t xml:space="preserve">85</w:t>
            </w:r>
          </w:p>
        </w:tc>
        <w:tc>
          <w:tcPr>
            <w:tcW w:w="783" w:type="dxa"/>
          </w:tcPr>
          <w:p>
            <w:pPr>
              <w:pStyle w:val="TableText"/>
              <w:jc w:val="left"/>
            </w:pPr>
            <w:r>
              <w:t xml:space="preserve">0.68</w:t>
            </w:r>
          </w:p>
        </w:tc>
        <w:tc>
          <w:tcPr>
            <w:tcW w:w="1019" w:type="dxa"/>
          </w:tcPr>
          <w:p>
            <w:pPr>
              <w:pStyle w:val="TableText"/>
              <w:jc w:val="left"/>
            </w:pPr>
            <w:r>
              <w:t xml:space="preserve">44.7</w:t>
            </w:r>
          </w:p>
        </w:tc>
      </w:tr>
      <w:tr>
        <w:tc>
          <w:tcPr>
            <w:tcW w:w="885" w:type="dxa"/>
          </w:tcPr>
          <w:p>
            <w:pPr>
              <w:pStyle w:val="TableText"/>
            </w:pPr>
          </w:p>
        </w:tc>
        <w:tc>
          <w:tcPr>
            <w:tcW w:w="2450" w:type="dxa"/>
          </w:tcPr>
          <w:p>
            <w:pPr>
              <w:pStyle w:val="TableText"/>
              <w:jc w:val="left"/>
            </w:pPr>
            <w:r>
              <w:t xml:space="preserve">Single-event capability</w:t>
            </w:r>
          </w:p>
        </w:tc>
        <w:tc>
          <w:tcPr>
            <w:tcW w:w="1225" w:type="dxa"/>
          </w:tcPr>
          <w:p>
            <w:pPr>
              <w:pStyle w:val="TableText"/>
              <w:jc w:val="left"/>
            </w:pPr>
            <w:r>
              <w:t xml:space="preserve">IR-O* / IR-P</w:t>
            </w:r>
          </w:p>
        </w:tc>
        <w:tc>
          <w:tcPr>
            <w:tcW w:w="1293" w:type="dxa"/>
          </w:tcPr>
          <w:p>
            <w:pPr>
              <w:pStyle w:val="TableText"/>
              <w:jc w:val="left"/>
            </w:pPr>
            <w:r>
              <w:t xml:space="preserve">8.18 / 7.98</w:t>
            </w:r>
          </w:p>
        </w:tc>
        <w:tc>
          <w:tcPr>
            <w:tcW w:w="1055" w:type="dxa"/>
          </w:tcPr>
          <w:p>
            <w:pPr>
              <w:pStyle w:val="TableText"/>
              <w:jc w:val="left"/>
            </w:pPr>
            <w:r>
              <w:t xml:space="preserve">–</w:t>
            </w:r>
          </w:p>
        </w:tc>
        <w:tc>
          <w:tcPr>
            <w:tcW w:w="646" w:type="dxa"/>
          </w:tcPr>
          <w:p>
            <w:pPr>
              <w:pStyle w:val="TableText"/>
              <w:jc w:val="left"/>
            </w:pPr>
            <w:r>
              <w:t xml:space="preserve">–</w:t>
            </w:r>
          </w:p>
        </w:tc>
        <w:tc>
          <w:tcPr>
            <w:tcW w:w="850" w:type="dxa"/>
          </w:tcPr>
          <w:p>
            <w:pPr>
              <w:pStyle w:val="TableText"/>
              <w:jc w:val="left"/>
            </w:pPr>
            <w:r>
              <w:t xml:space="preserve">27 / 0</w:t>
            </w:r>
          </w:p>
        </w:tc>
        <w:tc>
          <w:tcPr>
            <w:tcW w:w="783" w:type="dxa"/>
          </w:tcPr>
          <w:p>
            <w:pPr>
              <w:pStyle w:val="TableText"/>
              <w:jc w:val="left"/>
            </w:pPr>
            <w:r>
              <w:t xml:space="preserve">0.13 / 0</w:t>
            </w:r>
          </w:p>
        </w:tc>
        <w:tc>
          <w:tcPr>
            <w:tcW w:w="1019" w:type="dxa"/>
          </w:tcPr>
          <w:p>
            <w:pPr>
              <w:pStyle w:val="TableText"/>
              <w:jc w:val="left"/>
            </w:pPr>
            <w:r>
              <w:t xml:space="preserve">37.2 / 1.8</w:t>
            </w:r>
          </w:p>
        </w:tc>
      </w:tr>
      <w:tr>
        <w:tc>
          <w:tcPr>
            <w:tcW w:w="885" w:type="dxa"/>
          </w:tcPr>
          <w:p>
            <w:pPr>
              <w:pStyle w:val="TableText"/>
            </w:pPr>
          </w:p>
        </w:tc>
        <w:tc>
          <w:tcPr>
            <w:tcW w:w="2450" w:type="dxa"/>
          </w:tcPr>
          <w:p>
            <w:pPr>
              <w:pStyle w:val="TableText"/>
              <w:jc w:val="left"/>
            </w:pPr>
            <w:r>
              <w:t xml:space="preserve">Sample average</w:t>
            </w:r>
          </w:p>
        </w:tc>
        <w:tc>
          <w:tcPr>
            <w:tcW w:w="1225" w:type="dxa"/>
          </w:tcPr>
          <w:p>
            <w:pPr>
              <w:pStyle w:val="TableText"/>
              <w:jc w:val="left"/>
            </w:pPr>
            <w:r>
              <w:t xml:space="preserve">IR-O*, IR-P</w:t>
            </w:r>
          </w:p>
        </w:tc>
        <w:tc>
          <w:tcPr>
            <w:tcW w:w="1293" w:type="dxa"/>
          </w:tcPr>
          <w:p>
            <w:pPr>
              <w:pStyle w:val="TableText"/>
              <w:jc w:val="left"/>
            </w:pPr>
            <w:r>
              <w:t xml:space="preserve">none ≥ 1</w:t>
            </w:r>
          </w:p>
        </w:tc>
        <w:tc>
          <w:tcPr>
            <w:tcW w:w="1055" w:type="dxa"/>
          </w:tcPr>
          <w:p>
            <w:pPr>
              <w:pStyle w:val="TableText"/>
              <w:jc w:val="left"/>
            </w:pPr>
            <w:r>
              <w:t xml:space="preserve">0</w:t>
            </w:r>
          </w:p>
        </w:tc>
        <w:tc>
          <w:tcPr>
            <w:tcW w:w="646" w:type="dxa"/>
          </w:tcPr>
          <w:p>
            <w:pPr>
              <w:pStyle w:val="TableText"/>
              <w:jc w:val="left"/>
            </w:pPr>
            <w:r>
              <w:t xml:space="preserve">–</w:t>
            </w:r>
          </w:p>
        </w:tc>
        <w:tc>
          <w:tcPr>
            <w:tcW w:w="850" w:type="dxa"/>
          </w:tcPr>
          <w:p>
            <w:pPr>
              <w:pStyle w:val="TableText"/>
              <w:jc w:val="left"/>
            </w:pPr>
            <w:r>
              <w:t xml:space="preserve">–</w:t>
            </w:r>
          </w:p>
        </w:tc>
        <w:tc>
          <w:tcPr>
            <w:tcW w:w="783" w:type="dxa"/>
          </w:tcPr>
          <w:p>
            <w:pPr>
              <w:pStyle w:val="TableText"/>
              <w:jc w:val="left"/>
            </w:pPr>
            <w:r>
              <w:t xml:space="preserve">–</w:t>
            </w:r>
          </w:p>
        </w:tc>
        <w:tc>
          <w:tcPr>
            <w:tcW w:w="1019" w:type="dxa"/>
          </w:tcPr>
          <w:p>
            <w:pPr>
              <w:pStyle w:val="TableText"/>
              <w:jc w:val="left"/>
            </w:pPr>
            <w:r>
              <w:t xml:space="preserve">–</w:t>
            </w:r>
          </w:p>
        </w:tc>
      </w:tr>
      <w:tr>
        <w:tc>
          <w:tcPr>
            <w:tcW w:w="885" w:type="dxa"/>
          </w:tcPr>
          <w:p>
            <w:pPr>
              <w:pStyle w:val="TableText"/>
            </w:pPr>
          </w:p>
        </w:tc>
        <w:tc>
          <w:tcPr>
            <w:tcW w:w="2450" w:type="dxa"/>
          </w:tcPr>
          <w:p>
            <w:pPr>
              <w:pStyle w:val="TableText"/>
            </w:pPr>
          </w:p>
        </w:tc>
        <w:tc>
          <w:tcPr>
            <w:tcW w:w="1225" w:type="dxa"/>
          </w:tcPr>
          <w:p>
            <w:pPr>
              <w:pStyle w:val="TableText"/>
              <w:jc w:val="left"/>
            </w:pPr>
            <w:r>
              <w:t xml:space="preserve">JR-M</w:t>
            </w:r>
          </w:p>
        </w:tc>
        <w:tc>
          <w:tcPr>
            <w:tcW w:w="1293" w:type="dxa"/>
          </w:tcPr>
          <w:p>
            <w:pPr>
              <w:pStyle w:val="TableText"/>
              <w:jc w:val="left"/>
            </w:pPr>
            <w:r>
              <w:t xml:space="preserve">7.5</w:t>
            </w:r>
          </w:p>
        </w:tc>
        <w:tc>
          <w:tcPr>
            <w:tcW w:w="1055" w:type="dxa"/>
          </w:tcPr>
          <w:p>
            <w:pPr>
              <w:pStyle w:val="TableText"/>
              <w:jc w:val="left"/>
            </w:pPr>
            <w:r>
              <w:t xml:space="preserve">0</w:t>
            </w:r>
          </w:p>
        </w:tc>
        <w:tc>
          <w:tcPr>
            <w:tcW w:w="646" w:type="dxa"/>
          </w:tcPr>
          <w:p>
            <w:pPr>
              <w:pStyle w:val="TableText"/>
              <w:jc w:val="left"/>
            </w:pPr>
            <w:r>
              <w:t xml:space="preserve">0.013</w:t>
            </w:r>
          </w:p>
        </w:tc>
        <w:tc>
          <w:tcPr>
            <w:tcW w:w="850" w:type="dxa"/>
          </w:tcPr>
          <w:p>
            <w:pPr>
              <w:pStyle w:val="TableText"/>
              <w:jc w:val="left"/>
            </w:pPr>
            <w:r>
              <w:t xml:space="preserve">77</w:t>
            </w:r>
          </w:p>
        </w:tc>
        <w:tc>
          <w:tcPr>
            <w:tcW w:w="783" w:type="dxa"/>
          </w:tcPr>
          <w:p>
            <w:pPr>
              <w:pStyle w:val="TableText"/>
              <w:jc w:val="left"/>
            </w:pPr>
            <w:r>
              <w:t xml:space="preserve">0.60</w:t>
            </w:r>
          </w:p>
        </w:tc>
        <w:tc>
          <w:tcPr>
            <w:tcW w:w="1019" w:type="dxa"/>
          </w:tcPr>
          <w:p>
            <w:pPr>
              <w:pStyle w:val="TableText"/>
              <w:jc w:val="left"/>
            </w:pPr>
            <w:r>
              <w:t xml:space="preserve">36.9</w:t>
            </w:r>
          </w:p>
        </w:tc>
      </w:tr>
      <w:tr>
        <w:tc>
          <w:tcPr>
            <w:tcW w:w="885" w:type="dxa"/>
          </w:tcPr>
          <w:p>
            <w:pPr>
              <w:pStyle w:val="TableText"/>
            </w:pPr>
          </w:p>
        </w:tc>
        <w:tc>
          <w:tcPr>
            <w:tcW w:w="2450" w:type="dxa"/>
          </w:tcPr>
          <w:p>
            <w:pPr>
              <w:pStyle w:val="TableText"/>
            </w:pPr>
          </w:p>
        </w:tc>
        <w:tc>
          <w:tcPr>
            <w:tcW w:w="1225" w:type="dxa"/>
          </w:tcPr>
          <w:p>
            <w:pPr>
              <w:pStyle w:val="TableText"/>
              <w:jc w:val="left"/>
            </w:pPr>
            <w:r>
              <w:t xml:space="preserve">JR-D</w:t>
            </w:r>
          </w:p>
        </w:tc>
        <w:tc>
          <w:tcPr>
            <w:tcW w:w="1293" w:type="dxa"/>
          </w:tcPr>
          <w:p>
            <w:pPr>
              <w:pStyle w:val="TableText"/>
              <w:jc w:val="left"/>
            </w:pPr>
            <w:r>
              <w:t xml:space="preserve">8.0</w:t>
            </w:r>
          </w:p>
        </w:tc>
        <w:tc>
          <w:tcPr>
            <w:tcW w:w="1055" w:type="dxa"/>
          </w:tcPr>
          <w:p>
            <w:pPr>
              <w:pStyle w:val="TableText"/>
              <w:jc w:val="left"/>
            </w:pPr>
            <w:r>
              <w:t xml:space="preserve">0</w:t>
            </w:r>
          </w:p>
        </w:tc>
        <w:tc>
          <w:tcPr>
            <w:tcW w:w="646" w:type="dxa"/>
          </w:tcPr>
          <w:p>
            <w:pPr>
              <w:pStyle w:val="TableText"/>
              <w:jc w:val="left"/>
            </w:pPr>
            <w:r>
              <w:t xml:space="preserve">0.013</w:t>
            </w:r>
          </w:p>
        </w:tc>
        <w:tc>
          <w:tcPr>
            <w:tcW w:w="850" w:type="dxa"/>
          </w:tcPr>
          <w:p>
            <w:pPr>
              <w:pStyle w:val="TableText"/>
              <w:jc w:val="left"/>
            </w:pPr>
            <w:r>
              <w:t xml:space="preserve">81</w:t>
            </w:r>
          </w:p>
        </w:tc>
        <w:tc>
          <w:tcPr>
            <w:tcW w:w="783" w:type="dxa"/>
          </w:tcPr>
          <w:p>
            <w:pPr>
              <w:pStyle w:val="TableText"/>
              <w:jc w:val="left"/>
            </w:pPr>
            <w:r>
              <w:t xml:space="preserve">0.64</w:t>
            </w:r>
          </w:p>
        </w:tc>
        <w:tc>
          <w:tcPr>
            <w:tcW w:w="1019" w:type="dxa"/>
          </w:tcPr>
          <w:p>
            <w:pPr>
              <w:pStyle w:val="TableText"/>
              <w:jc w:val="left"/>
            </w:pPr>
            <w:r>
              <w:t xml:space="preserve">44.6</w:t>
            </w:r>
          </w:p>
        </w:tc>
      </w:tr>
      <w:tr>
        <w:tc>
          <w:tcPr>
            <w:tcW w:w="885" w:type="dxa"/>
          </w:tcPr>
          <w:p>
            <w:pPr>
              <w:pStyle w:val="TableText"/>
            </w:pPr>
          </w:p>
        </w:tc>
        <w:tc>
          <w:tcPr>
            <w:tcW w:w="2450" w:type="dxa"/>
          </w:tcPr>
          <w:p>
            <w:pPr>
              <w:pStyle w:val="TableText"/>
              <w:jc w:val="left"/>
            </w:pPr>
            <w:r>
              <w:t xml:space="preserve">Robust (50)</w:t>
            </w:r>
          </w:p>
        </w:tc>
        <w:tc>
          <w:tcPr>
            <w:tcW w:w="1225" w:type="dxa"/>
          </w:tcPr>
          <w:p>
            <w:pPr>
              <w:pStyle w:val="TableText"/>
              <w:jc w:val="left"/>
            </w:pPr>
            <w:r>
              <w:t xml:space="preserve">IR-O*, IR-P</w:t>
            </w:r>
          </w:p>
        </w:tc>
        <w:tc>
          <w:tcPr>
            <w:tcW w:w="1293" w:type="dxa"/>
          </w:tcPr>
          <w:p>
            <w:pPr>
              <w:pStyle w:val="TableText"/>
              <w:jc w:val="left"/>
            </w:pPr>
            <w:r>
              <w:t xml:space="preserve">none ≥ 1</w:t>
            </w:r>
          </w:p>
        </w:tc>
        <w:tc>
          <w:tcPr>
            <w:tcW w:w="1055" w:type="dxa"/>
          </w:tcPr>
          <w:p>
            <w:pPr>
              <w:pStyle w:val="TableText"/>
              <w:jc w:val="left"/>
            </w:pPr>
            <w:r>
              <w:t xml:space="preserve">0.91 / 0.90</w:t>
            </w:r>
          </w:p>
        </w:tc>
        <w:tc>
          <w:tcPr>
            <w:tcW w:w="646" w:type="dxa"/>
          </w:tcPr>
          <w:p>
            <w:pPr>
              <w:pStyle w:val="TableText"/>
              <w:jc w:val="left"/>
            </w:pPr>
            <w:r>
              <w:t xml:space="preserve">–</w:t>
            </w:r>
          </w:p>
        </w:tc>
        <w:tc>
          <w:tcPr>
            <w:tcW w:w="850" w:type="dxa"/>
          </w:tcPr>
          <w:p>
            <w:pPr>
              <w:pStyle w:val="TableText"/>
              <w:jc w:val="left"/>
            </w:pPr>
            <w:r>
              <w:t xml:space="preserve">–</w:t>
            </w:r>
          </w:p>
        </w:tc>
        <w:tc>
          <w:tcPr>
            <w:tcW w:w="783" w:type="dxa"/>
          </w:tcPr>
          <w:p>
            <w:pPr>
              <w:pStyle w:val="TableText"/>
              <w:jc w:val="left"/>
            </w:pPr>
            <w:r>
              <w:t xml:space="preserve">–</w:t>
            </w:r>
          </w:p>
        </w:tc>
        <w:tc>
          <w:tcPr>
            <w:tcW w:w="1019" w:type="dxa"/>
          </w:tcPr>
          <w:p>
            <w:pPr>
              <w:pStyle w:val="TableText"/>
              <w:jc w:val="left"/>
            </w:pPr>
            <w:r>
              <w:t xml:space="preserve">–</w:t>
            </w:r>
          </w:p>
        </w:tc>
      </w:tr>
      <w:tr>
        <w:tc>
          <w:tcPr>
            <w:tcW w:w="885" w:type="dxa"/>
          </w:tcPr>
          <w:p>
            <w:pPr>
              <w:pStyle w:val="TableText"/>
            </w:pPr>
          </w:p>
        </w:tc>
        <w:tc>
          <w:tcPr>
            <w:tcW w:w="2450" w:type="dxa"/>
          </w:tcPr>
          <w:p>
            <w:pPr>
              <w:pStyle w:val="TableText"/>
            </w:pPr>
          </w:p>
        </w:tc>
        <w:tc>
          <w:tcPr>
            <w:tcW w:w="1225" w:type="dxa"/>
          </w:tcPr>
          <w:p>
            <w:pPr>
              <w:pStyle w:val="TableText"/>
              <w:jc w:val="left"/>
            </w:pPr>
            <w:r>
              <w:t xml:space="preserve">JR-M</w:t>
            </w:r>
          </w:p>
        </w:tc>
        <w:tc>
          <w:tcPr>
            <w:tcW w:w="1293" w:type="dxa"/>
          </w:tcPr>
          <w:p>
            <w:pPr>
              <w:pStyle w:val="TableText"/>
              <w:jc w:val="left"/>
            </w:pPr>
            <w:r>
              <w:t xml:space="preserve">6.0</w:t>
            </w:r>
          </w:p>
        </w:tc>
        <w:tc>
          <w:tcPr>
            <w:tcW w:w="1055" w:type="dxa"/>
          </w:tcPr>
          <w:p>
            <w:pPr>
              <w:pStyle w:val="TableText"/>
              <w:jc w:val="left"/>
            </w:pPr>
            <w:r>
              <w:t xml:space="preserve">0.066</w:t>
            </w:r>
          </w:p>
        </w:tc>
        <w:tc>
          <w:tcPr>
            <w:tcW w:w="646" w:type="dxa"/>
          </w:tcPr>
          <w:p>
            <w:pPr>
              <w:pStyle w:val="TableText"/>
              <w:jc w:val="left"/>
            </w:pPr>
            <w:r>
              <w:t xml:space="preserve">0.088</w:t>
            </w:r>
          </w:p>
        </w:tc>
        <w:tc>
          <w:tcPr>
            <w:tcW w:w="850" w:type="dxa"/>
          </w:tcPr>
          <w:p>
            <w:pPr>
              <w:pStyle w:val="TableText"/>
              <w:jc w:val="left"/>
            </w:pPr>
            <w:r>
              <w:t xml:space="preserve">100</w:t>
            </w:r>
          </w:p>
        </w:tc>
        <w:tc>
          <w:tcPr>
            <w:tcW w:w="783" w:type="dxa"/>
          </w:tcPr>
          <w:p>
            <w:pPr>
              <w:pStyle w:val="TableText"/>
              <w:jc w:val="left"/>
            </w:pPr>
            <w:r>
              <w:t xml:space="preserve">0.89</w:t>
            </w:r>
          </w:p>
        </w:tc>
        <w:tc>
          <w:tcPr>
            <w:tcW w:w="1019" w:type="dxa"/>
          </w:tcPr>
          <w:p>
            <w:pPr>
              <w:pStyle w:val="TableText"/>
              <w:jc w:val="left"/>
            </w:pPr>
            <w:r>
              <w:t xml:space="preserve">35.8</w:t>
            </w:r>
          </w:p>
        </w:tc>
      </w:tr>
      <w:tr>
        <w:tc>
          <w:tcPr>
            <w:tcW w:w="885" w:type="dxa"/>
          </w:tcPr>
          <w:p>
            <w:pPr>
              <w:pStyle w:val="TableText"/>
            </w:pPr>
          </w:p>
        </w:tc>
        <w:tc>
          <w:tcPr>
            <w:tcW w:w="2450" w:type="dxa"/>
          </w:tcPr>
          <w:p>
            <w:pPr>
              <w:pStyle w:val="TableText"/>
            </w:pPr>
          </w:p>
        </w:tc>
        <w:tc>
          <w:tcPr>
            <w:tcW w:w="1225" w:type="dxa"/>
          </w:tcPr>
          <w:p>
            <w:pPr>
              <w:pStyle w:val="TableText"/>
              <w:jc w:val="left"/>
            </w:pPr>
            <w:r>
              <w:t xml:space="preserve">JR-D</w:t>
            </w:r>
          </w:p>
        </w:tc>
        <w:tc>
          <w:tcPr>
            <w:tcW w:w="1293" w:type="dxa"/>
          </w:tcPr>
          <w:p>
            <w:pPr>
              <w:pStyle w:val="TableText"/>
              <w:jc w:val="left"/>
            </w:pPr>
            <w:r>
              <w:t xml:space="preserve">8.0</w:t>
            </w:r>
          </w:p>
        </w:tc>
        <w:tc>
          <w:tcPr>
            <w:tcW w:w="1055" w:type="dxa"/>
          </w:tcPr>
          <w:p>
            <w:pPr>
              <w:pStyle w:val="TableText"/>
              <w:jc w:val="left"/>
            </w:pPr>
            <w:r>
              <w:t xml:space="preserve">0</w:t>
            </w:r>
          </w:p>
        </w:tc>
        <w:tc>
          <w:tcPr>
            <w:tcW w:w="646" w:type="dxa"/>
          </w:tcPr>
          <w:p>
            <w:pPr>
              <w:pStyle w:val="TableText"/>
              <w:jc w:val="left"/>
            </w:pPr>
            <w:r>
              <w:t xml:space="preserve">0.013</w:t>
            </w:r>
          </w:p>
        </w:tc>
        <w:tc>
          <w:tcPr>
            <w:tcW w:w="850" w:type="dxa"/>
          </w:tcPr>
          <w:p>
            <w:pPr>
              <w:pStyle w:val="TableText"/>
              <w:jc w:val="left"/>
            </w:pPr>
            <w:r>
              <w:t xml:space="preserve">81</w:t>
            </w:r>
          </w:p>
        </w:tc>
        <w:tc>
          <w:tcPr>
            <w:tcW w:w="783" w:type="dxa"/>
          </w:tcPr>
          <w:p>
            <w:pPr>
              <w:pStyle w:val="TableText"/>
              <w:jc w:val="left"/>
            </w:pPr>
            <w:r>
              <w:t xml:space="preserve">0.64</w:t>
            </w:r>
          </w:p>
        </w:tc>
        <w:tc>
          <w:tcPr>
            <w:tcW w:w="1019" w:type="dxa"/>
          </w:tcPr>
          <w:p>
            <w:pPr>
              <w:pStyle w:val="TableText"/>
              <w:jc w:val="left"/>
            </w:pPr>
            <w:r>
              <w:t xml:space="preserve">44.6</w:t>
            </w:r>
          </w:p>
        </w:tc>
      </w:tr>
      <w:tr>
        <w:tc>
          <w:tcPr>
            <w:tcW w:w="885" w:type="dxa"/>
          </w:tcPr>
          <w:p>
            <w:pPr>
              <w:pStyle w:val="TableText"/>
            </w:pPr>
          </w:p>
        </w:tc>
        <w:tc>
          <w:tcPr>
            <w:tcW w:w="2450" w:type="dxa"/>
          </w:tcPr>
          <w:p>
            <w:pPr>
              <w:pStyle w:val="TableText"/>
              <w:jc w:val="left"/>
            </w:pPr>
            <w:r>
              <w:t xml:space="preserve">Cost-optimal (57)</w:t>
            </w:r>
          </w:p>
        </w:tc>
        <w:tc>
          <w:tcPr>
            <w:tcW w:w="1225" w:type="dxa"/>
          </w:tcPr>
          <w:p>
            <w:pPr>
              <w:pStyle w:val="TableText"/>
              <w:jc w:val="left"/>
            </w:pPr>
            <w:r>
              <w:t xml:space="preserve">JR-M</w:t>
            </w:r>
          </w:p>
        </w:tc>
        <w:tc>
          <w:tcPr>
            <w:tcW w:w="1293" w:type="dxa"/>
          </w:tcPr>
          <w:p>
            <w:pPr>
              <w:pStyle w:val="TableText"/>
              <w:jc w:val="left"/>
            </w:pPr>
            <w:r>
              <w:t xml:space="preserve">6.0</w:t>
            </w:r>
          </w:p>
        </w:tc>
        <w:tc>
          <w:tcPr>
            <w:tcW w:w="1055" w:type="dxa"/>
          </w:tcPr>
          <w:p>
            <w:pPr>
              <w:pStyle w:val="TableText"/>
              <w:jc w:val="left"/>
            </w:pPr>
            <w:r>
              <w:t xml:space="preserve">0.066</w:t>
            </w:r>
          </w:p>
        </w:tc>
        <w:tc>
          <w:tcPr>
            <w:tcW w:w="646" w:type="dxa"/>
          </w:tcPr>
          <w:p>
            <w:pPr>
              <w:pStyle w:val="TableText"/>
              <w:jc w:val="left"/>
            </w:pPr>
            <w:r>
              <w:t xml:space="preserve">0.088</w:t>
            </w:r>
          </w:p>
        </w:tc>
        <w:tc>
          <w:tcPr>
            <w:tcW w:w="850" w:type="dxa"/>
          </w:tcPr>
          <w:p>
            <w:pPr>
              <w:pStyle w:val="TableText"/>
              <w:jc w:val="left"/>
            </w:pPr>
            <w:r>
              <w:t xml:space="preserve">100</w:t>
            </w:r>
          </w:p>
        </w:tc>
        <w:tc>
          <w:tcPr>
            <w:tcW w:w="783" w:type="dxa"/>
          </w:tcPr>
          <w:p>
            <w:pPr>
              <w:pStyle w:val="TableText"/>
              <w:jc w:val="left"/>
            </w:pPr>
            <w:r>
              <w:t xml:space="preserve">0.89</w:t>
            </w:r>
          </w:p>
        </w:tc>
        <w:tc>
          <w:tcPr>
            <w:tcW w:w="1019" w:type="dxa"/>
          </w:tcPr>
          <w:p>
            <w:pPr>
              <w:pStyle w:val="TableText"/>
              <w:jc w:val="left"/>
            </w:pPr>
            <w:r>
              <w:t xml:space="preserve">35.8</w:t>
            </w:r>
          </w:p>
        </w:tc>
      </w:tr>
      <w:tr>
        <w:tc>
          <w:tcPr>
            <w:tcW w:w="885" w:type="dxa"/>
          </w:tcPr>
          <w:p>
            <w:pPr>
              <w:pStyle w:val="TableText"/>
            </w:pPr>
          </w:p>
        </w:tc>
        <w:tc>
          <w:tcPr>
            <w:tcW w:w="2450" w:type="dxa"/>
          </w:tcPr>
          <w:p>
            <w:pPr>
              <w:pStyle w:val="TableText"/>
            </w:pPr>
          </w:p>
        </w:tc>
        <w:tc>
          <w:tcPr>
            <w:tcW w:w="1225" w:type="dxa"/>
          </w:tcPr>
          <w:p>
            <w:pPr>
              <w:pStyle w:val="TableText"/>
              <w:jc w:val="left"/>
            </w:pPr>
            <w:r>
              <w:rPr>
                <w:bCs/>
                <w:b/>
              </w:rPr>
              <w:t xml:space="preserve">JR-D</w:t>
            </w:r>
          </w:p>
        </w:tc>
        <w:tc>
          <w:tcPr>
            <w:tcW w:w="1293" w:type="dxa"/>
          </w:tcPr>
          <w:p>
            <w:pPr>
              <w:pStyle w:val="TableText"/>
              <w:jc w:val="left"/>
            </w:pPr>
            <w:r>
              <w:rPr>
                <w:bCs/>
                <w:b/>
              </w:rPr>
              <w:t xml:space="preserve">7.0</w:t>
            </w:r>
          </w:p>
        </w:tc>
        <w:tc>
          <w:tcPr>
            <w:tcW w:w="1055" w:type="dxa"/>
          </w:tcPr>
          <w:p>
            <w:pPr>
              <w:pStyle w:val="TableText"/>
              <w:jc w:val="left"/>
            </w:pPr>
            <w:r>
              <w:rPr>
                <w:bCs/>
                <w:b/>
              </w:rPr>
              <w:t xml:space="preserve">0</w:t>
            </w:r>
          </w:p>
        </w:tc>
        <w:tc>
          <w:tcPr>
            <w:tcW w:w="646" w:type="dxa"/>
          </w:tcPr>
          <w:p>
            <w:pPr>
              <w:pStyle w:val="TableText"/>
              <w:jc w:val="left"/>
            </w:pPr>
            <w:r>
              <w:rPr>
                <w:bCs/>
                <w:b/>
              </w:rPr>
              <w:t xml:space="preserve">0.063</w:t>
            </w:r>
          </w:p>
        </w:tc>
        <w:tc>
          <w:tcPr>
            <w:tcW w:w="850" w:type="dxa"/>
          </w:tcPr>
          <w:p>
            <w:pPr>
              <w:pStyle w:val="TableText"/>
              <w:jc w:val="left"/>
            </w:pPr>
            <w:r>
              <w:rPr>
                <w:bCs/>
                <w:b/>
              </w:rPr>
              <w:t xml:space="preserve">100</w:t>
            </w:r>
          </w:p>
        </w:tc>
        <w:tc>
          <w:tcPr>
            <w:tcW w:w="783" w:type="dxa"/>
          </w:tcPr>
          <w:p>
            <w:pPr>
              <w:pStyle w:val="TableText"/>
              <w:jc w:val="left"/>
            </w:pPr>
            <w:r>
              <w:rPr>
                <w:bCs/>
                <w:b/>
              </w:rPr>
              <w:t xml:space="preserve">0.89</w:t>
            </w:r>
          </w:p>
        </w:tc>
        <w:tc>
          <w:tcPr>
            <w:tcW w:w="1019" w:type="dxa"/>
          </w:tcPr>
          <w:p>
            <w:pPr>
              <w:pStyle w:val="TableText"/>
              <w:jc w:val="left"/>
            </w:pPr>
            <w:r>
              <w:rPr>
                <w:bCs/>
                <w:b/>
              </w:rPr>
              <w:t xml:space="preserve">44.8</w:t>
            </w:r>
          </w:p>
        </w:tc>
      </w:tr>
      <w:tr>
        <w:tc>
          <w:tcPr>
            <w:tcW w:w="885" w:type="dxa"/>
          </w:tcPr>
          <w:p>
            <w:pPr>
              <w:pStyle w:val="TableText"/>
              <w:jc w:val="left"/>
            </w:pPr>
            <w:r>
              <w:t xml:space="preserve">S2</w:t>
            </w:r>
          </w:p>
        </w:tc>
        <w:tc>
          <w:tcPr>
            <w:tcW w:w="2450" w:type="dxa"/>
          </w:tcPr>
          <w:p>
            <w:pPr>
              <w:pStyle w:val="TableText"/>
              <w:jc w:val="left"/>
            </w:pPr>
            <w:r>
              <w:t xml:space="preserve">Sample average</w:t>
            </w:r>
          </w:p>
        </w:tc>
        <w:tc>
          <w:tcPr>
            <w:tcW w:w="1225" w:type="dxa"/>
          </w:tcPr>
          <w:p>
            <w:pPr>
              <w:pStyle w:val="TableText"/>
              <w:jc w:val="left"/>
            </w:pPr>
            <w:r>
              <w:t xml:space="preserve">IR-O*, IR-P</w:t>
            </w:r>
          </w:p>
        </w:tc>
        <w:tc>
          <w:tcPr>
            <w:tcW w:w="1293" w:type="dxa"/>
          </w:tcPr>
          <w:p>
            <w:pPr>
              <w:pStyle w:val="TableText"/>
              <w:jc w:val="left"/>
            </w:pPr>
            <w:r>
              <w:t xml:space="preserve">none ≥ 1</w:t>
            </w:r>
          </w:p>
        </w:tc>
        <w:tc>
          <w:tcPr>
            <w:tcW w:w="1055" w:type="dxa"/>
          </w:tcPr>
          <w:p>
            <w:pPr>
              <w:pStyle w:val="TableText"/>
              <w:jc w:val="left"/>
            </w:pPr>
            <w:r>
              <w:t xml:space="preserve">0</w:t>
            </w:r>
          </w:p>
        </w:tc>
        <w:tc>
          <w:tcPr>
            <w:tcW w:w="646" w:type="dxa"/>
          </w:tcPr>
          <w:p>
            <w:pPr>
              <w:pStyle w:val="TableText"/>
              <w:jc w:val="left"/>
            </w:pPr>
            <w:r>
              <w:t xml:space="preserve">–</w:t>
            </w:r>
          </w:p>
        </w:tc>
        <w:tc>
          <w:tcPr>
            <w:tcW w:w="850" w:type="dxa"/>
          </w:tcPr>
          <w:p>
            <w:pPr>
              <w:pStyle w:val="TableText"/>
              <w:jc w:val="left"/>
            </w:pPr>
            <w:r>
              <w:t xml:space="preserve">–</w:t>
            </w:r>
          </w:p>
        </w:tc>
        <w:tc>
          <w:tcPr>
            <w:tcW w:w="783" w:type="dxa"/>
          </w:tcPr>
          <w:p>
            <w:pPr>
              <w:pStyle w:val="TableText"/>
              <w:jc w:val="left"/>
            </w:pPr>
            <w:r>
              <w:t xml:space="preserve">–</w:t>
            </w:r>
          </w:p>
        </w:tc>
        <w:tc>
          <w:tcPr>
            <w:tcW w:w="1019" w:type="dxa"/>
          </w:tcPr>
          <w:p>
            <w:pPr>
              <w:pStyle w:val="TableText"/>
              <w:jc w:val="left"/>
            </w:pPr>
            <w:r>
              <w:t xml:space="preserve">–</w:t>
            </w:r>
          </w:p>
        </w:tc>
      </w:tr>
      <w:tr>
        <w:tc>
          <w:tcPr>
            <w:tcW w:w="885" w:type="dxa"/>
          </w:tcPr>
          <w:p>
            <w:pPr>
              <w:pStyle w:val="TableText"/>
            </w:pPr>
          </w:p>
        </w:tc>
        <w:tc>
          <w:tcPr>
            <w:tcW w:w="2450" w:type="dxa"/>
          </w:tcPr>
          <w:p>
            <w:pPr>
              <w:pStyle w:val="TableText"/>
            </w:pPr>
          </w:p>
        </w:tc>
        <w:tc>
          <w:tcPr>
            <w:tcW w:w="1225" w:type="dxa"/>
          </w:tcPr>
          <w:p>
            <w:pPr>
              <w:pStyle w:val="TableText"/>
              <w:jc w:val="left"/>
            </w:pPr>
            <w:r>
              <w:t xml:space="preserve">JR-M</w:t>
            </w:r>
          </w:p>
        </w:tc>
        <w:tc>
          <w:tcPr>
            <w:tcW w:w="1293" w:type="dxa"/>
          </w:tcPr>
          <w:p>
            <w:pPr>
              <w:pStyle w:val="TableText"/>
              <w:jc w:val="left"/>
            </w:pPr>
            <w:r>
              <w:t xml:space="preserve">5.0</w:t>
            </w:r>
          </w:p>
        </w:tc>
        <w:tc>
          <w:tcPr>
            <w:tcW w:w="1055" w:type="dxa"/>
          </w:tcPr>
          <w:p>
            <w:pPr>
              <w:pStyle w:val="TableText"/>
              <w:jc w:val="left"/>
            </w:pPr>
            <w:r>
              <w:t xml:space="preserve">0</w:t>
            </w:r>
          </w:p>
        </w:tc>
        <w:tc>
          <w:tcPr>
            <w:tcW w:w="646" w:type="dxa"/>
          </w:tcPr>
          <w:p>
            <w:pPr>
              <w:pStyle w:val="TableText"/>
              <w:jc w:val="left"/>
            </w:pPr>
            <w:r>
              <w:t xml:space="preserve">0.013</w:t>
            </w:r>
          </w:p>
        </w:tc>
        <w:tc>
          <w:tcPr>
            <w:tcW w:w="850" w:type="dxa"/>
          </w:tcPr>
          <w:p>
            <w:pPr>
              <w:pStyle w:val="TableText"/>
              <w:jc w:val="left"/>
            </w:pPr>
            <w:r>
              <w:t xml:space="preserve">92</w:t>
            </w:r>
          </w:p>
        </w:tc>
        <w:tc>
          <w:tcPr>
            <w:tcW w:w="783" w:type="dxa"/>
          </w:tcPr>
          <w:p>
            <w:pPr>
              <w:pStyle w:val="TableText"/>
              <w:jc w:val="left"/>
            </w:pPr>
            <w:r>
              <w:t xml:space="preserve">0.78</w:t>
            </w:r>
          </w:p>
        </w:tc>
        <w:tc>
          <w:tcPr>
            <w:tcW w:w="1019" w:type="dxa"/>
          </w:tcPr>
          <w:p>
            <w:pPr>
              <w:pStyle w:val="TableText"/>
              <w:jc w:val="left"/>
            </w:pPr>
            <w:r>
              <w:t xml:space="preserve">29.3</w:t>
            </w:r>
          </w:p>
        </w:tc>
      </w:tr>
      <w:tr>
        <w:tc>
          <w:tcPr>
            <w:tcW w:w="885" w:type="dxa"/>
          </w:tcPr>
          <w:p>
            <w:pPr>
              <w:pStyle w:val="TableText"/>
            </w:pPr>
          </w:p>
        </w:tc>
        <w:tc>
          <w:tcPr>
            <w:tcW w:w="2450" w:type="dxa"/>
          </w:tcPr>
          <w:p>
            <w:pPr>
              <w:pStyle w:val="TableText"/>
            </w:pPr>
          </w:p>
        </w:tc>
        <w:tc>
          <w:tcPr>
            <w:tcW w:w="1225" w:type="dxa"/>
          </w:tcPr>
          <w:p>
            <w:pPr>
              <w:pStyle w:val="TableText"/>
              <w:jc w:val="left"/>
            </w:pPr>
            <w:r>
              <w:t xml:space="preserve">JR-D</w:t>
            </w:r>
          </w:p>
        </w:tc>
        <w:tc>
          <w:tcPr>
            <w:tcW w:w="1293" w:type="dxa"/>
          </w:tcPr>
          <w:p>
            <w:pPr>
              <w:pStyle w:val="TableText"/>
              <w:jc w:val="left"/>
            </w:pPr>
            <w:r>
              <w:t xml:space="preserve">7.5</w:t>
            </w:r>
          </w:p>
        </w:tc>
        <w:tc>
          <w:tcPr>
            <w:tcW w:w="1055" w:type="dxa"/>
          </w:tcPr>
          <w:p>
            <w:pPr>
              <w:pStyle w:val="TableText"/>
              <w:jc w:val="left"/>
            </w:pPr>
            <w:r>
              <w:t xml:space="preserve">0</w:t>
            </w:r>
          </w:p>
        </w:tc>
        <w:tc>
          <w:tcPr>
            <w:tcW w:w="646" w:type="dxa"/>
          </w:tcPr>
          <w:p>
            <w:pPr>
              <w:pStyle w:val="TableText"/>
              <w:jc w:val="left"/>
            </w:pPr>
            <w:r>
              <w:t xml:space="preserve">0.013</w:t>
            </w:r>
          </w:p>
        </w:tc>
        <w:tc>
          <w:tcPr>
            <w:tcW w:w="850" w:type="dxa"/>
          </w:tcPr>
          <w:p>
            <w:pPr>
              <w:pStyle w:val="TableText"/>
              <w:jc w:val="left"/>
            </w:pPr>
            <w:r>
              <w:t xml:space="preserve">100</w:t>
            </w:r>
          </w:p>
        </w:tc>
        <w:tc>
          <w:tcPr>
            <w:tcW w:w="783" w:type="dxa"/>
          </w:tcPr>
          <w:p>
            <w:pPr>
              <w:pStyle w:val="TableText"/>
              <w:jc w:val="left"/>
            </w:pPr>
            <w:r>
              <w:t xml:space="preserve">0.89</w:t>
            </w:r>
          </w:p>
        </w:tc>
        <w:tc>
          <w:tcPr>
            <w:tcW w:w="1019" w:type="dxa"/>
          </w:tcPr>
          <w:p>
            <w:pPr>
              <w:pStyle w:val="TableText"/>
              <w:jc w:val="left"/>
            </w:pPr>
            <w:r>
              <w:t xml:space="preserve">43.1</w:t>
            </w:r>
          </w:p>
        </w:tc>
      </w:tr>
      <w:tr>
        <w:tc>
          <w:tcPr>
            <w:tcW w:w="885" w:type="dxa"/>
          </w:tcPr>
          <w:p>
            <w:pPr>
              <w:pStyle w:val="TableText"/>
            </w:pPr>
          </w:p>
        </w:tc>
        <w:tc>
          <w:tcPr>
            <w:tcW w:w="2450" w:type="dxa"/>
          </w:tcPr>
          <w:p>
            <w:pPr>
              <w:pStyle w:val="TableText"/>
              <w:jc w:val="left"/>
            </w:pPr>
            <w:r>
              <w:t xml:space="preserve">Robust (50)</w:t>
            </w:r>
          </w:p>
        </w:tc>
        <w:tc>
          <w:tcPr>
            <w:tcW w:w="1225" w:type="dxa"/>
          </w:tcPr>
          <w:p>
            <w:pPr>
              <w:pStyle w:val="TableText"/>
              <w:jc w:val="left"/>
            </w:pPr>
            <w:r>
              <w:t xml:space="preserve">IR-O*, IR-P</w:t>
            </w:r>
          </w:p>
        </w:tc>
        <w:tc>
          <w:tcPr>
            <w:tcW w:w="1293" w:type="dxa"/>
          </w:tcPr>
          <w:p>
            <w:pPr>
              <w:pStyle w:val="TableText"/>
              <w:jc w:val="left"/>
            </w:pPr>
            <w:r>
              <w:t xml:space="preserve">none ≥ 1</w:t>
            </w:r>
          </w:p>
        </w:tc>
        <w:tc>
          <w:tcPr>
            <w:tcW w:w="1055" w:type="dxa"/>
          </w:tcPr>
          <w:p>
            <w:pPr>
              <w:pStyle w:val="TableText"/>
              <w:jc w:val="left"/>
            </w:pPr>
            <w:r>
              <w:t xml:space="preserve">0.73 / 0.83</w:t>
            </w:r>
          </w:p>
        </w:tc>
        <w:tc>
          <w:tcPr>
            <w:tcW w:w="646" w:type="dxa"/>
          </w:tcPr>
          <w:p>
            <w:pPr>
              <w:pStyle w:val="TableText"/>
              <w:jc w:val="left"/>
            </w:pPr>
            <w:r>
              <w:t xml:space="preserve">–</w:t>
            </w:r>
          </w:p>
        </w:tc>
        <w:tc>
          <w:tcPr>
            <w:tcW w:w="850" w:type="dxa"/>
          </w:tcPr>
          <w:p>
            <w:pPr>
              <w:pStyle w:val="TableText"/>
              <w:jc w:val="left"/>
            </w:pPr>
            <w:r>
              <w:t xml:space="preserve">–</w:t>
            </w:r>
          </w:p>
        </w:tc>
        <w:tc>
          <w:tcPr>
            <w:tcW w:w="783" w:type="dxa"/>
          </w:tcPr>
          <w:p>
            <w:pPr>
              <w:pStyle w:val="TableText"/>
              <w:jc w:val="left"/>
            </w:pPr>
            <w:r>
              <w:t xml:space="preserve">–</w:t>
            </w:r>
          </w:p>
        </w:tc>
        <w:tc>
          <w:tcPr>
            <w:tcW w:w="1019" w:type="dxa"/>
          </w:tcPr>
          <w:p>
            <w:pPr>
              <w:pStyle w:val="TableText"/>
              <w:jc w:val="left"/>
            </w:pPr>
            <w:r>
              <w:t xml:space="preserve">–</w:t>
            </w:r>
          </w:p>
        </w:tc>
      </w:tr>
      <w:tr>
        <w:tc>
          <w:tcPr>
            <w:tcW w:w="885" w:type="dxa"/>
          </w:tcPr>
          <w:p>
            <w:pPr>
              <w:pStyle w:val="TableText"/>
            </w:pPr>
          </w:p>
        </w:tc>
        <w:tc>
          <w:tcPr>
            <w:tcW w:w="2450" w:type="dxa"/>
          </w:tcPr>
          <w:p>
            <w:pPr>
              <w:pStyle w:val="TableText"/>
            </w:pPr>
          </w:p>
        </w:tc>
        <w:tc>
          <w:tcPr>
            <w:tcW w:w="1225" w:type="dxa"/>
          </w:tcPr>
          <w:p>
            <w:pPr>
              <w:pStyle w:val="TableText"/>
              <w:jc w:val="left"/>
            </w:pPr>
            <w:r>
              <w:t xml:space="preserve">JR-M</w:t>
            </w:r>
          </w:p>
        </w:tc>
        <w:tc>
          <w:tcPr>
            <w:tcW w:w="1293" w:type="dxa"/>
          </w:tcPr>
          <w:p>
            <w:pPr>
              <w:pStyle w:val="TableText"/>
              <w:jc w:val="left"/>
            </w:pPr>
            <w:r>
              <w:t xml:space="preserve">none ≥ 1</w:t>
            </w:r>
          </w:p>
        </w:tc>
        <w:tc>
          <w:tcPr>
            <w:tcW w:w="1055" w:type="dxa"/>
          </w:tcPr>
          <w:p>
            <w:pPr>
              <w:pStyle w:val="TableText"/>
              <w:jc w:val="left"/>
            </w:pPr>
            <w:r>
              <w:t xml:space="preserve">0.25</w:t>
            </w:r>
          </w:p>
        </w:tc>
        <w:tc>
          <w:tcPr>
            <w:tcW w:w="646" w:type="dxa"/>
          </w:tcPr>
          <w:p>
            <w:pPr>
              <w:pStyle w:val="TableText"/>
              <w:jc w:val="left"/>
            </w:pPr>
            <w:r>
              <w:t xml:space="preserve">–</w:t>
            </w:r>
          </w:p>
        </w:tc>
        <w:tc>
          <w:tcPr>
            <w:tcW w:w="850" w:type="dxa"/>
          </w:tcPr>
          <w:p>
            <w:pPr>
              <w:pStyle w:val="TableText"/>
              <w:jc w:val="left"/>
            </w:pPr>
            <w:r>
              <w:t xml:space="preserve">–</w:t>
            </w:r>
          </w:p>
        </w:tc>
        <w:tc>
          <w:tcPr>
            <w:tcW w:w="783" w:type="dxa"/>
          </w:tcPr>
          <w:p>
            <w:pPr>
              <w:pStyle w:val="TableText"/>
              <w:jc w:val="left"/>
            </w:pPr>
            <w:r>
              <w:t xml:space="preserve">–</w:t>
            </w:r>
          </w:p>
        </w:tc>
        <w:tc>
          <w:tcPr>
            <w:tcW w:w="1019" w:type="dxa"/>
          </w:tcPr>
          <w:p>
            <w:pPr>
              <w:pStyle w:val="TableText"/>
              <w:jc w:val="left"/>
            </w:pPr>
            <w:r>
              <w:t xml:space="preserve">–</w:t>
            </w:r>
          </w:p>
        </w:tc>
      </w:tr>
      <w:tr>
        <w:tc>
          <w:tcPr>
            <w:tcW w:w="885" w:type="dxa"/>
          </w:tcPr>
          <w:p>
            <w:pPr>
              <w:pStyle w:val="TableText"/>
            </w:pPr>
          </w:p>
        </w:tc>
        <w:tc>
          <w:tcPr>
            <w:tcW w:w="2450" w:type="dxa"/>
          </w:tcPr>
          <w:p>
            <w:pPr>
              <w:pStyle w:val="TableText"/>
            </w:pPr>
          </w:p>
        </w:tc>
        <w:tc>
          <w:tcPr>
            <w:tcW w:w="1225" w:type="dxa"/>
          </w:tcPr>
          <w:p>
            <w:pPr>
              <w:pStyle w:val="TableText"/>
              <w:jc w:val="left"/>
            </w:pPr>
            <w:r>
              <w:t xml:space="preserve">JR-D</w:t>
            </w:r>
          </w:p>
        </w:tc>
        <w:tc>
          <w:tcPr>
            <w:tcW w:w="1293" w:type="dxa"/>
          </w:tcPr>
          <w:p>
            <w:pPr>
              <w:pStyle w:val="TableText"/>
              <w:jc w:val="left"/>
            </w:pPr>
            <w:r>
              <w:t xml:space="preserve">7.0</w:t>
            </w:r>
          </w:p>
        </w:tc>
        <w:tc>
          <w:tcPr>
            <w:tcW w:w="1055" w:type="dxa"/>
          </w:tcPr>
          <w:p>
            <w:pPr>
              <w:pStyle w:val="TableText"/>
              <w:jc w:val="left"/>
            </w:pPr>
            <w:r>
              <w:t xml:space="preserve">0.034</w:t>
            </w:r>
          </w:p>
        </w:tc>
        <w:tc>
          <w:tcPr>
            <w:tcW w:w="646" w:type="dxa"/>
          </w:tcPr>
          <w:p>
            <w:pPr>
              <w:pStyle w:val="TableText"/>
              <w:jc w:val="left"/>
            </w:pPr>
            <w:r>
              <w:t xml:space="preserve">0.038</w:t>
            </w:r>
          </w:p>
        </w:tc>
        <w:tc>
          <w:tcPr>
            <w:tcW w:w="850" w:type="dxa"/>
          </w:tcPr>
          <w:p>
            <w:pPr>
              <w:pStyle w:val="TableText"/>
              <w:jc w:val="left"/>
            </w:pPr>
            <w:r>
              <w:t xml:space="preserve">100</w:t>
            </w:r>
          </w:p>
        </w:tc>
        <w:tc>
          <w:tcPr>
            <w:tcW w:w="783" w:type="dxa"/>
          </w:tcPr>
          <w:p>
            <w:pPr>
              <w:pStyle w:val="TableText"/>
              <w:jc w:val="left"/>
            </w:pPr>
            <w:r>
              <w:t xml:space="preserve">0.89</w:t>
            </w:r>
          </w:p>
        </w:tc>
        <w:tc>
          <w:tcPr>
            <w:tcW w:w="1019" w:type="dxa"/>
          </w:tcPr>
          <w:p>
            <w:pPr>
              <w:pStyle w:val="TableText"/>
              <w:jc w:val="left"/>
            </w:pPr>
            <w:r>
              <w:t xml:space="preserve">43.1</w:t>
            </w:r>
          </w:p>
        </w:tc>
      </w:tr>
      <w:tr>
        <w:tc>
          <w:tcPr>
            <w:tcW w:w="885" w:type="dxa"/>
          </w:tcPr>
          <w:p>
            <w:pPr>
              <w:pStyle w:val="TableText"/>
            </w:pPr>
          </w:p>
        </w:tc>
        <w:tc>
          <w:tcPr>
            <w:tcW w:w="2450" w:type="dxa"/>
          </w:tcPr>
          <w:p>
            <w:pPr>
              <w:pStyle w:val="TableText"/>
              <w:jc w:val="left"/>
            </w:pPr>
            <w:r>
              <w:t xml:space="preserve">Cost-optimal (57)</w:t>
            </w:r>
          </w:p>
        </w:tc>
        <w:tc>
          <w:tcPr>
            <w:tcW w:w="1225" w:type="dxa"/>
          </w:tcPr>
          <w:p>
            <w:pPr>
              <w:pStyle w:val="TableText"/>
              <w:jc w:val="left"/>
            </w:pPr>
            <w:r>
              <w:rPr>
                <w:bCs/>
                <w:b/>
              </w:rPr>
              <w:t xml:space="preserve">JR-D</w:t>
            </w:r>
          </w:p>
        </w:tc>
        <w:tc>
          <w:tcPr>
            <w:tcW w:w="1293" w:type="dxa"/>
          </w:tcPr>
          <w:p>
            <w:pPr>
              <w:pStyle w:val="TableText"/>
              <w:jc w:val="left"/>
            </w:pPr>
            <w:r>
              <w:rPr>
                <w:bCs/>
                <w:b/>
              </w:rPr>
              <w:t xml:space="preserve">7.0</w:t>
            </w:r>
          </w:p>
        </w:tc>
        <w:tc>
          <w:tcPr>
            <w:tcW w:w="1055" w:type="dxa"/>
          </w:tcPr>
          <w:p>
            <w:pPr>
              <w:pStyle w:val="TableText"/>
              <w:jc w:val="left"/>
            </w:pPr>
            <w:r>
              <w:rPr>
                <w:bCs/>
                <w:b/>
              </w:rPr>
              <w:t xml:space="preserve">0.034</w:t>
            </w:r>
          </w:p>
        </w:tc>
        <w:tc>
          <w:tcPr>
            <w:tcW w:w="646" w:type="dxa"/>
          </w:tcPr>
          <w:p>
            <w:pPr>
              <w:pStyle w:val="TableText"/>
              <w:jc w:val="left"/>
            </w:pPr>
            <w:r>
              <w:rPr>
                <w:bCs/>
                <w:b/>
              </w:rPr>
              <w:t xml:space="preserve">0.038</w:t>
            </w:r>
          </w:p>
        </w:tc>
        <w:tc>
          <w:tcPr>
            <w:tcW w:w="850" w:type="dxa"/>
          </w:tcPr>
          <w:p>
            <w:pPr>
              <w:pStyle w:val="TableText"/>
              <w:jc w:val="left"/>
            </w:pPr>
            <w:r>
              <w:rPr>
                <w:bCs/>
                <w:b/>
              </w:rPr>
              <w:t xml:space="preserve">100</w:t>
            </w:r>
          </w:p>
        </w:tc>
        <w:tc>
          <w:tcPr>
            <w:tcW w:w="783" w:type="dxa"/>
          </w:tcPr>
          <w:p>
            <w:pPr>
              <w:pStyle w:val="TableText"/>
              <w:jc w:val="left"/>
            </w:pPr>
            <w:r>
              <w:rPr>
                <w:bCs/>
                <w:b/>
              </w:rPr>
              <w:t xml:space="preserve">0.89</w:t>
            </w:r>
          </w:p>
        </w:tc>
        <w:tc>
          <w:tcPr>
            <w:tcW w:w="1019" w:type="dxa"/>
          </w:tcPr>
          <w:p>
            <w:pPr>
              <w:pStyle w:val="TableText"/>
              <w:jc w:val="left"/>
            </w:pPr>
            <w:r>
              <w:rPr>
                <w:bCs/>
                <w:b/>
              </w:rPr>
              <w:t xml:space="preserve">43.1</w:t>
            </w:r>
          </w:p>
        </w:tc>
      </w:tr>
    </w:tbl>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102"/>
    <w:bookmarkEnd w:id="103"/>
    <w:bookmarkStart w:id="110" w:name="role-of-the-integrated-energy-system"/>
    <w:p>
      <w:pPr>
        <w:pStyle w:val="Heading2"/>
      </w:pPr>
      <w:r>
        <w:t xml:space="preserve">5.7. Role of the integrated energy system</w:t>
      </w:r>
    </w:p>
    <w:bookmarkStart w:id="107" w:name="composition-of-the-recovery-channel"/>
    <w:p>
      <w:pPr>
        <w:pStyle w:val="Heading3"/>
      </w:pPr>
      <w:r>
        <w:t xml:space="preserve">5.7.1. Composition of the recovery channel</w:t>
      </w:r>
    </w:p>
    <w:p>
      <w:pPr>
        <w:pStyle w:val="FirstParagraph"/>
      </w:pPr>
      <w:r>
        <w:t xml:space="preserve">The integrated energy system provides the recovery channel. In the two recovery windows of the typical day, the 30-min interval and the two hours after the second event, the no-DR import lies on average 4.8 and 5.3 MW below the connection limit (Fig. 12b). The gas engine, which runs at full output from 14:00 to 22:00 with and without DR, accounts for 3.0 MW of this channel, the absorption chiller, which moves part of the cooling load off the electric chillers, for 0.5 MW, and the cold storage for 0.2 MW; the BESS adds 1.2 MW by shaving the evening peak in normal operation, but under DR it serves the events instead. A grid-only AIDC with the same connection would have almost no channel left (on average −0.3 and +0.4 MW in the two windows). Of the energy that recovery draws through the channel, the gas engine and the absorption chiller provide 85 % (Fig. 5). The cold storage is pre-charged before the events, covers part of the cooling load during both events and is recharged at night, so its own debt never enters the channel.</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6477000" cy="2544108"/>
            <wp:effectExtent b="0" l="0" r="0" t="0"/>
            <wp:docPr descr="" title="" id="105" name="Picture"/>
            <a:graphic>
              <a:graphicData uri="http://schemas.openxmlformats.org/drawingml/2006/picture">
                <pic:pic>
                  <pic:nvPicPr>
                    <pic:cNvPr descr="/home/user/datacenter/paper/figures/Fig12_ies_contribution.png" id="106" name="Picture"/>
                    <pic:cNvPicPr>
                      <a:picLocks noChangeArrowheads="1" noChangeAspect="1"/>
                    </pic:cNvPicPr>
                  </pic:nvPicPr>
                  <pic:blipFill>
                    <a:blip r:embed="rId104"/>
                    <a:stretch>
                      <a:fillRect/>
                    </a:stretch>
                  </pic:blipFill>
                  <pic:spPr bwMode="auto">
                    <a:xfrm>
                      <a:off x="0" y="0"/>
                      <a:ext cx="6477000" cy="2544108"/>
                    </a:xfrm>
                    <a:prstGeom prst="rect">
                      <a:avLst/>
                    </a:prstGeom>
                    <a:noFill/>
                    <a:ln w="9525">
                      <a:noFill/>
                      <a:headEnd/>
                      <a:tailEnd/>
                    </a:ln>
                  </pic:spPr>
                </pic:pic>
              </a:graphicData>
            </a:graphic>
          </wp:inline>
        </w:drawing>
      </w:r>
    </w:p>
    <w:p>
      <w:pPr>
        <w:pStyle w:val="FigureCaption"/>
      </w:pPr>
      <w:r>
        <w:rPr>
          <w:bCs/>
          <w:b/>
        </w:rPr>
        <w:t xml:space="preserve">Fig. 12.</w:t>
      </w:r>
      <w:r>
        <w:t xml:space="preserve"> </w:t>
      </w:r>
      <w:r>
        <w:t xml:space="preserve">Role of the integrated energy system (S2, connection limit of the base case; firm capacity at</w:t>
      </w:r>
      <w:r>
        <w:t xml:space="preserve"> </w:t>
      </w:r>
      <m:oMath>
        <m:r>
          <w:rPr>
            <w:rFonts w:ascii="Cambria Math" w:hAnsi="Cambria Math"/>
            <w:sz w:val="15"/>
            <w:szCs w:val="15"/>
          </w:rPr>
          <m:t>ρ</m:t>
        </m:r>
      </m:oMath>
      <w:r>
        <w:t xml:space="preserve"> </w:t>
      </w:r>
      <w:r>
        <w:t xml:space="preserve">= 0.95 by bisection, 0.25 MW resolution): (a) firm capacity of JR-D without the gas engine, the absorption chiller, the cold storage or all three, and for the resource ablation; (b) composition of the evening recovery channel</w:t>
      </w:r>
      <w:r>
        <w:t xml:space="preserve"> </w:t>
      </w:r>
      <m:oMath>
        <m:sSup>
          <m:e>
            <m:r>
              <w:rPr>
                <w:rFonts w:ascii="Cambria Math" w:hAnsi="Cambria Math"/>
                <w:sz w:val="15"/>
                <w:szCs w:val="15"/>
              </w:rPr>
              <m:t>P</m:t>
            </m:r>
          </m:e>
          <m:sup>
            <m:r>
              <w:rPr>
                <w:rFonts w:ascii="Cambria Math" w:hAnsi="Cambria Math"/>
                <w:sz w:val="15"/>
                <w:szCs w:val="15"/>
              </w:rPr>
              <m:t>c</m:t>
            </m:r>
            <m:r>
              <w:rPr>
                <w:rFonts w:ascii="Cambria Math" w:hAnsi="Cambria Math"/>
                <w:sz w:val="15"/>
                <w:szCs w:val="15"/>
              </w:rPr>
              <m:t>a</m:t>
            </m:r>
            <m:r>
              <w:rPr>
                <w:rFonts w:ascii="Cambria Math" w:hAnsi="Cambria Math"/>
                <w:sz w:val="15"/>
                <w:szCs w:val="15"/>
              </w:rPr>
              <m:t>p</m:t>
            </m:r>
          </m:sup>
        </m:sSup>
        <m:r>
          <m:rPr>
            <m:sty m:val="p"/>
          </m:rPr>
          <w:rPr>
            <w:rFonts w:ascii="Cambria Math" w:hAnsi="Cambria Math"/>
            <w:sz w:val="15"/>
            <w:szCs w:val="15"/>
          </w:rPr>
          <m:t>−</m:t>
        </m:r>
        <m:sSubSup>
          <m:e>
            <m:r>
              <w:rPr>
                <w:rFonts w:ascii="Cambria Math" w:hAnsi="Cambria Math"/>
                <w:sz w:val="15"/>
                <w:szCs w:val="15"/>
              </w:rPr>
              <m:t>P</m:t>
            </m:r>
          </m:e>
          <m:sub>
            <m:r>
              <w:rPr>
                <w:rFonts w:ascii="Cambria Math" w:hAnsi="Cambria Math"/>
                <w:sz w:val="15"/>
                <w:szCs w:val="15"/>
              </w:rPr>
              <m:t>n</m:t>
            </m:r>
            <m:r>
              <w:rPr>
                <w:rFonts w:ascii="Cambria Math" w:hAnsi="Cambria Math"/>
                <w:sz w:val="15"/>
                <w:szCs w:val="15"/>
              </w:rPr>
              <m:t>o</m:t>
            </m:r>
            <m:r>
              <w:rPr>
                <w:rFonts w:ascii="Cambria Math" w:hAnsi="Cambria Math"/>
                <w:sz w:val="15"/>
                <w:szCs w:val="15"/>
              </w:rPr>
              <m:t>D</m:t>
            </m:r>
            <m:r>
              <w:rPr>
                <w:rFonts w:ascii="Cambria Math" w:hAnsi="Cambria Math"/>
                <w:sz w:val="15"/>
                <w:szCs w:val="15"/>
              </w:rPr>
              <m:t>R</m:t>
            </m:r>
          </m:sub>
          <m:sup>
            <m:r>
              <w:rPr>
                <w:rFonts w:ascii="Cambria Math" w:hAnsi="Cambria Math"/>
                <w:sz w:val="15"/>
                <w:szCs w:val="15"/>
              </w:rPr>
              <m:t>g</m:t>
            </m:r>
            <m:r>
              <w:rPr>
                <w:rFonts w:ascii="Cambria Math" w:hAnsi="Cambria Math"/>
                <w:sz w:val="15"/>
                <w:szCs w:val="15"/>
              </w:rPr>
              <m:t>r</m:t>
            </m:r>
            <m:r>
              <w:rPr>
                <w:rFonts w:ascii="Cambria Math" w:hAnsi="Cambria Math"/>
                <w:sz w:val="15"/>
                <w:szCs w:val="15"/>
              </w:rPr>
              <m:t>i</m:t>
            </m:r>
            <m:r>
              <w:rPr>
                <w:rFonts w:ascii="Cambria Math" w:hAnsi="Cambria Math"/>
                <w:sz w:val="15"/>
                <w:szCs w:val="15"/>
              </w:rPr>
              <m:t>d</m:t>
            </m:r>
          </m:sup>
        </m:sSubSup>
      </m:oMath>
      <w:r>
        <w:t xml:space="preserve"> </w:t>
      </w:r>
      <w:r>
        <w:t xml:space="preserve">on the typical day.</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107"/>
    <w:bookmarkStart w:id="108" w:name="device-and-resource-ablation"/>
    <w:p>
      <w:pPr>
        <w:pStyle w:val="Heading3"/>
      </w:pPr>
      <w:r>
        <w:t xml:space="preserve">5.7.2. Device and resource ablation</w:t>
      </w:r>
    </w:p>
    <w:p>
      <w:pPr>
        <w:pStyle w:val="FirstParagraph"/>
      </w:pPr>
      <w:r>
        <w:t xml:space="preserve">Fig. 12a quantifies these roles as firm capacities of JR-D in S2 with the connection limit of the base case. Without the gas engine, and therefore without heat for the absorption chiller, the evening baseline rises by 3.5 MW. This would allow a deeper reduction, but the channel narrows by the same amount and binds first: the firm capacity falls from 7.75 to 5.75 MW. Without the cold storage it falls to 7.50 MW. Without the absorption chiller alone it rises slightly, to 8.00 MW, because the 0.5 MW higher baseline allows a deeper reduction while the channel remains wide enough. Without all three devices the firm capacity is 4.75 MW, 3.0 MW below the full system and as much as cross-event foresight adds at this interval.</w:t>
      </w:r>
    </w:p>
    <w:p>
      <w:pPr>
        <w:pStyle w:val="BodyText"/>
      </w:pPr>
      <w:r>
        <w:t xml:space="preserve">The resource ablation shows that computing flexibility and storage are complements rather than substitutes. With the BESS alone (no computing flexibility, no cold storage), no commitment of 1 MW or more is firm; with computing flexibility alone the firm capacity is 3.00 MW; with both, still without the cold storage, it is 7.50 MW, nearly twice what the two resources achieve separately (less than 4 MW together). Joint recovery is what turns the two resources into firm capacity: the battery covers the events while the deferred work waits, and the deferred work frees the channel to recharge the battery.</w:t>
      </w:r>
    </w:p>
    <w:bookmarkEnd w:id="108"/>
    <w:bookmarkStart w:id="109" w:name="energy-efficiency-and-carbon-emissions"/>
    <w:p>
      <w:pPr>
        <w:pStyle w:val="Heading3"/>
      </w:pPr>
      <w:r>
        <w:t xml:space="preserve">5.7.3. Energy efficiency and carbon emissions</w:t>
      </w:r>
    </w:p>
    <w:p>
      <w:pPr>
        <w:pStyle w:val="FirstParagraph"/>
      </w:pPr>
      <w:r>
        <w:t xml:space="preserve">Consecutive DR leaves the energy efficiency and the emissions of the facility almost unchanged. Without DR the AIDC emits 229.6 t of CO</w:t>
      </w:r>
      <w:r>
        <w:rPr>
          <w:vertAlign w:val="subscript"/>
        </w:rPr>
        <w:t xml:space="preserve">2</w:t>
      </w:r>
      <w:r>
        <w:t xml:space="preserve"> </w:t>
      </w:r>
      <w:r>
        <w:t xml:space="preserve">per evaluation window (32), averaged over the 26 operating days. At 7 MW the emissions change by +0.35 t (+0.15 %) under JR-D in S1 and by +0.28 t (+0.12 %) in S2, by +0.05/+0.03 t under IR-O*, +0.38/+0.31 t under JR-M and +0.17/+0.04 t under IR-P, below 0.2 % for every controller: DR shifts the consumption of the facility in time but hardly changes its amount. The electric PUE (31) of the typical day is 1.253 with and without DR for every controller. It is lower during the gas-engine hours, 1.217 from 14:00 to 22:00 against 1.271 in the other hours, although the chiller COP is lower then (5.16 against 5.33), because the absorption chiller covers 19.5–19.6 % and the cold storage 7.8–7.9 % of the cooling load in these hours. The CCHP devices that widen the recovery channel therefore also lower the electricity that cooling requires during the evening peak, when recovery needs the headroom most.</w:t>
      </w:r>
    </w:p>
    <w:bookmarkEnd w:id="109"/>
    <w:bookmarkEnd w:id="110"/>
    <w:bookmarkStart w:id="124" w:name="service-quality-and-economics"/>
    <w:p>
      <w:pPr>
        <w:pStyle w:val="Heading2"/>
      </w:pPr>
      <w:r>
        <w:t xml:space="preserve">5.8. Service quality and economics</w:t>
      </w:r>
    </w:p>
    <w:bookmarkStart w:id="114" w:name="service-quality-of-the-computing-users"/>
    <w:p>
      <w:pPr>
        <w:pStyle w:val="Heading3"/>
      </w:pPr>
      <w:r>
        <w:t xml:space="preserve">5.8.1. Service quality of the computing users</w:t>
      </w:r>
    </w:p>
    <w:p>
      <w:pPr>
        <w:pStyle w:val="FirstParagraph"/>
      </w:pPr>
      <w:r>
        <w:t xml:space="preserve">The deadline constraints (5) are soft only for feasibility: overdue work is priced at</w:t>
      </w:r>
      <w:r>
        <w:t xml:space="preserve"> </w:t>
      </w:r>
      <m:oMath>
        <m:sSup>
          <m:e>
            <m:r>
              <w:rPr>
                <w:rFonts w:ascii="Cambria Math" w:hAnsi="Cambria Math"/>
                <w:sz w:val="19"/>
                <w:szCs w:val="19"/>
              </w:rPr>
              <m:t>c</m:t>
            </m:r>
          </m:e>
          <m:sup>
            <m:r>
              <w:rPr>
                <w:rFonts w:ascii="Cambria Math" w:hAnsi="Cambria Math"/>
                <w:sz w:val="19"/>
                <w:szCs w:val="19"/>
              </w:rPr>
              <m:t>l</m:t>
            </m:r>
            <m:r>
              <w:rPr>
                <w:rFonts w:ascii="Cambria Math" w:hAnsi="Cambria Math"/>
                <w:sz w:val="19"/>
                <w:szCs w:val="19"/>
              </w:rPr>
              <m:t>a</m:t>
            </m:r>
            <m:r>
              <w:rPr>
                <w:rFonts w:ascii="Cambria Math" w:hAnsi="Cambria Math"/>
                <w:sz w:val="19"/>
                <w:szCs w:val="19"/>
              </w:rPr>
              <m:t>t</m:t>
            </m:r>
            <m:r>
              <w:rPr>
                <w:rFonts w:ascii="Cambria Math" w:hAnsi="Cambria Math"/>
                <w:sz w:val="19"/>
                <w:szCs w:val="19"/>
              </w:rPr>
              <m:t>e</m:t>
            </m:r>
          </m:sup>
        </m:sSup>
      </m:oMath>
      <w:r>
        <w:t xml:space="preserve"> </w:t>
      </w:r>
      <w:r>
        <w:t xml:space="preserve">= 1000 CNY per GPU·h·h, 2000 times the delay price, so it occurs only when no schedule meets every deadline. In S1 and S2 every deferred task completes within its lag bound (at most 3 h, for C3) on every day and at every commitment, with a single exception above the physical limit: SR-D at 8.5 MW in S1 leaves 1.4 GPU·h·h overdue on one day. In S3, IR-O* leaves overdue work on one operating day at 6–9 MW (up to 2.4×10</w:t>
      </w:r>
      <w:r>
        <w:rPr>
          <w:vertAlign w:val="superscript"/>
        </w:rPr>
        <w:t xml:space="preserve">4</w:t>
      </w:r>
      <w:r>
        <w:t xml:space="preserve"> </w:t>
      </w:r>
      <w:r>
        <w:t xml:space="preserve">GPU·h·h), JR-M on the same day at 7–9 MW (up to 27 GPU·h·h) and IR-PD on two days at 3–7 MW (up to 2.4×10</w:t>
      </w:r>
      <w:r>
        <w:rPr>
          <w:vertAlign w:val="superscript"/>
        </w:rPr>
        <w:t xml:space="preserve">4</w:t>
      </w:r>
      <w:r>
        <w:t xml:space="preserve"> </w:t>
      </w:r>
      <w:r>
        <w:t xml:space="preserve">GPU·h·h); JR-D and SR-D never do in S3. Recovery is also not shifted beyond the evaluation window: at 7 MW, JR-D and JR-M end the window with no backlog in all scenarios, and their end-of-window storage differs from the no-DR level by at most 0.7 k CNY of recharge value (on average it lies slightly above it), whereas IR-O* and IR-P leave 310–440 GPU·h of backlog on average in S1 and S2 (up to 7.7×10</w:t>
      </w:r>
      <w:r>
        <w:rPr>
          <w:vertAlign w:val="superscript"/>
        </w:rPr>
        <w:t xml:space="preserve">3</w:t>
      </w:r>
      <w:r>
        <w:t xml:space="preserve"> </w:t>
      </w:r>
      <w:r>
        <w:t xml:space="preserve">GPU·h). The reported costs value every end state relative to the no-DR operation (Section 3.5). What DR costs the computing users is the extra completion time of the deferred work (Fig. 13). At every commitment JR-D defers work for less time than the other controllers that deliver: at 7 MW the mean extra completion time is 0.68 h in S1 and 0.90 h in S2, against 0.85 h and 1.12 h for IR-O* and 1.35 h and 1.26 h for JR-M, and JR-D uses 36 % and 46 % of the SLA slack against 60–75 % for IR-O* and 60–64 % for JR-M. JR-D defers the long-deadline class, which has slack to spare, whereas IR-O* catches up its own share at once and JR-M over-delivers the first event and must defer more in the second. IR-P defers least (0.52 h in S1) because it delivers least. The firm operating points of JR-D therefore form the capacity–service front in both scenarios: a larger firm commitment does not come at the expense of the computing users.</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5669999" cy="4499419"/>
            <wp:effectExtent b="0" l="0" r="0" t="0"/>
            <wp:docPr descr="" title="" id="112" name="Picture"/>
            <a:graphic>
              <a:graphicData uri="http://schemas.openxmlformats.org/drawingml/2006/picture">
                <pic:pic>
                  <pic:nvPicPr>
                    <pic:cNvPr descr="/home/user/datacenter/paper/figures/Fig13_capacity_service_pareto.png" id="113" name="Picture"/>
                    <pic:cNvPicPr>
                      <a:picLocks noChangeArrowheads="1" noChangeAspect="1"/>
                    </pic:cNvPicPr>
                  </pic:nvPicPr>
                  <pic:blipFill>
                    <a:blip r:embed="rId111"/>
                    <a:stretch>
                      <a:fillRect/>
                    </a:stretch>
                  </pic:blipFill>
                  <pic:spPr bwMode="auto">
                    <a:xfrm>
                      <a:off x="0" y="0"/>
                      <a:ext cx="5669999" cy="4499419"/>
                    </a:xfrm>
                    <a:prstGeom prst="rect">
                      <a:avLst/>
                    </a:prstGeom>
                    <a:noFill/>
                    <a:ln w="9525">
                      <a:noFill/>
                      <a:headEnd/>
                      <a:tailEnd/>
                    </a:ln>
                  </pic:spPr>
                </pic:pic>
              </a:graphicData>
            </a:graphic>
          </wp:inline>
        </w:drawing>
      </w:r>
    </w:p>
    <w:p>
      <w:pPr>
        <w:pStyle w:val="FigureCaption"/>
      </w:pPr>
      <w:r>
        <w:rPr>
          <w:bCs/>
          <w:b/>
        </w:rPr>
        <w:t xml:space="preserve">Fig. 13.</w:t>
      </w:r>
      <w:r>
        <w:t xml:space="preserve"> </w:t>
      </w:r>
      <w:r>
        <w:t xml:space="preserve">Capacity–service trade-off in S1 (a, b) and S2 (c, d) on the 26 operating days (base system, same commitment for all controllers): uniform commitment versus the mean extra completion time of deferred work (a, c) and the SLA slack used (b, d); filled markers: firm operating points (full delivery on ≥ 95 % of the days); dashed: front of the firm points.</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114"/>
    <w:bookmarkStart w:id="118" w:name="daily-cost-and-benefit"/>
    <w:p>
      <w:pPr>
        <w:pStyle w:val="Heading3"/>
      </w:pPr>
      <w:r>
        <w:t xml:space="preserve">5.8.2. Daily cost and benefit</w:t>
      </w:r>
    </w:p>
    <w:p>
      <w:pPr>
        <w:pStyle w:val="FirstParagraph"/>
      </w:pPr>
      <w:r>
        <w:t xml:space="preserve">Fig. 14 compares the daily costs at 7 MW, a commitment that all strategies can attempt and the cost-optimal commitment of JR-D (Section 5.6.3). JR-D yields the largest benefit relative to no DR participation, 44.8 k CNY/day in S1 and 43.1 k CNY/day in S2. This operating-day net benefit is the sum of three parts that should not be confused: the DR compensation revenue, the savings in electricity, gas and degradation cost including the end state, and, with a negative sign, the extra delay cost of the deferred work and the shortfall assessment. For JR-D the revenue of 48.3–48.4 k CNY/day reaches 96 % of the payment cap of the two events, the cost savings are small (0.9–1.2 k CNY/day, because consumption is shifted out of the evening peak), and the extra delay cost is 4.4–6.4 k CNY/day. IR-O* gains 40.3 and 38.5 k CNY/day with a higher delay cost (5.9–7.6 k CNY/day). JR-M gains 37.3 k CNY/day in S1 but only 19.1 k CNY/day in S2: there the second event finds the AIDC with 4.1×10³ GPU·h of backlog and 3.4 MWh of stored energy (JR-D: 2.2×10³ GPU·h and 6.0 MWh), so its revenue drops to 32.2 k CNY and a shortfall assessment of 4.7 k CNY is levied. IR-P gains 17.8 and 29.8 k CNY/day. On a paired basis JR-D is cheaper than every benchmark on all 26 days in both scenarios; its mean advantage is 4.5 k CNY/day over IR-O* (95 % CI 2.5–7.6) and 7.6 k CNY/day over JR-M (6.4–8.8) in S1, and 4.6 k CNY/day (2.7–7.4) and 24.1 k CNY/day (19.6–28.5) in S2. The worst-event delivery ratio (Fig. 14c) shows why: the delivery of JR-D is concentrated just above full delivery, whereas the benchmarks spread down to the validity threshold and below it.</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5752799" cy="4801621"/>
            <wp:effectExtent b="0" l="0" r="0" t="0"/>
            <wp:docPr descr="" title="" id="116" name="Picture"/>
            <a:graphic>
              <a:graphicData uri="http://schemas.openxmlformats.org/drawingml/2006/picture">
                <pic:pic>
                  <pic:nvPicPr>
                    <pic:cNvPr descr="/home/user/datacenter/paper/figures/Fig14_economics.png" id="117" name="Picture"/>
                    <pic:cNvPicPr>
                      <a:picLocks noChangeArrowheads="1" noChangeAspect="1"/>
                    </pic:cNvPicPr>
                  </pic:nvPicPr>
                  <pic:blipFill>
                    <a:blip r:embed="rId115"/>
                    <a:stretch>
                      <a:fillRect/>
                    </a:stretch>
                  </pic:blipFill>
                  <pic:spPr bwMode="auto">
                    <a:xfrm>
                      <a:off x="0" y="0"/>
                      <a:ext cx="5752799" cy="4801621"/>
                    </a:xfrm>
                    <a:prstGeom prst="rect">
                      <a:avLst/>
                    </a:prstGeom>
                    <a:noFill/>
                    <a:ln w="9525">
                      <a:noFill/>
                      <a:headEnd/>
                      <a:tailEnd/>
                    </a:ln>
                  </pic:spPr>
                </pic:pic>
              </a:graphicData>
            </a:graphic>
          </wp:inline>
        </w:drawing>
      </w:r>
    </w:p>
    <w:p>
      <w:pPr>
        <w:pStyle w:val="FigureCaption"/>
      </w:pPr>
      <w:r>
        <w:rPr>
          <w:bCs/>
          <w:b/>
        </w:rPr>
        <w:t xml:space="preserve">Fig. 14.</w:t>
      </w:r>
      <w:r>
        <w:t xml:space="preserve"> </w:t>
      </w:r>
      <w:r>
        <w:t xml:space="preserve">Economics at the same fixed commitment of 7 MW for every controller (26 operating days, base system, DR price 3 CNY/kWh,</w:t>
      </w:r>
      <w:r>
        <w:t xml:space="preserve"> </w:t>
      </w:r>
      <m:oMath>
        <m:r>
          <w:rPr>
            <w:rFonts w:ascii="Cambria Math" w:hAnsi="Cambria Math"/>
            <w:sz w:val="15"/>
            <w:szCs w:val="15"/>
          </w:rPr>
          <m:t>κ</m:t>
        </m:r>
      </m:oMath>
      <w:r>
        <w:t xml:space="preserve"> </w:t>
      </w:r>
      <w:r>
        <w:t xml:space="preserve">= 1): (a) daily cost components relative to no DR, labelled with the share of days with full delivery; (b) paired daily cost differences between JR-D and each benchmark over the 26 operating days; (c) distribution of the worst-event delivery ratio in S2.</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118"/>
    <w:bookmarkStart w:id="122" w:name="benefit-versus-commitment"/>
    <w:p>
      <w:pPr>
        <w:pStyle w:val="Heading3"/>
      </w:pPr>
      <w:r>
        <w:t xml:space="preserve">5.8.3. Benefit versus commitment</w:t>
      </w:r>
    </w:p>
    <w:p>
      <w:pPr>
        <w:pStyle w:val="FirstParagraph"/>
      </w:pPr>
      <w:r>
        <w:t xml:space="preserve">Fig. 15 resolves the benefit over the commitment. For JR-D the DR revenue grows almost linearly with the commitment, at the 120 % payment cap, up to 6.5 MW and saturates at 48.3 k CNY/day from 7 MW on, when the reduction reaches its physical maximum; the delay cost grows convexly, to 4.4 k CNY/day in S1 and 6.4 k CNY/day in S2 at 7 MW, and the shortfall assessment starts at 8 MW (0.2 k CNY/day, rising to 5.7 k CNY/day at 9 MW). The benefit therefore peaks at 7–7.5 MW, with 44.8 k CNY/day in S1 and 43.1 k CNY/day in S2, exactly where the day-ahead layer places the cost-optimal commitment and where the firm capacity lies (Fig. 15a, b). At every commitment from 1 to 9 MW, JR-D yields the largest benefit of the four controllers in both scenarios (Fig. 15c, d): its firm capacity and its economic optimum coincide.</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6477000" cy="4403428"/>
            <wp:effectExtent b="0" l="0" r="0" t="0"/>
            <wp:docPr descr="" title="" id="120" name="Picture"/>
            <a:graphic>
              <a:graphicData uri="http://schemas.openxmlformats.org/drawingml/2006/picture">
                <pic:pic>
                  <pic:nvPicPr>
                    <pic:cNvPr descr="/home/user/datacenter/paper/figures/Fig15_commitment_benefit.png" id="121" name="Picture"/>
                    <pic:cNvPicPr>
                      <a:picLocks noChangeArrowheads="1" noChangeAspect="1"/>
                    </pic:cNvPicPr>
                  </pic:nvPicPr>
                  <pic:blipFill>
                    <a:blip r:embed="rId119"/>
                    <a:stretch>
                      <a:fillRect/>
                    </a:stretch>
                  </pic:blipFill>
                  <pic:spPr bwMode="auto">
                    <a:xfrm>
                      <a:off x="0" y="0"/>
                      <a:ext cx="6477000" cy="4403428"/>
                    </a:xfrm>
                    <a:prstGeom prst="rect">
                      <a:avLst/>
                    </a:prstGeom>
                    <a:noFill/>
                    <a:ln w="9525">
                      <a:noFill/>
                      <a:headEnd/>
                      <a:tailEnd/>
                    </a:ln>
                  </pic:spPr>
                </pic:pic>
              </a:graphicData>
            </a:graphic>
          </wp:inline>
        </w:drawing>
      </w:r>
    </w:p>
    <w:p>
      <w:pPr>
        <w:pStyle w:val="FigureCaption"/>
      </w:pPr>
      <w:r>
        <w:rPr>
          <w:bCs/>
          <w:b/>
        </w:rPr>
        <w:t xml:space="preserve">Fig. 15.</w:t>
      </w:r>
      <w:r>
        <w:t xml:space="preserve"> </w:t>
      </w:r>
      <w:r>
        <w:t xml:space="preserve">Daily benefit relative to no DR versus the uniform commitment, which is the same for every controller at each point, on the 26 operating days in S1 (a, c) and S2 (b, d) (DR price 3 CNY/kWh,</w:t>
      </w:r>
      <w:r>
        <w:t xml:space="preserve"> </w:t>
      </w:r>
      <m:oMath>
        <m:r>
          <w:rPr>
            <w:rFonts w:ascii="Cambria Math" w:hAnsi="Cambria Math"/>
            <w:sz w:val="15"/>
            <w:szCs w:val="15"/>
          </w:rPr>
          <m:t>κ</m:t>
        </m:r>
      </m:oMath>
      <w:r>
        <w:t xml:space="preserve"> </w:t>
      </w:r>
      <w:r>
        <w:t xml:space="preserve">= 1): (a, b) contributions of the cost groups for JR-D, with the DR revenue and the energy savings stacked above and the task delay, storage degradation and shortfall assessment stacked below zero, and the net benefit (line); dashed: cost-optimal day-ahead commitment</w:t>
      </w:r>
      <w:r>
        <w:t xml:space="preserve"> </w:t>
      </w:r>
      <m:oMath>
        <m:sSup>
          <m:e>
            <m:r>
              <w:rPr>
                <w:rFonts w:ascii="Cambria Math" w:hAnsi="Cambria Math"/>
                <w:sz w:val="15"/>
                <w:szCs w:val="15"/>
              </w:rPr>
              <m:t>C</m:t>
            </m:r>
          </m:e>
          <m:sup>
            <m:r>
              <m:rPr>
                <m:lit/>
                <m:sty m:val="p"/>
              </m:rPr>
              <w:rPr>
                <w:rFonts w:ascii="Cambria Math" w:hAnsi="Cambria Math"/>
                <w:sz w:val="15"/>
                <w:szCs w:val="15"/>
              </w:rPr>
              <m:t>*</m:t>
            </m:r>
          </m:sup>
        </m:sSup>
      </m:oMath>
      <w:r>
        <w:t xml:space="preserve">; dash-dotted: firm capacity</w:t>
      </w:r>
      <w:r>
        <w:t xml:space="preserve"> </w:t>
      </w:r>
      <m:oMath>
        <m:sSubSup>
          <m:e>
            <m:r>
              <w:rPr>
                <w:rFonts w:ascii="Cambria Math" w:hAnsi="Cambria Math"/>
                <w:sz w:val="15"/>
                <w:szCs w:val="15"/>
              </w:rPr>
              <m:t>C</m:t>
            </m:r>
          </m:e>
          <m:sub>
            <m:r>
              <w:rPr>
                <w:rFonts w:ascii="Cambria Math" w:hAnsi="Cambria Math"/>
                <w:sz w:val="15"/>
                <w:szCs w:val="15"/>
              </w:rPr>
              <m:t>0.95</m:t>
            </m:r>
          </m:sub>
          <m:sup>
            <m:r>
              <w:rPr>
                <w:rFonts w:ascii="Cambria Math" w:hAnsi="Cambria Math"/>
                <w:sz w:val="15"/>
                <w:szCs w:val="15"/>
              </w:rPr>
              <m:t>f</m:t>
            </m:r>
            <m:r>
              <w:rPr>
                <w:rFonts w:ascii="Cambria Math" w:hAnsi="Cambria Math"/>
                <w:sz w:val="15"/>
                <w:szCs w:val="15"/>
              </w:rPr>
              <m:t>i</m:t>
            </m:r>
            <m:r>
              <w:rPr>
                <w:rFonts w:ascii="Cambria Math" w:hAnsi="Cambria Math"/>
                <w:sz w:val="15"/>
                <w:szCs w:val="15"/>
              </w:rPr>
              <m:t>r</m:t>
            </m:r>
            <m:r>
              <w:rPr>
                <w:rFonts w:ascii="Cambria Math" w:hAnsi="Cambria Math"/>
                <w:sz w:val="15"/>
                <w:szCs w:val="15"/>
              </w:rPr>
              <m:t>m</m:t>
            </m:r>
          </m:sup>
        </m:sSubSup>
      </m:oMath>
      <w:r>
        <w:t xml:space="preserve">; shaded: commitments delivered in full on at least 95 % of the days; (c, d) net benefit of all controllers, filled markers where full delivery is reached on at least 95 % of the days at that commitment.</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122"/>
    <w:bookmarkStart w:id="123" w:name="X3c3fde8505051d1a9fd60ab87de537e90ba9f5f"/>
    <w:p>
      <w:pPr>
        <w:pStyle w:val="Heading3"/>
      </w:pPr>
      <w:r>
        <w:t xml:space="preserve">5.8.4. Robustness to the benchmark design and to computing overheads</w:t>
      </w:r>
    </w:p>
    <w:p>
      <w:pPr>
        <w:pStyle w:val="FirstParagraph"/>
      </w:pPr>
      <w:r>
        <w:t xml:space="preserve">Two checks confirm that the ranking does not depend on the design of the benchmarks or on idealised computing. First, choosing for every operating day the best static split after the fact bounds every independent recovery with a static split from above. At 1 MW this bound delivers in full on 69 % (S1) and 73 % (S2) of the days, exactly as the split tuned day-ahead: on the other days no split covers the baseline deviation, because independent recovery prepares the storage only for its share of a small commitment. The bound rises with the commitment (92 % and 88 % at 5 MW) and covers all days at 7 MW, but the successful split differs from day to day and cannot be chosen in advance; the split tuned day-ahead delivers in full on 85 % and 81 % of the days. Even with hindsight, static-split independent recovery is therefore not firm at any commitment in the sense of (36), which requires full delivery at every smaller commitment as well. Second, if every deferred GPU·h requires 2 % or 5 % of additional work when it is resumed, an effect the controllers see only through the measured backlog, the firm capacity of JR-D in S2 is 7.75 and 7.50 MW (7.75 MW without overhead), that of JR-M 4.75 MW in both cases, and IR-O* stays below 1 MW: the foresight gain of 2.75–3.0 MW is unchanged.</w:t>
      </w:r>
    </w:p>
    <w:bookmarkEnd w:id="123"/>
    <w:bookmarkEnd w:id="124"/>
    <w:bookmarkStart w:id="127" w:name="Xc61f235189f258fc5f163b6d7fb2ade536872f5"/>
    <w:p>
      <w:pPr>
        <w:pStyle w:val="Heading2"/>
      </w:pPr>
      <w:r>
        <w:t xml:space="preserve">5.9. Event-call uncertainty and post-event rebound</w:t>
      </w:r>
    </w:p>
    <w:bookmarkStart w:id="125" w:name="event-call-uncertainty"/>
    <w:p>
      <w:pPr>
        <w:pStyle w:val="Heading3"/>
      </w:pPr>
      <w:r>
        <w:t xml:space="preserve">5.9.1. Event-call uncertainty</w:t>
      </w:r>
    </w:p>
    <w:p>
      <w:pPr>
        <w:pStyle w:val="FirstParagraph"/>
      </w:pPr>
      <w:r>
        <w:t xml:space="preserve">A rapid peak-shaving event may be called at short notice or not at all. In S4-U the third event of S3 is called only with probability 0.6 and confirmed 1 h ahead (6 MW per event; called on 15 of the 26 days). JR-D plans for the uncertain event as if it were called, because its call probability exceeds one half, and re-plans once the call is confirmed or cancelled; its scenario-based variant JR-S carries the event in its scenario tree instead. Both deliver every called event in full on all days, whether the third event is called or cancelled, at a daily cost within 0.9 k CNY of the perfect-information oracle (supplementary Fig. S7a, b). JR-S saves only 0.3 k CNY/day over JR-D, so the deterministic controller with feedback suffices. IR-O*, JR-M and IR-P deliver in full on 81 %, 69 % and 27 % of the days and cost 10.8–21.5 k CNY/day more.</w:t>
      </w:r>
    </w:p>
    <w:bookmarkEnd w:id="125"/>
    <w:bookmarkStart w:id="126" w:name="post-event-rebound-as-a-policy-parameter"/>
    <w:p>
      <w:pPr>
        <w:pStyle w:val="Heading3"/>
      </w:pPr>
      <w:r>
        <w:t xml:space="preserve">5.9.2. Post-event rebound as a policy parameter</w:t>
      </w:r>
    </w:p>
    <w:p>
      <w:pPr>
        <w:pStyle w:val="FirstParagraph"/>
      </w:pPr>
      <w:r>
        <w:t xml:space="preserve">Recovery draws power above the baseline after the events. Under the Jiangsu rules alone, the peak rebound after the events of the DR day is 6.4–6.6 MW for every strategy (S1, 6 MW per event), because every controller uses the channel that the connection leaves. A rebound assessment (25) lets the grid operator trade this rebound off against the cost of the AIDC (supplementary Fig. S7c, d). At 3 CNY/kW per event, JR-D cuts the peak rebound to 0.17 MW and still delivers both events in full, by holding deferred work longer (delay cost +17.9 k CNY) and over-delivering less (DR revenue −4.4 k CNY), whereas IR-O* keeps a rebound of 6.4 MW while its fulfilment falls to 91 %. Joint recovery thus also gives the grid a controllable recovery profile, at a price that the assessment can set.</w:t>
      </w:r>
    </w:p>
    <w:bookmarkEnd w:id="126"/>
    <w:bookmarkEnd w:id="127"/>
    <w:bookmarkStart w:id="135" w:name="X7dcfc8d49286f136e1c0525c9fdb8a73f463a28"/>
    <w:p>
      <w:pPr>
        <w:pStyle w:val="Heading2"/>
      </w:pPr>
      <w:r>
        <w:t xml:space="preserve">5.10. Robustness to computing flexibility, prediction horizon, prices and test sets</w:t>
      </w:r>
    </w:p>
    <w:p>
      <w:pPr>
        <w:pStyle w:val="FirstParagraph"/>
      </w:pPr>
      <w:r>
        <w:t xml:space="preserve">This section tests whether the results hold when the computing work is less flexible, the controller looks less far ahead, the DR price is lower or the delay cost higher, and on a larger and a cross-month set of operating days (Fig. 16). The firm capacities of Sections 5.10.1 and 5.10.2 are found by bisection (0.25 MW) on the operating days with the connection limit of the base case; Sections 5.10.3 and 5.10.4 use the commitment grid of Section 5.3.</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Figure"/>
      </w:pPr>
      <w:r>
        <w:drawing>
          <wp:inline>
            <wp:extent cx="6477000" cy="4352822"/>
            <wp:effectExtent b="0" l="0" r="0" t="0"/>
            <wp:docPr descr="" title="" id="129" name="Picture"/>
            <a:graphic>
              <a:graphicData uri="http://schemas.openxmlformats.org/drawingml/2006/picture">
                <pic:pic>
                  <pic:nvPicPr>
                    <pic:cNvPr descr="/home/user/datacenter/paper/figures/Fig16_robustness.png" id="130" name="Picture"/>
                    <pic:cNvPicPr>
                      <a:picLocks noChangeArrowheads="1" noChangeAspect="1"/>
                    </pic:cNvPicPr>
                  </pic:nvPicPr>
                  <pic:blipFill>
                    <a:blip r:embed="rId128"/>
                    <a:stretch>
                      <a:fillRect/>
                    </a:stretch>
                  </pic:blipFill>
                  <pic:spPr bwMode="auto">
                    <a:xfrm>
                      <a:off x="0" y="0"/>
                      <a:ext cx="6477000" cy="4352822"/>
                    </a:xfrm>
                    <a:prstGeom prst="rect">
                      <a:avLst/>
                    </a:prstGeom>
                    <a:noFill/>
                    <a:ln w="9525">
                      <a:noFill/>
                      <a:headEnd/>
                      <a:tailEnd/>
                    </a:ln>
                  </pic:spPr>
                </pic:pic>
              </a:graphicData>
            </a:graphic>
          </wp:inline>
        </w:drawing>
      </w:r>
    </w:p>
    <w:p>
      <w:pPr>
        <w:pStyle w:val="FigureCaption"/>
      </w:pPr>
      <w:r>
        <w:rPr>
          <w:bCs/>
          <w:b/>
        </w:rPr>
        <w:t xml:space="preserve">Fig. 16.</w:t>
      </w:r>
      <w:r>
        <w:t xml:space="preserve"> </w:t>
      </w:r>
      <w:r>
        <w:t xml:space="preserve">Robustness of the firm capacity and of the commitment (26 operating days,</w:t>
      </w:r>
      <w:r>
        <w:t xml:space="preserve"> </w:t>
      </w:r>
      <m:oMath>
        <m:r>
          <w:rPr>
            <w:rFonts w:ascii="Cambria Math" w:hAnsi="Cambria Math"/>
            <w:sz w:val="15"/>
            <w:szCs w:val="15"/>
          </w:rPr>
          <m:t>ρ</m:t>
        </m:r>
      </m:oMath>
      <w:r>
        <w:t xml:space="preserve"> </w:t>
      </w:r>
      <w:r>
        <w:t xml:space="preserve">= 0.95, connection limit of the base case; firm capacities by bisection with 0.25 MW resolution): (a, b) firm capacity of JR-M, SR-D and JR-D in S1 and S2 under low computing flexibility, with the deferrable share of the training and batch work reduced from 75 % to 50 % and 25 %, the lag bounds halved, the idle GPU power raised from 25 % to 40 % of the peak, and all three changes together (hatched: not firm at 1 MW; IR-O* is not firm at 1 MW in any configuration and not shown); (c) firm capacity of JR-D versus the prediction horizon of the MPC (</w:t>
      </w:r>
      <w:r>
        <w:t xml:space="preserve">“</w:t>
      </w:r>
      <w:r>
        <w:t xml:space="preserve">&lt;1</w:t>
      </w:r>
      <w:r>
        <w:t xml:space="preserve">”</w:t>
      </w:r>
      <w:r>
        <w:t xml:space="preserve">: not firm at 1 MW), with that of JR-M at the 18-h horizon; (d) cost-optimal commitment</w:t>
      </w:r>
      <w:r>
        <w:t xml:space="preserve"> </w:t>
      </w:r>
      <m:oMath>
        <m:sSup>
          <m:e>
            <m:r>
              <w:rPr>
                <w:rFonts w:ascii="Cambria Math" w:hAnsi="Cambria Math"/>
                <w:sz w:val="15"/>
                <w:szCs w:val="15"/>
              </w:rPr>
              <m:t>C</m:t>
            </m:r>
          </m:e>
          <m:sup>
            <m:r>
              <m:rPr>
                <m:lit/>
                <m:sty m:val="p"/>
              </m:rPr>
              <w:rPr>
                <w:rFonts w:ascii="Cambria Math" w:hAnsi="Cambria Math"/>
                <w:sz w:val="15"/>
                <w:szCs w:val="15"/>
              </w:rPr>
              <m:t>*</m:t>
            </m:r>
          </m:sup>
        </m:sSup>
      </m:oMath>
      <w:r>
        <w:t xml:space="preserve"> </w:t>
      </w:r>
      <w:r>
        <w:t xml:space="preserve">of JR-D from the back-test on the 14 historical days and its benefit relative to no DR on the operating days, over the DR price and the delay price (S1,</w:t>
      </w:r>
      <w:r>
        <w:t xml:space="preserve"> </w:t>
      </w:r>
      <m:oMath>
        <m:r>
          <w:rPr>
            <w:rFonts w:ascii="Cambria Math" w:hAnsi="Cambria Math"/>
            <w:sz w:val="15"/>
            <w:szCs w:val="15"/>
          </w:rPr>
          <m:t>κ</m:t>
        </m:r>
      </m:oMath>
      <w:r>
        <w:t xml:space="preserve"> </w:t>
      </w:r>
      <w:r>
        <w:t xml:space="preserve">= 1).</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Start w:id="131" w:name="low-computing-flexibility"/>
    <w:p>
      <w:pPr>
        <w:pStyle w:val="Heading3"/>
      </w:pPr>
      <w:r>
        <w:t xml:space="preserve">5.10.1. Low computing flexibility</w:t>
      </w:r>
    </w:p>
    <w:p>
      <w:pPr>
        <w:pStyle w:val="FirstParagraph"/>
      </w:pPr>
      <w:r>
        <w:t xml:space="preserve">The flexibility of the computing work rests on three assumptions of Table A1: the deferrable share of the training and batch work (75 %), the lag bounds (0.5, 1.5 and 3 h) and the idle power of a GPU (25 % of its peak), which sets how much power a paused GPU still draws. Each is made less favourable in turn: the deferrable share is reduced to 50 % and 25 %, the lag bounds are halved, the idle power is raised to 40 % of the peak, and all three changes are combined.</w:t>
      </w:r>
    </w:p>
    <w:p>
      <w:pPr>
        <w:pStyle w:val="BodyText"/>
      </w:pPr>
      <w:r>
        <w:t xml:space="preserve">Lower flexibility lowers the firm capacities, except that of JR-D with the higher idle power in S1, but does not change the ranking (Fig. 16a, b). With half of the training and batch work deferrable, JR-D firmly delivers 6.75 MW in S1 and 6.5 MW in S2, against 4.25 and 2.5 MW for JR-M; with a quarter, JR-D still delivers 5.0 and 4.25 MW, whereas JR-M is not firm at 1 MW. Halved lag bounds cost JR-D 0.5 and 1.5 MW and JR-M 2.25 and 1.5 MW, and the higher idle power, which reduces the power that a paused GPU sheds, costs JR-D 0 and 1.0 MW. With all three changes together, JR-D firmly delivers 5.25 MW in S1 and 4.5 MW in S2, 68 % and 58 % of the base case, while neither JR-M nor IR-O* is firm at 1 MW. In S1 the foresight gain grows from 1.0 MW in the base case to 2.5–2.75 MW when one of the three assumptions is made less favourable, and in S2 it stays at 2.75–4.0 MW: the smaller the margin of deferrable work, the more the order of repayment matters. IR-O* is not firm at 1 MW in any configuration, and SR-D stays 0–1.5 MW below JR-D. The advantage of cross-event joint recovery is therefore not an artefact of generous flexibility assumptions.</w:t>
      </w:r>
    </w:p>
    <w:bookmarkEnd w:id="131"/>
    <w:bookmarkStart w:id="132" w:name="prediction-horizon"/>
    <w:p>
      <w:pPr>
        <w:pStyle w:val="Heading3"/>
      </w:pPr>
      <w:r>
        <w:t xml:space="preserve">5.10.2. Prediction horizon</w:t>
      </w:r>
    </w:p>
    <w:p>
      <w:pPr>
        <w:pStyle w:val="FirstParagraph"/>
      </w:pPr>
      <w:r>
        <w:t xml:space="preserve">The 18-h horizon of the MPC covers both events from the morning of the DR day on. Horizons of 1, 2, 4 and 8 h test how the firm capacity of JR-D degrades when the next event lies partly or wholly beyond the horizon.</w:t>
      </w:r>
    </w:p>
    <w:p>
      <w:pPr>
        <w:pStyle w:val="BodyText"/>
      </w:pPr>
      <w:r>
        <w:t xml:space="preserve">An 8-h horizon attains the firm capacity of the base case, 7.75 MW in S1 and S2 (Fig. 16c), and a 4-h horizon loses 0.75 MW (S1) and 0.5 MW (S2). Shorter horizons fail: with 2 h, JR-D firmly delivers 3.25 MW in S1 and 1.75 MW in S2, and with 1 h it is not firm even at 1 MW, which it delivers in full on only 62 % (S1) and 38 % (S2) of the operating days. A day-by-day run of every operating day at 1 MW and at a commitment above the 2-h firm capacity (3.75 MW in S1, 2.5 MW in S2) shows two causes. First, the settlement of an event enters the MPC only when the whole event window lies within the horizon, so a 1-h horizon sees each event only when it begins and a 2-h horizon 1 h ahead. The storage is therefore hardly prepared: the BESS starts the first event at its minimum of 1.2 MWh under the 1-h horizon and, at 2.5–3.75 MW, with 1.6–2.4 MWh on average under the 2-h horizon, against 10.7–11.4 MWh under the 18-h horizon. Second, when the horizon is shorter than the 3-h lag bound of the long-deadline class, work pushed beyond the end of the horizon carries only its delay cost, while the energy that it will need later lies outside the horizon. The short-horizon controller therefore defers work whenever electricity is expensive and starts the first event with 7.9×10³ GPU·h of backlog on average (up to 11.6×10³ GPU·h) under the 1-h horizon and with 1.9–2.5×10³ GPU·h under the 2-h horizon, whereas the 18-h controller enters both events without backlog. Under the 1-h horizon the deadlines of this backlog fall within the events, so the load rises above the baseline during an event (measured reduction down to −1.9 MW) and work becomes overdue on 7 (S1) and 11–13 (S2) of the 26 days. Cross-event joint recovery therefore needs a horizon that covers the next event and the deadlines of the deferred work early enough to prepare the storage; 8 h suffice in both scenarios.</w:t>
      </w:r>
    </w:p>
    <w:bookmarkEnd w:id="132"/>
    <w:bookmarkStart w:id="133" w:name="Xcf40a0702d5d4039aed40ed09d49aa4f4f8246f"/>
    <w:p>
      <w:pPr>
        <w:pStyle w:val="Heading3"/>
      </w:pPr>
      <w:r>
        <w:t xml:space="preserve">5.10.3. DR price, delay cost and shortfall assessment</w:t>
      </w:r>
    </w:p>
    <w:p>
      <w:pPr>
        <w:pStyle w:val="FirstParagraph"/>
      </w:pPr>
      <w:r>
        <w:t xml:space="preserve">The base case assumes the price cap of 3 CNY/kWh, a delay price of 0.5 CNY per GPU·h·h and a shortfall assessment at the event price (</w:t>
      </w:r>
      <m:oMath>
        <m:r>
          <w:rPr>
            <w:rFonts w:ascii="Cambria Math" w:hAnsi="Cambria Math"/>
            <w:sz w:val="19"/>
            <w:szCs w:val="19"/>
          </w:rPr>
          <m:t>κ</m:t>
        </m:r>
      </m:oMath>
      <w:r>
        <w:t xml:space="preserve"> </w:t>
      </w:r>
      <w:r>
        <w:t xml:space="preserve">= 1). The day-ahead procedure of Section 4.1 is repeated for DR prices of 1, 2 and 3 CNY/kWh combined with delay prices of 0.5, 1 and 2 CNY per GPU·h·h, and for</w:t>
      </w:r>
      <w:r>
        <w:t xml:space="preserve"> </w:t>
      </w:r>
      <m:oMath>
        <m:r>
          <w:rPr>
            <w:rFonts w:ascii="Cambria Math" w:hAnsi="Cambria Math"/>
            <w:sz w:val="19"/>
            <w:szCs w:val="19"/>
          </w:rPr>
          <m:t>κ</m:t>
        </m:r>
      </m:oMath>
      <w:r>
        <w:t xml:space="preserve"> </w:t>
      </w:r>
      <w:r>
        <w:t xml:space="preserve">= 0, which reproduces the Jiangsu rules literally: the controller, the back-test on the historical days, the robust capacity and the cost-optimal commitment all use the changed prices.</w:t>
      </w:r>
    </w:p>
    <w:p>
      <w:pPr>
        <w:pStyle w:val="BodyText"/>
      </w:pPr>
      <w:r>
        <w:t xml:space="preserve">Table 9 and Fig. 16d show the result. At the base delay price of 0.5 CNY per GPU·h·h, the cost-optimal commitment of JR-D stays at 7–7.5 MW in S1 for DR prices of 1, 2 and 3 CNY/kWh and at 5.5–7 MW in S2, and it is delivered in full on 96–100 % of the operating days. The benefit scales with the price, in S1 from 44.8 k CNY/day at the cap to 28.8 k CNY/day at 2 CNY/kWh and 13.4 k CNY/day at 1 CNY/kWh, because the DR revenue makes up almost all of it: the cost savings stay below 1.2 k CNY/day. Doubling the delay price keeps 7–7.5 MW at 2–3 CNY/kWh but lowers the commitment to 3 MW at 1 CNY/kWh. A delay price of 2 CNY per GPU·h·h, four times the base value, changes the picture. Deferring work then costs more than the payment it earns on some days, so the controller accepts shortfalls there; its capability on the historical days spreads (minimum 5.25–7.25 MW), the radius grows to 0.10–0.33 MW, and the robust commitment falls to 5 MW in S1 and 1.5 MW in S2 at the price cap, to 3 MW in S1 at 2 CNY/kWh and to 1.5 MW in S1, or no commitment in S2, at 1 CNY/kWh. These commitments are still delivered in full on every operating day, but they forgo part of the benefit: in S2 at the price cap, the robust 1.5 MW earns 14.7 k CNY/day, whereas 5.5 MW would have earned 34.6 k CNY/day on the operating days. Without the shortfall assessment (</w:t>
      </w:r>
      <m:oMath>
        <m:r>
          <w:rPr>
            <w:rFonts w:ascii="Cambria Math" w:hAnsi="Cambria Math"/>
            <w:sz w:val="19"/>
            <w:szCs w:val="19"/>
          </w:rPr>
          <m:t>κ</m:t>
        </m:r>
      </m:oMath>
      <w:r>
        <w:t xml:space="preserve"> </w:t>
      </w:r>
      <w:r>
        <w:t xml:space="preserve">= 0), as in the Jiangsu rules, neither the commitment nor the benefit changes in either scenario, because JR-D delivers its commitment without shortfall. The 7-MW commitment of the base case therefore remains cost-optimal over the range of cleared prices as long as deferred work is not valued far above the base delay price; when it is, the robust commitment reflects the reluctance of the controller to defer, at a cost in benefit.</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TableCaption"/>
      </w:pPr>
      <w:r>
        <w:rPr>
          <w:bCs/>
          <w:b/>
        </w:rPr>
        <w:t xml:space="preserve">Table 9</w:t>
      </w:r>
      <w:r>
        <w:br/>
      </w:r>
      <w:r>
        <w:t xml:space="preserve">Cost-optimal day-ahead commitment</w:t>
      </w:r>
      <w:r>
        <w:t xml:space="preserve"> </w:t>
      </w:r>
      <m:oMath>
        <m:sSup>
          <m:e>
            <m:r>
              <w:rPr>
                <w:rFonts w:ascii="Cambria Math" w:hAnsi="Cambria Math"/>
                <w:sz w:val="15"/>
                <w:szCs w:val="15"/>
              </w:rPr>
              <m:t>C</m:t>
            </m:r>
          </m:e>
          <m:sup>
            <m:r>
              <m:rPr>
                <m:lit/>
                <m:sty m:val="p"/>
              </m:rPr>
              <w:rPr>
                <w:rFonts w:ascii="Cambria Math" w:hAnsi="Cambria Math"/>
                <w:sz w:val="15"/>
                <w:szCs w:val="15"/>
              </w:rPr>
              <m:t>*</m:t>
            </m:r>
          </m:sup>
        </m:sSup>
      </m:oMath>
      <w:r>
        <w:t xml:space="preserve"> </w:t>
      </w:r>
      <w:r>
        <w:t xml:space="preserve">(57) of JR-D from the back-test on the 14 historical days for DR prices cleared below the 3 CNY/kWh cap, delay prices and shortfall assessments, and its performance on the 26 operating days. Full delivery: share of operating days (one-sided 95 % Clopper–Pearson lower bound); benefit: operating-day net benefit relative to no DR at the same delay price = DR revenue + cost savings (electricity, gas, degradation and end state) − extra delay cost − shortfall assessment (zero in all cases), in k CNY/day; a negative extra delay cost means that JR-D delays work for less time than the capacity-limited no-DR operation. Last two columns: firm capacity</w:t>
      </w:r>
      <w:r>
        <w:t xml:space="preserve"> </w:t>
      </w:r>
      <m:oMath>
        <m:sSubSup>
          <m:e>
            <m:r>
              <w:rPr>
                <w:rFonts w:ascii="Cambria Math" w:hAnsi="Cambria Math"/>
                <w:sz w:val="15"/>
                <w:szCs w:val="15"/>
              </w:rPr>
              <m:t>C</m:t>
            </m:r>
          </m:e>
          <m:sub>
            <m:r>
              <w:rPr>
                <w:rFonts w:ascii="Cambria Math" w:hAnsi="Cambria Math"/>
                <w:sz w:val="15"/>
                <w:szCs w:val="15"/>
              </w:rPr>
              <m:t>0.95</m:t>
            </m:r>
          </m:sub>
          <m:sup>
            <m:r>
              <w:rPr>
                <w:rFonts w:ascii="Cambria Math" w:hAnsi="Cambria Math"/>
                <w:sz w:val="15"/>
                <w:szCs w:val="15"/>
              </w:rPr>
              <m:t>f</m:t>
            </m:r>
            <m:r>
              <w:rPr>
                <w:rFonts w:ascii="Cambria Math" w:hAnsi="Cambria Math"/>
                <w:sz w:val="15"/>
                <w:szCs w:val="15"/>
              </w:rPr>
              <m:t>i</m:t>
            </m:r>
            <m:r>
              <w:rPr>
                <w:rFonts w:ascii="Cambria Math" w:hAnsi="Cambria Math"/>
                <w:sz w:val="15"/>
                <w:szCs w:val="15"/>
              </w:rPr>
              <m:t>r</m:t>
            </m:r>
            <m:r>
              <w:rPr>
                <w:rFonts w:ascii="Cambria Math" w:hAnsi="Cambria Math"/>
                <w:sz w:val="15"/>
                <w:szCs w:val="15"/>
              </w:rPr>
              <m:t>m</m:t>
            </m:r>
          </m:sup>
        </m:sSubSup>
      </m:oMath>
      <w:r>
        <w:t xml:space="preserve"> </w:t>
      </w:r>
      <w:r>
        <w:t xml:space="preserve">on the operating days and, ex post, the commitment with the largest benefit there. Base case in bold.</w:t>
      </w:r>
    </w:p>
    <w:tbl>
      <w:tblPr>
        <w:tblStyle w:val="Table"/>
        <w:tblW w:w="10206" w:type="dxa"/>
        <w:jc w:val="start"/>
        <w:tblBorders>
          <w:top w:val="single" w:sz="6" w:space="0" w:color="000000"/>
          <w:bottom w:val="single" w:sz="6" w:space="0" w:color="000000"/>
        </w:tblBorders>
        <w:tblLayout w:type="fixed"/>
        <w:tblLook w:firstRow="1" w:lastRow="0" w:firstColumn="0" w:lastColumn="0" w:noHBand="0" w:noVBand="0" w:val="0020"/>
      </w:tblPr>
      <w:tblGrid>
        <w:gridCol w:w="887"/>
        <w:gridCol w:w="1195"/>
        <w:gridCol w:w="887"/>
        <w:gridCol w:w="307"/>
        <w:gridCol w:w="887"/>
        <w:gridCol w:w="1024"/>
        <w:gridCol w:w="785"/>
        <w:gridCol w:w="854"/>
        <w:gridCol w:w="785"/>
        <w:gridCol w:w="649"/>
        <w:gridCol w:w="990"/>
        <w:gridCol w:w="956"/>
      </w:tblGrid>
      <w:tr>
        <w:trPr>
          <w:tblHeader w:val="true"/>
        </w:trPr>
        <w:tc>
          <w:tcPr>
            <w:tcW w:w="887" w:type="dxa"/>
            <w:tcBorders>
              <w:bottom w:val="single" w:sz="4" w:space="0" w:color="000000"/>
            </w:tcBorders>
          </w:tcPr>
          <w:p>
            <w:pPr>
              <w:pStyle w:val="TableText"/>
              <w:jc w:val="left"/>
            </w:pPr>
            <w:r>
              <w:t xml:space="preserve">Scenario</w:t>
            </w:r>
          </w:p>
        </w:tc>
        <w:tc>
          <w:tcPr>
            <w:tcW w:w="1195" w:type="dxa"/>
            <w:tcBorders>
              <w:bottom w:val="single" w:sz="4" w:space="0" w:color="000000"/>
            </w:tcBorders>
          </w:tcPr>
          <w:p>
            <w:pPr>
              <w:pStyle w:val="TableText"/>
              <w:jc w:val="left"/>
            </w:pPr>
            <w:r>
              <w:t xml:space="preserve">DR price (CNY/kWh)</w:t>
            </w:r>
          </w:p>
        </w:tc>
        <w:tc>
          <w:tcPr>
            <w:tcW w:w="887" w:type="dxa"/>
            <w:tcBorders>
              <w:bottom w:val="single" w:sz="4" w:space="0" w:color="000000"/>
            </w:tcBorders>
          </w:tcPr>
          <w:p>
            <w:pPr>
              <w:pStyle w:val="TableText"/>
              <w:jc w:val="left"/>
            </w:pPr>
            <w:r>
              <w:t xml:space="preserve">Delay price (CNY per GPU·h·h)</w:t>
            </w:r>
          </w:p>
        </w:tc>
        <w:tc>
          <w:tcPr>
            <w:tcW w:w="307" w:type="dxa"/>
            <w:tcBorders>
              <w:bottom w:val="single" w:sz="4" w:space="0" w:color="000000"/>
            </w:tcBorders>
          </w:tcPr>
          <w:p>
            <w:pPr>
              <w:pStyle w:val="TableText"/>
              <w:jc w:val="left"/>
            </w:pPr>
            <m:oMath>
              <m:r>
                <w:rPr>
                  <w:rFonts w:ascii="Cambria Math" w:hAnsi="Cambria Math"/>
                  <w:sz w:val="15"/>
                  <w:szCs w:val="15"/>
                </w:rPr>
                <m:t>κ</m:t>
              </m:r>
            </m:oMath>
          </w:p>
        </w:tc>
        <w:tc>
          <w:tcPr>
            <w:tcW w:w="887" w:type="dxa"/>
            <w:tcBorders>
              <w:bottom w:val="single" w:sz="4" w:space="0" w:color="000000"/>
            </w:tcBorders>
          </w:tcPr>
          <w:p>
            <w:pPr>
              <w:pStyle w:val="TableText"/>
              <w:jc w:val="left"/>
            </w:pPr>
            <m:oMath>
              <m:sSup>
                <m:e>
                  <m:r>
                    <w:rPr>
                      <w:rFonts w:ascii="Cambria Math" w:hAnsi="Cambria Math"/>
                      <w:sz w:val="15"/>
                      <w:szCs w:val="15"/>
                    </w:rPr>
                    <m:t>C</m:t>
                  </m:r>
                </m:e>
                <m:sup>
                  <m:r>
                    <m:rPr>
                      <m:lit/>
                      <m:sty m:val="p"/>
                    </m:rPr>
                    <w:rPr>
                      <w:rFonts w:ascii="Cambria Math" w:hAnsi="Cambria Math"/>
                      <w:sz w:val="15"/>
                      <w:szCs w:val="15"/>
                    </w:rPr>
                    <m:t>*</m:t>
                  </m:r>
                </m:sup>
              </m:sSup>
            </m:oMath>
            <w:r>
              <w:t xml:space="preserve"> </w:t>
            </w:r>
            <w:r>
              <w:t xml:space="preserve">(MW)</w:t>
            </w:r>
          </w:p>
        </w:tc>
        <w:tc>
          <w:tcPr>
            <w:tcW w:w="1024" w:type="dxa"/>
            <w:tcBorders>
              <w:bottom w:val="single" w:sz="4" w:space="0" w:color="000000"/>
            </w:tcBorders>
          </w:tcPr>
          <w:p>
            <w:pPr>
              <w:pStyle w:val="TableText"/>
              <w:jc w:val="left"/>
            </w:pPr>
            <w:r>
              <w:t xml:space="preserve">Full delivery (%)</w:t>
            </w:r>
          </w:p>
        </w:tc>
        <w:tc>
          <w:tcPr>
            <w:tcW w:w="785" w:type="dxa"/>
            <w:tcBorders>
              <w:bottom w:val="single" w:sz="4" w:space="0" w:color="000000"/>
            </w:tcBorders>
          </w:tcPr>
          <w:p>
            <w:pPr>
              <w:pStyle w:val="TableText"/>
              <w:jc w:val="left"/>
            </w:pPr>
            <w:r>
              <w:t xml:space="preserve">Benefit</w:t>
            </w:r>
          </w:p>
        </w:tc>
        <w:tc>
          <w:tcPr>
            <w:tcW w:w="854" w:type="dxa"/>
            <w:tcBorders>
              <w:bottom w:val="single" w:sz="4" w:space="0" w:color="000000"/>
            </w:tcBorders>
          </w:tcPr>
          <w:p>
            <w:pPr>
              <w:pStyle w:val="TableText"/>
              <w:jc w:val="left"/>
            </w:pPr>
            <w:r>
              <w:t xml:space="preserve">DR revenue</w:t>
            </w:r>
          </w:p>
        </w:tc>
        <w:tc>
          <w:tcPr>
            <w:tcW w:w="785" w:type="dxa"/>
            <w:tcBorders>
              <w:bottom w:val="single" w:sz="4" w:space="0" w:color="000000"/>
            </w:tcBorders>
          </w:tcPr>
          <w:p>
            <w:pPr>
              <w:pStyle w:val="TableText"/>
              <w:jc w:val="left"/>
            </w:pPr>
            <w:r>
              <w:t xml:space="preserve">Cost savings</w:t>
            </w:r>
          </w:p>
        </w:tc>
        <w:tc>
          <w:tcPr>
            <w:tcW w:w="649" w:type="dxa"/>
            <w:tcBorders>
              <w:bottom w:val="single" w:sz="4" w:space="0" w:color="000000"/>
            </w:tcBorders>
          </w:tcPr>
          <w:p>
            <w:pPr>
              <w:pStyle w:val="TableText"/>
              <w:jc w:val="left"/>
            </w:pPr>
            <w:r>
              <w:t xml:space="preserve">Extra delay cost</w:t>
            </w:r>
          </w:p>
        </w:tc>
        <w:tc>
          <w:tcPr>
            <w:tcW w:w="990" w:type="dxa"/>
            <w:tcBorders>
              <w:bottom w:val="single" w:sz="4" w:space="0" w:color="000000"/>
            </w:tcBorders>
          </w:tcPr>
          <w:p>
            <w:pPr>
              <w:pStyle w:val="TableText"/>
              <w:jc w:val="left"/>
            </w:pPr>
            <m:oMath>
              <m:sSubSup>
                <m:e>
                  <m:r>
                    <w:rPr>
                      <w:rFonts w:ascii="Cambria Math" w:hAnsi="Cambria Math"/>
                      <w:sz w:val="15"/>
                      <w:szCs w:val="15"/>
                    </w:rPr>
                    <m:t>C</m:t>
                  </m:r>
                </m:e>
                <m:sub>
                  <m:r>
                    <w:rPr>
                      <w:rFonts w:ascii="Cambria Math" w:hAnsi="Cambria Math"/>
                      <w:sz w:val="15"/>
                      <w:szCs w:val="15"/>
                    </w:rPr>
                    <m:t>0.95</m:t>
                  </m:r>
                </m:sub>
                <m:sup>
                  <m:r>
                    <w:rPr>
                      <w:rFonts w:ascii="Cambria Math" w:hAnsi="Cambria Math"/>
                      <w:sz w:val="15"/>
                      <w:szCs w:val="15"/>
                    </w:rPr>
                    <m:t>f</m:t>
                  </m:r>
                  <m:r>
                    <w:rPr>
                      <w:rFonts w:ascii="Cambria Math" w:hAnsi="Cambria Math"/>
                      <w:sz w:val="15"/>
                      <w:szCs w:val="15"/>
                    </w:rPr>
                    <m:t>i</m:t>
                  </m:r>
                  <m:r>
                    <w:rPr>
                      <w:rFonts w:ascii="Cambria Math" w:hAnsi="Cambria Math"/>
                      <w:sz w:val="15"/>
                      <w:szCs w:val="15"/>
                    </w:rPr>
                    <m:t>r</m:t>
                  </m:r>
                  <m:r>
                    <w:rPr>
                      <w:rFonts w:ascii="Cambria Math" w:hAnsi="Cambria Math"/>
                      <w:sz w:val="15"/>
                      <w:szCs w:val="15"/>
                    </w:rPr>
                    <m:t>m</m:t>
                  </m:r>
                </m:sup>
              </m:sSubSup>
            </m:oMath>
            <w:r>
              <w:t xml:space="preserve"> </w:t>
            </w:r>
            <w:r>
              <w:t xml:space="preserve">(MW)</w:t>
            </w:r>
          </w:p>
        </w:tc>
        <w:tc>
          <w:tcPr>
            <w:tcW w:w="956" w:type="dxa"/>
            <w:tcBorders>
              <w:bottom w:val="single" w:sz="4" w:space="0" w:color="000000"/>
            </w:tcBorders>
          </w:tcPr>
          <w:p>
            <w:pPr>
              <w:pStyle w:val="TableText"/>
              <w:jc w:val="left"/>
            </w:pPr>
            <w:r>
              <w:t xml:space="preserve">Best</w:t>
            </w:r>
            <w:r>
              <w:t xml:space="preserve"> </w:t>
            </w:r>
            <m:oMath>
              <m:r>
                <w:rPr>
                  <w:rFonts w:ascii="Cambria Math" w:hAnsi="Cambria Math"/>
                  <w:sz w:val="15"/>
                  <w:szCs w:val="15"/>
                </w:rPr>
                <m:t>C</m:t>
              </m:r>
            </m:oMath>
            <w:r>
              <w:t xml:space="preserve"> </w:t>
            </w:r>
            <w:r>
              <w:t xml:space="preserve">ex post (benefit)</w:t>
            </w:r>
          </w:p>
        </w:tc>
      </w:tr>
      <w:tr>
        <w:tc>
          <w:tcPr>
            <w:tcW w:w="887" w:type="dxa"/>
          </w:tcPr>
          <w:p>
            <w:pPr>
              <w:pStyle w:val="TableText"/>
              <w:jc w:val="left"/>
            </w:pPr>
            <w:r>
              <w:t xml:space="preserve">S1</w:t>
            </w:r>
          </w:p>
        </w:tc>
        <w:tc>
          <w:tcPr>
            <w:tcW w:w="1195" w:type="dxa"/>
          </w:tcPr>
          <w:p>
            <w:pPr>
              <w:pStyle w:val="TableText"/>
              <w:jc w:val="left"/>
            </w:pPr>
            <w:r>
              <w:t xml:space="preserve">1</w:t>
            </w:r>
          </w:p>
        </w:tc>
        <w:tc>
          <w:tcPr>
            <w:tcW w:w="887" w:type="dxa"/>
          </w:tcPr>
          <w:p>
            <w:pPr>
              <w:pStyle w:val="TableText"/>
              <w:jc w:val="left"/>
            </w:pPr>
            <w:r>
              <w:t xml:space="preserve">0.5</w:t>
            </w:r>
          </w:p>
        </w:tc>
        <w:tc>
          <w:tcPr>
            <w:tcW w:w="307" w:type="dxa"/>
          </w:tcPr>
          <w:p>
            <w:pPr>
              <w:pStyle w:val="TableText"/>
              <w:jc w:val="left"/>
            </w:pPr>
            <w:r>
              <w:t xml:space="preserve">1</w:t>
            </w:r>
          </w:p>
        </w:tc>
        <w:tc>
          <w:tcPr>
            <w:tcW w:w="887" w:type="dxa"/>
          </w:tcPr>
          <w:p>
            <w:pPr>
              <w:pStyle w:val="TableText"/>
              <w:jc w:val="left"/>
            </w:pPr>
            <w:r>
              <w:t xml:space="preserve">7</w:t>
            </w:r>
          </w:p>
        </w:tc>
        <w:tc>
          <w:tcPr>
            <w:tcW w:w="1024" w:type="dxa"/>
          </w:tcPr>
          <w:p>
            <w:pPr>
              <w:pStyle w:val="TableText"/>
              <w:jc w:val="left"/>
            </w:pPr>
            <w:r>
              <w:t xml:space="preserve">96 (0.83)</w:t>
            </w:r>
          </w:p>
        </w:tc>
        <w:tc>
          <w:tcPr>
            <w:tcW w:w="785" w:type="dxa"/>
          </w:tcPr>
          <w:p>
            <w:pPr>
              <w:pStyle w:val="TableText"/>
              <w:jc w:val="left"/>
            </w:pPr>
            <w:r>
              <w:t xml:space="preserve">13.4</w:t>
            </w:r>
          </w:p>
        </w:tc>
        <w:tc>
          <w:tcPr>
            <w:tcW w:w="854" w:type="dxa"/>
          </w:tcPr>
          <w:p>
            <w:pPr>
              <w:pStyle w:val="TableText"/>
              <w:jc w:val="left"/>
            </w:pPr>
            <w:r>
              <w:t xml:space="preserve">15.2</w:t>
            </w:r>
          </w:p>
        </w:tc>
        <w:tc>
          <w:tcPr>
            <w:tcW w:w="785" w:type="dxa"/>
          </w:tcPr>
          <w:p>
            <w:pPr>
              <w:pStyle w:val="TableText"/>
              <w:jc w:val="left"/>
            </w:pPr>
            <w:r>
              <w:t xml:space="preserve">0.9</w:t>
            </w:r>
          </w:p>
        </w:tc>
        <w:tc>
          <w:tcPr>
            <w:tcW w:w="649" w:type="dxa"/>
          </w:tcPr>
          <w:p>
            <w:pPr>
              <w:pStyle w:val="TableText"/>
              <w:jc w:val="left"/>
            </w:pPr>
            <w:r>
              <w:t xml:space="preserve">2.7</w:t>
            </w:r>
          </w:p>
        </w:tc>
        <w:tc>
          <w:tcPr>
            <w:tcW w:w="990" w:type="dxa"/>
          </w:tcPr>
          <w:p>
            <w:pPr>
              <w:pStyle w:val="TableText"/>
              <w:jc w:val="left"/>
            </w:pPr>
            <w:r>
              <w:t xml:space="preserve">7</w:t>
            </w:r>
          </w:p>
        </w:tc>
        <w:tc>
          <w:tcPr>
            <w:tcW w:w="956" w:type="dxa"/>
          </w:tcPr>
          <w:p>
            <w:pPr>
              <w:pStyle w:val="TableText"/>
              <w:jc w:val="left"/>
            </w:pPr>
            <w:r>
              <w:t xml:space="preserve">6.5 (13.4)</w:t>
            </w:r>
          </w:p>
        </w:tc>
      </w:tr>
      <w:tr>
        <w:tc>
          <w:tcPr>
            <w:tcW w:w="887" w:type="dxa"/>
          </w:tcPr>
          <w:p>
            <w:pPr>
              <w:pStyle w:val="TableText"/>
            </w:pPr>
          </w:p>
        </w:tc>
        <w:tc>
          <w:tcPr>
            <w:tcW w:w="1195" w:type="dxa"/>
          </w:tcPr>
          <w:p>
            <w:pPr>
              <w:pStyle w:val="TableText"/>
              <w:jc w:val="left"/>
            </w:pPr>
            <w:r>
              <w:t xml:space="preserve">1</w:t>
            </w:r>
          </w:p>
        </w:tc>
        <w:tc>
          <w:tcPr>
            <w:tcW w:w="887" w:type="dxa"/>
          </w:tcPr>
          <w:p>
            <w:pPr>
              <w:pStyle w:val="TableText"/>
              <w:jc w:val="left"/>
            </w:pPr>
            <w:r>
              <w:t xml:space="preserve">1</w:t>
            </w:r>
          </w:p>
        </w:tc>
        <w:tc>
          <w:tcPr>
            <w:tcW w:w="307" w:type="dxa"/>
          </w:tcPr>
          <w:p>
            <w:pPr>
              <w:pStyle w:val="TableText"/>
              <w:jc w:val="left"/>
            </w:pPr>
            <w:r>
              <w:t xml:space="preserve">1</w:t>
            </w:r>
          </w:p>
        </w:tc>
        <w:tc>
          <w:tcPr>
            <w:tcW w:w="887" w:type="dxa"/>
          </w:tcPr>
          <w:p>
            <w:pPr>
              <w:pStyle w:val="TableText"/>
              <w:jc w:val="left"/>
            </w:pPr>
            <w:r>
              <w:t xml:space="preserve">3</w:t>
            </w:r>
          </w:p>
        </w:tc>
        <w:tc>
          <w:tcPr>
            <w:tcW w:w="1024" w:type="dxa"/>
          </w:tcPr>
          <w:p>
            <w:pPr>
              <w:pStyle w:val="TableText"/>
              <w:jc w:val="left"/>
            </w:pPr>
            <w:r>
              <w:t xml:space="preserve">100 (0.89)</w:t>
            </w:r>
          </w:p>
        </w:tc>
        <w:tc>
          <w:tcPr>
            <w:tcW w:w="785" w:type="dxa"/>
          </w:tcPr>
          <w:p>
            <w:pPr>
              <w:pStyle w:val="TableText"/>
              <w:jc w:val="left"/>
            </w:pPr>
            <w:r>
              <w:t xml:space="preserve">9.4</w:t>
            </w:r>
          </w:p>
        </w:tc>
        <w:tc>
          <w:tcPr>
            <w:tcW w:w="854" w:type="dxa"/>
          </w:tcPr>
          <w:p>
            <w:pPr>
              <w:pStyle w:val="TableText"/>
              <w:jc w:val="left"/>
            </w:pPr>
            <w:r>
              <w:t xml:space="preserve">7.2</w:t>
            </w:r>
          </w:p>
        </w:tc>
        <w:tc>
          <w:tcPr>
            <w:tcW w:w="785" w:type="dxa"/>
          </w:tcPr>
          <w:p>
            <w:pPr>
              <w:pStyle w:val="TableText"/>
              <w:jc w:val="left"/>
            </w:pPr>
            <w:r>
              <w:t xml:space="preserve">0.9</w:t>
            </w:r>
          </w:p>
        </w:tc>
        <w:tc>
          <w:tcPr>
            <w:tcW w:w="649" w:type="dxa"/>
          </w:tcPr>
          <w:p>
            <w:pPr>
              <w:pStyle w:val="TableText"/>
              <w:jc w:val="left"/>
            </w:pPr>
            <w:r>
              <w:t xml:space="preserve">−1.3</w:t>
            </w:r>
          </w:p>
        </w:tc>
        <w:tc>
          <w:tcPr>
            <w:tcW w:w="990" w:type="dxa"/>
          </w:tcPr>
          <w:p>
            <w:pPr>
              <w:pStyle w:val="TableText"/>
              <w:jc w:val="left"/>
            </w:pPr>
            <w:r>
              <w:t xml:space="preserve">4.5</w:t>
            </w:r>
          </w:p>
        </w:tc>
        <w:tc>
          <w:tcPr>
            <w:tcW w:w="956" w:type="dxa"/>
          </w:tcPr>
          <w:p>
            <w:pPr>
              <w:pStyle w:val="TableText"/>
              <w:jc w:val="left"/>
            </w:pPr>
            <w:r>
              <w:t xml:space="preserve">5.5 (12.5)</w:t>
            </w:r>
          </w:p>
        </w:tc>
      </w:tr>
      <w:tr>
        <w:tc>
          <w:tcPr>
            <w:tcW w:w="887" w:type="dxa"/>
          </w:tcPr>
          <w:p>
            <w:pPr>
              <w:pStyle w:val="TableText"/>
            </w:pPr>
          </w:p>
        </w:tc>
        <w:tc>
          <w:tcPr>
            <w:tcW w:w="1195" w:type="dxa"/>
          </w:tcPr>
          <w:p>
            <w:pPr>
              <w:pStyle w:val="TableText"/>
              <w:jc w:val="left"/>
            </w:pPr>
            <w:r>
              <w:t xml:space="preserve">1</w:t>
            </w:r>
          </w:p>
        </w:tc>
        <w:tc>
          <w:tcPr>
            <w:tcW w:w="887" w:type="dxa"/>
          </w:tcPr>
          <w:p>
            <w:pPr>
              <w:pStyle w:val="TableText"/>
              <w:jc w:val="left"/>
            </w:pPr>
            <w:r>
              <w:t xml:space="preserve">2</w:t>
            </w:r>
          </w:p>
        </w:tc>
        <w:tc>
          <w:tcPr>
            <w:tcW w:w="307" w:type="dxa"/>
          </w:tcPr>
          <w:p>
            <w:pPr>
              <w:pStyle w:val="TableText"/>
              <w:jc w:val="left"/>
            </w:pPr>
            <w:r>
              <w:t xml:space="preserve">1</w:t>
            </w:r>
          </w:p>
        </w:tc>
        <w:tc>
          <w:tcPr>
            <w:tcW w:w="887" w:type="dxa"/>
          </w:tcPr>
          <w:p>
            <w:pPr>
              <w:pStyle w:val="TableText"/>
              <w:jc w:val="left"/>
            </w:pPr>
            <w:r>
              <w:t xml:space="preserve">1.5</w:t>
            </w:r>
          </w:p>
        </w:tc>
        <w:tc>
          <w:tcPr>
            <w:tcW w:w="1024" w:type="dxa"/>
          </w:tcPr>
          <w:p>
            <w:pPr>
              <w:pStyle w:val="TableText"/>
              <w:jc w:val="left"/>
            </w:pPr>
            <w:r>
              <w:t xml:space="preserve">100 (0.89)</w:t>
            </w:r>
          </w:p>
        </w:tc>
        <w:tc>
          <w:tcPr>
            <w:tcW w:w="785" w:type="dxa"/>
          </w:tcPr>
          <w:p>
            <w:pPr>
              <w:pStyle w:val="TableText"/>
              <w:jc w:val="left"/>
            </w:pPr>
            <w:r>
              <w:t xml:space="preserve">7.5</w:t>
            </w:r>
          </w:p>
        </w:tc>
        <w:tc>
          <w:tcPr>
            <w:tcW w:w="854" w:type="dxa"/>
          </w:tcPr>
          <w:p>
            <w:pPr>
              <w:pStyle w:val="TableText"/>
              <w:jc w:val="left"/>
            </w:pPr>
            <w:r>
              <w:t xml:space="preserve">3.6</w:t>
            </w:r>
          </w:p>
        </w:tc>
        <w:tc>
          <w:tcPr>
            <w:tcW w:w="785" w:type="dxa"/>
          </w:tcPr>
          <w:p>
            <w:pPr>
              <w:pStyle w:val="TableText"/>
              <w:jc w:val="left"/>
            </w:pPr>
            <w:r>
              <w:t xml:space="preserve">0.6</w:t>
            </w:r>
          </w:p>
        </w:tc>
        <w:tc>
          <w:tcPr>
            <w:tcW w:w="649" w:type="dxa"/>
          </w:tcPr>
          <w:p>
            <w:pPr>
              <w:pStyle w:val="TableText"/>
              <w:jc w:val="left"/>
            </w:pPr>
            <w:r>
              <w:t xml:space="preserve">−3.4</w:t>
            </w:r>
          </w:p>
        </w:tc>
        <w:tc>
          <w:tcPr>
            <w:tcW w:w="990" w:type="dxa"/>
          </w:tcPr>
          <w:p>
            <w:pPr>
              <w:pStyle w:val="TableText"/>
              <w:jc w:val="left"/>
            </w:pPr>
            <w:r>
              <w:t xml:space="preserve">4.5</w:t>
            </w:r>
          </w:p>
        </w:tc>
        <w:tc>
          <w:tcPr>
            <w:tcW w:w="956" w:type="dxa"/>
          </w:tcPr>
          <w:p>
            <w:pPr>
              <w:pStyle w:val="TableText"/>
              <w:jc w:val="left"/>
            </w:pPr>
            <w:r>
              <w:t xml:space="preserve">5 (13.1)</w:t>
            </w:r>
          </w:p>
        </w:tc>
      </w:tr>
      <w:tr>
        <w:tc>
          <w:tcPr>
            <w:tcW w:w="887" w:type="dxa"/>
          </w:tcPr>
          <w:p>
            <w:pPr>
              <w:pStyle w:val="TableText"/>
            </w:pPr>
          </w:p>
        </w:tc>
        <w:tc>
          <w:tcPr>
            <w:tcW w:w="1195" w:type="dxa"/>
          </w:tcPr>
          <w:p>
            <w:pPr>
              <w:pStyle w:val="TableText"/>
              <w:jc w:val="left"/>
            </w:pPr>
            <w:r>
              <w:t xml:space="preserve">2</w:t>
            </w:r>
          </w:p>
        </w:tc>
        <w:tc>
          <w:tcPr>
            <w:tcW w:w="887" w:type="dxa"/>
          </w:tcPr>
          <w:p>
            <w:pPr>
              <w:pStyle w:val="TableText"/>
              <w:jc w:val="left"/>
            </w:pPr>
            <w:r>
              <w:t xml:space="preserve">0.5</w:t>
            </w:r>
          </w:p>
        </w:tc>
        <w:tc>
          <w:tcPr>
            <w:tcW w:w="307" w:type="dxa"/>
          </w:tcPr>
          <w:p>
            <w:pPr>
              <w:pStyle w:val="TableText"/>
              <w:jc w:val="left"/>
            </w:pPr>
            <w:r>
              <w:t xml:space="preserve">1</w:t>
            </w:r>
          </w:p>
        </w:tc>
        <w:tc>
          <w:tcPr>
            <w:tcW w:w="887" w:type="dxa"/>
          </w:tcPr>
          <w:p>
            <w:pPr>
              <w:pStyle w:val="TableText"/>
              <w:jc w:val="left"/>
            </w:pPr>
            <w:r>
              <w:t xml:space="preserve">7.5</w:t>
            </w:r>
          </w:p>
        </w:tc>
        <w:tc>
          <w:tcPr>
            <w:tcW w:w="1024" w:type="dxa"/>
          </w:tcPr>
          <w:p>
            <w:pPr>
              <w:pStyle w:val="TableText"/>
              <w:jc w:val="left"/>
            </w:pPr>
            <w:r>
              <w:t xml:space="preserve">100 (0.89)</w:t>
            </w:r>
          </w:p>
        </w:tc>
        <w:tc>
          <w:tcPr>
            <w:tcW w:w="785" w:type="dxa"/>
          </w:tcPr>
          <w:p>
            <w:pPr>
              <w:pStyle w:val="TableText"/>
              <w:jc w:val="left"/>
            </w:pPr>
            <w:r>
              <w:t xml:space="preserve">28.8</w:t>
            </w:r>
          </w:p>
        </w:tc>
        <w:tc>
          <w:tcPr>
            <w:tcW w:w="854" w:type="dxa"/>
          </w:tcPr>
          <w:p>
            <w:pPr>
              <w:pStyle w:val="TableText"/>
              <w:jc w:val="left"/>
            </w:pPr>
            <w:r>
              <w:t xml:space="preserve">31.8</w:t>
            </w:r>
          </w:p>
        </w:tc>
        <w:tc>
          <w:tcPr>
            <w:tcW w:w="785" w:type="dxa"/>
          </w:tcPr>
          <w:p>
            <w:pPr>
              <w:pStyle w:val="TableText"/>
              <w:jc w:val="left"/>
            </w:pPr>
            <w:r>
              <w:t xml:space="preserve">0.9</w:t>
            </w:r>
          </w:p>
        </w:tc>
        <w:tc>
          <w:tcPr>
            <w:tcW w:w="649" w:type="dxa"/>
          </w:tcPr>
          <w:p>
            <w:pPr>
              <w:pStyle w:val="TableText"/>
              <w:jc w:val="left"/>
            </w:pPr>
            <w:r>
              <w:t xml:space="preserve">3.9</w:t>
            </w:r>
          </w:p>
        </w:tc>
        <w:tc>
          <w:tcPr>
            <w:tcW w:w="990" w:type="dxa"/>
          </w:tcPr>
          <w:p>
            <w:pPr>
              <w:pStyle w:val="TableText"/>
              <w:jc w:val="left"/>
            </w:pPr>
            <w:r>
              <w:t xml:space="preserve">7.5</w:t>
            </w:r>
          </w:p>
        </w:tc>
        <w:tc>
          <w:tcPr>
            <w:tcW w:w="956" w:type="dxa"/>
          </w:tcPr>
          <w:p>
            <w:pPr>
              <w:pStyle w:val="TableText"/>
              <w:jc w:val="left"/>
            </w:pPr>
            <w:r>
              <w:t xml:space="preserve">7 (28.8)</w:t>
            </w:r>
          </w:p>
        </w:tc>
      </w:tr>
      <w:tr>
        <w:tc>
          <w:tcPr>
            <w:tcW w:w="887" w:type="dxa"/>
          </w:tcPr>
          <w:p>
            <w:pPr>
              <w:pStyle w:val="TableText"/>
            </w:pPr>
          </w:p>
        </w:tc>
        <w:tc>
          <w:tcPr>
            <w:tcW w:w="1195" w:type="dxa"/>
          </w:tcPr>
          <w:p>
            <w:pPr>
              <w:pStyle w:val="TableText"/>
              <w:jc w:val="left"/>
            </w:pPr>
            <w:r>
              <w:t xml:space="preserve">2</w:t>
            </w:r>
          </w:p>
        </w:tc>
        <w:tc>
          <w:tcPr>
            <w:tcW w:w="887" w:type="dxa"/>
          </w:tcPr>
          <w:p>
            <w:pPr>
              <w:pStyle w:val="TableText"/>
              <w:jc w:val="left"/>
            </w:pPr>
            <w:r>
              <w:t xml:space="preserve">1</w:t>
            </w:r>
          </w:p>
        </w:tc>
        <w:tc>
          <w:tcPr>
            <w:tcW w:w="307" w:type="dxa"/>
          </w:tcPr>
          <w:p>
            <w:pPr>
              <w:pStyle w:val="TableText"/>
              <w:jc w:val="left"/>
            </w:pPr>
            <w:r>
              <w:t xml:space="preserve">1</w:t>
            </w:r>
          </w:p>
        </w:tc>
        <w:tc>
          <w:tcPr>
            <w:tcW w:w="887" w:type="dxa"/>
          </w:tcPr>
          <w:p>
            <w:pPr>
              <w:pStyle w:val="TableText"/>
              <w:jc w:val="left"/>
            </w:pPr>
            <w:r>
              <w:t xml:space="preserve">7</w:t>
            </w:r>
          </w:p>
        </w:tc>
        <w:tc>
          <w:tcPr>
            <w:tcW w:w="1024" w:type="dxa"/>
          </w:tcPr>
          <w:p>
            <w:pPr>
              <w:pStyle w:val="TableText"/>
              <w:jc w:val="left"/>
            </w:pPr>
            <w:r>
              <w:t xml:space="preserve">96 (0.83)</w:t>
            </w:r>
          </w:p>
        </w:tc>
        <w:tc>
          <w:tcPr>
            <w:tcW w:w="785" w:type="dxa"/>
          </w:tcPr>
          <w:p>
            <w:pPr>
              <w:pStyle w:val="TableText"/>
              <w:jc w:val="left"/>
            </w:pPr>
            <w:r>
              <w:t xml:space="preserve">25.9</w:t>
            </w:r>
          </w:p>
        </w:tc>
        <w:tc>
          <w:tcPr>
            <w:tcW w:w="854" w:type="dxa"/>
          </w:tcPr>
          <w:p>
            <w:pPr>
              <w:pStyle w:val="TableText"/>
              <w:jc w:val="left"/>
            </w:pPr>
            <w:r>
              <w:t xml:space="preserve">30.2</w:t>
            </w:r>
          </w:p>
        </w:tc>
        <w:tc>
          <w:tcPr>
            <w:tcW w:w="785" w:type="dxa"/>
          </w:tcPr>
          <w:p>
            <w:pPr>
              <w:pStyle w:val="TableText"/>
              <w:jc w:val="left"/>
            </w:pPr>
            <w:r>
              <w:t xml:space="preserve">0.7</w:t>
            </w:r>
          </w:p>
        </w:tc>
        <w:tc>
          <w:tcPr>
            <w:tcW w:w="649" w:type="dxa"/>
          </w:tcPr>
          <w:p>
            <w:pPr>
              <w:pStyle w:val="TableText"/>
              <w:jc w:val="left"/>
            </w:pPr>
            <w:r>
              <w:t xml:space="preserve">4.9</w:t>
            </w:r>
          </w:p>
        </w:tc>
        <w:tc>
          <w:tcPr>
            <w:tcW w:w="990" w:type="dxa"/>
          </w:tcPr>
          <w:p>
            <w:pPr>
              <w:pStyle w:val="TableText"/>
              <w:jc w:val="left"/>
            </w:pPr>
            <w:r>
              <w:t xml:space="preserve">7</w:t>
            </w:r>
          </w:p>
        </w:tc>
        <w:tc>
          <w:tcPr>
            <w:tcW w:w="956" w:type="dxa"/>
          </w:tcPr>
          <w:p>
            <w:pPr>
              <w:pStyle w:val="TableText"/>
              <w:jc w:val="left"/>
            </w:pPr>
            <w:r>
              <w:t xml:space="preserve">6.5 (26.1)</w:t>
            </w:r>
          </w:p>
        </w:tc>
      </w:tr>
      <w:tr>
        <w:tc>
          <w:tcPr>
            <w:tcW w:w="887" w:type="dxa"/>
          </w:tcPr>
          <w:p>
            <w:pPr>
              <w:pStyle w:val="TableText"/>
            </w:pPr>
          </w:p>
        </w:tc>
        <w:tc>
          <w:tcPr>
            <w:tcW w:w="1195" w:type="dxa"/>
          </w:tcPr>
          <w:p>
            <w:pPr>
              <w:pStyle w:val="TableText"/>
              <w:jc w:val="left"/>
            </w:pPr>
            <w:r>
              <w:t xml:space="preserve">2</w:t>
            </w:r>
          </w:p>
        </w:tc>
        <w:tc>
          <w:tcPr>
            <w:tcW w:w="887" w:type="dxa"/>
          </w:tcPr>
          <w:p>
            <w:pPr>
              <w:pStyle w:val="TableText"/>
              <w:jc w:val="left"/>
            </w:pPr>
            <w:r>
              <w:t xml:space="preserve">2</w:t>
            </w:r>
          </w:p>
        </w:tc>
        <w:tc>
          <w:tcPr>
            <w:tcW w:w="307" w:type="dxa"/>
          </w:tcPr>
          <w:p>
            <w:pPr>
              <w:pStyle w:val="TableText"/>
              <w:jc w:val="left"/>
            </w:pPr>
            <w:r>
              <w:t xml:space="preserve">1</w:t>
            </w:r>
          </w:p>
        </w:tc>
        <w:tc>
          <w:tcPr>
            <w:tcW w:w="887" w:type="dxa"/>
          </w:tcPr>
          <w:p>
            <w:pPr>
              <w:pStyle w:val="TableText"/>
              <w:jc w:val="left"/>
            </w:pPr>
            <w:r>
              <w:t xml:space="preserve">3</w:t>
            </w:r>
          </w:p>
        </w:tc>
        <w:tc>
          <w:tcPr>
            <w:tcW w:w="1024" w:type="dxa"/>
          </w:tcPr>
          <w:p>
            <w:pPr>
              <w:pStyle w:val="TableText"/>
              <w:jc w:val="left"/>
            </w:pPr>
            <w:r>
              <w:t xml:space="preserve">100 (0.89)</w:t>
            </w:r>
          </w:p>
        </w:tc>
        <w:tc>
          <w:tcPr>
            <w:tcW w:w="785" w:type="dxa"/>
          </w:tcPr>
          <w:p>
            <w:pPr>
              <w:pStyle w:val="TableText"/>
              <w:jc w:val="left"/>
            </w:pPr>
            <w:r>
              <w:t xml:space="preserve">18.2</w:t>
            </w:r>
          </w:p>
        </w:tc>
        <w:tc>
          <w:tcPr>
            <w:tcW w:w="854" w:type="dxa"/>
          </w:tcPr>
          <w:p>
            <w:pPr>
              <w:pStyle w:val="TableText"/>
              <w:jc w:val="left"/>
            </w:pPr>
            <w:r>
              <w:t xml:space="preserve">14.4</w:t>
            </w:r>
          </w:p>
        </w:tc>
        <w:tc>
          <w:tcPr>
            <w:tcW w:w="785" w:type="dxa"/>
          </w:tcPr>
          <w:p>
            <w:pPr>
              <w:pStyle w:val="TableText"/>
              <w:jc w:val="left"/>
            </w:pPr>
            <w:r>
              <w:t xml:space="preserve">0.5</w:t>
            </w:r>
          </w:p>
        </w:tc>
        <w:tc>
          <w:tcPr>
            <w:tcW w:w="649" w:type="dxa"/>
          </w:tcPr>
          <w:p>
            <w:pPr>
              <w:pStyle w:val="TableText"/>
              <w:jc w:val="left"/>
            </w:pPr>
            <w:r>
              <w:t xml:space="preserve">−3.3</w:t>
            </w:r>
          </w:p>
        </w:tc>
        <w:tc>
          <w:tcPr>
            <w:tcW w:w="990" w:type="dxa"/>
          </w:tcPr>
          <w:p>
            <w:pPr>
              <w:pStyle w:val="TableText"/>
              <w:jc w:val="left"/>
            </w:pPr>
            <w:r>
              <w:t xml:space="preserve">4</w:t>
            </w:r>
          </w:p>
        </w:tc>
        <w:tc>
          <w:tcPr>
            <w:tcW w:w="956" w:type="dxa"/>
          </w:tcPr>
          <w:p>
            <w:pPr>
              <w:pStyle w:val="TableText"/>
              <w:jc w:val="left"/>
            </w:pPr>
            <w:r>
              <w:t xml:space="preserve">5.5 (24.9)</w:t>
            </w:r>
          </w:p>
        </w:tc>
      </w:tr>
      <w:tr>
        <w:tc>
          <w:tcPr>
            <w:tcW w:w="887" w:type="dxa"/>
          </w:tcPr>
          <w:p>
            <w:pPr>
              <w:pStyle w:val="TableText"/>
            </w:pPr>
          </w:p>
        </w:tc>
        <w:tc>
          <w:tcPr>
            <w:tcW w:w="1195" w:type="dxa"/>
          </w:tcPr>
          <w:p>
            <w:pPr>
              <w:pStyle w:val="TableText"/>
              <w:jc w:val="left"/>
            </w:pPr>
            <w:r>
              <w:rPr>
                <w:bCs/>
                <w:b/>
              </w:rPr>
              <w:t xml:space="preserve">3</w:t>
            </w:r>
          </w:p>
        </w:tc>
        <w:tc>
          <w:tcPr>
            <w:tcW w:w="887" w:type="dxa"/>
          </w:tcPr>
          <w:p>
            <w:pPr>
              <w:pStyle w:val="TableText"/>
              <w:jc w:val="left"/>
            </w:pPr>
            <w:r>
              <w:rPr>
                <w:bCs/>
                <w:b/>
              </w:rPr>
              <w:t xml:space="preserve">0.5</w:t>
            </w:r>
          </w:p>
        </w:tc>
        <w:tc>
          <w:tcPr>
            <w:tcW w:w="307" w:type="dxa"/>
          </w:tcPr>
          <w:p>
            <w:pPr>
              <w:pStyle w:val="TableText"/>
              <w:jc w:val="left"/>
            </w:pPr>
            <w:r>
              <w:rPr>
                <w:bCs/>
                <w:b/>
              </w:rPr>
              <w:t xml:space="preserve">1</w:t>
            </w:r>
          </w:p>
        </w:tc>
        <w:tc>
          <w:tcPr>
            <w:tcW w:w="887" w:type="dxa"/>
          </w:tcPr>
          <w:p>
            <w:pPr>
              <w:pStyle w:val="TableText"/>
              <w:jc w:val="left"/>
            </w:pPr>
            <w:r>
              <w:rPr>
                <w:bCs/>
                <w:b/>
              </w:rPr>
              <w:t xml:space="preserve">7</w:t>
            </w:r>
          </w:p>
        </w:tc>
        <w:tc>
          <w:tcPr>
            <w:tcW w:w="1024" w:type="dxa"/>
          </w:tcPr>
          <w:p>
            <w:pPr>
              <w:pStyle w:val="TableText"/>
              <w:jc w:val="left"/>
            </w:pPr>
            <w:r>
              <w:rPr>
                <w:bCs/>
                <w:b/>
              </w:rPr>
              <w:t xml:space="preserve">100 (0.89)</w:t>
            </w:r>
          </w:p>
        </w:tc>
        <w:tc>
          <w:tcPr>
            <w:tcW w:w="785" w:type="dxa"/>
          </w:tcPr>
          <w:p>
            <w:pPr>
              <w:pStyle w:val="TableText"/>
              <w:jc w:val="left"/>
            </w:pPr>
            <w:r>
              <w:rPr>
                <w:bCs/>
                <w:b/>
              </w:rPr>
              <w:t xml:space="preserve">44.8</w:t>
            </w:r>
          </w:p>
        </w:tc>
        <w:tc>
          <w:tcPr>
            <w:tcW w:w="854" w:type="dxa"/>
          </w:tcPr>
          <w:p>
            <w:pPr>
              <w:pStyle w:val="TableText"/>
              <w:jc w:val="left"/>
            </w:pPr>
            <w:r>
              <w:rPr>
                <w:bCs/>
                <w:b/>
              </w:rPr>
              <w:t xml:space="preserve">48.3</w:t>
            </w:r>
          </w:p>
        </w:tc>
        <w:tc>
          <w:tcPr>
            <w:tcW w:w="785" w:type="dxa"/>
          </w:tcPr>
          <w:p>
            <w:pPr>
              <w:pStyle w:val="TableText"/>
              <w:jc w:val="left"/>
            </w:pPr>
            <w:r>
              <w:rPr>
                <w:bCs/>
                <w:b/>
              </w:rPr>
              <w:t xml:space="preserve">0.9</w:t>
            </w:r>
          </w:p>
        </w:tc>
        <w:tc>
          <w:tcPr>
            <w:tcW w:w="649" w:type="dxa"/>
          </w:tcPr>
          <w:p>
            <w:pPr>
              <w:pStyle w:val="TableText"/>
              <w:jc w:val="left"/>
            </w:pPr>
            <w:r>
              <w:rPr>
                <w:bCs/>
                <w:b/>
              </w:rPr>
              <w:t xml:space="preserve">4.4</w:t>
            </w:r>
          </w:p>
        </w:tc>
        <w:tc>
          <w:tcPr>
            <w:tcW w:w="990" w:type="dxa"/>
          </w:tcPr>
          <w:p>
            <w:pPr>
              <w:pStyle w:val="TableText"/>
              <w:jc w:val="left"/>
            </w:pPr>
            <w:r>
              <w:rPr>
                <w:bCs/>
                <w:b/>
              </w:rPr>
              <w:t xml:space="preserve">7.5</w:t>
            </w:r>
          </w:p>
        </w:tc>
        <w:tc>
          <w:tcPr>
            <w:tcW w:w="956" w:type="dxa"/>
          </w:tcPr>
          <w:p>
            <w:pPr>
              <w:pStyle w:val="TableText"/>
              <w:jc w:val="left"/>
            </w:pPr>
            <w:r>
              <w:rPr>
                <w:bCs/>
                <w:b/>
              </w:rPr>
              <w:t xml:space="preserve">7 (44.8)</w:t>
            </w:r>
          </w:p>
        </w:tc>
      </w:tr>
      <w:tr>
        <w:tc>
          <w:tcPr>
            <w:tcW w:w="887" w:type="dxa"/>
          </w:tcPr>
          <w:p>
            <w:pPr>
              <w:pStyle w:val="TableText"/>
            </w:pPr>
          </w:p>
        </w:tc>
        <w:tc>
          <w:tcPr>
            <w:tcW w:w="1195" w:type="dxa"/>
          </w:tcPr>
          <w:p>
            <w:pPr>
              <w:pStyle w:val="TableText"/>
              <w:jc w:val="left"/>
            </w:pPr>
            <w:r>
              <w:t xml:space="preserve">3</w:t>
            </w:r>
          </w:p>
        </w:tc>
        <w:tc>
          <w:tcPr>
            <w:tcW w:w="887" w:type="dxa"/>
          </w:tcPr>
          <w:p>
            <w:pPr>
              <w:pStyle w:val="TableText"/>
              <w:jc w:val="left"/>
            </w:pPr>
            <w:r>
              <w:t xml:space="preserve">1</w:t>
            </w:r>
          </w:p>
        </w:tc>
        <w:tc>
          <w:tcPr>
            <w:tcW w:w="307" w:type="dxa"/>
          </w:tcPr>
          <w:p>
            <w:pPr>
              <w:pStyle w:val="TableText"/>
              <w:jc w:val="left"/>
            </w:pPr>
            <w:r>
              <w:t xml:space="preserve">1</w:t>
            </w:r>
          </w:p>
        </w:tc>
        <w:tc>
          <w:tcPr>
            <w:tcW w:w="887" w:type="dxa"/>
          </w:tcPr>
          <w:p>
            <w:pPr>
              <w:pStyle w:val="TableText"/>
              <w:jc w:val="left"/>
            </w:pPr>
            <w:r>
              <w:t xml:space="preserve">7.5</w:t>
            </w:r>
          </w:p>
        </w:tc>
        <w:tc>
          <w:tcPr>
            <w:tcW w:w="1024" w:type="dxa"/>
          </w:tcPr>
          <w:p>
            <w:pPr>
              <w:pStyle w:val="TableText"/>
              <w:jc w:val="left"/>
            </w:pPr>
            <w:r>
              <w:t xml:space="preserve">96 (0.83)</w:t>
            </w:r>
          </w:p>
        </w:tc>
        <w:tc>
          <w:tcPr>
            <w:tcW w:w="785" w:type="dxa"/>
          </w:tcPr>
          <w:p>
            <w:pPr>
              <w:pStyle w:val="TableText"/>
              <w:jc w:val="left"/>
            </w:pPr>
            <w:r>
              <w:t xml:space="preserve">40.9</w:t>
            </w:r>
          </w:p>
        </w:tc>
        <w:tc>
          <w:tcPr>
            <w:tcW w:w="854" w:type="dxa"/>
          </w:tcPr>
          <w:p>
            <w:pPr>
              <w:pStyle w:val="TableText"/>
              <w:jc w:val="left"/>
            </w:pPr>
            <w:r>
              <w:t xml:space="preserve">47.1</w:t>
            </w:r>
          </w:p>
        </w:tc>
        <w:tc>
          <w:tcPr>
            <w:tcW w:w="785" w:type="dxa"/>
          </w:tcPr>
          <w:p>
            <w:pPr>
              <w:pStyle w:val="TableText"/>
              <w:jc w:val="left"/>
            </w:pPr>
            <w:r>
              <w:t xml:space="preserve">0.7</w:t>
            </w:r>
          </w:p>
        </w:tc>
        <w:tc>
          <w:tcPr>
            <w:tcW w:w="649" w:type="dxa"/>
          </w:tcPr>
          <w:p>
            <w:pPr>
              <w:pStyle w:val="TableText"/>
              <w:jc w:val="left"/>
            </w:pPr>
            <w:r>
              <w:t xml:space="preserve">6.8</w:t>
            </w:r>
          </w:p>
        </w:tc>
        <w:tc>
          <w:tcPr>
            <w:tcW w:w="990" w:type="dxa"/>
          </w:tcPr>
          <w:p>
            <w:pPr>
              <w:pStyle w:val="TableText"/>
              <w:jc w:val="left"/>
            </w:pPr>
            <w:r>
              <w:t xml:space="preserve">7.5</w:t>
            </w:r>
          </w:p>
        </w:tc>
        <w:tc>
          <w:tcPr>
            <w:tcW w:w="956" w:type="dxa"/>
          </w:tcPr>
          <w:p>
            <w:pPr>
              <w:pStyle w:val="TableText"/>
              <w:jc w:val="left"/>
            </w:pPr>
            <w:r>
              <w:t xml:space="preserve">7 (41.2)</w:t>
            </w:r>
          </w:p>
        </w:tc>
      </w:tr>
      <w:tr>
        <w:tc>
          <w:tcPr>
            <w:tcW w:w="887" w:type="dxa"/>
          </w:tcPr>
          <w:p>
            <w:pPr>
              <w:pStyle w:val="TableText"/>
            </w:pPr>
          </w:p>
        </w:tc>
        <w:tc>
          <w:tcPr>
            <w:tcW w:w="1195" w:type="dxa"/>
          </w:tcPr>
          <w:p>
            <w:pPr>
              <w:pStyle w:val="TableText"/>
              <w:jc w:val="left"/>
            </w:pPr>
            <w:r>
              <w:t xml:space="preserve">3</w:t>
            </w:r>
          </w:p>
        </w:tc>
        <w:tc>
          <w:tcPr>
            <w:tcW w:w="887" w:type="dxa"/>
          </w:tcPr>
          <w:p>
            <w:pPr>
              <w:pStyle w:val="TableText"/>
              <w:jc w:val="left"/>
            </w:pPr>
            <w:r>
              <w:t xml:space="preserve">2</w:t>
            </w:r>
          </w:p>
        </w:tc>
        <w:tc>
          <w:tcPr>
            <w:tcW w:w="307" w:type="dxa"/>
          </w:tcPr>
          <w:p>
            <w:pPr>
              <w:pStyle w:val="TableText"/>
              <w:jc w:val="left"/>
            </w:pPr>
            <w:r>
              <w:t xml:space="preserve">1</w:t>
            </w:r>
          </w:p>
        </w:tc>
        <w:tc>
          <w:tcPr>
            <w:tcW w:w="887" w:type="dxa"/>
          </w:tcPr>
          <w:p>
            <w:pPr>
              <w:pStyle w:val="TableText"/>
              <w:jc w:val="left"/>
            </w:pPr>
            <w:r>
              <w:t xml:space="preserve">5</w:t>
            </w:r>
          </w:p>
        </w:tc>
        <w:tc>
          <w:tcPr>
            <w:tcW w:w="1024" w:type="dxa"/>
          </w:tcPr>
          <w:p>
            <w:pPr>
              <w:pStyle w:val="TableText"/>
              <w:jc w:val="left"/>
            </w:pPr>
            <w:r>
              <w:t xml:space="preserve">100 (0.89)</w:t>
            </w:r>
          </w:p>
        </w:tc>
        <w:tc>
          <w:tcPr>
            <w:tcW w:w="785" w:type="dxa"/>
          </w:tcPr>
          <w:p>
            <w:pPr>
              <w:pStyle w:val="TableText"/>
              <w:jc w:val="left"/>
            </w:pPr>
            <w:r>
              <w:t xml:space="preserve">35.9</w:t>
            </w:r>
          </w:p>
        </w:tc>
        <w:tc>
          <w:tcPr>
            <w:tcW w:w="854" w:type="dxa"/>
          </w:tcPr>
          <w:p>
            <w:pPr>
              <w:pStyle w:val="TableText"/>
              <w:jc w:val="left"/>
            </w:pPr>
            <w:r>
              <w:t xml:space="preserve">35.2</w:t>
            </w:r>
          </w:p>
        </w:tc>
        <w:tc>
          <w:tcPr>
            <w:tcW w:w="785" w:type="dxa"/>
          </w:tcPr>
          <w:p>
            <w:pPr>
              <w:pStyle w:val="TableText"/>
              <w:jc w:val="left"/>
            </w:pPr>
            <w:r>
              <w:t xml:space="preserve">0.1</w:t>
            </w:r>
          </w:p>
        </w:tc>
        <w:tc>
          <w:tcPr>
            <w:tcW w:w="649" w:type="dxa"/>
          </w:tcPr>
          <w:p>
            <w:pPr>
              <w:pStyle w:val="TableText"/>
              <w:jc w:val="left"/>
            </w:pPr>
            <w:r>
              <w:t xml:space="preserve">−0.6</w:t>
            </w:r>
          </w:p>
        </w:tc>
        <w:tc>
          <w:tcPr>
            <w:tcW w:w="990" w:type="dxa"/>
          </w:tcPr>
          <w:p>
            <w:pPr>
              <w:pStyle w:val="TableText"/>
              <w:jc w:val="left"/>
            </w:pPr>
            <w:r>
              <w:t xml:space="preserve">5</w:t>
            </w:r>
          </w:p>
        </w:tc>
        <w:tc>
          <w:tcPr>
            <w:tcW w:w="956" w:type="dxa"/>
          </w:tcPr>
          <w:p>
            <w:pPr>
              <w:pStyle w:val="TableText"/>
              <w:jc w:val="left"/>
            </w:pPr>
            <w:r>
              <w:t xml:space="preserve">6 (37.9)</w:t>
            </w:r>
          </w:p>
        </w:tc>
      </w:tr>
      <w:tr>
        <w:tc>
          <w:tcPr>
            <w:tcW w:w="887" w:type="dxa"/>
          </w:tcPr>
          <w:p>
            <w:pPr>
              <w:pStyle w:val="TableText"/>
            </w:pPr>
          </w:p>
        </w:tc>
        <w:tc>
          <w:tcPr>
            <w:tcW w:w="1195" w:type="dxa"/>
          </w:tcPr>
          <w:p>
            <w:pPr>
              <w:pStyle w:val="TableText"/>
              <w:jc w:val="left"/>
            </w:pPr>
            <w:r>
              <w:t xml:space="preserve">3</w:t>
            </w:r>
          </w:p>
        </w:tc>
        <w:tc>
          <w:tcPr>
            <w:tcW w:w="887" w:type="dxa"/>
          </w:tcPr>
          <w:p>
            <w:pPr>
              <w:pStyle w:val="TableText"/>
              <w:jc w:val="left"/>
            </w:pPr>
            <w:r>
              <w:t xml:space="preserve">0.5</w:t>
            </w:r>
          </w:p>
        </w:tc>
        <w:tc>
          <w:tcPr>
            <w:tcW w:w="307" w:type="dxa"/>
          </w:tcPr>
          <w:p>
            <w:pPr>
              <w:pStyle w:val="TableText"/>
              <w:jc w:val="left"/>
            </w:pPr>
            <w:r>
              <w:t xml:space="preserve">0</w:t>
            </w:r>
          </w:p>
        </w:tc>
        <w:tc>
          <w:tcPr>
            <w:tcW w:w="887" w:type="dxa"/>
          </w:tcPr>
          <w:p>
            <w:pPr>
              <w:pStyle w:val="TableText"/>
              <w:jc w:val="left"/>
            </w:pPr>
            <w:r>
              <w:t xml:space="preserve">7</w:t>
            </w:r>
          </w:p>
        </w:tc>
        <w:tc>
          <w:tcPr>
            <w:tcW w:w="1024" w:type="dxa"/>
          </w:tcPr>
          <w:p>
            <w:pPr>
              <w:pStyle w:val="TableText"/>
              <w:jc w:val="left"/>
            </w:pPr>
            <w:r>
              <w:t xml:space="preserve">100 (0.89)</w:t>
            </w:r>
          </w:p>
        </w:tc>
        <w:tc>
          <w:tcPr>
            <w:tcW w:w="785" w:type="dxa"/>
          </w:tcPr>
          <w:p>
            <w:pPr>
              <w:pStyle w:val="TableText"/>
              <w:jc w:val="left"/>
            </w:pPr>
            <w:r>
              <w:t xml:space="preserve">44.8</w:t>
            </w:r>
          </w:p>
        </w:tc>
        <w:tc>
          <w:tcPr>
            <w:tcW w:w="854" w:type="dxa"/>
          </w:tcPr>
          <w:p>
            <w:pPr>
              <w:pStyle w:val="TableText"/>
              <w:jc w:val="left"/>
            </w:pPr>
            <w:r>
              <w:t xml:space="preserve">48.3</w:t>
            </w:r>
          </w:p>
        </w:tc>
        <w:tc>
          <w:tcPr>
            <w:tcW w:w="785" w:type="dxa"/>
          </w:tcPr>
          <w:p>
            <w:pPr>
              <w:pStyle w:val="TableText"/>
              <w:jc w:val="left"/>
            </w:pPr>
            <w:r>
              <w:t xml:space="preserve">0.9</w:t>
            </w:r>
          </w:p>
        </w:tc>
        <w:tc>
          <w:tcPr>
            <w:tcW w:w="649" w:type="dxa"/>
          </w:tcPr>
          <w:p>
            <w:pPr>
              <w:pStyle w:val="TableText"/>
              <w:jc w:val="left"/>
            </w:pPr>
            <w:r>
              <w:t xml:space="preserve">4.4</w:t>
            </w:r>
          </w:p>
        </w:tc>
        <w:tc>
          <w:tcPr>
            <w:tcW w:w="990" w:type="dxa"/>
          </w:tcPr>
          <w:p>
            <w:pPr>
              <w:pStyle w:val="TableText"/>
              <w:jc w:val="left"/>
            </w:pPr>
            <w:r>
              <w:t xml:space="preserve">7.5</w:t>
            </w:r>
          </w:p>
        </w:tc>
        <w:tc>
          <w:tcPr>
            <w:tcW w:w="956" w:type="dxa"/>
          </w:tcPr>
          <w:p>
            <w:pPr>
              <w:pStyle w:val="TableText"/>
              <w:jc w:val="left"/>
            </w:pPr>
            <w:r>
              <w:t xml:space="preserve">8 (44.8)</w:t>
            </w:r>
          </w:p>
        </w:tc>
      </w:tr>
      <w:tr>
        <w:tc>
          <w:tcPr>
            <w:tcW w:w="887" w:type="dxa"/>
          </w:tcPr>
          <w:p>
            <w:pPr>
              <w:pStyle w:val="TableText"/>
              <w:jc w:val="left"/>
            </w:pPr>
            <w:r>
              <w:t xml:space="preserve">S2</w:t>
            </w:r>
          </w:p>
        </w:tc>
        <w:tc>
          <w:tcPr>
            <w:tcW w:w="1195" w:type="dxa"/>
          </w:tcPr>
          <w:p>
            <w:pPr>
              <w:pStyle w:val="TableText"/>
              <w:jc w:val="left"/>
            </w:pPr>
            <w:r>
              <w:t xml:space="preserve">1</w:t>
            </w:r>
          </w:p>
        </w:tc>
        <w:tc>
          <w:tcPr>
            <w:tcW w:w="887" w:type="dxa"/>
          </w:tcPr>
          <w:p>
            <w:pPr>
              <w:pStyle w:val="TableText"/>
              <w:jc w:val="left"/>
            </w:pPr>
            <w:r>
              <w:t xml:space="preserve">0.5</w:t>
            </w:r>
          </w:p>
        </w:tc>
        <w:tc>
          <w:tcPr>
            <w:tcW w:w="307" w:type="dxa"/>
          </w:tcPr>
          <w:p>
            <w:pPr>
              <w:pStyle w:val="TableText"/>
              <w:jc w:val="left"/>
            </w:pPr>
            <w:r>
              <w:t xml:space="preserve">1</w:t>
            </w:r>
          </w:p>
        </w:tc>
        <w:tc>
          <w:tcPr>
            <w:tcW w:w="887" w:type="dxa"/>
          </w:tcPr>
          <w:p>
            <w:pPr>
              <w:pStyle w:val="TableText"/>
              <w:jc w:val="left"/>
            </w:pPr>
            <w:r>
              <w:t xml:space="preserve">5.5</w:t>
            </w:r>
          </w:p>
        </w:tc>
        <w:tc>
          <w:tcPr>
            <w:tcW w:w="1024" w:type="dxa"/>
          </w:tcPr>
          <w:p>
            <w:pPr>
              <w:pStyle w:val="TableText"/>
              <w:jc w:val="left"/>
            </w:pPr>
            <w:r>
              <w:t xml:space="preserve">100 (0.89)</w:t>
            </w:r>
          </w:p>
        </w:tc>
        <w:tc>
          <w:tcPr>
            <w:tcW w:w="785" w:type="dxa"/>
          </w:tcPr>
          <w:p>
            <w:pPr>
              <w:pStyle w:val="TableText"/>
              <w:jc w:val="left"/>
            </w:pPr>
            <w:r>
              <w:t xml:space="preserve">12.3</w:t>
            </w:r>
          </w:p>
        </w:tc>
        <w:tc>
          <w:tcPr>
            <w:tcW w:w="854" w:type="dxa"/>
          </w:tcPr>
          <w:p>
            <w:pPr>
              <w:pStyle w:val="TableText"/>
              <w:jc w:val="left"/>
            </w:pPr>
            <w:r>
              <w:t xml:space="preserve">12.6</w:t>
            </w:r>
          </w:p>
        </w:tc>
        <w:tc>
          <w:tcPr>
            <w:tcW w:w="785" w:type="dxa"/>
          </w:tcPr>
          <w:p>
            <w:pPr>
              <w:pStyle w:val="TableText"/>
              <w:jc w:val="left"/>
            </w:pPr>
            <w:r>
              <w:t xml:space="preserve">1.1</w:t>
            </w:r>
          </w:p>
        </w:tc>
        <w:tc>
          <w:tcPr>
            <w:tcW w:w="649" w:type="dxa"/>
          </w:tcPr>
          <w:p>
            <w:pPr>
              <w:pStyle w:val="TableText"/>
              <w:jc w:val="left"/>
            </w:pPr>
            <w:r>
              <w:t xml:space="preserve">1.4</w:t>
            </w:r>
          </w:p>
        </w:tc>
        <w:tc>
          <w:tcPr>
            <w:tcW w:w="990" w:type="dxa"/>
          </w:tcPr>
          <w:p>
            <w:pPr>
              <w:pStyle w:val="TableText"/>
              <w:jc w:val="left"/>
            </w:pPr>
            <w:r>
              <w:t xml:space="preserve">6</w:t>
            </w:r>
          </w:p>
        </w:tc>
        <w:tc>
          <w:tcPr>
            <w:tcW w:w="956" w:type="dxa"/>
          </w:tcPr>
          <w:p>
            <w:pPr>
              <w:pStyle w:val="TableText"/>
              <w:jc w:val="left"/>
            </w:pPr>
            <w:r>
              <w:t xml:space="preserve">6 (12.4)</w:t>
            </w:r>
          </w:p>
        </w:tc>
      </w:tr>
      <w:tr>
        <w:tc>
          <w:tcPr>
            <w:tcW w:w="887" w:type="dxa"/>
          </w:tcPr>
          <w:p>
            <w:pPr>
              <w:pStyle w:val="TableText"/>
            </w:pPr>
          </w:p>
        </w:tc>
        <w:tc>
          <w:tcPr>
            <w:tcW w:w="1195" w:type="dxa"/>
          </w:tcPr>
          <w:p>
            <w:pPr>
              <w:pStyle w:val="TableText"/>
              <w:jc w:val="left"/>
            </w:pPr>
            <w:r>
              <w:t xml:space="preserve">1</w:t>
            </w:r>
          </w:p>
        </w:tc>
        <w:tc>
          <w:tcPr>
            <w:tcW w:w="887" w:type="dxa"/>
          </w:tcPr>
          <w:p>
            <w:pPr>
              <w:pStyle w:val="TableText"/>
              <w:jc w:val="left"/>
            </w:pPr>
            <w:r>
              <w:t xml:space="preserve">2</w:t>
            </w:r>
          </w:p>
        </w:tc>
        <w:tc>
          <w:tcPr>
            <w:tcW w:w="307" w:type="dxa"/>
          </w:tcPr>
          <w:p>
            <w:pPr>
              <w:pStyle w:val="TableText"/>
              <w:jc w:val="left"/>
            </w:pPr>
            <w:r>
              <w:t xml:space="preserve">1</w:t>
            </w:r>
          </w:p>
        </w:tc>
        <w:tc>
          <w:tcPr>
            <w:tcW w:w="887" w:type="dxa"/>
          </w:tcPr>
          <w:p>
            <w:pPr>
              <w:pStyle w:val="TableText"/>
              <w:jc w:val="left"/>
            </w:pPr>
            <w:r>
              <w:t xml:space="preserve">none ≥ 1</w:t>
            </w:r>
          </w:p>
        </w:tc>
        <w:tc>
          <w:tcPr>
            <w:tcW w:w="1024" w:type="dxa"/>
          </w:tcPr>
          <w:p>
            <w:pPr>
              <w:pStyle w:val="TableText"/>
              <w:jc w:val="left"/>
            </w:pPr>
            <w:r>
              <w:t xml:space="preserve">–</w:t>
            </w:r>
          </w:p>
        </w:tc>
        <w:tc>
          <w:tcPr>
            <w:tcW w:w="785" w:type="dxa"/>
          </w:tcPr>
          <w:p>
            <w:pPr>
              <w:pStyle w:val="TableText"/>
              <w:jc w:val="left"/>
            </w:pPr>
            <w:r>
              <w:t xml:space="preserve">–</w:t>
            </w:r>
          </w:p>
        </w:tc>
        <w:tc>
          <w:tcPr>
            <w:tcW w:w="854" w:type="dxa"/>
          </w:tcPr>
          <w:p>
            <w:pPr>
              <w:pStyle w:val="TableText"/>
              <w:jc w:val="left"/>
            </w:pPr>
            <w:r>
              <w:t xml:space="preserve">–</w:t>
            </w:r>
          </w:p>
        </w:tc>
        <w:tc>
          <w:tcPr>
            <w:tcW w:w="785" w:type="dxa"/>
          </w:tcPr>
          <w:p>
            <w:pPr>
              <w:pStyle w:val="TableText"/>
              <w:jc w:val="left"/>
            </w:pPr>
            <w:r>
              <w:t xml:space="preserve">–</w:t>
            </w:r>
          </w:p>
        </w:tc>
        <w:tc>
          <w:tcPr>
            <w:tcW w:w="649" w:type="dxa"/>
          </w:tcPr>
          <w:p>
            <w:pPr>
              <w:pStyle w:val="TableText"/>
              <w:jc w:val="left"/>
            </w:pPr>
            <w:r>
              <w:t xml:space="preserve">–</w:t>
            </w:r>
          </w:p>
        </w:tc>
        <w:tc>
          <w:tcPr>
            <w:tcW w:w="990" w:type="dxa"/>
          </w:tcPr>
          <w:p>
            <w:pPr>
              <w:pStyle w:val="TableText"/>
              <w:jc w:val="left"/>
            </w:pPr>
            <w:r>
              <w:t xml:space="preserve">4</w:t>
            </w:r>
          </w:p>
        </w:tc>
        <w:tc>
          <w:tcPr>
            <w:tcW w:w="956" w:type="dxa"/>
          </w:tcPr>
          <w:p>
            <w:pPr>
              <w:pStyle w:val="TableText"/>
              <w:jc w:val="left"/>
            </w:pPr>
            <w:r>
              <w:t xml:space="preserve">4.5 (12.5)</w:t>
            </w:r>
          </w:p>
        </w:tc>
      </w:tr>
      <w:tr>
        <w:tc>
          <w:tcPr>
            <w:tcW w:w="887" w:type="dxa"/>
          </w:tcPr>
          <w:p>
            <w:pPr>
              <w:pStyle w:val="TableText"/>
            </w:pPr>
          </w:p>
        </w:tc>
        <w:tc>
          <w:tcPr>
            <w:tcW w:w="1195" w:type="dxa"/>
          </w:tcPr>
          <w:p>
            <w:pPr>
              <w:pStyle w:val="TableText"/>
              <w:jc w:val="left"/>
            </w:pPr>
            <w:r>
              <w:rPr>
                <w:bCs/>
                <w:b/>
              </w:rPr>
              <w:t xml:space="preserve">3</w:t>
            </w:r>
          </w:p>
        </w:tc>
        <w:tc>
          <w:tcPr>
            <w:tcW w:w="887" w:type="dxa"/>
          </w:tcPr>
          <w:p>
            <w:pPr>
              <w:pStyle w:val="TableText"/>
              <w:jc w:val="left"/>
            </w:pPr>
            <w:r>
              <w:rPr>
                <w:bCs/>
                <w:b/>
              </w:rPr>
              <w:t xml:space="preserve">0.5</w:t>
            </w:r>
          </w:p>
        </w:tc>
        <w:tc>
          <w:tcPr>
            <w:tcW w:w="307" w:type="dxa"/>
          </w:tcPr>
          <w:p>
            <w:pPr>
              <w:pStyle w:val="TableText"/>
              <w:jc w:val="left"/>
            </w:pPr>
            <w:r>
              <w:rPr>
                <w:bCs/>
                <w:b/>
              </w:rPr>
              <w:t xml:space="preserve">1</w:t>
            </w:r>
          </w:p>
        </w:tc>
        <w:tc>
          <w:tcPr>
            <w:tcW w:w="887" w:type="dxa"/>
          </w:tcPr>
          <w:p>
            <w:pPr>
              <w:pStyle w:val="TableText"/>
              <w:jc w:val="left"/>
            </w:pPr>
            <w:r>
              <w:rPr>
                <w:bCs/>
                <w:b/>
              </w:rPr>
              <w:t xml:space="preserve">7</w:t>
            </w:r>
          </w:p>
        </w:tc>
        <w:tc>
          <w:tcPr>
            <w:tcW w:w="1024" w:type="dxa"/>
          </w:tcPr>
          <w:p>
            <w:pPr>
              <w:pStyle w:val="TableText"/>
              <w:jc w:val="left"/>
            </w:pPr>
            <w:r>
              <w:rPr>
                <w:bCs/>
                <w:b/>
              </w:rPr>
              <w:t xml:space="preserve">100 (0.89)</w:t>
            </w:r>
          </w:p>
        </w:tc>
        <w:tc>
          <w:tcPr>
            <w:tcW w:w="785" w:type="dxa"/>
          </w:tcPr>
          <w:p>
            <w:pPr>
              <w:pStyle w:val="TableText"/>
              <w:jc w:val="left"/>
            </w:pPr>
            <w:r>
              <w:rPr>
                <w:bCs/>
                <w:b/>
              </w:rPr>
              <w:t xml:space="preserve">43.1</w:t>
            </w:r>
          </w:p>
        </w:tc>
        <w:tc>
          <w:tcPr>
            <w:tcW w:w="854" w:type="dxa"/>
          </w:tcPr>
          <w:p>
            <w:pPr>
              <w:pStyle w:val="TableText"/>
              <w:jc w:val="left"/>
            </w:pPr>
            <w:r>
              <w:rPr>
                <w:bCs/>
                <w:b/>
              </w:rPr>
              <w:t xml:space="preserve">48.4</w:t>
            </w:r>
          </w:p>
        </w:tc>
        <w:tc>
          <w:tcPr>
            <w:tcW w:w="785" w:type="dxa"/>
          </w:tcPr>
          <w:p>
            <w:pPr>
              <w:pStyle w:val="TableText"/>
              <w:jc w:val="left"/>
            </w:pPr>
            <w:r>
              <w:rPr>
                <w:bCs/>
                <w:b/>
              </w:rPr>
              <w:t xml:space="preserve">1.2</w:t>
            </w:r>
          </w:p>
        </w:tc>
        <w:tc>
          <w:tcPr>
            <w:tcW w:w="649" w:type="dxa"/>
          </w:tcPr>
          <w:p>
            <w:pPr>
              <w:pStyle w:val="TableText"/>
              <w:jc w:val="left"/>
            </w:pPr>
            <w:r>
              <w:rPr>
                <w:bCs/>
                <w:b/>
              </w:rPr>
              <w:t xml:space="preserve">6.4</w:t>
            </w:r>
          </w:p>
        </w:tc>
        <w:tc>
          <w:tcPr>
            <w:tcW w:w="990" w:type="dxa"/>
          </w:tcPr>
          <w:p>
            <w:pPr>
              <w:pStyle w:val="TableText"/>
              <w:jc w:val="left"/>
            </w:pPr>
            <w:r>
              <w:rPr>
                <w:bCs/>
                <w:b/>
              </w:rPr>
              <w:t xml:space="preserve">7.5</w:t>
            </w:r>
          </w:p>
        </w:tc>
        <w:tc>
          <w:tcPr>
            <w:tcW w:w="956" w:type="dxa"/>
          </w:tcPr>
          <w:p>
            <w:pPr>
              <w:pStyle w:val="TableText"/>
              <w:jc w:val="left"/>
            </w:pPr>
            <w:r>
              <w:rPr>
                <w:bCs/>
                <w:b/>
              </w:rPr>
              <w:t xml:space="preserve">7 (43.1)</w:t>
            </w:r>
          </w:p>
        </w:tc>
      </w:tr>
      <w:tr>
        <w:tc>
          <w:tcPr>
            <w:tcW w:w="887" w:type="dxa"/>
          </w:tcPr>
          <w:p>
            <w:pPr>
              <w:pStyle w:val="TableText"/>
            </w:pPr>
          </w:p>
        </w:tc>
        <w:tc>
          <w:tcPr>
            <w:tcW w:w="1195" w:type="dxa"/>
          </w:tcPr>
          <w:p>
            <w:pPr>
              <w:pStyle w:val="TableText"/>
              <w:jc w:val="left"/>
            </w:pPr>
            <w:r>
              <w:t xml:space="preserve">3</w:t>
            </w:r>
          </w:p>
        </w:tc>
        <w:tc>
          <w:tcPr>
            <w:tcW w:w="887" w:type="dxa"/>
          </w:tcPr>
          <w:p>
            <w:pPr>
              <w:pStyle w:val="TableText"/>
              <w:jc w:val="left"/>
            </w:pPr>
            <w:r>
              <w:t xml:space="preserve">2</w:t>
            </w:r>
          </w:p>
        </w:tc>
        <w:tc>
          <w:tcPr>
            <w:tcW w:w="307" w:type="dxa"/>
          </w:tcPr>
          <w:p>
            <w:pPr>
              <w:pStyle w:val="TableText"/>
              <w:jc w:val="left"/>
            </w:pPr>
            <w:r>
              <w:t xml:space="preserve">1</w:t>
            </w:r>
          </w:p>
        </w:tc>
        <w:tc>
          <w:tcPr>
            <w:tcW w:w="887" w:type="dxa"/>
          </w:tcPr>
          <w:p>
            <w:pPr>
              <w:pStyle w:val="TableText"/>
              <w:jc w:val="left"/>
            </w:pPr>
            <w:r>
              <w:t xml:space="preserve">1.5</w:t>
            </w:r>
          </w:p>
        </w:tc>
        <w:tc>
          <w:tcPr>
            <w:tcW w:w="1024" w:type="dxa"/>
          </w:tcPr>
          <w:p>
            <w:pPr>
              <w:pStyle w:val="TableText"/>
              <w:jc w:val="left"/>
            </w:pPr>
            <w:r>
              <w:t xml:space="preserve">100 (0.89)</w:t>
            </w:r>
          </w:p>
        </w:tc>
        <w:tc>
          <w:tcPr>
            <w:tcW w:w="785" w:type="dxa"/>
          </w:tcPr>
          <w:p>
            <w:pPr>
              <w:pStyle w:val="TableText"/>
              <w:jc w:val="left"/>
            </w:pPr>
            <w:r>
              <w:t xml:space="preserve">14.7</w:t>
            </w:r>
          </w:p>
        </w:tc>
        <w:tc>
          <w:tcPr>
            <w:tcW w:w="854" w:type="dxa"/>
          </w:tcPr>
          <w:p>
            <w:pPr>
              <w:pStyle w:val="TableText"/>
              <w:jc w:val="left"/>
            </w:pPr>
            <w:r>
              <w:t xml:space="preserve">10.8</w:t>
            </w:r>
          </w:p>
        </w:tc>
        <w:tc>
          <w:tcPr>
            <w:tcW w:w="785" w:type="dxa"/>
          </w:tcPr>
          <w:p>
            <w:pPr>
              <w:pStyle w:val="TableText"/>
              <w:jc w:val="left"/>
            </w:pPr>
            <w:r>
              <w:t xml:space="preserve">0.6</w:t>
            </w:r>
          </w:p>
        </w:tc>
        <w:tc>
          <w:tcPr>
            <w:tcW w:w="649" w:type="dxa"/>
          </w:tcPr>
          <w:p>
            <w:pPr>
              <w:pStyle w:val="TableText"/>
              <w:jc w:val="left"/>
            </w:pPr>
            <w:r>
              <w:t xml:space="preserve">−3.3</w:t>
            </w:r>
          </w:p>
        </w:tc>
        <w:tc>
          <w:tcPr>
            <w:tcW w:w="990" w:type="dxa"/>
          </w:tcPr>
          <w:p>
            <w:pPr>
              <w:pStyle w:val="TableText"/>
              <w:jc w:val="left"/>
            </w:pPr>
            <w:r>
              <w:t xml:space="preserve">5</w:t>
            </w:r>
          </w:p>
        </w:tc>
        <w:tc>
          <w:tcPr>
            <w:tcW w:w="956" w:type="dxa"/>
          </w:tcPr>
          <w:p>
            <w:pPr>
              <w:pStyle w:val="TableText"/>
              <w:jc w:val="left"/>
            </w:pPr>
            <w:r>
              <w:t xml:space="preserve">5.5 (34.6)</w:t>
            </w:r>
          </w:p>
        </w:tc>
      </w:tr>
      <w:tr>
        <w:tc>
          <w:tcPr>
            <w:tcW w:w="887" w:type="dxa"/>
          </w:tcPr>
          <w:p>
            <w:pPr>
              <w:pStyle w:val="TableText"/>
            </w:pPr>
          </w:p>
        </w:tc>
        <w:tc>
          <w:tcPr>
            <w:tcW w:w="1195" w:type="dxa"/>
          </w:tcPr>
          <w:p>
            <w:pPr>
              <w:pStyle w:val="TableText"/>
              <w:jc w:val="left"/>
            </w:pPr>
            <w:r>
              <w:t xml:space="preserve">3</w:t>
            </w:r>
          </w:p>
        </w:tc>
        <w:tc>
          <w:tcPr>
            <w:tcW w:w="887" w:type="dxa"/>
          </w:tcPr>
          <w:p>
            <w:pPr>
              <w:pStyle w:val="TableText"/>
              <w:jc w:val="left"/>
            </w:pPr>
            <w:r>
              <w:t xml:space="preserve">0.5</w:t>
            </w:r>
          </w:p>
        </w:tc>
        <w:tc>
          <w:tcPr>
            <w:tcW w:w="307" w:type="dxa"/>
          </w:tcPr>
          <w:p>
            <w:pPr>
              <w:pStyle w:val="TableText"/>
              <w:jc w:val="left"/>
            </w:pPr>
            <w:r>
              <w:t xml:space="preserve">0</w:t>
            </w:r>
          </w:p>
        </w:tc>
        <w:tc>
          <w:tcPr>
            <w:tcW w:w="887" w:type="dxa"/>
          </w:tcPr>
          <w:p>
            <w:pPr>
              <w:pStyle w:val="TableText"/>
              <w:jc w:val="left"/>
            </w:pPr>
            <w:r>
              <w:t xml:space="preserve">7</w:t>
            </w:r>
          </w:p>
        </w:tc>
        <w:tc>
          <w:tcPr>
            <w:tcW w:w="1024" w:type="dxa"/>
          </w:tcPr>
          <w:p>
            <w:pPr>
              <w:pStyle w:val="TableText"/>
              <w:jc w:val="left"/>
            </w:pPr>
            <w:r>
              <w:t xml:space="preserve">100 (0.89)</w:t>
            </w:r>
          </w:p>
        </w:tc>
        <w:tc>
          <w:tcPr>
            <w:tcW w:w="785" w:type="dxa"/>
          </w:tcPr>
          <w:p>
            <w:pPr>
              <w:pStyle w:val="TableText"/>
              <w:jc w:val="left"/>
            </w:pPr>
            <w:r>
              <w:t xml:space="preserve">43.1</w:t>
            </w:r>
          </w:p>
        </w:tc>
        <w:tc>
          <w:tcPr>
            <w:tcW w:w="854" w:type="dxa"/>
          </w:tcPr>
          <w:p>
            <w:pPr>
              <w:pStyle w:val="TableText"/>
              <w:jc w:val="left"/>
            </w:pPr>
            <w:r>
              <w:t xml:space="preserve">48.4</w:t>
            </w:r>
          </w:p>
        </w:tc>
        <w:tc>
          <w:tcPr>
            <w:tcW w:w="785" w:type="dxa"/>
          </w:tcPr>
          <w:p>
            <w:pPr>
              <w:pStyle w:val="TableText"/>
              <w:jc w:val="left"/>
            </w:pPr>
            <w:r>
              <w:t xml:space="preserve">1.2</w:t>
            </w:r>
          </w:p>
        </w:tc>
        <w:tc>
          <w:tcPr>
            <w:tcW w:w="649" w:type="dxa"/>
          </w:tcPr>
          <w:p>
            <w:pPr>
              <w:pStyle w:val="TableText"/>
              <w:jc w:val="left"/>
            </w:pPr>
            <w:r>
              <w:t xml:space="preserve">6.4</w:t>
            </w:r>
          </w:p>
        </w:tc>
        <w:tc>
          <w:tcPr>
            <w:tcW w:w="990" w:type="dxa"/>
          </w:tcPr>
          <w:p>
            <w:pPr>
              <w:pStyle w:val="TableText"/>
              <w:jc w:val="left"/>
            </w:pPr>
            <w:r>
              <w:t xml:space="preserve">7.5</w:t>
            </w:r>
          </w:p>
        </w:tc>
        <w:tc>
          <w:tcPr>
            <w:tcW w:w="956" w:type="dxa"/>
          </w:tcPr>
          <w:p>
            <w:pPr>
              <w:pStyle w:val="TableText"/>
              <w:jc w:val="left"/>
            </w:pPr>
            <w:r>
              <w:t xml:space="preserve">7 (43.1)</w:t>
            </w:r>
          </w:p>
        </w:tc>
      </w:tr>
    </w:tbl>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133"/>
    <w:bookmarkStart w:id="134" w:name="X868a2a7d3ce65aff3f3fca7101e3ad3434f121b"/>
    <w:p>
      <w:pPr>
        <w:pStyle w:val="Heading3"/>
      </w:pPr>
      <w:r>
        <w:t xml:space="preserve">5.10.4. More operating days and a DR day in another month</w:t>
      </w:r>
    </w:p>
    <w:p>
      <w:pPr>
        <w:pStyle w:val="FirstParagraph"/>
      </w:pPr>
      <w:r>
        <w:t xml:space="preserve">Two further test sets examine the out-of-sample evidence. The first extends the 26 operating days to 78 realisations by pairing every PAI weekday with three different hot days and inference days instead of one. The second takes the weather of the DR day, of its five baseline days and of the historical days from July instead of early August (DR day 22 July 2024, 36.8 °C; baseline days 15–19 July). The baseline, the day-ahead forecasts of PV and temperature and the connection limit (15.96 instead of 16.03 MW) change accordingly. The operating days keep their computing and inference traces, but 24 of the 26 are paired with a different hot day, because the dates reserved for the DR day and its baseline change.</w:t>
      </w:r>
    </w:p>
    <w:p>
      <w:pPr>
        <w:pStyle w:val="BodyText"/>
      </w:pPr>
      <w:r>
        <w:t xml:space="preserve">On the 78 realisations, JR-D delivers 6.5, 7 and 7.5 MW in full on every realisation in S1 and S2, and 8 MW on 86 % and 82 % of them, close to the 81 % on the 26 operating days. For the cost-optimal 7 MW, the one-sided 95 % Clopper–Pearson lower bound of the full-delivery probability rises from 0.891 to 0.962 and thus exceeds the target of 0.95. JR-M delivers its robust 6 MW in S1 on every realisation, and in S2 it delivers 4 MW on every realisation but its sample-average commitment of 5 MW on only 88 % of them (92 % on the 26 operating days), and IR-O* fails at 1 MW on 28–30 % of them. The 78 realisations share the 26 computing traces, each of which appears with three weather and inference days, so they are not independent in the computing load; the bound of 0.962 refers to this crossed design, and 0.891 remains the bound for independent operating days.</w:t>
      </w:r>
    </w:p>
    <w:p>
      <w:pPr>
        <w:pStyle w:val="BodyText"/>
      </w:pPr>
      <w:r>
        <w:t xml:space="preserve">In the July case, JR-D again firmly delivers 7.5 MW in S1 and S2: it delivers 7.5 MW in full on all 26 days in S1 and on 25 in S2, and 8 MW on 77 % and 62 % of them. JR-M firmly delivers 6.5 MW in S1 and 4 MW in S2 (the July grid has no point between 4 and 5 MW), and IR-O* is not firm at 1 MW, which it delivers in full on 69 % and 62 % of the days. On the July historical days JR-D reaches 8.25 MW on 12 days and 7.75 MW on two, so the radius is 0.047 MW, and the robust and cost-optimal commitment is 6.5 MW in both scenarios, 0.5 MW below the base case. It is delivered in full on every operating day and earns 44.3 (S1) and 42.6 k CNY/day (S2) relative to no DR in the same month, 1.0 and 0.9 k CNY/day less than the best commitment in hindsight (7–7.5 MW). For JR-M the robust commitment is 5 MW in S1, delivered in full on every day with 32.9 k CNY/day, and in S2 no commitment of 1 MW or more is robust, as in the base case. The firm capacities, the ranking of the controllers and the reliability of the robust commitment therefore carry over to a DR day in another month.</w:t>
      </w:r>
    </w:p>
    <w:bookmarkEnd w:id="134"/>
    <w:bookmarkEnd w:id="135"/>
    <w:bookmarkEnd w:id="136"/>
    <w:bookmarkStart w:id="137" w:name="conclusions"/>
    <w:p>
      <w:pPr>
        <w:pStyle w:val="Heading1"/>
      </w:pPr>
      <w:r>
        <w:t xml:space="preserve">6. Conclusions</w:t>
      </w:r>
    </w:p>
    <w:p>
      <w:pPr>
        <w:pStyle w:val="FirstParagraph"/>
      </w:pPr>
      <w:r>
        <w:t xml:space="preserve">AI data centers are increasingly called upon for consecutive DR events, and the capacity that they can firmly commit is decided during recovery. This paper developed a recovery-aware coordinated scheduling framework for consecutive DR of an AI data-center integrated energy system, which comprises a cross-event heterogeneous recovery model, the firm consecutive DR capacity with its distributionally robust commitment and an intraday cross-event joint recovery MPC. The framework was tested on a 16 000-GPU data center under the Jiangsu rules with 26 operating days built from public computing traces. The main conclusions are summarised as follows.</w:t>
      </w:r>
    </w:p>
    <w:p>
      <w:pPr>
        <w:numPr>
          <w:ilvl w:val="0"/>
          <w:numId w:val="1003"/>
        </w:numPr>
      </w:pPr>
      <w:r>
        <w:t xml:space="preserve">Deliverability is decided during recovery, and cross-event joint recovery makes it firm. Computing backlog and storage deficit compete for one recovery channel. Joint recovery carries the long-deadline backlog across the next event and spends the channel on recharging, devoting 57 % of the recovery energy to storage within a 30-min interval instead of 32 % under independent recovery. It firmly delivers 7.5 MW in the two-event scenarios, 94 % of the physical capability of the second event, and 6.5 MW with a third, rapid event. Independent recovery with a day-ahead tuned split or a one-way day-ahead channel price is not firm at any commitment down to 1 MW, because baseline deviations of up to 3.3 MW fall on storage that serves a fixed share of the reduction. Iterative two-way price coordination recovers most of the value of coordination (6.5 and 6.0 MW) but stays 1.0–2.5 MW below joint recovery at 4.7 times its computation, and staged recovery with the same foresight stays 0.5 MW below with two events and 2.5 MW below with three: the joint allocation of the recovery channel is worth most when a third, rapid event follows.</w:t>
      </w:r>
    </w:p>
    <w:p>
      <w:pPr>
        <w:numPr>
          <w:ilvl w:val="0"/>
          <w:numId w:val="1003"/>
        </w:numPr>
      </w:pPr>
      <w:r>
        <w:t xml:space="preserve">Cross-event foresight is most valuable at short intervals and substitutes hardware. Foresight adds 4.0 MW of firm capacity at a 15-min, 3.0 MW at a 30-min and 1.0 MW at a 1-h interval (2.0 MW with three events) and vanishes at 2–3 h, as Proposition 2 predicts, whereas coordination adds at least 2.5–6.75 MW at every interval. With foresight, 2.7 MWh of battery firmly deliver what event-by-event joint recovery needs 12 MWh for, a saving of 9.3 MWh or about 5.6 million CNY, and the saving rises to 14.0 MWh as the target approaches the limit of event-by-event recovery. Connection expansion cannot replace foresight: with 4.4 MW more connection, event-by-event recovery still firmly delivers 2.5 MW less, because at short intervals the recharge rate, not the connection, limits how much storage can be restored.</w:t>
      </w:r>
    </w:p>
    <w:p>
      <w:pPr>
        <w:numPr>
          <w:ilvl w:val="0"/>
          <w:numId w:val="1003"/>
        </w:numPr>
      </w:pPr>
      <w:r>
        <w:t xml:space="preserve">The commitment must reflect what the controller delivers. A closed-loop back-test on 14 historical days refuses to commit independent recovery with a static split or a day-ahead price, which fails at 1 MW on 2–4 of them, and its Wasserstein-robust version, solved exactly by sorting, corrects over-confident sample-average commitments (event-by-event recovery in S1: 7.5 → 6.0 MW, full delivery out of sample 77 → 100 %). Robustness costs little for the concentrated capability of cross-event joint recovery and much for dispersed ones. The cost-optimal commitment of cross-event joint recovery, 7 MW, is delivered in full on every operating day and earns 43–45 thousand CNY per day, whereas a perfect-recourse two-stage model commits the single-event capabilities (8.18/7.98 MW), which are delivered in full on only 85 % of the days.</w:t>
      </w:r>
    </w:p>
    <w:p>
      <w:pPr>
        <w:numPr>
          <w:ilvl w:val="0"/>
          <w:numId w:val="1003"/>
        </w:numPr>
      </w:pPr>
      <w:r>
        <w:t xml:space="preserve">The integrated energy system provides the recovery channel at almost no energy or carbon cost. The gas engine and the absorption chiller supply 85 % of the energy drawn through the recovery channel; without the gas engine the firm capacity falls by 2.0 MW and without all three CCHP and cold-storage devices by 3.0 MW, as much as cross-event foresight adds. Computing flexibility and storage are complements: 3.0 MW and below 1 MW alone, 7.5 MW together. Consecutive DR changes the CO</w:t>
      </w:r>
      <w:r>
        <w:rPr>
          <w:vertAlign w:val="subscript"/>
        </w:rPr>
        <w:t xml:space="preserve">2</w:t>
      </w:r>
      <w:r>
        <w:t xml:space="preserve"> </w:t>
      </w:r>
      <w:r>
        <w:t xml:space="preserve">emissions by less than 0.2 % and leaves the daily electric PUE at 1.253, and the CCHP devices lower the evening PUE to 1.217.</w:t>
      </w:r>
    </w:p>
    <w:p>
      <w:pPr>
        <w:numPr>
          <w:ilvl w:val="0"/>
          <w:numId w:val="1003"/>
        </w:numPr>
      </w:pPr>
      <w:r>
        <w:t xml:space="preserve">These results are robust to the main assumptions of the case. Less flexible computing work, with half or a quarter of the training and batch work deferrable, halved lag bounds or a higher idle power, lowers the firm capacities, to 58–68 % of the base case for JR-D when all three changes are combined, but leaves the ranking of the controllers unchanged. A prediction horizon of 8 h attains the firm capacity of the 18-h base case, whereas horizons of 2 h or less hardly prepare the storage and push deferred work beyond the horizon. For DR prices cleared at 1–3 CNY/kWh and the base delay price, the cost-optimal commitment stays at 5.5–7.5 MW and is delivered in full on 96–100 % of the operating days, and a literal reading of the Jiangsu rules without shortfall assessment changes nothing; a delay price twice the base value at the lowest DR price, or four times at the others, makes the robust commitment conservative, because the controller then accepts shortfalls instead of deferring work on some days. The cost-optimal 7 MW is delivered in full on all 78 test realisations, which raises the lower 95 % confidence bound of its full-delivery probability from 0.891 to 0.962, and with the DR day moved to July the firm capacities stay the same within the resolution of the grid and the robust commitment of 6.5 MW is delivered in full on every operating day.</w:t>
      </w:r>
    </w:p>
    <w:p>
      <w:pPr>
        <w:pStyle w:val="FirstParagraph"/>
      </w:pPr>
      <w:r>
        <w:t xml:space="preserve">For DR practice, these results support sizing consecutive-event contracts of AI data centers by the firm capacity of the controller that operates them rather than by physical capability, and they allow grid operators to accept larger firm commitments from data centers that coordinate computing and storage recovery across events. Future work will extend the framework to geographically distributed data centers that shift work between sites, to the thermal inertia of the server halls as a further recovery resource, and to the co-planning of batteries, connection capacity and DR contracts over the life of the data center.</w:t>
      </w:r>
    </w:p>
    <w:bookmarkEnd w:id="137"/>
    <w:bookmarkStart w:id="138" w:name="credit-authorship-contribution-statement"/>
    <w:p>
      <w:pPr>
        <w:pStyle w:val="Heading1"/>
      </w:pPr>
      <w:r>
        <w:t xml:space="preserve">CRediT authorship contribution statement</w:t>
      </w:r>
    </w:p>
    <w:p>
      <w:pPr>
        <w:pStyle w:val="FirstParagraph"/>
      </w:pPr>
      <w:r>
        <w:rPr>
          <w:rStyle w:val="Placeholder"/>
        </w:rPr>
        <w:t xml:space="preserve">Contribution of each author in the CRediT roles, e.g. Conceptualization, Methodology, Software, Formal analysis, Writing – original draft, Writing – review &amp; editing, Supervision, Funding acquisition.</w:t>
      </w:r>
    </w:p>
    <w:bookmarkEnd w:id="138"/>
    <w:bookmarkStart w:id="139" w:name="declaration-of-competing-interest"/>
    <w:p>
      <w:pPr>
        <w:pStyle w:val="Heading1"/>
      </w:pPr>
      <w:r>
        <w:t xml:space="preserve">Declaration of competing interest</w:t>
      </w:r>
    </w:p>
    <w:p>
      <w:pPr>
        <w:pStyle w:val="FirstParagraph"/>
      </w:pPr>
      <w:r>
        <w:rPr>
          <w:rStyle w:val="Placeholder"/>
        </w:rPr>
        <w:t xml:space="preserve">Competing interests of the authors. If there are none, Elsevier’s standard wording is:</w:t>
      </w:r>
      <w:r>
        <w:rPr>
          <w:rStyle w:val="Placeholder"/>
        </w:rPr>
        <w:t xml:space="preserve"> </w:t>
      </w:r>
      <w:r>
        <w:rPr>
          <w:rStyle w:val="Placeholder"/>
        </w:rPr>
        <w:t xml:space="preserve">“</w:t>
      </w:r>
      <w:r>
        <w:rPr>
          <w:rStyle w:val="Placeholder"/>
        </w:rPr>
        <w:t xml:space="preserve">The authors declare that they have no known competing financial interests or personal relationships that could have appeared to influence the work reported in this paper.</w:t>
      </w:r>
      <w:r>
        <w:rPr>
          <w:rStyle w:val="Placeholder"/>
        </w:rPr>
        <w:t xml:space="preserve">”</w:t>
      </w:r>
    </w:p>
    <w:bookmarkEnd w:id="139"/>
    <w:bookmarkStart w:id="140" w:name="X071796dd6bc546c91e96cca1cf5ff96599de61f"/>
    <w:p>
      <w:pPr>
        <w:pStyle w:val="Heading1"/>
      </w:pPr>
      <w:r>
        <w:t xml:space="preserve">Declaration of generative AI and AI-assisted technologies in the writing process</w:t>
      </w:r>
    </w:p>
    <w:p>
      <w:pPr>
        <w:pStyle w:val="FirstParagraph"/>
      </w:pPr>
      <w:r>
        <w:rPr>
          <w:rStyle w:val="Placeholder"/>
        </w:rPr>
        <w:t xml:space="preserve">Required by Elsevier when generative AI was used in preparing the manuscript, e.g. </w:t>
      </w:r>
      <w:r>
        <w:rPr>
          <w:rStyle w:val="Placeholder"/>
        </w:rPr>
        <w:t xml:space="preserve">“</w:t>
      </w:r>
      <w:r>
        <w:rPr>
          <w:rStyle w:val="Placeholder"/>
        </w:rPr>
        <w:t xml:space="preserve">During the preparation of this work the author(s) used</w:t>
      </w:r>
      <w:r>
        <w:rPr>
          <w:rStyle w:val="Placeholder"/>
        </w:rPr>
        <w:t xml:space="preserve"> </w:t>
      </w:r>
      <w:r>
        <w:rPr>
          <w:rStyle w:val="Placeholder"/>
          <w:iCs/>
          <w:i/>
        </w:rPr>
        <w:t xml:space="preserve">name of tool or service</w:t>
      </w:r>
      <w:r>
        <w:rPr>
          <w:rStyle w:val="Placeholder"/>
        </w:rPr>
        <w:t xml:space="preserve"> </w:t>
      </w:r>
      <w:r>
        <w:rPr>
          <w:rStyle w:val="Placeholder"/>
        </w:rPr>
        <w:t xml:space="preserve">in order to</w:t>
      </w:r>
      <w:r>
        <w:rPr>
          <w:rStyle w:val="Placeholder"/>
        </w:rPr>
        <w:t xml:space="preserve"> </w:t>
      </w:r>
      <w:r>
        <w:rPr>
          <w:rStyle w:val="Placeholder"/>
          <w:iCs/>
          <w:i/>
        </w:rPr>
        <w:t xml:space="preserve">reason</w:t>
      </w:r>
      <w:r>
        <w:rPr>
          <w:rStyle w:val="Placeholder"/>
        </w:rPr>
        <w:t xml:space="preserve">. After using this tool or service, the author(s) reviewed and edited the content as needed and take(s) full responsibility for the content of the published article.</w:t>
      </w:r>
      <w:r>
        <w:rPr>
          <w:rStyle w:val="Placeholder"/>
        </w:rPr>
        <w:t xml:space="preserve">”</w:t>
      </w:r>
    </w:p>
    <w:bookmarkEnd w:id="140"/>
    <w:bookmarkStart w:id="141" w:name="acknowledgements"/>
    <w:p>
      <w:pPr>
        <w:pStyle w:val="Heading1"/>
      </w:pPr>
      <w:r>
        <w:t xml:space="preserve">Acknowledgements</w:t>
      </w:r>
    </w:p>
    <w:p>
      <w:pPr>
        <w:pStyle w:val="FirstParagraph"/>
      </w:pPr>
      <w:r>
        <w:rPr>
          <w:rStyle w:val="Placeholder"/>
        </w:rPr>
        <w:t xml:space="preserve">Funding sources with grant numbers.</w:t>
      </w:r>
    </w:p>
    <w:bookmarkEnd w:id="141"/>
    <w:bookmarkStart w:id="142" w:name="data-availability"/>
    <w:p>
      <w:pPr>
        <w:pStyle w:val="Heading1"/>
      </w:pPr>
      <w:r>
        <w:t xml:space="preserve">Data availability</w:t>
      </w:r>
    </w:p>
    <w:p>
      <w:pPr>
        <w:pStyle w:val="FirstParagraph"/>
      </w:pPr>
      <w:r>
        <w:rPr>
          <w:rStyle w:val="Placeholder"/>
        </w:rPr>
        <w:t xml:space="preserve">Where the code and data can be obtained, e.g. a public repository, or</w:t>
      </w:r>
      <w:r>
        <w:rPr>
          <w:rStyle w:val="Placeholder"/>
        </w:rPr>
        <w:t xml:space="preserve"> </w:t>
      </w:r>
      <w:r>
        <w:rPr>
          <w:rStyle w:val="Placeholder"/>
        </w:rPr>
        <w:t xml:space="preserve">“</w:t>
      </w:r>
      <w:r>
        <w:rPr>
          <w:rStyle w:val="Placeholder"/>
        </w:rPr>
        <w:t xml:space="preserve">Data will be made available on request.</w:t>
      </w:r>
      <w:r>
        <w:rPr>
          <w:rStyle w:val="Placeholder"/>
        </w:rPr>
        <w:t xml:space="preserve">”</w:t>
      </w:r>
    </w:p>
    <w:bookmarkEnd w:id="142"/>
    <w:bookmarkStart w:id="143" w:name="X7a93262262cf2153410ed77390956f6788b11c2"/>
    <w:p>
      <w:pPr>
        <w:pStyle w:val="Heading1"/>
      </w:pPr>
      <w:r>
        <w:t xml:space="preserve">Appendix A. Case-study parameters and data</w:t>
      </w:r>
    </w:p>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num="2" w:space="369"/>
        </w:sectPr>
      </w:pPr>
    </w:p>
    <w:p>
      <w:pPr>
        <w:pStyle w:val="TableCaption"/>
      </w:pPr>
      <w:r>
        <w:rPr>
          <w:bCs/>
          <w:b/>
        </w:rPr>
        <w:t xml:space="preserve">Table A1</w:t>
      </w:r>
      <w:r>
        <w:br/>
      </w:r>
      <w:r>
        <w:t xml:space="preserve">Parameters of the case study ([S] taken from a cited source, [D] derived from public data, [A] modelling assumption).</w:t>
      </w:r>
    </w:p>
    <w:tbl>
      <w:tblPr>
        <w:tblStyle w:val="Table"/>
        <w:tblW w:w="10206" w:type="dxa"/>
        <w:jc w:val="start"/>
        <w:tblBorders>
          <w:top w:val="single" w:sz="6" w:space="0" w:color="000000"/>
          <w:bottom w:val="single" w:sz="6" w:space="0" w:color="000000"/>
        </w:tblBorders>
        <w:tblLayout w:type="fixed"/>
        <w:tblLook w:firstRow="1" w:lastRow="0" w:firstColumn="0" w:lastColumn="0" w:noHBand="0" w:noVBand="0" w:val="0020"/>
      </w:tblPr>
      <w:tblGrid>
        <w:gridCol w:w="1326"/>
        <w:gridCol w:w="2586"/>
        <w:gridCol w:w="5171"/>
        <w:gridCol w:w="1123"/>
      </w:tblGrid>
      <w:tr>
        <w:trPr>
          <w:tblHeader w:val="true"/>
        </w:trPr>
        <w:tc>
          <w:tcPr>
            <w:tcW w:w="1326" w:type="dxa"/>
            <w:tcBorders>
              <w:bottom w:val="single" w:sz="4" w:space="0" w:color="000000"/>
            </w:tcBorders>
          </w:tcPr>
          <w:p>
            <w:pPr>
              <w:pStyle w:val="TableText"/>
              <w:jc w:val="left"/>
            </w:pPr>
            <w:r>
              <w:t xml:space="preserve">Subsystem</w:t>
            </w:r>
          </w:p>
        </w:tc>
        <w:tc>
          <w:tcPr>
            <w:tcW w:w="2586" w:type="dxa"/>
            <w:tcBorders>
              <w:bottom w:val="single" w:sz="4" w:space="0" w:color="000000"/>
            </w:tcBorders>
          </w:tcPr>
          <w:p>
            <w:pPr>
              <w:pStyle w:val="TableText"/>
              <w:jc w:val="left"/>
            </w:pPr>
            <w:r>
              <w:t xml:space="preserve">Parameter</w:t>
            </w:r>
          </w:p>
        </w:tc>
        <w:tc>
          <w:tcPr>
            <w:tcW w:w="5171" w:type="dxa"/>
            <w:tcBorders>
              <w:bottom w:val="single" w:sz="4" w:space="0" w:color="000000"/>
            </w:tcBorders>
          </w:tcPr>
          <w:p>
            <w:pPr>
              <w:pStyle w:val="TableText"/>
              <w:jc w:val="left"/>
            </w:pPr>
            <w:r>
              <w:t xml:space="preserve">Value</w:t>
            </w:r>
          </w:p>
        </w:tc>
        <w:tc>
          <w:tcPr>
            <w:tcW w:w="1123" w:type="dxa"/>
            <w:tcBorders>
              <w:bottom w:val="single" w:sz="4" w:space="0" w:color="000000"/>
            </w:tcBorders>
          </w:tcPr>
          <w:p>
            <w:pPr>
              <w:pStyle w:val="TableText"/>
              <w:jc w:val="left"/>
            </w:pPr>
            <w:r>
              <w:t xml:space="preserve">Source</w:t>
            </w:r>
          </w:p>
        </w:tc>
      </w:tr>
      <w:tr>
        <w:tc>
          <w:tcPr>
            <w:tcW w:w="1326" w:type="dxa"/>
          </w:tcPr>
          <w:p>
            <w:pPr>
              <w:pStyle w:val="TableText"/>
              <w:jc w:val="left"/>
            </w:pPr>
            <w:r>
              <w:t xml:space="preserve">Computing</w:t>
            </w:r>
          </w:p>
        </w:tc>
        <w:tc>
          <w:tcPr>
            <w:tcW w:w="2586" w:type="dxa"/>
          </w:tcPr>
          <w:p>
            <w:pPr>
              <w:pStyle w:val="TableText"/>
              <w:jc w:val="left"/>
            </w:pPr>
            <w:r>
              <w:t xml:space="preserve">GPUs; node peak power</w:t>
            </w:r>
          </w:p>
        </w:tc>
        <w:tc>
          <w:tcPr>
            <w:tcW w:w="5171" w:type="dxa"/>
          </w:tcPr>
          <w:p>
            <w:pPr>
              <w:pStyle w:val="TableText"/>
              <w:jc w:val="left"/>
            </w:pPr>
            <w:r>
              <w:t xml:space="preserve">16 000 H100-class GPUs in 2 000 eight-GPU nodes; 8.4 kW per node</w:t>
            </w:r>
          </w:p>
        </w:tc>
        <w:tc>
          <w:tcPr>
            <w:tcW w:w="1123" w:type="dxa"/>
          </w:tcPr>
          <w:p>
            <w:pPr>
              <w:pStyle w:val="TableText"/>
              <w:jc w:val="left"/>
            </w:pPr>
            <w:r>
              <w:t xml:space="preserve">[47] [S]</w:t>
            </w:r>
          </w:p>
        </w:tc>
      </w:tr>
      <w:tr>
        <w:tc>
          <w:tcPr>
            <w:tcW w:w="1326" w:type="dxa"/>
          </w:tcPr>
          <w:p>
            <w:pPr>
              <w:pStyle w:val="TableText"/>
            </w:pPr>
          </w:p>
        </w:tc>
        <w:tc>
          <w:tcPr>
            <w:tcW w:w="2586" w:type="dxa"/>
          </w:tcPr>
          <w:p>
            <w:pPr>
              <w:pStyle w:val="TableText"/>
              <w:jc w:val="left"/>
            </w:pPr>
            <w:r>
              <w:t xml:space="preserve">Idle and dynamic power per GPU</w:t>
            </w:r>
            <w:r>
              <w:t xml:space="preserve"> </w:t>
            </w:r>
            <m:oMath>
              <m:sSup>
                <m:e>
                  <m:r>
                    <w:rPr>
                      <w:rFonts w:ascii="Cambria Math" w:hAnsi="Cambria Math"/>
                      <w:sz w:val="15"/>
                      <w:szCs w:val="15"/>
                    </w:rPr>
                    <m:t>p</m:t>
                  </m:r>
                </m:e>
                <m:sup>
                  <m:r>
                    <w:rPr>
                      <w:rFonts w:ascii="Cambria Math" w:hAnsi="Cambria Math"/>
                      <w:sz w:val="15"/>
                      <w:szCs w:val="15"/>
                    </w:rPr>
                    <m:t>i</m:t>
                  </m:r>
                  <m:r>
                    <w:rPr>
                      <w:rFonts w:ascii="Cambria Math" w:hAnsi="Cambria Math"/>
                      <w:sz w:val="15"/>
                      <w:szCs w:val="15"/>
                    </w:rPr>
                    <m:t>d</m:t>
                  </m:r>
                  <m:r>
                    <w:rPr>
                      <w:rFonts w:ascii="Cambria Math" w:hAnsi="Cambria Math"/>
                      <w:sz w:val="15"/>
                      <w:szCs w:val="15"/>
                    </w:rPr>
                    <m:t>l</m:t>
                  </m:r>
                  <m:r>
                    <w:rPr>
                      <w:rFonts w:ascii="Cambria Math" w:hAnsi="Cambria Math"/>
                      <w:sz w:val="15"/>
                      <w:szCs w:val="15"/>
                    </w:rPr>
                    <m:t>e</m:t>
                  </m:r>
                </m:sup>
              </m:sSup>
            </m:oMath>
            <w:r>
              <w:t xml:space="preserve">,</w:t>
            </w:r>
            <w:r>
              <w:t xml:space="preserve"> </w:t>
            </w:r>
            <m:oMath>
              <m:sSup>
                <m:e>
                  <m:r>
                    <w:rPr>
                      <w:rFonts w:ascii="Cambria Math" w:hAnsi="Cambria Math"/>
                      <w:sz w:val="15"/>
                      <w:szCs w:val="15"/>
                    </w:rPr>
                    <m:t>p</m:t>
                  </m:r>
                </m:e>
                <m:sup>
                  <m:r>
                    <w:rPr>
                      <w:rFonts w:ascii="Cambria Math" w:hAnsi="Cambria Math"/>
                      <w:sz w:val="15"/>
                      <w:szCs w:val="15"/>
                    </w:rPr>
                    <m:t>d</m:t>
                  </m:r>
                  <m:r>
                    <w:rPr>
                      <w:rFonts w:ascii="Cambria Math" w:hAnsi="Cambria Math"/>
                      <w:sz w:val="15"/>
                      <w:szCs w:val="15"/>
                    </w:rPr>
                    <m:t>y</m:t>
                  </m:r>
                  <m:r>
                    <w:rPr>
                      <w:rFonts w:ascii="Cambria Math" w:hAnsi="Cambria Math"/>
                      <w:sz w:val="15"/>
                      <w:szCs w:val="15"/>
                    </w:rPr>
                    <m:t>n</m:t>
                  </m:r>
                </m:sup>
              </m:sSup>
            </m:oMath>
          </w:p>
        </w:tc>
        <w:tc>
          <w:tcPr>
            <w:tcW w:w="5171" w:type="dxa"/>
          </w:tcPr>
          <w:p>
            <w:pPr>
              <w:pStyle w:val="TableText"/>
              <w:jc w:val="left"/>
            </w:pPr>
            <w:r>
              <w:t xml:space="preserve">0.26 kW (25 % of peak; 40 % in Section 5.10.1) and 0.79 kW</w:t>
            </w:r>
          </w:p>
        </w:tc>
        <w:tc>
          <w:tcPr>
            <w:tcW w:w="1123" w:type="dxa"/>
          </w:tcPr>
          <w:p>
            <w:pPr>
              <w:pStyle w:val="TableText"/>
              <w:jc w:val="left"/>
            </w:pPr>
            <w:r>
              <w:t xml:space="preserve">[48] [A]</w:t>
            </w:r>
          </w:p>
        </w:tc>
      </w:tr>
      <w:tr>
        <w:tc>
          <w:tcPr>
            <w:tcW w:w="1326" w:type="dxa"/>
          </w:tcPr>
          <w:p>
            <w:pPr>
              <w:pStyle w:val="TableText"/>
            </w:pPr>
          </w:p>
        </w:tc>
        <w:tc>
          <w:tcPr>
            <w:tcW w:w="2586" w:type="dxa"/>
          </w:tcPr>
          <w:p>
            <w:pPr>
              <w:pStyle w:val="TableText"/>
              <w:jc w:val="left"/>
            </w:pPr>
            <w:r>
              <w:t xml:space="preserve">Other IT power</w:t>
            </w:r>
            <w:r>
              <w:t xml:space="preserve"> </w:t>
            </w:r>
            <m:oMath>
              <m:sSup>
                <m:e>
                  <m:r>
                    <w:rPr>
                      <w:rFonts w:ascii="Cambria Math" w:hAnsi="Cambria Math"/>
                      <w:sz w:val="15"/>
                      <w:szCs w:val="15"/>
                    </w:rPr>
                    <m:t>P</m:t>
                  </m:r>
                </m:e>
                <m:sup>
                  <m:r>
                    <w:rPr>
                      <w:rFonts w:ascii="Cambria Math" w:hAnsi="Cambria Math"/>
                      <w:sz w:val="15"/>
                      <w:szCs w:val="15"/>
                    </w:rPr>
                    <m:t>o</m:t>
                  </m:r>
                  <m:r>
                    <w:rPr>
                      <w:rFonts w:ascii="Cambria Math" w:hAnsi="Cambria Math"/>
                      <w:sz w:val="15"/>
                      <w:szCs w:val="15"/>
                    </w:rPr>
                    <m:t>t</m:t>
                  </m:r>
                  <m:r>
                    <w:rPr>
                      <w:rFonts w:ascii="Cambria Math" w:hAnsi="Cambria Math"/>
                      <w:sz w:val="15"/>
                      <w:szCs w:val="15"/>
                    </w:rPr>
                    <m:t>h</m:t>
                  </m:r>
                </m:sup>
              </m:sSup>
            </m:oMath>
            <w:r>
              <w:t xml:space="preserve">; schedulable fraction</w:t>
            </w:r>
            <w:r>
              <w:t xml:space="preserve"> </w:t>
            </w:r>
            <m:oMath>
              <m:sSup>
                <m:e>
                  <m:r>
                    <w:rPr>
                      <w:rFonts w:ascii="Cambria Math" w:hAnsi="Cambria Math"/>
                      <w:sz w:val="15"/>
                      <w:szCs w:val="15"/>
                    </w:rPr>
                    <m:t>u</m:t>
                  </m:r>
                </m:e>
                <m:sup>
                  <m:r>
                    <w:rPr>
                      <w:rFonts w:ascii="Cambria Math" w:hAnsi="Cambria Math"/>
                      <w:sz w:val="15"/>
                      <w:szCs w:val="15"/>
                    </w:rPr>
                    <m:t>m</m:t>
                  </m:r>
                  <m:r>
                    <w:rPr>
                      <w:rFonts w:ascii="Cambria Math" w:hAnsi="Cambria Math"/>
                      <w:sz w:val="15"/>
                      <w:szCs w:val="15"/>
                    </w:rPr>
                    <m:t>a</m:t>
                  </m:r>
                  <m:r>
                    <w:rPr>
                      <w:rFonts w:ascii="Cambria Math" w:hAnsi="Cambria Math"/>
                      <w:sz w:val="15"/>
                      <w:szCs w:val="15"/>
                    </w:rPr>
                    <m:t>x</m:t>
                  </m:r>
                </m:sup>
              </m:sSup>
            </m:oMath>
          </w:p>
        </w:tc>
        <w:tc>
          <w:tcPr>
            <w:tcW w:w="5171" w:type="dxa"/>
          </w:tcPr>
          <w:p>
            <w:pPr>
              <w:pStyle w:val="TableText"/>
              <w:jc w:val="left"/>
            </w:pPr>
            <w:r>
              <w:t xml:space="preserve">0.6 MW; 0.95</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Inference dynamic-power factor</w:t>
            </w:r>
            <w:r>
              <w:t xml:space="preserve"> </w:t>
            </w:r>
            <m:oMath>
              <m:sSup>
                <m:e>
                  <m:r>
                    <w:rPr>
                      <w:rFonts w:ascii="Cambria Math" w:hAnsi="Cambria Math"/>
                      <w:sz w:val="15"/>
                      <w:szCs w:val="15"/>
                    </w:rPr>
                    <m:t>κ</m:t>
                  </m:r>
                </m:e>
                <m:sup>
                  <m:r>
                    <w:rPr>
                      <w:rFonts w:ascii="Cambria Math" w:hAnsi="Cambria Math"/>
                      <w:sz w:val="15"/>
                      <w:szCs w:val="15"/>
                    </w:rPr>
                    <m:t>i</m:t>
                  </m:r>
                  <m:r>
                    <w:rPr>
                      <w:rFonts w:ascii="Cambria Math" w:hAnsi="Cambria Math"/>
                      <w:sz w:val="15"/>
                      <w:szCs w:val="15"/>
                    </w:rPr>
                    <m:t>n</m:t>
                  </m:r>
                  <m:r>
                    <w:rPr>
                      <w:rFonts w:ascii="Cambria Math" w:hAnsi="Cambria Math"/>
                      <w:sz w:val="15"/>
                      <w:szCs w:val="15"/>
                    </w:rPr>
                    <m:t>f</m:t>
                  </m:r>
                </m:sup>
              </m:sSup>
            </m:oMath>
          </w:p>
        </w:tc>
        <w:tc>
          <w:tcPr>
            <w:tcW w:w="5171" w:type="dxa"/>
          </w:tcPr>
          <w:p>
            <w:pPr>
              <w:pStyle w:val="TableText"/>
              <w:jc w:val="left"/>
            </w:pPr>
            <w:r>
              <w:t xml:space="preserve">0.65</w:t>
            </w:r>
          </w:p>
        </w:tc>
        <w:tc>
          <w:tcPr>
            <w:tcW w:w="1123" w:type="dxa"/>
          </w:tcPr>
          <w:p>
            <w:pPr>
              <w:pStyle w:val="TableText"/>
              <w:jc w:val="left"/>
            </w:pPr>
            <w:r>
              <w:t xml:space="preserve">[49] [A]</w:t>
            </w:r>
          </w:p>
        </w:tc>
      </w:tr>
      <w:tr>
        <w:tc>
          <w:tcPr>
            <w:tcW w:w="1326" w:type="dxa"/>
          </w:tcPr>
          <w:p>
            <w:pPr>
              <w:pStyle w:val="TableText"/>
            </w:pPr>
          </w:p>
        </w:tc>
        <w:tc>
          <w:tcPr>
            <w:tcW w:w="2586" w:type="dxa"/>
          </w:tcPr>
          <w:p>
            <w:pPr>
              <w:pStyle w:val="TableText"/>
              <w:jc w:val="left"/>
            </w:pPr>
            <w:r>
              <w:t xml:space="preserve">Workload shares</w:t>
            </w:r>
          </w:p>
        </w:tc>
        <w:tc>
          <w:tcPr>
            <w:tcW w:w="5171" w:type="dxa"/>
          </w:tcPr>
          <w:p>
            <w:pPr>
              <w:pStyle w:val="TableText"/>
              <w:jc w:val="left"/>
            </w:pPr>
            <w:r>
              <w:t xml:space="preserve">25 % of GPUs busy with online inference; 40 % with training and batch work, 75 % of it deferrable (50 % and 25 % in Section 5.10.1); profile shapes from [44,45]</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Deferrable classes; lag bounds</w:t>
            </w:r>
            <w:r>
              <w:t xml:space="preserve"> </w:t>
            </w:r>
            <m:oMath>
              <m:sSub>
                <m:e>
                  <m:r>
                    <w:rPr>
                      <w:rFonts w:ascii="Cambria Math" w:hAnsi="Cambria Math"/>
                      <w:sz w:val="15"/>
                      <w:szCs w:val="15"/>
                    </w:rPr>
                    <m:t>L</m:t>
                  </m:r>
                </m:e>
                <m:sub>
                  <m:r>
                    <w:rPr>
                      <w:rFonts w:ascii="Cambria Math" w:hAnsi="Cambria Math"/>
                      <w:sz w:val="15"/>
                      <w:szCs w:val="15"/>
                    </w:rPr>
                    <m:t>c</m:t>
                  </m:r>
                </m:sub>
              </m:sSub>
            </m:oMath>
          </w:p>
        </w:tc>
        <w:tc>
          <w:tcPr>
            <w:tcW w:w="5171" w:type="dxa"/>
          </w:tcPr>
          <w:p>
            <w:pPr>
              <w:pStyle w:val="TableText"/>
              <w:jc w:val="left"/>
            </w:pPr>
            <w:r>
              <w:t xml:space="preserve">C1/C2/C3 by PAI runtime ≤ 1 h, 1–12 h, &gt; 12 h; 0.5/1.5/3 h (halved in Section 5.10.1)</w:t>
            </w:r>
          </w:p>
        </w:tc>
        <w:tc>
          <w:tcPr>
            <w:tcW w:w="1123" w:type="dxa"/>
          </w:tcPr>
          <w:p>
            <w:pPr>
              <w:pStyle w:val="TableText"/>
              <w:jc w:val="left"/>
            </w:pPr>
            <w:r>
              <w:t xml:space="preserve">[44] [D]; [5] [A]</w:t>
            </w:r>
          </w:p>
        </w:tc>
      </w:tr>
      <w:tr>
        <w:tc>
          <w:tcPr>
            <w:tcW w:w="1326" w:type="dxa"/>
          </w:tcPr>
          <w:p>
            <w:pPr>
              <w:pStyle w:val="TableText"/>
            </w:pPr>
          </w:p>
        </w:tc>
        <w:tc>
          <w:tcPr>
            <w:tcW w:w="2586" w:type="dxa"/>
          </w:tcPr>
          <w:p>
            <w:pPr>
              <w:pStyle w:val="TableText"/>
              <w:jc w:val="left"/>
            </w:pPr>
            <w:r>
              <w:t xml:space="preserve">Delay and lateness prices</w:t>
            </w:r>
            <w:r>
              <w:t xml:space="preserve"> </w:t>
            </w:r>
            <m:oMath>
              <m:sSup>
                <m:e>
                  <m:r>
                    <w:rPr>
                      <w:rFonts w:ascii="Cambria Math" w:hAnsi="Cambria Math"/>
                      <w:sz w:val="15"/>
                      <w:szCs w:val="15"/>
                    </w:rPr>
                    <m:t>c</m:t>
                  </m:r>
                </m:e>
                <m:sup>
                  <m:r>
                    <w:rPr>
                      <w:rFonts w:ascii="Cambria Math" w:hAnsi="Cambria Math"/>
                      <w:sz w:val="15"/>
                      <w:szCs w:val="15"/>
                    </w:rPr>
                    <m:t>j</m:t>
                  </m:r>
                  <m:r>
                    <w:rPr>
                      <w:rFonts w:ascii="Cambria Math" w:hAnsi="Cambria Math"/>
                      <w:sz w:val="15"/>
                      <w:szCs w:val="15"/>
                    </w:rPr>
                    <m:t>c</m:t>
                  </m:r>
                  <m:r>
                    <w:rPr>
                      <w:rFonts w:ascii="Cambria Math" w:hAnsi="Cambria Math"/>
                      <w:sz w:val="15"/>
                      <w:szCs w:val="15"/>
                    </w:rPr>
                    <m:t>t</m:t>
                  </m:r>
                </m:sup>
              </m:sSup>
            </m:oMath>
            <w:r>
              <w:t xml:space="preserve">,</w:t>
            </w:r>
            <w:r>
              <w:t xml:space="preserve"> </w:t>
            </w:r>
            <m:oMath>
              <m:sSup>
                <m:e>
                  <m:r>
                    <w:rPr>
                      <w:rFonts w:ascii="Cambria Math" w:hAnsi="Cambria Math"/>
                      <w:sz w:val="15"/>
                      <w:szCs w:val="15"/>
                    </w:rPr>
                    <m:t>c</m:t>
                  </m:r>
                </m:e>
                <m:sup>
                  <m:r>
                    <w:rPr>
                      <w:rFonts w:ascii="Cambria Math" w:hAnsi="Cambria Math"/>
                      <w:sz w:val="15"/>
                      <w:szCs w:val="15"/>
                    </w:rPr>
                    <m:t>l</m:t>
                  </m:r>
                  <m:r>
                    <w:rPr>
                      <w:rFonts w:ascii="Cambria Math" w:hAnsi="Cambria Math"/>
                      <w:sz w:val="15"/>
                      <w:szCs w:val="15"/>
                    </w:rPr>
                    <m:t>a</m:t>
                  </m:r>
                  <m:r>
                    <w:rPr>
                      <w:rFonts w:ascii="Cambria Math" w:hAnsi="Cambria Math"/>
                      <w:sz w:val="15"/>
                      <w:szCs w:val="15"/>
                    </w:rPr>
                    <m:t>t</m:t>
                  </m:r>
                  <m:r>
                    <w:rPr>
                      <w:rFonts w:ascii="Cambria Math" w:hAnsi="Cambria Math"/>
                      <w:sz w:val="15"/>
                      <w:szCs w:val="15"/>
                    </w:rPr>
                    <m:t>e</m:t>
                  </m:r>
                </m:sup>
              </m:sSup>
            </m:oMath>
          </w:p>
        </w:tc>
        <w:tc>
          <w:tcPr>
            <w:tcW w:w="5171" w:type="dxa"/>
          </w:tcPr>
          <w:p>
            <w:pPr>
              <w:pStyle w:val="TableText"/>
              <w:jc w:val="left"/>
            </w:pPr>
            <w:r>
              <w:t xml:space="preserve">0.5 CNY per GPU·h·h, the loss of value of a delayed job (1 and 2 in Section 5.10.3); 1000 CNY per GPU·h·h, which makes overdue work a last resort</w:t>
            </w:r>
          </w:p>
        </w:tc>
        <w:tc>
          <w:tcPr>
            <w:tcW w:w="1123" w:type="dxa"/>
          </w:tcPr>
          <w:p>
            <w:pPr>
              <w:pStyle w:val="TableText"/>
              <w:jc w:val="left"/>
            </w:pPr>
            <w:r>
              <w:t xml:space="preserve">[A]</w:t>
            </w:r>
          </w:p>
        </w:tc>
      </w:tr>
      <w:tr>
        <w:tc>
          <w:tcPr>
            <w:tcW w:w="1326" w:type="dxa"/>
          </w:tcPr>
          <w:p>
            <w:pPr>
              <w:pStyle w:val="TableText"/>
              <w:jc w:val="left"/>
            </w:pPr>
            <w:r>
              <w:t xml:space="preserve">Facility and cooling</w:t>
            </w:r>
          </w:p>
        </w:tc>
        <w:tc>
          <w:tcPr>
            <w:tcW w:w="2586" w:type="dxa"/>
          </w:tcPr>
          <w:p>
            <w:pPr>
              <w:pStyle w:val="TableText"/>
              <w:jc w:val="left"/>
            </w:pPr>
            <w:r>
              <w:t xml:space="preserve">Losses</w:t>
            </w:r>
            <w:r>
              <w:t xml:space="preserve"> </w:t>
            </w:r>
            <m:oMath>
              <m:r>
                <w:rPr>
                  <w:rFonts w:ascii="Cambria Math" w:hAnsi="Cambria Math"/>
                  <w:sz w:val="15"/>
                  <w:szCs w:val="15"/>
                </w:rPr>
                <m:t>ζ</m:t>
              </m:r>
            </m:oMath>
            <w:r>
              <w:t xml:space="preserve">; auxiliary power</w:t>
            </w:r>
            <w:r>
              <w:t xml:space="preserve"> </w:t>
            </w:r>
            <m:oMath>
              <m:sSup>
                <m:e>
                  <m:r>
                    <w:rPr>
                      <w:rFonts w:ascii="Cambria Math" w:hAnsi="Cambria Math"/>
                      <w:sz w:val="15"/>
                      <w:szCs w:val="15"/>
                    </w:rPr>
                    <m:t>P</m:t>
                  </m:r>
                </m:e>
                <m:sup>
                  <m:r>
                    <w:rPr>
                      <w:rFonts w:ascii="Cambria Math" w:hAnsi="Cambria Math"/>
                      <w:sz w:val="15"/>
                      <w:szCs w:val="15"/>
                    </w:rPr>
                    <m:t>a</m:t>
                  </m:r>
                  <m:r>
                    <w:rPr>
                      <w:rFonts w:ascii="Cambria Math" w:hAnsi="Cambria Math"/>
                      <w:sz w:val="15"/>
                      <w:szCs w:val="15"/>
                    </w:rPr>
                    <m:t>u</m:t>
                  </m:r>
                  <m:r>
                    <w:rPr>
                      <w:rFonts w:ascii="Cambria Math" w:hAnsi="Cambria Math"/>
                      <w:sz w:val="15"/>
                      <w:szCs w:val="15"/>
                    </w:rPr>
                    <m:t>x</m:t>
                  </m:r>
                </m:sup>
              </m:sSup>
            </m:oMath>
          </w:p>
        </w:tc>
        <w:tc>
          <w:tcPr>
            <w:tcW w:w="5171" w:type="dxa"/>
          </w:tcPr>
          <w:p>
            <w:pPr>
              <w:pStyle w:val="TableText"/>
              <w:jc w:val="left"/>
            </w:pPr>
            <w:r>
              <w:t xml:space="preserve">5 % of the IT power (UPS, distribution, air handling); 0.3 MW</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Heat per unit of IT power</w:t>
            </w:r>
            <w:r>
              <w:t xml:space="preserve"> </w:t>
            </w:r>
            <m:oMath>
              <m:r>
                <w:rPr>
                  <w:rFonts w:ascii="Cambria Math" w:hAnsi="Cambria Math"/>
                  <w:sz w:val="15"/>
                  <w:szCs w:val="15"/>
                </w:rPr>
                <m:t>θ</m:t>
              </m:r>
            </m:oMath>
            <w:r>
              <w:t xml:space="preserve">; base cooling load</w:t>
            </w:r>
            <w:r>
              <w:t xml:space="preserve"> </w:t>
            </w:r>
            <m:oMath>
              <m:sSub>
                <m:e>
                  <m:r>
                    <w:rPr>
                      <w:rFonts w:ascii="Cambria Math" w:hAnsi="Cambria Math"/>
                      <w:sz w:val="15"/>
                      <w:szCs w:val="15"/>
                    </w:rPr>
                    <m:t>Q</m:t>
                  </m:r>
                </m:e>
                <m:sub>
                  <m:r>
                    <w:rPr>
                      <w:rFonts w:ascii="Cambria Math" w:hAnsi="Cambria Math"/>
                      <w:sz w:val="15"/>
                      <w:szCs w:val="15"/>
                    </w:rPr>
                    <m:t>0</m:t>
                  </m:r>
                </m:sub>
              </m:sSub>
            </m:oMath>
          </w:p>
        </w:tc>
        <w:tc>
          <w:tcPr>
            <w:tcW w:w="5171" w:type="dxa"/>
          </w:tcPr>
          <w:p>
            <w:pPr>
              <w:pStyle w:val="TableText"/>
              <w:jc w:val="left"/>
            </w:pPr>
            <w:r>
              <w:t xml:space="preserve">1.0; 0.3 MW</w:t>
            </w:r>
            <w:r>
              <w:rPr>
                <w:vertAlign w:val="subscript"/>
              </w:rPr>
              <w:t xml:space="preserve">th</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Electric chillers</w:t>
            </w:r>
            <w:r>
              <w:t xml:space="preserve"> </w:t>
            </w:r>
            <m:oMath>
              <m:sSub>
                <m:e>
                  <m:r>
                    <m:rPr>
                      <m:sty m:val="p"/>
                    </m:rPr>
                    <w:rPr>
                      <w:rFonts w:ascii="Cambria Math" w:hAnsi="Cambria Math"/>
                      <w:sz w:val="15"/>
                      <w:szCs w:val="15"/>
                    </w:rPr>
                    <m:t>C</m:t>
                  </m:r>
                  <m:r>
                    <m:rPr>
                      <m:sty m:val="p"/>
                    </m:rPr>
                    <w:rPr>
                      <w:rFonts w:ascii="Cambria Math" w:hAnsi="Cambria Math"/>
                      <w:sz w:val="15"/>
                      <w:szCs w:val="15"/>
                    </w:rPr>
                    <m:t>O</m:t>
                  </m:r>
                  <m:r>
                    <m:rPr>
                      <m:sty m:val="p"/>
                    </m:rPr>
                    <w:rPr>
                      <w:rFonts w:ascii="Cambria Math" w:hAnsi="Cambria Math"/>
                      <w:sz w:val="15"/>
                      <w:szCs w:val="15"/>
                    </w:rPr>
                    <m:t>P</m:t>
                  </m:r>
                </m:e>
                <m:sub>
                  <m:r>
                    <w:rPr>
                      <w:rFonts w:ascii="Cambria Math" w:hAnsi="Cambria Math"/>
                      <w:sz w:val="15"/>
                      <w:szCs w:val="15"/>
                    </w:rPr>
                    <m:t>t</m:t>
                  </m:r>
                </m:sub>
              </m:sSub>
            </m:oMath>
            <w:r>
              <w:t xml:space="preserve">,</w:t>
            </w:r>
            <w:r>
              <w:t xml:space="preserve"> </w:t>
            </w:r>
            <m:oMath>
              <m:sSup>
                <m:e>
                  <m:acc>
                    <m:accPr>
                      <m:chr m:val="‾"/>
                    </m:accPr>
                    <m:e>
                      <m:r>
                        <w:rPr>
                          <w:rFonts w:ascii="Cambria Math" w:hAnsi="Cambria Math"/>
                          <w:sz w:val="15"/>
                          <w:szCs w:val="15"/>
                        </w:rPr>
                        <m:t>Q</m:t>
                      </m:r>
                    </m:e>
                  </m:acc>
                </m:e>
                <m:sup>
                  <m:r>
                    <w:rPr>
                      <w:rFonts w:ascii="Cambria Math" w:hAnsi="Cambria Math"/>
                      <w:sz w:val="15"/>
                      <w:szCs w:val="15"/>
                    </w:rPr>
                    <m:t>E</m:t>
                  </m:r>
                  <m:r>
                    <w:rPr>
                      <w:rFonts w:ascii="Cambria Math" w:hAnsi="Cambria Math"/>
                      <w:sz w:val="15"/>
                      <w:szCs w:val="15"/>
                    </w:rPr>
                    <m:t>C</m:t>
                  </m:r>
                </m:sup>
              </m:sSup>
            </m:oMath>
          </w:p>
        </w:tc>
        <w:tc>
          <w:tcPr>
            <w:tcW w:w="5171" w:type="dxa"/>
          </w:tcPr>
          <w:p>
            <w:pPr>
              <w:pStyle w:val="TableText"/>
              <w:jc w:val="left"/>
            </w:pPr>
            <w:r>
              <w:t xml:space="preserve">6.0 at 25 °C, −0.12 per °C (bounds 3–7); 30 MW</w:t>
            </w:r>
            <w:r>
              <w:rPr>
                <w:vertAlign w:val="subscript"/>
              </w:rPr>
              <w:t xml:space="preserve">th</w:t>
            </w:r>
          </w:p>
        </w:tc>
        <w:tc>
          <w:tcPr>
            <w:tcW w:w="1123" w:type="dxa"/>
          </w:tcPr>
          <w:p>
            <w:pPr>
              <w:pStyle w:val="TableText"/>
              <w:jc w:val="left"/>
            </w:pPr>
            <w:r>
              <w:t xml:space="preserve">[A]</w:t>
            </w:r>
          </w:p>
        </w:tc>
      </w:tr>
      <w:tr>
        <w:tc>
          <w:tcPr>
            <w:tcW w:w="1326" w:type="dxa"/>
          </w:tcPr>
          <w:p>
            <w:pPr>
              <w:pStyle w:val="TableText"/>
              <w:jc w:val="left"/>
            </w:pPr>
            <w:r>
              <w:t xml:space="preserve">CCHP</w:t>
            </w:r>
          </w:p>
        </w:tc>
        <w:tc>
          <w:tcPr>
            <w:tcW w:w="2586" w:type="dxa"/>
          </w:tcPr>
          <w:p>
            <w:pPr>
              <w:pStyle w:val="TableText"/>
              <w:jc w:val="left"/>
            </w:pPr>
            <w:r>
              <w:t xml:space="preserve">Gas engine</w:t>
            </w:r>
            <w:r>
              <w:t xml:space="preserve"> </w:t>
            </w:r>
            <m:oMath>
              <m:sSup>
                <m:e>
                  <m:acc>
                    <m:accPr>
                      <m:chr m:val="‾"/>
                    </m:accPr>
                    <m:e>
                      <m:r>
                        <w:rPr>
                          <w:rFonts w:ascii="Cambria Math" w:hAnsi="Cambria Math"/>
                          <w:sz w:val="15"/>
                          <w:szCs w:val="15"/>
                        </w:rPr>
                        <m:t>P</m:t>
                      </m:r>
                    </m:e>
                  </m:acc>
                </m:e>
                <m:sup>
                  <m:r>
                    <w:rPr>
                      <w:rFonts w:ascii="Cambria Math" w:hAnsi="Cambria Math"/>
                      <w:sz w:val="15"/>
                      <w:szCs w:val="15"/>
                    </w:rPr>
                    <m:t>G</m:t>
                  </m:r>
                  <m:r>
                    <w:rPr>
                      <w:rFonts w:ascii="Cambria Math" w:hAnsi="Cambria Math"/>
                      <w:sz w:val="15"/>
                      <w:szCs w:val="15"/>
                    </w:rPr>
                    <m:t>T</m:t>
                  </m:r>
                </m:sup>
              </m:sSup>
            </m:oMath>
            <w:r>
              <w:t xml:space="preserve">,</w:t>
            </w:r>
            <w:r>
              <w:t xml:space="preserve"> </w:t>
            </w:r>
            <m:oMath>
              <m:sSup>
                <m:e>
                  <m:r>
                    <w:rPr>
                      <w:rFonts w:ascii="Cambria Math" w:hAnsi="Cambria Math"/>
                      <w:sz w:val="15"/>
                      <w:szCs w:val="15"/>
                    </w:rPr>
                    <m:t>η</m:t>
                  </m:r>
                </m:e>
                <m:sup>
                  <m:r>
                    <w:rPr>
                      <w:rFonts w:ascii="Cambria Math" w:hAnsi="Cambria Math"/>
                      <w:sz w:val="15"/>
                      <w:szCs w:val="15"/>
                    </w:rPr>
                    <m:t>G</m:t>
                  </m:r>
                  <m:r>
                    <w:rPr>
                      <w:rFonts w:ascii="Cambria Math" w:hAnsi="Cambria Math"/>
                      <w:sz w:val="15"/>
                      <w:szCs w:val="15"/>
                    </w:rPr>
                    <m:t>T</m:t>
                  </m:r>
                </m:sup>
              </m:sSup>
            </m:oMath>
            <w:r>
              <w:t xml:space="preserve">, heat efficiency,</w:t>
            </w:r>
            <w:r>
              <w:t xml:space="preserve"> </w:t>
            </w:r>
            <m:oMath>
              <m:sSup>
                <m:e>
                  <m:r>
                    <w:rPr>
                      <w:rFonts w:ascii="Cambria Math" w:hAnsi="Cambria Math"/>
                      <w:sz w:val="15"/>
                      <w:szCs w:val="15"/>
                    </w:rPr>
                    <m:t>R</m:t>
                  </m:r>
                </m:e>
                <m:sup>
                  <m:r>
                    <w:rPr>
                      <w:rFonts w:ascii="Cambria Math" w:hAnsi="Cambria Math"/>
                      <w:sz w:val="15"/>
                      <w:szCs w:val="15"/>
                    </w:rPr>
                    <m:t>G</m:t>
                  </m:r>
                  <m:r>
                    <w:rPr>
                      <w:rFonts w:ascii="Cambria Math" w:hAnsi="Cambria Math"/>
                      <w:sz w:val="15"/>
                      <w:szCs w:val="15"/>
                    </w:rPr>
                    <m:t>T</m:t>
                  </m:r>
                </m:sup>
              </m:sSup>
            </m:oMath>
          </w:p>
        </w:tc>
        <w:tc>
          <w:tcPr>
            <w:tcW w:w="5171" w:type="dxa"/>
          </w:tcPr>
          <w:p>
            <w:pPr>
              <w:pStyle w:val="TableText"/>
              <w:jc w:val="left"/>
            </w:pPr>
            <w:r>
              <w:t xml:space="preserve">3 MW; 0.38; 0.45 (</w:t>
            </w:r>
            <m:oMath>
              <m:sSup>
                <m:e>
                  <m:r>
                    <w:rPr>
                      <w:rFonts w:ascii="Cambria Math" w:hAnsi="Cambria Math"/>
                      <w:sz w:val="15"/>
                      <w:szCs w:val="15"/>
                    </w:rPr>
                    <m:t>k</m:t>
                  </m:r>
                </m:e>
                <m:sup>
                  <m:r>
                    <w:rPr>
                      <w:rFonts w:ascii="Cambria Math" w:hAnsi="Cambria Math"/>
                      <w:sz w:val="15"/>
                      <w:szCs w:val="15"/>
                    </w:rPr>
                    <m:t>h</m:t>
                  </m:r>
                </m:sup>
              </m:sSup>
            </m:oMath>
            <w:r>
              <w:t xml:space="preserve"> </w:t>
            </w:r>
            <w:r>
              <w:t xml:space="preserve">= 1.18); 1.5 MW per 15 min</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Absorption chiller</w:t>
            </w:r>
            <w:r>
              <w:t xml:space="preserve"> </w:t>
            </w:r>
            <m:oMath>
              <m:sSup>
                <m:e>
                  <m:r>
                    <m:rPr>
                      <m:sty m:val="p"/>
                    </m:rPr>
                    <w:rPr>
                      <w:rFonts w:ascii="Cambria Math" w:hAnsi="Cambria Math"/>
                      <w:sz w:val="15"/>
                      <w:szCs w:val="15"/>
                    </w:rPr>
                    <m:t>C</m:t>
                  </m:r>
                  <m:r>
                    <m:rPr>
                      <m:sty m:val="p"/>
                    </m:rPr>
                    <w:rPr>
                      <w:rFonts w:ascii="Cambria Math" w:hAnsi="Cambria Math"/>
                      <w:sz w:val="15"/>
                      <w:szCs w:val="15"/>
                    </w:rPr>
                    <m:t>O</m:t>
                  </m:r>
                  <m:r>
                    <m:rPr>
                      <m:sty m:val="p"/>
                    </m:rPr>
                    <w:rPr>
                      <w:rFonts w:ascii="Cambria Math" w:hAnsi="Cambria Math"/>
                      <w:sz w:val="15"/>
                      <w:szCs w:val="15"/>
                    </w:rPr>
                    <m:t>P</m:t>
                  </m:r>
                </m:e>
                <m:sup>
                  <m:r>
                    <w:rPr>
                      <w:rFonts w:ascii="Cambria Math" w:hAnsi="Cambria Math"/>
                      <w:sz w:val="15"/>
                      <w:szCs w:val="15"/>
                    </w:rPr>
                    <m:t>A</m:t>
                  </m:r>
                  <m:r>
                    <w:rPr>
                      <w:rFonts w:ascii="Cambria Math" w:hAnsi="Cambria Math"/>
                      <w:sz w:val="15"/>
                      <w:szCs w:val="15"/>
                    </w:rPr>
                    <m:t>C</m:t>
                  </m:r>
                </m:sup>
              </m:sSup>
            </m:oMath>
            <w:r>
              <w:t xml:space="preserve">,</w:t>
            </w:r>
            <w:r>
              <w:t xml:space="preserve"> </w:t>
            </w:r>
            <m:oMath>
              <m:sSup>
                <m:e>
                  <m:acc>
                    <m:accPr>
                      <m:chr m:val="‾"/>
                    </m:accPr>
                    <m:e>
                      <m:r>
                        <w:rPr>
                          <w:rFonts w:ascii="Cambria Math" w:hAnsi="Cambria Math"/>
                          <w:sz w:val="15"/>
                          <w:szCs w:val="15"/>
                        </w:rPr>
                        <m:t>Q</m:t>
                      </m:r>
                    </m:e>
                  </m:acc>
                </m:e>
                <m:sup>
                  <m:r>
                    <w:rPr>
                      <w:rFonts w:ascii="Cambria Math" w:hAnsi="Cambria Math"/>
                      <w:sz w:val="15"/>
                      <w:szCs w:val="15"/>
                    </w:rPr>
                    <m:t>A</m:t>
                  </m:r>
                  <m:r>
                    <w:rPr>
                      <w:rFonts w:ascii="Cambria Math" w:hAnsi="Cambria Math"/>
                      <w:sz w:val="15"/>
                      <w:szCs w:val="15"/>
                    </w:rPr>
                    <m:t>C</m:t>
                  </m:r>
                </m:sup>
              </m:sSup>
            </m:oMath>
          </w:p>
        </w:tc>
        <w:tc>
          <w:tcPr>
            <w:tcW w:w="5171" w:type="dxa"/>
          </w:tcPr>
          <w:p>
            <w:pPr>
              <w:pStyle w:val="TableText"/>
              <w:jc w:val="left"/>
            </w:pPr>
            <w:r>
              <w:t xml:space="preserve">0.75; 2.7 MW</w:t>
            </w:r>
            <w:r>
              <w:rPr>
                <w:vertAlign w:val="subscript"/>
              </w:rPr>
              <w:t xml:space="preserve">th</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Gas price</w:t>
            </w:r>
            <w:r>
              <w:t xml:space="preserve"> </w:t>
            </w:r>
            <m:oMath>
              <m:sSup>
                <m:e>
                  <m:r>
                    <w:rPr>
                      <w:rFonts w:ascii="Cambria Math" w:hAnsi="Cambria Math"/>
                      <w:sz w:val="15"/>
                      <w:szCs w:val="15"/>
                    </w:rPr>
                    <m:t>c</m:t>
                  </m:r>
                </m:e>
                <m:sup>
                  <m:r>
                    <w:rPr>
                      <w:rFonts w:ascii="Cambria Math" w:hAnsi="Cambria Math"/>
                      <w:sz w:val="15"/>
                      <w:szCs w:val="15"/>
                    </w:rPr>
                    <m:t>g</m:t>
                  </m:r>
                  <m:r>
                    <w:rPr>
                      <w:rFonts w:ascii="Cambria Math" w:hAnsi="Cambria Math"/>
                      <w:sz w:val="15"/>
                      <w:szCs w:val="15"/>
                    </w:rPr>
                    <m:t>a</m:t>
                  </m:r>
                  <m:r>
                    <w:rPr>
                      <w:rFonts w:ascii="Cambria Math" w:hAnsi="Cambria Math"/>
                      <w:sz w:val="15"/>
                      <w:szCs w:val="15"/>
                    </w:rPr>
                    <m:t>s</m:t>
                  </m:r>
                </m:sup>
              </m:sSup>
            </m:oMath>
          </w:p>
        </w:tc>
        <w:tc>
          <w:tcPr>
            <w:tcW w:w="5171" w:type="dxa"/>
          </w:tcPr>
          <w:p>
            <w:pPr>
              <w:pStyle w:val="TableText"/>
              <w:jc w:val="left"/>
            </w:pPr>
            <w:r>
              <w:t xml:space="preserve">3.6 CNY/Nm³ at 9.89 kWh/Nm³, i.e. 364 CNY/MWh of fuel</w:t>
            </w:r>
          </w:p>
        </w:tc>
        <w:tc>
          <w:tcPr>
            <w:tcW w:w="1123" w:type="dxa"/>
          </w:tcPr>
          <w:p>
            <w:pPr>
              <w:pStyle w:val="TableText"/>
              <w:jc w:val="left"/>
            </w:pPr>
            <w:r>
              <w:t xml:space="preserve">[A]</w:t>
            </w:r>
          </w:p>
        </w:tc>
      </w:tr>
      <w:tr>
        <w:tc>
          <w:tcPr>
            <w:tcW w:w="1326" w:type="dxa"/>
          </w:tcPr>
          <w:p>
            <w:pPr>
              <w:pStyle w:val="TableText"/>
              <w:jc w:val="left"/>
            </w:pPr>
            <w:r>
              <w:t xml:space="preserve">Storage</w:t>
            </w:r>
          </w:p>
        </w:tc>
        <w:tc>
          <w:tcPr>
            <w:tcW w:w="2586" w:type="dxa"/>
          </w:tcPr>
          <w:p>
            <w:pPr>
              <w:pStyle w:val="TableText"/>
              <w:jc w:val="left"/>
            </w:pPr>
            <w:r>
              <w:t xml:space="preserve">BESS</w:t>
            </w:r>
            <w:r>
              <w:t xml:space="preserve"> </w:t>
            </w:r>
            <m:oMath>
              <m:sSup>
                <m:e>
                  <m:acc>
                    <m:accPr>
                      <m:chr m:val="‾"/>
                    </m:accPr>
                    <m:e>
                      <m:r>
                        <w:rPr>
                          <w:rFonts w:ascii="Cambria Math" w:hAnsi="Cambria Math"/>
                          <w:sz w:val="15"/>
                          <w:szCs w:val="15"/>
                        </w:rPr>
                        <m:t>P</m:t>
                      </m:r>
                    </m:e>
                  </m:acc>
                </m:e>
                <m:sup>
                  <m:r>
                    <w:rPr>
                      <w:rFonts w:ascii="Cambria Math" w:hAnsi="Cambria Math"/>
                      <w:sz w:val="15"/>
                      <w:szCs w:val="15"/>
                    </w:rPr>
                    <m:t>B</m:t>
                  </m:r>
                </m:sup>
              </m:sSup>
            </m:oMath>
            <w:r>
              <w:t xml:space="preserve">, capacity,</w:t>
            </w:r>
            <w:r>
              <w:t xml:space="preserve"> </w:t>
            </w:r>
            <m:oMath>
              <m:bar>
                <m:barPr>
                  <m:pos m:val="bot"/>
                </m:barPr>
                <m:e>
                  <m:r>
                    <w:rPr>
                      <w:rFonts w:ascii="Cambria Math" w:hAnsi="Cambria Math"/>
                      <w:sz w:val="15"/>
                      <w:szCs w:val="15"/>
                    </w:rPr>
                    <m:t>E</m:t>
                  </m:r>
                </m:e>
              </m:bar>
            </m:oMath>
            <w:r>
              <w:t xml:space="preserve">–</w:t>
            </w:r>
            <m:oMath>
              <m:acc>
                <m:accPr>
                  <m:chr m:val="‾"/>
                </m:accPr>
                <m:e>
                  <m:r>
                    <w:rPr>
                      <w:rFonts w:ascii="Cambria Math" w:hAnsi="Cambria Math"/>
                      <w:sz w:val="15"/>
                      <w:szCs w:val="15"/>
                    </w:rPr>
                    <m:t>E</m:t>
                  </m:r>
                </m:e>
              </m:acc>
            </m:oMath>
            <w:r>
              <w:t xml:space="preserve">,</w:t>
            </w:r>
            <w:r>
              <w:t xml:space="preserve"> </w:t>
            </w:r>
            <m:oMath>
              <m:sSub>
                <m:e>
                  <m:r>
                    <w:rPr>
                      <w:rFonts w:ascii="Cambria Math" w:hAnsi="Cambria Math"/>
                      <w:sz w:val="15"/>
                      <w:szCs w:val="15"/>
                    </w:rPr>
                    <m:t>η</m:t>
                  </m:r>
                </m:e>
                <m:sub>
                  <m:r>
                    <w:rPr>
                      <w:rFonts w:ascii="Cambria Math" w:hAnsi="Cambria Math"/>
                      <w:sz w:val="15"/>
                      <w:szCs w:val="15"/>
                    </w:rPr>
                    <m:t>c</m:t>
                  </m:r>
                </m:sub>
              </m:sSub>
            </m:oMath>
            <w:r>
              <w:t xml:space="preserve">/</w:t>
            </w:r>
            <m:oMath>
              <m:sSub>
                <m:e>
                  <m:r>
                    <w:rPr>
                      <w:rFonts w:ascii="Cambria Math" w:hAnsi="Cambria Math"/>
                      <w:sz w:val="15"/>
                      <w:szCs w:val="15"/>
                    </w:rPr>
                    <m:t>η</m:t>
                  </m:r>
                </m:e>
                <m:sub>
                  <m:r>
                    <w:rPr>
                      <w:rFonts w:ascii="Cambria Math" w:hAnsi="Cambria Math"/>
                      <w:sz w:val="15"/>
                      <w:szCs w:val="15"/>
                    </w:rPr>
                    <m:t>d</m:t>
                  </m:r>
                </m:sub>
              </m:sSub>
            </m:oMath>
            <w:r>
              <w:t xml:space="preserve">,</w:t>
            </w:r>
            <w:r>
              <w:t xml:space="preserve"> </w:t>
            </w:r>
            <m:oMath>
              <m:sSup>
                <m:e>
                  <m:r>
                    <w:rPr>
                      <w:rFonts w:ascii="Cambria Math" w:hAnsi="Cambria Math"/>
                      <w:sz w:val="15"/>
                      <w:szCs w:val="15"/>
                    </w:rPr>
                    <m:t>c</m:t>
                  </m:r>
                </m:e>
                <m:sup>
                  <m:r>
                    <w:rPr>
                      <w:rFonts w:ascii="Cambria Math" w:hAnsi="Cambria Math"/>
                      <w:sz w:val="15"/>
                      <w:szCs w:val="15"/>
                    </w:rPr>
                    <m:t>d</m:t>
                  </m:r>
                  <m:r>
                    <w:rPr>
                      <w:rFonts w:ascii="Cambria Math" w:hAnsi="Cambria Math"/>
                      <w:sz w:val="15"/>
                      <w:szCs w:val="15"/>
                    </w:rPr>
                    <m:t>e</m:t>
                  </m:r>
                  <m:r>
                    <w:rPr>
                      <w:rFonts w:ascii="Cambria Math" w:hAnsi="Cambria Math"/>
                      <w:sz w:val="15"/>
                      <w:szCs w:val="15"/>
                    </w:rPr>
                    <m:t>g</m:t>
                  </m:r>
                </m:sup>
              </m:sSup>
            </m:oMath>
          </w:p>
        </w:tc>
        <w:tc>
          <w:tcPr>
            <w:tcW w:w="5171" w:type="dxa"/>
          </w:tcPr>
          <w:p>
            <w:pPr>
              <w:pStyle w:val="TableText"/>
              <w:jc w:val="left"/>
            </w:pPr>
            <w:r>
              <w:t xml:space="preserve">6 MW; 12 MWh; SOC 10–95 % (initial 50 %); 0.95/0.95; 60 CNY/MWh</w:t>
            </w:r>
          </w:p>
        </w:tc>
        <w:tc>
          <w:tcPr>
            <w:tcW w:w="1123" w:type="dxa"/>
          </w:tcPr>
          <w:p>
            <w:pPr>
              <w:pStyle w:val="TableText"/>
              <w:jc w:val="left"/>
            </w:pPr>
            <w:r>
              <w:t xml:space="preserve">[50] [A]</w:t>
            </w:r>
          </w:p>
        </w:tc>
      </w:tr>
      <w:tr>
        <w:tc>
          <w:tcPr>
            <w:tcW w:w="1326" w:type="dxa"/>
          </w:tcPr>
          <w:p>
            <w:pPr>
              <w:pStyle w:val="TableText"/>
            </w:pPr>
          </w:p>
        </w:tc>
        <w:tc>
          <w:tcPr>
            <w:tcW w:w="2586" w:type="dxa"/>
          </w:tcPr>
          <w:p>
            <w:pPr>
              <w:pStyle w:val="TableText"/>
              <w:jc w:val="left"/>
            </w:pPr>
            <w:r>
              <w:t xml:space="preserve">TES</w:t>
            </w:r>
            <w:r>
              <w:t xml:space="preserve"> </w:t>
            </w:r>
            <m:oMath>
              <m:bar>
                <m:barPr>
                  <m:pos m:val="bot"/>
                </m:barPr>
                <m:e>
                  <m:r>
                    <w:rPr>
                      <w:rFonts w:ascii="Cambria Math" w:hAnsi="Cambria Math"/>
                      <w:sz w:val="15"/>
                      <w:szCs w:val="15"/>
                    </w:rPr>
                    <m:t>S</m:t>
                  </m:r>
                </m:e>
              </m:bar>
            </m:oMath>
            <w:r>
              <w:t xml:space="preserve">–</w:t>
            </w:r>
            <m:oMath>
              <m:acc>
                <m:accPr>
                  <m:chr m:val="‾"/>
                </m:accPr>
                <m:e>
                  <m:r>
                    <w:rPr>
                      <w:rFonts w:ascii="Cambria Math" w:hAnsi="Cambria Math"/>
                      <w:sz w:val="15"/>
                      <w:szCs w:val="15"/>
                    </w:rPr>
                    <m:t>S</m:t>
                  </m:r>
                </m:e>
              </m:acc>
            </m:oMath>
            <w:r>
              <w:t xml:space="preserve">,</w:t>
            </w:r>
            <w:r>
              <w:t xml:space="preserve"> </w:t>
            </w:r>
            <m:oMath>
              <m:sSup>
                <m:e>
                  <m:acc>
                    <m:accPr>
                      <m:chr m:val="‾"/>
                    </m:accPr>
                    <m:e>
                      <m:r>
                        <w:rPr>
                          <w:rFonts w:ascii="Cambria Math" w:hAnsi="Cambria Math"/>
                          <w:sz w:val="15"/>
                          <w:szCs w:val="15"/>
                        </w:rPr>
                        <m:t>Q</m:t>
                      </m:r>
                    </m:e>
                  </m:acc>
                </m:e>
                <m:sup>
                  <m:r>
                    <w:rPr>
                      <w:rFonts w:ascii="Cambria Math" w:hAnsi="Cambria Math"/>
                      <w:sz w:val="15"/>
                      <w:szCs w:val="15"/>
                    </w:rPr>
                    <m:t>T</m:t>
                  </m:r>
                </m:sup>
              </m:sSup>
            </m:oMath>
            <w:r>
              <w:t xml:space="preserve">,</w:t>
            </w:r>
            <w:r>
              <w:t xml:space="preserve"> </w:t>
            </w:r>
            <m:oMath>
              <m:sSubSup>
                <m:e>
                  <m:r>
                    <w:rPr>
                      <w:rFonts w:ascii="Cambria Math" w:hAnsi="Cambria Math"/>
                      <w:sz w:val="15"/>
                      <w:szCs w:val="15"/>
                    </w:rPr>
                    <m:t>η</m:t>
                  </m:r>
                </m:e>
                <m:sub>
                  <m:r>
                    <w:rPr>
                      <w:rFonts w:ascii="Cambria Math" w:hAnsi="Cambria Math"/>
                      <w:sz w:val="15"/>
                      <w:szCs w:val="15"/>
                    </w:rPr>
                    <m:t>c</m:t>
                  </m:r>
                </m:sub>
                <m:sup>
                  <m:r>
                    <w:rPr>
                      <w:rFonts w:ascii="Cambria Math" w:hAnsi="Cambria Math"/>
                      <w:sz w:val="15"/>
                      <w:szCs w:val="15"/>
                    </w:rPr>
                    <m:t>T</m:t>
                  </m:r>
                </m:sup>
              </m:sSubSup>
            </m:oMath>
            <w:r>
              <w:t xml:space="preserve">/</w:t>
            </w:r>
            <m:oMath>
              <m:sSubSup>
                <m:e>
                  <m:r>
                    <w:rPr>
                      <w:rFonts w:ascii="Cambria Math" w:hAnsi="Cambria Math"/>
                      <w:sz w:val="15"/>
                      <w:szCs w:val="15"/>
                    </w:rPr>
                    <m:t>η</m:t>
                  </m:r>
                </m:e>
                <m:sub>
                  <m:r>
                    <w:rPr>
                      <w:rFonts w:ascii="Cambria Math" w:hAnsi="Cambria Math"/>
                      <w:sz w:val="15"/>
                      <w:szCs w:val="15"/>
                    </w:rPr>
                    <m:t>d</m:t>
                  </m:r>
                </m:sub>
                <m:sup>
                  <m:r>
                    <w:rPr>
                      <w:rFonts w:ascii="Cambria Math" w:hAnsi="Cambria Math"/>
                      <w:sz w:val="15"/>
                      <w:szCs w:val="15"/>
                    </w:rPr>
                    <m:t>T</m:t>
                  </m:r>
                </m:sup>
              </m:sSubSup>
            </m:oMath>
            <w:r>
              <w:t xml:space="preserve">,</w:t>
            </w:r>
            <w:r>
              <w:t xml:space="preserve"> </w:t>
            </w:r>
            <m:oMath>
              <m:r>
                <w:rPr>
                  <w:rFonts w:ascii="Cambria Math" w:hAnsi="Cambria Math"/>
                  <w:sz w:val="15"/>
                  <w:szCs w:val="15"/>
                </w:rPr>
                <m:t>σ</m:t>
              </m:r>
            </m:oMath>
          </w:p>
        </w:tc>
        <w:tc>
          <w:tcPr>
            <w:tcW w:w="5171" w:type="dxa"/>
          </w:tcPr>
          <w:p>
            <w:pPr>
              <w:pStyle w:val="TableText"/>
              <w:jc w:val="left"/>
            </w:pPr>
            <w:r>
              <w:t xml:space="preserve">1–10 MWh</w:t>
            </w:r>
            <w:r>
              <w:rPr>
                <w:vertAlign w:val="subscript"/>
              </w:rPr>
              <w:t xml:space="preserve">th</w:t>
            </w:r>
            <w:r>
              <w:t xml:space="preserve"> </w:t>
            </w:r>
            <w:r>
              <w:t xml:space="preserve">(initial 5); 4 MW</w:t>
            </w:r>
            <w:r>
              <w:rPr>
                <w:vertAlign w:val="subscript"/>
              </w:rPr>
              <w:t xml:space="preserve">th</w:t>
            </w:r>
            <w:r>
              <w:t xml:space="preserve">; 0.98/0.98; 0.5 %/h</w:t>
            </w:r>
          </w:p>
        </w:tc>
        <w:tc>
          <w:tcPr>
            <w:tcW w:w="1123" w:type="dxa"/>
          </w:tcPr>
          <w:p>
            <w:pPr>
              <w:pStyle w:val="TableText"/>
              <w:jc w:val="left"/>
            </w:pPr>
            <w:r>
              <w:t xml:space="preserve">[A]</w:t>
            </w:r>
          </w:p>
        </w:tc>
      </w:tr>
      <w:tr>
        <w:tc>
          <w:tcPr>
            <w:tcW w:w="1326" w:type="dxa"/>
          </w:tcPr>
          <w:p>
            <w:pPr>
              <w:pStyle w:val="TableText"/>
              <w:jc w:val="left"/>
            </w:pPr>
            <w:r>
              <w:t xml:space="preserve">Supply</w:t>
            </w:r>
          </w:p>
        </w:tc>
        <w:tc>
          <w:tcPr>
            <w:tcW w:w="2586" w:type="dxa"/>
          </w:tcPr>
          <w:p>
            <w:pPr>
              <w:pStyle w:val="TableText"/>
              <w:jc w:val="left"/>
            </w:pPr>
            <w:r>
              <w:t xml:space="preserve">PV</w:t>
            </w:r>
          </w:p>
        </w:tc>
        <w:tc>
          <w:tcPr>
            <w:tcW w:w="5171" w:type="dxa"/>
          </w:tcPr>
          <w:p>
            <w:pPr>
              <w:pStyle w:val="TableText"/>
              <w:jc w:val="left"/>
            </w:pPr>
            <w:r>
              <w:t xml:space="preserve">8 MWp; PVWatts losses 14 %; −0.37 %/°C; NOCT 45 °C</w:t>
            </w:r>
          </w:p>
        </w:tc>
        <w:tc>
          <w:tcPr>
            <w:tcW w:w="1123" w:type="dxa"/>
          </w:tcPr>
          <w:p>
            <w:pPr>
              <w:pStyle w:val="TableText"/>
              <w:jc w:val="left"/>
            </w:pPr>
            <w:r>
              <w:t xml:space="preserve">[51] [S]; [A]</w:t>
            </w:r>
          </w:p>
        </w:tc>
      </w:tr>
      <w:tr>
        <w:tc>
          <w:tcPr>
            <w:tcW w:w="1326" w:type="dxa"/>
          </w:tcPr>
          <w:p>
            <w:pPr>
              <w:pStyle w:val="TableText"/>
            </w:pPr>
          </w:p>
        </w:tc>
        <w:tc>
          <w:tcPr>
            <w:tcW w:w="2586" w:type="dxa"/>
          </w:tcPr>
          <w:p>
            <w:pPr>
              <w:pStyle w:val="TableText"/>
              <w:jc w:val="left"/>
            </w:pPr>
            <w:r>
              <w:t xml:space="preserve">Weather</w:t>
            </w:r>
          </w:p>
        </w:tc>
        <w:tc>
          <w:tcPr>
            <w:tcW w:w="5171" w:type="dxa"/>
          </w:tcPr>
          <w:p>
            <w:pPr>
              <w:pStyle w:val="TableText"/>
              <w:jc w:val="left"/>
            </w:pPr>
            <w:r>
              <w:t xml:space="preserve">ERA5 / Open-Meteo, Suzhou-Wujiang, summer 2024; DR day 5 August 2024 (38.3 °C); 22 July 2024 (36.8 °C) in Section 5.10.4</w:t>
            </w:r>
          </w:p>
        </w:tc>
        <w:tc>
          <w:tcPr>
            <w:tcW w:w="1123" w:type="dxa"/>
          </w:tcPr>
          <w:p>
            <w:pPr>
              <w:pStyle w:val="TableText"/>
              <w:jc w:val="left"/>
            </w:pPr>
            <w:r>
              <w:t xml:space="preserve">[D]</w:t>
            </w:r>
          </w:p>
        </w:tc>
      </w:tr>
      <w:tr>
        <w:tc>
          <w:tcPr>
            <w:tcW w:w="1326" w:type="dxa"/>
          </w:tcPr>
          <w:p>
            <w:pPr>
              <w:pStyle w:val="TableText"/>
            </w:pPr>
          </w:p>
        </w:tc>
        <w:tc>
          <w:tcPr>
            <w:tcW w:w="2586" w:type="dxa"/>
          </w:tcPr>
          <w:p>
            <w:pPr>
              <w:pStyle w:val="TableText"/>
              <w:jc w:val="left"/>
            </w:pPr>
            <w:r>
              <w:t xml:space="preserve">Grid connection</w:t>
            </w:r>
            <w:r>
              <w:t xml:space="preserve"> </w:t>
            </w:r>
            <m:oMath>
              <m:sSup>
                <m:e>
                  <m:r>
                    <w:rPr>
                      <w:rFonts w:ascii="Cambria Math" w:hAnsi="Cambria Math"/>
                      <w:sz w:val="15"/>
                      <w:szCs w:val="15"/>
                    </w:rPr>
                    <m:t>P</m:t>
                  </m:r>
                </m:e>
                <m:sup>
                  <m:r>
                    <w:rPr>
                      <w:rFonts w:ascii="Cambria Math" w:hAnsi="Cambria Math"/>
                      <w:sz w:val="15"/>
                      <w:szCs w:val="15"/>
                    </w:rPr>
                    <m:t>c</m:t>
                  </m:r>
                  <m:r>
                    <w:rPr>
                      <w:rFonts w:ascii="Cambria Math" w:hAnsi="Cambria Math"/>
                      <w:sz w:val="15"/>
                      <w:szCs w:val="15"/>
                    </w:rPr>
                    <m:t>a</m:t>
                  </m:r>
                  <m:r>
                    <w:rPr>
                      <w:rFonts w:ascii="Cambria Math" w:hAnsi="Cambria Math"/>
                      <w:sz w:val="15"/>
                      <w:szCs w:val="15"/>
                    </w:rPr>
                    <m:t>p</m:t>
                  </m:r>
                </m:sup>
              </m:sSup>
            </m:oMath>
            <w:r>
              <w:t xml:space="preserve">; minimum import</w:t>
            </w:r>
            <w:r>
              <w:t xml:space="preserve"> </w:t>
            </w:r>
            <m:oMath>
              <m:sSup>
                <m:e>
                  <m:r>
                    <w:rPr>
                      <w:rFonts w:ascii="Cambria Math" w:hAnsi="Cambria Math"/>
                      <w:sz w:val="15"/>
                      <w:szCs w:val="15"/>
                    </w:rPr>
                    <m:t>P</m:t>
                  </m:r>
                </m:e>
                <m:sup>
                  <m:r>
                    <w:rPr>
                      <w:rFonts w:ascii="Cambria Math" w:hAnsi="Cambria Math"/>
                      <w:sz w:val="15"/>
                      <w:szCs w:val="15"/>
                    </w:rPr>
                    <m:t>m</m:t>
                  </m:r>
                  <m:r>
                    <w:rPr>
                      <w:rFonts w:ascii="Cambria Math" w:hAnsi="Cambria Math"/>
                      <w:sz w:val="15"/>
                      <w:szCs w:val="15"/>
                    </w:rPr>
                    <m:t>i</m:t>
                  </m:r>
                  <m:r>
                    <w:rPr>
                      <w:rFonts w:ascii="Cambria Math" w:hAnsi="Cambria Math"/>
                      <w:sz w:val="15"/>
                      <w:szCs w:val="15"/>
                    </w:rPr>
                    <m:t>n</m:t>
                  </m:r>
                </m:sup>
              </m:sSup>
            </m:oMath>
          </w:p>
        </w:tc>
        <w:tc>
          <w:tcPr>
            <w:tcW w:w="5171" w:type="dxa"/>
          </w:tcPr>
          <w:p>
            <w:pPr>
              <w:pStyle w:val="TableText"/>
              <w:jc w:val="left"/>
            </w:pPr>
            <w:r>
              <w:t xml:space="preserve">1.10 × typical-day peak (16.03 MW; 15.96 MW in the July case of Section 5.10.4); 1.5 MW</w:t>
            </w:r>
          </w:p>
        </w:tc>
        <w:tc>
          <w:tcPr>
            <w:tcW w:w="1123" w:type="dxa"/>
          </w:tcPr>
          <w:p>
            <w:pPr>
              <w:pStyle w:val="TableText"/>
              <w:jc w:val="left"/>
            </w:pPr>
            <w:r>
              <w:t xml:space="preserve">[A]</w:t>
            </w:r>
          </w:p>
        </w:tc>
      </w:tr>
      <w:tr>
        <w:tc>
          <w:tcPr>
            <w:tcW w:w="1326" w:type="dxa"/>
          </w:tcPr>
          <w:p>
            <w:pPr>
              <w:pStyle w:val="TableText"/>
              <w:jc w:val="left"/>
            </w:pPr>
            <w:r>
              <w:t xml:space="preserve">Emissions</w:t>
            </w:r>
          </w:p>
        </w:tc>
        <w:tc>
          <w:tcPr>
            <w:tcW w:w="2586" w:type="dxa"/>
          </w:tcPr>
          <w:p>
            <w:pPr>
              <w:pStyle w:val="TableText"/>
              <w:jc w:val="left"/>
            </w:pPr>
            <w:r>
              <w:t xml:space="preserve">Emission factors</w:t>
            </w:r>
            <w:r>
              <w:t xml:space="preserve"> </w:t>
            </w:r>
            <m:oMath>
              <m:sSup>
                <m:e>
                  <m:r>
                    <w:rPr>
                      <w:rFonts w:ascii="Cambria Math" w:hAnsi="Cambria Math"/>
                      <w:sz w:val="15"/>
                      <w:szCs w:val="15"/>
                    </w:rPr>
                    <m:t>e</m:t>
                  </m:r>
                </m:e>
                <m:sup>
                  <m:r>
                    <w:rPr>
                      <w:rFonts w:ascii="Cambria Math" w:hAnsi="Cambria Math"/>
                      <w:sz w:val="15"/>
                      <w:szCs w:val="15"/>
                    </w:rPr>
                    <m:t>g</m:t>
                  </m:r>
                  <m:r>
                    <w:rPr>
                      <w:rFonts w:ascii="Cambria Math" w:hAnsi="Cambria Math"/>
                      <w:sz w:val="15"/>
                      <w:szCs w:val="15"/>
                    </w:rPr>
                    <m:t>r</m:t>
                  </m:r>
                  <m:r>
                    <w:rPr>
                      <w:rFonts w:ascii="Cambria Math" w:hAnsi="Cambria Math"/>
                      <w:sz w:val="15"/>
                      <w:szCs w:val="15"/>
                    </w:rPr>
                    <m:t>i</m:t>
                  </m:r>
                  <m:r>
                    <w:rPr>
                      <w:rFonts w:ascii="Cambria Math" w:hAnsi="Cambria Math"/>
                      <w:sz w:val="15"/>
                      <w:szCs w:val="15"/>
                    </w:rPr>
                    <m:t>d</m:t>
                  </m:r>
                </m:sup>
              </m:sSup>
            </m:oMath>
            <w:r>
              <w:t xml:space="preserve">,</w:t>
            </w:r>
            <w:r>
              <w:t xml:space="preserve"> </w:t>
            </w:r>
            <m:oMath>
              <m:sSup>
                <m:e>
                  <m:r>
                    <w:rPr>
                      <w:rFonts w:ascii="Cambria Math" w:hAnsi="Cambria Math"/>
                      <w:sz w:val="15"/>
                      <w:szCs w:val="15"/>
                    </w:rPr>
                    <m:t>e</m:t>
                  </m:r>
                </m:e>
                <m:sup>
                  <m:r>
                    <w:rPr>
                      <w:rFonts w:ascii="Cambria Math" w:hAnsi="Cambria Math"/>
                      <w:sz w:val="15"/>
                      <w:szCs w:val="15"/>
                    </w:rPr>
                    <m:t>g</m:t>
                  </m:r>
                  <m:r>
                    <w:rPr>
                      <w:rFonts w:ascii="Cambria Math" w:hAnsi="Cambria Math"/>
                      <w:sz w:val="15"/>
                      <w:szCs w:val="15"/>
                    </w:rPr>
                    <m:t>a</m:t>
                  </m:r>
                  <m:r>
                    <w:rPr>
                      <w:rFonts w:ascii="Cambria Math" w:hAnsi="Cambria Math"/>
                      <w:sz w:val="15"/>
                      <w:szCs w:val="15"/>
                    </w:rPr>
                    <m:t>s</m:t>
                  </m:r>
                </m:sup>
              </m:sSup>
            </m:oMath>
          </w:p>
        </w:tc>
        <w:tc>
          <w:tcPr>
            <w:tcW w:w="5171" w:type="dxa"/>
          </w:tcPr>
          <w:p>
            <w:pPr>
              <w:pStyle w:val="TableText"/>
              <w:jc w:val="left"/>
            </w:pPr>
            <w:r>
              <w:t xml:space="preserve">0.5617 t CO</w:t>
            </w:r>
            <w:r>
              <w:rPr>
                <w:vertAlign w:val="subscript"/>
              </w:rPr>
              <w:t xml:space="preserve">2</w:t>
            </w:r>
            <w:r>
              <w:t xml:space="preserve">/MWh (East China grid, 2022); 56.1 t CO</w:t>
            </w:r>
            <w:r>
              <w:rPr>
                <w:vertAlign w:val="subscript"/>
              </w:rPr>
              <w:t xml:space="preserve">2</w:t>
            </w:r>
            <w:r>
              <w:t xml:space="preserve">/TJ, i.e. 0.202 t CO</w:t>
            </w:r>
            <w:r>
              <w:rPr>
                <w:vertAlign w:val="subscript"/>
              </w:rPr>
              <w:t xml:space="preserve">2</w:t>
            </w:r>
            <w:r>
              <w:t xml:space="preserve">/MWh of fuel</w:t>
            </w:r>
          </w:p>
        </w:tc>
        <w:tc>
          <w:tcPr>
            <w:tcW w:w="1123" w:type="dxa"/>
          </w:tcPr>
          <w:p>
            <w:pPr>
              <w:pStyle w:val="TableText"/>
              <w:jc w:val="left"/>
            </w:pPr>
            <w:r>
              <w:t xml:space="preserve">[41] [S]; [42] [S]</w:t>
            </w:r>
          </w:p>
        </w:tc>
      </w:tr>
      <w:tr>
        <w:tc>
          <w:tcPr>
            <w:tcW w:w="1326" w:type="dxa"/>
          </w:tcPr>
          <w:p>
            <w:pPr>
              <w:pStyle w:val="TableText"/>
              <w:jc w:val="left"/>
            </w:pPr>
            <w:r>
              <w:t xml:space="preserve">Market</w:t>
            </w:r>
          </w:p>
        </w:tc>
        <w:tc>
          <w:tcPr>
            <w:tcW w:w="2586" w:type="dxa"/>
          </w:tcPr>
          <w:p>
            <w:pPr>
              <w:pStyle w:val="TableText"/>
              <w:jc w:val="left"/>
            </w:pPr>
            <w:r>
              <w:t xml:space="preserve">Tariff</w:t>
            </w:r>
          </w:p>
        </w:tc>
        <w:tc>
          <w:tcPr>
            <w:tcW w:w="5171" w:type="dxa"/>
          </w:tcPr>
          <w:p>
            <w:pPr>
              <w:pStyle w:val="TableText"/>
              <w:jc w:val="left"/>
            </w:pPr>
            <w:r>
              <w:t xml:space="preserve">Jiangsu two-part TOU: peak 14–22 h ×1.8 and valley ×0.35 on the purchase price</w:t>
            </w:r>
          </w:p>
        </w:tc>
        <w:tc>
          <w:tcPr>
            <w:tcW w:w="1123" w:type="dxa"/>
          </w:tcPr>
          <w:p>
            <w:pPr>
              <w:pStyle w:val="TableText"/>
              <w:jc w:val="left"/>
            </w:pPr>
            <w:r>
              <w:t xml:space="preserve">[52] [S]</w:t>
            </w:r>
          </w:p>
        </w:tc>
      </w:tr>
      <w:tr>
        <w:tc>
          <w:tcPr>
            <w:tcW w:w="1326" w:type="dxa"/>
          </w:tcPr>
          <w:p>
            <w:pPr>
              <w:pStyle w:val="TableText"/>
            </w:pPr>
          </w:p>
        </w:tc>
        <w:tc>
          <w:tcPr>
            <w:tcW w:w="2586" w:type="dxa"/>
          </w:tcPr>
          <w:p>
            <w:pPr>
              <w:pStyle w:val="TableText"/>
              <w:jc w:val="left"/>
            </w:pPr>
            <w:r>
              <w:t xml:space="preserve">DR settlement</w:t>
            </w:r>
          </w:p>
        </w:tc>
        <w:tc>
          <w:tcPr>
            <w:tcW w:w="5171" w:type="dxa"/>
          </w:tcPr>
          <w:p>
            <w:pPr>
              <w:pStyle w:val="TableText"/>
              <w:jc w:val="left"/>
            </w:pPr>
            <w:r>
              <w:t xml:space="preserve">agreed response cleared by bidding below a cap of 3 CNY/kWh (base case at the cap; 1 and 2 CNY/kWh in Section 5.10.3); ×1.4 (2–4 h notice), ×1.6 (0.5–2 h); valid ≥ 80 %, paid ≤ 120 %</w:t>
            </w:r>
          </w:p>
        </w:tc>
        <w:tc>
          <w:tcPr>
            <w:tcW w:w="1123" w:type="dxa"/>
          </w:tcPr>
          <w:p>
            <w:pPr>
              <w:pStyle w:val="TableText"/>
              <w:jc w:val="left"/>
            </w:pPr>
            <w:r>
              <w:t xml:space="preserve">[7] [S]</w:t>
            </w:r>
          </w:p>
        </w:tc>
      </w:tr>
      <w:tr>
        <w:tc>
          <w:tcPr>
            <w:tcW w:w="1326" w:type="dxa"/>
          </w:tcPr>
          <w:p>
            <w:pPr>
              <w:pStyle w:val="TableText"/>
            </w:pPr>
          </w:p>
        </w:tc>
        <w:tc>
          <w:tcPr>
            <w:tcW w:w="2586" w:type="dxa"/>
          </w:tcPr>
          <w:p>
            <w:pPr>
              <w:pStyle w:val="TableText"/>
              <w:jc w:val="left"/>
            </w:pPr>
            <w:r>
              <w:t xml:space="preserve">Shortfall coefficient</w:t>
            </w:r>
            <w:r>
              <w:t xml:space="preserve"> </w:t>
            </w:r>
            <m:oMath>
              <m:r>
                <w:rPr>
                  <w:rFonts w:ascii="Cambria Math" w:hAnsi="Cambria Math"/>
                  <w:sz w:val="15"/>
                  <w:szCs w:val="15"/>
                </w:rPr>
                <m:t>κ</m:t>
              </m:r>
            </m:oMath>
            <w:r>
              <w:t xml:space="preserve"> </w:t>
            </w:r>
            <w:r>
              <w:t xml:space="preserve">(no monetary shortfall penalty in the Jiangsu rules; 0 in Section 5.10.3); planning margin</w:t>
            </w:r>
            <w:r>
              <w:t xml:space="preserve"> </w:t>
            </w:r>
            <m:oMath>
              <m:sSup>
                <m:e>
                  <m:r>
                    <w:rPr>
                      <w:rFonts w:ascii="Cambria Math" w:hAnsi="Cambria Math"/>
                      <w:sz w:val="15"/>
                      <w:szCs w:val="15"/>
                    </w:rPr>
                    <m:t>δ</m:t>
                  </m:r>
                </m:e>
                <m:sup>
                  <m:r>
                    <w:rPr>
                      <w:rFonts w:ascii="Cambria Math" w:hAnsi="Cambria Math"/>
                      <w:sz w:val="15"/>
                      <w:szCs w:val="15"/>
                    </w:rPr>
                    <m:t>v</m:t>
                  </m:r>
                  <m:r>
                    <w:rPr>
                      <w:rFonts w:ascii="Cambria Math" w:hAnsi="Cambria Math"/>
                      <w:sz w:val="15"/>
                      <w:szCs w:val="15"/>
                    </w:rPr>
                    <m:t>a</m:t>
                  </m:r>
                  <m:r>
                    <w:rPr>
                      <w:rFonts w:ascii="Cambria Math" w:hAnsi="Cambria Math"/>
                      <w:sz w:val="15"/>
                      <w:szCs w:val="15"/>
                    </w:rPr>
                    <m:t>l</m:t>
                  </m:r>
                </m:sup>
              </m:sSup>
            </m:oMath>
            <w:r>
              <w:t xml:space="preserve">; full delivery; reliability</w:t>
            </w:r>
            <w:r>
              <w:t xml:space="preserve"> </w:t>
            </w:r>
            <m:oMath>
              <m:r>
                <w:rPr>
                  <w:rFonts w:ascii="Cambria Math" w:hAnsi="Cambria Math"/>
                  <w:sz w:val="15"/>
                  <w:szCs w:val="15"/>
                </w:rPr>
                <m:t>ρ</m:t>
              </m:r>
            </m:oMath>
          </w:p>
        </w:tc>
        <w:tc>
          <w:tcPr>
            <w:tcW w:w="5171" w:type="dxa"/>
          </w:tcPr>
          <w:p>
            <w:pPr>
              <w:pStyle w:val="TableText"/>
              <w:jc w:val="left"/>
            </w:pPr>
            <w:r>
              <w:t xml:space="preserve">1; 0.1 MW;</w:t>
            </w:r>
            <w:r>
              <w:t xml:space="preserve"> </w:t>
            </w:r>
            <m:oMath>
              <m:sSub>
                <m:e>
                  <m:acc>
                    <m:accPr>
                      <m:chr m:val="‾"/>
                    </m:accPr>
                    <m:e>
                      <m:r>
                        <w:rPr>
                          <w:rFonts w:ascii="Cambria Math" w:hAnsi="Cambria Math"/>
                          <w:sz w:val="15"/>
                          <w:szCs w:val="15"/>
                        </w:rPr>
                        <m:t>r</m:t>
                      </m:r>
                    </m:e>
                  </m:acc>
                </m:e>
                <m:sub>
                  <m:r>
                    <w:rPr>
                      <w:rFonts w:ascii="Cambria Math" w:hAnsi="Cambria Math"/>
                      <w:sz w:val="15"/>
                      <w:szCs w:val="15"/>
                    </w:rPr>
                    <m:t>k</m:t>
                  </m:r>
                </m:sub>
              </m:sSub>
              <m:r>
                <m:rPr>
                  <m:sty m:val="p"/>
                </m:rPr>
                <w:rPr>
                  <w:rFonts w:ascii="Cambria Math" w:hAnsi="Cambria Math"/>
                  <w:sz w:val="15"/>
                  <w:szCs w:val="15"/>
                </w:rPr>
                <m:t>≥</m:t>
              </m:r>
              <m:r>
                <w:rPr>
                  <w:rFonts w:ascii="Cambria Math" w:hAnsi="Cambria Math"/>
                  <w:sz w:val="15"/>
                  <w:szCs w:val="15"/>
                </w:rPr>
                <m:t>0.98</m:t>
              </m:r>
              <m:sSub>
                <m:e>
                  <m:r>
                    <w:rPr>
                      <w:rFonts w:ascii="Cambria Math" w:hAnsi="Cambria Math"/>
                      <w:sz w:val="15"/>
                      <w:szCs w:val="15"/>
                    </w:rPr>
                    <m:t>C</m:t>
                  </m:r>
                </m:e>
                <m:sub>
                  <m:r>
                    <w:rPr>
                      <w:rFonts w:ascii="Cambria Math" w:hAnsi="Cambria Math"/>
                      <w:sz w:val="15"/>
                      <w:szCs w:val="15"/>
                    </w:rPr>
                    <m:t>k</m:t>
                  </m:r>
                </m:sub>
              </m:sSub>
            </m:oMath>
            <w:r>
              <w:t xml:space="preserve"> </w:t>
            </w:r>
            <w:r>
              <w:t xml:space="preserve">(</w:t>
            </w:r>
            <m:oMath>
              <m:sSub>
                <m:e>
                  <m:r>
                    <w:rPr>
                      <w:rFonts w:ascii="Cambria Math" w:hAnsi="Cambria Math"/>
                      <w:sz w:val="15"/>
                      <w:szCs w:val="15"/>
                    </w:rPr>
                    <m:t>ϵ</m:t>
                  </m:r>
                </m:e>
                <m:sub>
                  <m:r>
                    <w:rPr>
                      <w:rFonts w:ascii="Cambria Math" w:hAnsi="Cambria Math"/>
                      <w:sz w:val="15"/>
                      <w:szCs w:val="15"/>
                    </w:rPr>
                    <m:t>f</m:t>
                  </m:r>
                </m:sub>
              </m:sSub>
            </m:oMath>
            <w:r>
              <w:t xml:space="preserve"> </w:t>
            </w:r>
            <w:r>
              <w:t xml:space="preserve">= 2 %); 0.95</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Rebound window</w:t>
            </w:r>
            <w:r>
              <w:t xml:space="preserve"> </w:t>
            </w:r>
            <m:oMath>
              <m:sSub>
                <m:e>
                  <m:r>
                    <m:rPr>
                      <m:scr m:val="script"/>
                      <m:sty m:val="p"/>
                    </m:rPr>
                    <w:rPr>
                      <w:rFonts w:ascii="Cambria Math" w:hAnsi="Cambria Math"/>
                      <w:sz w:val="15"/>
                      <w:szCs w:val="15"/>
                    </w:rPr>
                    <m:t>W</m:t>
                  </m:r>
                </m:e>
                <m:sub>
                  <m:r>
                    <w:rPr>
                      <w:rFonts w:ascii="Cambria Math" w:hAnsi="Cambria Math"/>
                      <w:sz w:val="15"/>
                      <w:szCs w:val="15"/>
                    </w:rPr>
                    <m:t>k</m:t>
                  </m:r>
                </m:sub>
              </m:sSub>
            </m:oMath>
            <w:r>
              <w:t xml:space="preserve">; assessment</w:t>
            </w:r>
            <w:r>
              <w:t xml:space="preserve"> </w:t>
            </w:r>
            <m:oMath>
              <m:sSup>
                <m:e>
                  <m:r>
                    <w:rPr>
                      <w:rFonts w:ascii="Cambria Math" w:hAnsi="Cambria Math"/>
                      <w:sz w:val="15"/>
                      <w:szCs w:val="15"/>
                    </w:rPr>
                    <m:t>c</m:t>
                  </m:r>
                </m:e>
                <m:sup>
                  <m:r>
                    <w:rPr>
                      <w:rFonts w:ascii="Cambria Math" w:hAnsi="Cambria Math"/>
                      <w:sz w:val="15"/>
                      <w:szCs w:val="15"/>
                    </w:rPr>
                    <m:t>r</m:t>
                  </m:r>
                  <m:r>
                    <w:rPr>
                      <w:rFonts w:ascii="Cambria Math" w:hAnsi="Cambria Math"/>
                      <w:sz w:val="15"/>
                      <w:szCs w:val="15"/>
                    </w:rPr>
                    <m:t>b</m:t>
                  </m:r>
                </m:sup>
              </m:sSup>
            </m:oMath>
          </w:p>
        </w:tc>
        <w:tc>
          <w:tcPr>
            <w:tcW w:w="5171" w:type="dxa"/>
          </w:tcPr>
          <w:p>
            <w:pPr>
              <w:pStyle w:val="TableText"/>
              <w:jc w:val="left"/>
            </w:pPr>
            <w:r>
              <w:t xml:space="preserve">2 h after every event; 0 (Jiangsu rules), 0–3 CNY/kW per event in Section 5.9.2</w:t>
            </w:r>
          </w:p>
        </w:tc>
        <w:tc>
          <w:tcPr>
            <w:tcW w:w="1123" w:type="dxa"/>
          </w:tcPr>
          <w:p>
            <w:pPr>
              <w:pStyle w:val="TableText"/>
              <w:jc w:val="left"/>
            </w:pPr>
            <w:r>
              <w:t xml:space="preserve">[A]</w:t>
            </w:r>
          </w:p>
        </w:tc>
      </w:tr>
      <w:tr>
        <w:tc>
          <w:tcPr>
            <w:tcW w:w="1326" w:type="dxa"/>
          </w:tcPr>
          <w:p>
            <w:pPr>
              <w:pStyle w:val="TableText"/>
              <w:jc w:val="left"/>
            </w:pPr>
            <w:r>
              <w:t xml:space="preserve">Method</w:t>
            </w:r>
          </w:p>
        </w:tc>
        <w:tc>
          <w:tcPr>
            <w:tcW w:w="2586" w:type="dxa"/>
          </w:tcPr>
          <w:p>
            <w:pPr>
              <w:pStyle w:val="TableText"/>
              <w:jc w:val="left"/>
            </w:pPr>
            <w:r>
              <w:t xml:space="preserve">Terminal values</w:t>
            </w:r>
            <w:r>
              <w:t xml:space="preserve"> </w:t>
            </w:r>
            <m:oMath>
              <m:sSup>
                <m:e>
                  <m:r>
                    <w:rPr>
                      <w:rFonts w:ascii="Cambria Math" w:hAnsi="Cambria Math"/>
                      <w:sz w:val="15"/>
                      <w:szCs w:val="15"/>
                    </w:rPr>
                    <m:t>c</m:t>
                  </m:r>
                </m:e>
                <m:sup>
                  <m:r>
                    <w:rPr>
                      <w:rFonts w:ascii="Cambria Math" w:hAnsi="Cambria Math"/>
                      <w:sz w:val="15"/>
                      <w:szCs w:val="15"/>
                    </w:rPr>
                    <m:t>E</m:t>
                  </m:r>
                </m:sup>
              </m:sSup>
            </m:oMath>
            <w:r>
              <w:t xml:space="preserve">,</w:t>
            </w:r>
            <w:r>
              <w:t xml:space="preserve"> </w:t>
            </w:r>
            <m:oMath>
              <m:sSup>
                <m:e>
                  <m:r>
                    <w:rPr>
                      <w:rFonts w:ascii="Cambria Math" w:hAnsi="Cambria Math"/>
                      <w:sz w:val="15"/>
                      <w:szCs w:val="15"/>
                    </w:rPr>
                    <m:t>c</m:t>
                  </m:r>
                </m:e>
                <m:sup>
                  <m:r>
                    <w:rPr>
                      <w:rFonts w:ascii="Cambria Math" w:hAnsi="Cambria Math"/>
                      <w:sz w:val="15"/>
                      <w:szCs w:val="15"/>
                    </w:rPr>
                    <m:t>S</m:t>
                  </m:r>
                </m:sup>
              </m:sSup>
            </m:oMath>
            <w:r>
              <w:t xml:space="preserve">,</w:t>
            </w:r>
            <w:r>
              <w:t xml:space="preserve"> </w:t>
            </w:r>
            <m:oMath>
              <m:sSup>
                <m:e>
                  <m:r>
                    <w:rPr>
                      <w:rFonts w:ascii="Cambria Math" w:hAnsi="Cambria Math"/>
                      <w:sz w:val="15"/>
                      <w:szCs w:val="15"/>
                    </w:rPr>
                    <m:t>c</m:t>
                  </m:r>
                </m:e>
                <m:sup>
                  <m:r>
                    <w:rPr>
                      <w:rFonts w:ascii="Cambria Math" w:hAnsi="Cambria Math"/>
                      <w:sz w:val="15"/>
                      <w:szCs w:val="15"/>
                    </w:rPr>
                    <m:t>B</m:t>
                  </m:r>
                </m:sup>
              </m:sSup>
            </m:oMath>
          </w:p>
        </w:tc>
        <w:tc>
          <w:tcPr>
            <w:tcW w:w="5171" w:type="dxa"/>
          </w:tcPr>
          <w:p>
            <w:pPr>
              <w:pStyle w:val="TableText"/>
              <w:jc w:val="left"/>
            </w:pPr>
            <w:r>
              <w:t xml:space="preserve">500 CNY/MWh of BESS and 100 CNY/MWh</w:t>
            </w:r>
            <w:r>
              <w:rPr>
                <w:vertAlign w:val="subscript"/>
              </w:rPr>
              <w:t xml:space="preserve">th</w:t>
            </w:r>
            <w:r>
              <w:t xml:space="preserve"> </w:t>
            </w:r>
            <w:r>
              <w:t xml:space="preserve">of TES deficit; backlog at its energy cost at the flat price</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MPC</w:t>
            </w:r>
          </w:p>
        </w:tc>
        <w:tc>
          <w:tcPr>
            <w:tcW w:w="5171" w:type="dxa"/>
          </w:tcPr>
          <w:p>
            <w:pPr>
              <w:pStyle w:val="TableText"/>
              <w:jc w:val="left"/>
            </w:pPr>
            <m:oMath>
              <m:r>
                <w:rPr>
                  <w:rFonts w:ascii="Cambria Math" w:hAnsi="Cambria Math"/>
                  <w:sz w:val="15"/>
                  <w:szCs w:val="15"/>
                </w:rPr>
                <m:t>Δ</m:t>
              </m:r>
              <m:r>
                <w:rPr>
                  <w:rFonts w:ascii="Cambria Math" w:hAnsi="Cambria Math"/>
                  <w:sz w:val="15"/>
                  <w:szCs w:val="15"/>
                </w:rPr>
                <m:t>t</m:t>
              </m:r>
            </m:oMath>
            <w:r>
              <w:t xml:space="preserve"> </w:t>
            </w:r>
            <w:r>
              <w:t xml:space="preserve">= 15 min,</w:t>
            </w:r>
            <w:r>
              <w:t xml:space="preserve"> </w:t>
            </w:r>
            <m:oMath>
              <m:sSub>
                <m:e>
                  <m:r>
                    <w:rPr>
                      <w:rFonts w:ascii="Cambria Math" w:hAnsi="Cambria Math"/>
                      <w:sz w:val="15"/>
                      <w:szCs w:val="15"/>
                    </w:rPr>
                    <m:t>T</m:t>
                  </m:r>
                </m:e>
                <m:sub>
                  <m:r>
                    <w:rPr>
                      <w:rFonts w:ascii="Cambria Math" w:hAnsi="Cambria Math"/>
                      <w:sz w:val="15"/>
                      <w:szCs w:val="15"/>
                    </w:rPr>
                    <m:t>H</m:t>
                  </m:r>
                </m:sub>
              </m:sSub>
            </m:oMath>
            <w:r>
              <w:t xml:space="preserve"> </w:t>
            </w:r>
            <w:r>
              <w:t xml:space="preserve">= 18 h (1–8 h in Section 5.10.2); evaluation window 00:00–06:00 of the next day (30 h); JR-S with 5 scenarios</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Static split of IR-O*</w:t>
            </w:r>
          </w:p>
        </w:tc>
        <w:tc>
          <w:tcPr>
            <w:tcW w:w="5171" w:type="dxa"/>
          </w:tcPr>
          <w:p>
            <w:pPr>
              <w:pStyle w:val="TableText"/>
              <w:jc w:val="left"/>
            </w:pPr>
            <m:oMath>
              <m:r>
                <w:rPr>
                  <w:rFonts w:ascii="Cambria Math" w:hAnsi="Cambria Math"/>
                  <w:sz w:val="15"/>
                  <w:szCs w:val="15"/>
                </w:rPr>
                <m:t>α</m:t>
              </m:r>
              <m:r>
                <m:rPr>
                  <m:sty m:val="p"/>
                </m:rPr>
                <w:rPr>
                  <w:rFonts w:ascii="Cambria Math" w:hAnsi="Cambria Math"/>
                  <w:sz w:val="15"/>
                  <w:szCs w:val="15"/>
                </w:rPr>
                <m:t>∈</m:t>
              </m:r>
              <m:r>
                <m:rPr>
                  <m:sty m:val="p"/>
                </m:rPr>
                <w:rPr>
                  <w:rFonts w:ascii="Cambria Math" w:hAnsi="Cambria Math"/>
                  <w:sz w:val="15"/>
                  <w:szCs w:val="15"/>
                </w:rPr>
                <m:t>{</m:t>
              </m:r>
              <m:r>
                <w:rPr>
                  <w:rFonts w:ascii="Cambria Math" w:hAnsi="Cambria Math"/>
                  <w:sz w:val="15"/>
                  <w:szCs w:val="15"/>
                </w:rPr>
                <m:t>0.2</m:t>
              </m:r>
              <m:r>
                <m:rPr>
                  <m:sty m:val="p"/>
                </m:rPr>
                <w:rPr>
                  <w:rFonts w:ascii="Cambria Math" w:hAnsi="Cambria Math"/>
                  <w:sz w:val="15"/>
                  <w:szCs w:val="15"/>
                </w:rPr>
                <m:t>,</m:t>
              </m:r>
              <m:r>
                <w:rPr>
                  <w:rFonts w:ascii="Cambria Math" w:hAnsi="Cambria Math"/>
                  <w:sz w:val="15"/>
                  <w:szCs w:val="15"/>
                </w:rPr>
                <m:t>0.3</m:t>
              </m:r>
              <m:r>
                <m:rPr>
                  <m:sty m:val="p"/>
                </m:rPr>
                <w:rPr>
                  <w:rFonts w:ascii="Cambria Math" w:hAnsi="Cambria Math"/>
                  <w:sz w:val="15"/>
                  <w:szCs w:val="15"/>
                </w:rPr>
                <m:t>,</m:t>
              </m:r>
              <m:r>
                <m:rPr>
                  <m:sty m:val="p"/>
                </m:rPr>
                <w:rPr>
                  <w:rFonts w:ascii="Cambria Math" w:hAnsi="Cambria Math"/>
                  <w:sz w:val="15"/>
                  <w:szCs w:val="15"/>
                </w:rPr>
                <m:t>…</m:t>
              </m:r>
              <m:r>
                <m:rPr>
                  <m:sty m:val="p"/>
                </m:rPr>
                <w:rPr>
                  <w:rFonts w:ascii="Cambria Math" w:hAnsi="Cambria Math"/>
                  <w:sz w:val="15"/>
                  <w:szCs w:val="15"/>
                </w:rPr>
                <m:t>,</m:t>
              </m:r>
              <m:r>
                <w:rPr>
                  <w:rFonts w:ascii="Cambria Math" w:hAnsi="Cambria Math"/>
                  <w:sz w:val="15"/>
                  <w:szCs w:val="15"/>
                </w:rPr>
                <m:t>1.0</m:t>
              </m:r>
              <m:r>
                <m:rPr>
                  <m:sty m:val="p"/>
                </m:rPr>
                <w:rPr>
                  <w:rFonts w:ascii="Cambria Math" w:hAnsi="Cambria Math"/>
                  <w:sz w:val="15"/>
                  <w:szCs w:val="15"/>
                </w:rPr>
                <m:t>}</m:t>
              </m:r>
            </m:oMath>
            <w:r>
              <w:t xml:space="preserve">, tuned day-ahead for every commitment</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Iterative price coordination IR-PD</w:t>
            </w:r>
          </w:p>
        </w:tc>
        <w:tc>
          <w:tcPr>
            <w:tcW w:w="5171" w:type="dxa"/>
          </w:tcPr>
          <w:p>
            <w:pPr>
              <w:pStyle w:val="TableText"/>
              <w:jc w:val="left"/>
            </w:pPr>
            <w:r>
              <w:t xml:space="preserve">12 rounds per MPC step, damping 0.5, IT schedules averaged over rounds 7–12</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Two-stage model (58)–(59)</w:t>
            </w:r>
          </w:p>
        </w:tc>
        <w:tc>
          <w:tcPr>
            <w:tcW w:w="5171" w:type="dxa"/>
          </w:tcPr>
          <w:p>
            <w:pPr>
              <w:pStyle w:val="TableText"/>
              <w:jc w:val="left"/>
            </w:pPr>
            <m:oMath>
              <m:sSup>
                <m:e>
                  <m:r>
                    <w:rPr>
                      <w:rFonts w:ascii="Cambria Math" w:hAnsi="Cambria Math"/>
                      <w:sz w:val="15"/>
                      <w:szCs w:val="15"/>
                    </w:rPr>
                    <m:t>ϵ</m:t>
                  </m:r>
                </m:e>
                <m:sup>
                  <m:r>
                    <w:rPr>
                      <w:rFonts w:ascii="Cambria Math" w:hAnsi="Cambria Math"/>
                      <w:sz w:val="15"/>
                      <w:szCs w:val="15"/>
                    </w:rPr>
                    <m:t>C</m:t>
                  </m:r>
                </m:sup>
              </m:sSup>
            </m:oMath>
            <w:r>
              <w:t xml:space="preserve"> </w:t>
            </w:r>
            <w:r>
              <w:t xml:space="preserve">= 100 CNY/MW</w:t>
            </w:r>
          </w:p>
        </w:tc>
        <w:tc>
          <w:tcPr>
            <w:tcW w:w="1123" w:type="dxa"/>
          </w:tcPr>
          <w:p>
            <w:pPr>
              <w:pStyle w:val="TableText"/>
              <w:jc w:val="left"/>
            </w:pPr>
            <w:r>
              <w:t xml:space="preserve">[A]</w:t>
            </w:r>
          </w:p>
        </w:tc>
      </w:tr>
      <w:tr>
        <w:tc>
          <w:tcPr>
            <w:tcW w:w="1326" w:type="dxa"/>
          </w:tcPr>
          <w:p>
            <w:pPr>
              <w:pStyle w:val="TableText"/>
            </w:pPr>
          </w:p>
        </w:tc>
        <w:tc>
          <w:tcPr>
            <w:tcW w:w="2586" w:type="dxa"/>
          </w:tcPr>
          <w:p>
            <w:pPr>
              <w:pStyle w:val="TableText"/>
              <w:jc w:val="left"/>
            </w:pPr>
            <w:r>
              <w:t xml:space="preserve">Days</w:t>
            </w:r>
          </w:p>
        </w:tc>
        <w:tc>
          <w:tcPr>
            <w:tcW w:w="5171" w:type="dxa"/>
          </w:tcPr>
          <w:p>
            <w:pPr>
              <w:pStyle w:val="TableText"/>
              <w:jc w:val="left"/>
            </w:pPr>
            <w:r>
              <w:t xml:space="preserve">26 operating days: PAI weekdays after the DR day, each paired with a hot day and an Azure inference day (78 realisations in Section 5.10.4, each weekday with three hot days and inference days); 14 historical days: the weekdays of the trace before the DR day (five of them, at the 10–90 % quantiles of the deferrable load, for forecasts and benchmark tuning)</w:t>
            </w:r>
          </w:p>
        </w:tc>
        <w:tc>
          <w:tcPr>
            <w:tcW w:w="1123" w:type="dxa"/>
          </w:tcPr>
          <w:p>
            <w:pPr>
              <w:pStyle w:val="TableText"/>
              <w:jc w:val="left"/>
            </w:pPr>
            <w:r>
              <w:t xml:space="preserve">[44,45] [D]</w:t>
            </w:r>
          </w:p>
        </w:tc>
      </w:tr>
    </w:tbl>
    <w:p>
      <w:pPr>
        <w:spacing w:before="0" w:after="0" w:line="20" w:lineRule="exact"/>
        <w:sectPr>
          <w:headerReference w:type="default" r:id="rId9"/>
          <w:footerReference w:type="default" r:id="rId10"/>
          <w:footerReference w:type="first" r:id="rId10"/>
          <w:type w:val="continuous"/>
          <w:pgSz w:w="11906" w:h="16838"/>
          <w:pgMar w:top="1077" w:right="850" w:bottom="1077" w:left="850" w:header="567" w:footer="510" w:gutter="0"/>
          <w:cols w:space="708"/>
        </w:sectPr>
      </w:pPr>
    </w:p>
    <w:bookmarkEnd w:id="143"/>
    <w:bookmarkStart w:id="144" w:name="appendix-b.-proofs"/>
    <w:p>
      <w:pPr>
        <w:pStyle w:val="Heading1"/>
      </w:pPr>
      <w:r>
        <w:t xml:space="preserve">Appendix B. Proofs</w:t>
      </w:r>
    </w:p>
    <w:p>
      <w:pPr>
        <w:pStyle w:val="FirstParagraph"/>
      </w:pPr>
      <w:r>
        <w:rPr>
          <w:bCs/>
          <w:b/>
        </w:rPr>
        <w:t xml:space="preserve">Proof of Proposition 1.</w:t>
      </w:r>
      <w:r>
        <w:t xml:space="preserve"> </w:t>
      </w:r>
      <w:r>
        <w:t xml:space="preserve">(i) Restricting a feasible schedule of the two-event problem to event B gives a feasible schedule of the single-event problem with the same initial state, so</w:t>
      </w:r>
      <w:r>
        <w:t xml:space="preserve"> </w:t>
      </w:r>
      <m:oMath>
        <m:sSub>
          <m:e>
            <m:r>
              <w:rPr>
                <w:rFonts w:ascii="Cambria Math" w:hAnsi="Cambria Math"/>
                <w:sz w:val="19"/>
                <w:szCs w:val="19"/>
              </w:rPr>
              <m:t>Γ</m:t>
            </m:r>
          </m:e>
          <m:sub>
            <m:r>
              <w:rPr>
                <w:rFonts w:ascii="Cambria Math" w:hAnsi="Cambria Math"/>
                <w:sz w:val="19"/>
                <w:szCs w:val="19"/>
              </w:rPr>
              <m:t>B</m:t>
            </m:r>
          </m:sub>
        </m:sSub>
        <m:r>
          <m:rPr>
            <m:sty m:val="p"/>
          </m:rPr>
          <w:rPr>
            <w:rFonts w:ascii="Cambria Math" w:hAnsi="Cambria Math"/>
            <w:sz w:val="19"/>
            <w:szCs w:val="19"/>
          </w:rPr>
          <m:t>≤</m:t>
        </m:r>
        <m:sSubSup>
          <m:e>
            <m:r>
              <w:rPr>
                <w:rFonts w:ascii="Cambria Math" w:hAnsi="Cambria Math"/>
                <w:sz w:val="19"/>
                <w:szCs w:val="19"/>
              </w:rPr>
              <m:t>Γ</m:t>
            </m:r>
          </m:e>
          <m:sub>
            <m:r>
              <w:rPr>
                <w:rFonts w:ascii="Cambria Math" w:hAnsi="Cambria Math"/>
                <w:sz w:val="19"/>
                <w:szCs w:val="19"/>
              </w:rPr>
              <m:t>B</m:t>
            </m:r>
          </m:sub>
          <m:sup>
            <m:r>
              <w:rPr>
                <w:rFonts w:ascii="Cambria Math" w:hAnsi="Cambria Math"/>
                <w:sz w:val="19"/>
                <w:szCs w:val="19"/>
              </w:rPr>
              <m:t>0</m:t>
            </m:r>
          </m:sup>
        </m:sSubSup>
      </m:oMath>
      <w:r>
        <w:t xml:space="preserve">.</w:t>
      </w:r>
    </w:p>
    <w:p>
      <w:pPr>
        <w:pStyle w:val="BodyText"/>
      </w:pPr>
      <w:r>
        <w:t xml:space="preserve">(ii) Summing (37) over</w:t>
      </w:r>
      <w:r>
        <w:t xml:space="preserve"> </w:t>
      </w:r>
      <m:oMath>
        <m:sSub>
          <m:e>
            <m:r>
              <m:rPr>
                <m:scr m:val="script"/>
                <m:sty m:val="p"/>
              </m:rPr>
              <w:rPr>
                <w:rFonts w:ascii="Cambria Math" w:hAnsi="Cambria Math"/>
                <w:sz w:val="19"/>
                <w:szCs w:val="19"/>
              </w:rPr>
              <m:t>T</m:t>
            </m:r>
          </m:e>
          <m:sub>
            <m:r>
              <w:rPr>
                <w:rFonts w:ascii="Cambria Math" w:hAnsi="Cambria Math"/>
                <w:sz w:val="19"/>
                <w:szCs w:val="19"/>
              </w:rPr>
              <m:t>B</m:t>
            </m:r>
          </m:sub>
        </m:sSub>
      </m:oMath>
      <w:r>
        <w:t xml:space="preserve"> </w:t>
      </w:r>
      <w:r>
        <w:t xml:space="preserve">gives</w:t>
      </w:r>
    </w:p>
    <w:p>
      <w:pPr>
        <w:pStyle w:val="Equation"/>
      </w:pPr>
      <w:r>
        <w:tab/>
      </w:r>
      <m:oMath>
        <m:m>
          <m:mPr>
            <m:baseJc m:val="center"/>
            <m:plcHide m:val="on"/>
            <m:mcs>
              <m:mc>
                <m:mcPr>
                  <m:count m:val="1"/>
                  <m:mcJc m:val="right"/>
                </m:mcPr>
              </m:mc>
              <m:mc>
                <m:mcPr>
                  <m:count m:val="1"/>
                  <m:mcJc m:val="left"/>
                </m:mcPr>
              </m:mc>
            </m:mcs>
          </m:mPr>
          <m:mr>
            <m:e>
              <m:sSub>
                <m:e>
                  <m:r>
                    <w:rPr>
                      <w:rFonts w:ascii="Cambria Math" w:hAnsi="Cambria Math"/>
                      <w:sz w:val="19"/>
                      <w:szCs w:val="19"/>
                    </w:rPr>
                    <m:t>Γ</m:t>
                  </m:r>
                </m:e>
                <m:sub>
                  <m:r>
                    <w:rPr>
                      <w:rFonts w:ascii="Cambria Math" w:hAnsi="Cambria Math"/>
                      <w:sz w:val="19"/>
                      <w:szCs w:val="19"/>
                    </w:rPr>
                    <m:t>B</m:t>
                  </m:r>
                </m:sub>
              </m:sSub>
              <m:sSub>
                <m:e>
                  <m:r>
                    <w:rPr>
                      <w:rFonts w:ascii="Cambria Math" w:hAnsi="Cambria Math"/>
                      <w:sz w:val="19"/>
                      <w:szCs w:val="19"/>
                    </w:rPr>
                    <m:t>D</m:t>
                  </m:r>
                </m:e>
                <m:sub>
                  <m:r>
                    <w:rPr>
                      <w:rFonts w:ascii="Cambria Math" w:hAnsi="Cambria Math"/>
                      <w:sz w:val="19"/>
                      <w:szCs w:val="19"/>
                    </w:rPr>
                    <m:t>B</m:t>
                  </m:r>
                </m:sub>
              </m:sSub>
              <m:r>
                <m:rPr>
                  <m:sty m:val="p"/>
                </m:rPr>
                <w:rPr>
                  <w:rFonts w:ascii="Cambria Math" w:hAnsi="Cambria Math"/>
                  <w:sz w:val="19"/>
                  <w:szCs w:val="19"/>
                </w:rPr>
                <m:t>=</m:t>
              </m:r>
              <m:r>
                <w:rPr>
                  <w:rFonts w:ascii="Cambria Math" w:hAnsi="Cambria Math"/>
                  <w:sz w:val="19"/>
                  <w:szCs w:val="19"/>
                </w:rPr>
                <m:t>​</m:t>
              </m:r>
            </m:e>
            <m:e>
              <m:r>
                <w:rPr>
                  <w:rFonts w:ascii="Cambria Math" w:hAnsi="Cambria Math"/>
                  <w:sz w:val="19"/>
                  <w:szCs w:val="19"/>
                </w:rPr>
                <m:t>ψ</m:t>
              </m:r>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d>
                    <m:dPr>
                      <m:begChr m:val="["/>
                      <m:sepChr m:val=""/>
                      <m:endChr m:val="]"/>
                      <m:grow/>
                    </m:dPr>
                    <m:e>
                      <m:sSub>
                        <m:e>
                          <m:r>
                            <w:rPr>
                              <w:rFonts w:ascii="Cambria Math" w:hAnsi="Cambria Math"/>
                              <w:sz w:val="19"/>
                              <w:szCs w:val="19"/>
                            </w:rPr>
                            <m:t>B</m:t>
                          </m:r>
                        </m:e>
                        <m:sub>
                          <m:r>
                            <w:rPr>
                              <w:rFonts w:ascii="Cambria Math" w:hAnsi="Cambria Math"/>
                              <w:sz w:val="19"/>
                              <w:szCs w:val="19"/>
                            </w:rPr>
                            <m:t>c</m:t>
                          </m:r>
                        </m:sub>
                      </m:sSub>
                      <m:d>
                        <m:dPr>
                          <m:begChr m:val="("/>
                          <m:sepChr m:val=""/>
                          <m:endChr m:val=")"/>
                          <m:grow/>
                        </m:dPr>
                        <m:e>
                          <m:sSub>
                            <m:e>
                              <m:r>
                                <w:rPr>
                                  <w:rFonts w:ascii="Cambria Math" w:hAnsi="Cambria Math"/>
                                  <w:sz w:val="19"/>
                                  <w:szCs w:val="19"/>
                                </w:rPr>
                                <m:t>e</m:t>
                              </m:r>
                            </m:e>
                            <m:sub>
                              <m:r>
                                <w:rPr>
                                  <w:rFonts w:ascii="Cambria Math" w:hAnsi="Cambria Math"/>
                                  <w:sz w:val="19"/>
                                  <w:szCs w:val="19"/>
                                </w:rPr>
                                <m:t>B</m:t>
                              </m:r>
                            </m:sub>
                          </m:sSub>
                        </m:e>
                      </m:d>
                      <m:r>
                        <m:rPr>
                          <m:sty m:val="p"/>
                        </m:rPr>
                        <w:rPr>
                          <w:rFonts w:ascii="Cambria Math" w:hAnsi="Cambria Math"/>
                          <w:sz w:val="19"/>
                          <w:szCs w:val="19"/>
                        </w:rPr>
                        <m:t>−</m:t>
                      </m:r>
                      <m:sSub>
                        <m:e>
                          <m:r>
                            <w:rPr>
                              <w:rFonts w:ascii="Cambria Math" w:hAnsi="Cambria Math"/>
                              <w:sz w:val="19"/>
                              <w:szCs w:val="19"/>
                            </w:rPr>
                            <m:t>B</m:t>
                          </m:r>
                        </m:e>
                        <m:sub>
                          <m:r>
                            <w:rPr>
                              <w:rFonts w:ascii="Cambria Math" w:hAnsi="Cambria Math"/>
                              <w:sz w:val="19"/>
                              <w:szCs w:val="19"/>
                            </w:rPr>
                            <m:t>c</m:t>
                          </m:r>
                        </m:sub>
                      </m:sSub>
                      <m:d>
                        <m:dPr>
                          <m:begChr m:val="("/>
                          <m:sepChr m:val=""/>
                          <m:endChr m:val=")"/>
                          <m:grow/>
                        </m:dPr>
                        <m:e>
                          <m:sSubSup>
                            <m:e>
                              <m:r>
                                <w:rPr>
                                  <w:rFonts w:ascii="Cambria Math" w:hAnsi="Cambria Math"/>
                                  <w:sz w:val="19"/>
                                  <w:szCs w:val="19"/>
                                </w:rPr>
                                <m:t>s</m:t>
                              </m:r>
                            </m:e>
                            <m:sub>
                              <m:r>
                                <w:rPr>
                                  <w:rFonts w:ascii="Cambria Math" w:hAnsi="Cambria Math"/>
                                  <w:sz w:val="19"/>
                                  <w:szCs w:val="19"/>
                                </w:rPr>
                                <m:t>B</m:t>
                              </m:r>
                            </m:sub>
                            <m:sup>
                              <m:r>
                                <m:rPr>
                                  <m:lit/>
                                  <m:sty m:val="p"/>
                                </m:rPr>
                                <w:rPr>
                                  <w:rFonts w:ascii="Cambria Math" w:hAnsi="Cambria Math"/>
                                  <w:sz w:val="19"/>
                                  <w:szCs w:val="19"/>
                                </w:rPr>
                                <m:t>−</m:t>
                              </m:r>
                            </m:sup>
                          </m:sSubSup>
                        </m:e>
                      </m:d>
                    </m:e>
                  </m:d>
                </m:e>
              </m:nary>
            </m:e>
          </m:mr>
          <m:mr>
            <m:e/>
            <m:e>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t</m:t>
                  </m:r>
                  <m:r>
                    <m:rPr>
                      <m:sty m:val="p"/>
                    </m:rPr>
                    <w:rPr>
                      <w:rFonts w:ascii="Cambria Math" w:hAnsi="Cambria Math"/>
                      <w:sz w:val="19"/>
                      <w:szCs w:val="19"/>
                    </w:rPr>
                    <m:t>∈</m:t>
                  </m:r>
                  <m:sSub>
                    <m:e>
                      <m:r>
                        <m:rPr>
                          <m:scr m:val="script"/>
                          <m:sty m:val="p"/>
                        </m:rPr>
                        <w:rPr>
                          <w:rFonts w:ascii="Cambria Math" w:hAnsi="Cambria Math"/>
                          <w:sz w:val="19"/>
                          <w:szCs w:val="19"/>
                        </w:rPr>
                        <m:t>T</m:t>
                      </m:r>
                    </m:e>
                    <m:sub>
                      <m:r>
                        <w:rPr>
                          <w:rFonts w:ascii="Cambria Math" w:hAnsi="Cambria Math"/>
                          <w:sz w:val="19"/>
                          <w:szCs w:val="19"/>
                        </w:rPr>
                        <m:t>B</m:t>
                      </m:r>
                    </m:sub>
                  </m:sSub>
                </m:sub>
                <m:sup>
                  <m:r>
                    <w:rPr>
                      <w:rFonts w:ascii="Cambria Math" w:hAnsi="Cambria Math"/>
                      <w:sz w:val="19"/>
                      <w:szCs w:val="19"/>
                    </w:rPr>
                    <m:t>​</m:t>
                  </m:r>
                </m:sup>
                <m:e>
                  <m:d>
                    <m:dPr>
                      <m:begChr m:val="("/>
                      <m:sepChr m:val=""/>
                      <m:endChr m:val=")"/>
                      <m:grow/>
                    </m:dPr>
                    <m:e>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d</m:t>
                          </m:r>
                          <m:r>
                            <w:rPr>
                              <w:rFonts w:ascii="Cambria Math" w:hAnsi="Cambria Math"/>
                              <w:sz w:val="19"/>
                              <w:szCs w:val="19"/>
                            </w:rPr>
                            <m:t>i</m:t>
                          </m:r>
                          <m:r>
                            <w:rPr>
                              <w:rFonts w:ascii="Cambria Math" w:hAnsi="Cambria Math"/>
                              <w:sz w:val="19"/>
                              <w:szCs w:val="19"/>
                            </w:rPr>
                            <m:t>s</m:t>
                          </m:r>
                        </m:sup>
                      </m:sSubSup>
                      <m:r>
                        <m:rPr>
                          <m:sty m:val="p"/>
                        </m:rPr>
                        <w:rPr>
                          <w:rFonts w:ascii="Cambria Math" w:hAnsi="Cambria Math"/>
                          <w:sz w:val="19"/>
                          <w:szCs w:val="19"/>
                        </w:rPr>
                        <m: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h</m:t>
                          </m:r>
                        </m:sup>
                      </m:sSubSup>
                      <m:r>
                        <m:rPr>
                          <m:sty m:val="p"/>
                        </m:rPr>
                        <w:rPr>
                          <w:rFonts w:ascii="Cambria Math" w:hAnsi="Cambria Math"/>
                          <w:sz w:val="19"/>
                          <w:szCs w:val="19"/>
                        </w:rPr>
                        <m:t>+</m:t>
                      </m:r>
                      <m:f>
                        <m:fPr>
                          <m:type m:val="bar"/>
                        </m:fPr>
                        <m:num>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D</m:t>
                              </m:r>
                            </m:sup>
                          </m:sSubSup>
                          <m:r>
                            <m:rPr>
                              <m:sty m:val="p"/>
                            </m:rPr>
                            <w:rPr>
                              <w:rFonts w:ascii="Cambria Math" w:hAnsi="Cambria Math"/>
                              <w:sz w:val="19"/>
                              <w:szCs w:val="19"/>
                            </w:rPr>
                            <m:t>−</m:t>
                          </m:r>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T</m:t>
                              </m:r>
                              <m:r>
                                <w:rPr>
                                  <w:rFonts w:ascii="Cambria Math" w:hAnsi="Cambria Math"/>
                                  <w:sz w:val="19"/>
                                  <w:szCs w:val="19"/>
                                </w:rPr>
                                <m:t>C</m:t>
                              </m:r>
                            </m:sup>
                          </m:sSubSup>
                        </m:num>
                        <m:den>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den>
                      </m:f>
                    </m:e>
                  </m:d>
                </m:e>
              </m:nary>
              <m:r>
                <w:rPr>
                  <w:rFonts w:ascii="Cambria Math" w:hAnsi="Cambria Math"/>
                  <w:sz w:val="19"/>
                  <w:szCs w:val="19"/>
                </w:rPr>
                <m:t>Δ</m:t>
              </m:r>
              <m:r>
                <w:rPr>
                  <w:rFonts w:ascii="Cambria Math" w:hAnsi="Cambria Math"/>
                  <w:sz w:val="19"/>
                  <w:szCs w:val="19"/>
                </w:rPr>
                <m:t>t</m:t>
              </m:r>
            </m:e>
          </m:mr>
          <m:mr>
            <m:e/>
            <m:e>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t</m:t>
                  </m:r>
                  <m:r>
                    <m:rPr>
                      <m:sty m:val="p"/>
                    </m:rPr>
                    <w:rPr>
                      <w:rFonts w:ascii="Cambria Math" w:hAnsi="Cambria Math"/>
                      <w:sz w:val="19"/>
                      <w:szCs w:val="19"/>
                    </w:rPr>
                    <m:t>∈</m:t>
                  </m:r>
                  <m:sSub>
                    <m:e>
                      <m:r>
                        <m:rPr>
                          <m:scr m:val="script"/>
                          <m:sty m:val="p"/>
                        </m:rPr>
                        <w:rPr>
                          <w:rFonts w:ascii="Cambria Math" w:hAnsi="Cambria Math"/>
                          <w:sz w:val="19"/>
                          <w:szCs w:val="19"/>
                        </w:rPr>
                        <m:t>T</m:t>
                      </m:r>
                    </m:e>
                    <m:sub>
                      <m:r>
                        <w:rPr>
                          <w:rFonts w:ascii="Cambria Math" w:hAnsi="Cambria Math"/>
                          <w:sz w:val="19"/>
                          <w:szCs w:val="19"/>
                        </w:rPr>
                        <m:t>B</m:t>
                      </m:r>
                    </m:sub>
                  </m:sSub>
                </m:sub>
                <m:sup>
                  <m:r>
                    <w:rPr>
                      <w:rFonts w:ascii="Cambria Math" w:hAnsi="Cambria Math"/>
                      <w:sz w:val="19"/>
                      <w:szCs w:val="19"/>
                    </w:rPr>
                    <m:t>​</m:t>
                  </m:r>
                </m:sup>
                <m:e>
                  <m:r>
                    <w:rPr>
                      <w:rFonts w:ascii="Cambria Math" w:hAnsi="Cambria Math"/>
                      <w:sz w:val="19"/>
                      <w:szCs w:val="19"/>
                    </w:rPr>
                    <m:t>Δ</m:t>
                  </m:r>
                </m:e>
              </m:nary>
              <m:sSub>
                <m:e>
                  <m:r>
                    <w:rPr>
                      <w:rFonts w:ascii="Cambria Math" w:hAnsi="Cambria Math"/>
                      <w:sz w:val="19"/>
                      <w:szCs w:val="19"/>
                    </w:rPr>
                    <m:t>g</m:t>
                  </m:r>
                </m:e>
                <m:sub>
                  <m:r>
                    <w:rPr>
                      <w:rFonts w:ascii="Cambria Math" w:hAnsi="Cambria Math"/>
                      <w:sz w:val="19"/>
                      <w:szCs w:val="19"/>
                    </w:rPr>
                    <m:t>t</m:t>
                  </m:r>
                </m:sub>
              </m:sSub>
              <m:r>
                <w:rPr>
                  <w:rFonts w:ascii="Cambria Math" w:hAnsi="Cambria Math"/>
                  <w:sz w:val="19"/>
                  <w:szCs w:val="19"/>
                </w:rPr>
                <m:t> </m:t>
              </m:r>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e>
          </m:mr>
        </m:m>
      </m:oMath>
      <w:r>
        <w:tab/>
      </w:r>
      <w:r>
        <w:t xml:space="preserve">(B.1)</w:t>
      </w:r>
    </w:p>
    <w:p>
      <w:pPr>
        <w:pStyle w:val="BodyText"/>
      </w:pPr>
      <w:r>
        <w:t xml:space="preserve">By the deadline constraint (5) the first term is at most</w:t>
      </w:r>
      <w:r>
        <w:t xml:space="preserve"> </w:t>
      </w:r>
      <m:oMath>
        <m:sSub>
          <m:e>
            <m:acc>
              <m:accPr>
                <m:chr m:val="‾"/>
              </m:accPr>
              <m:e>
                <m:r>
                  <w:rPr>
                    <w:rFonts w:ascii="Cambria Math" w:hAnsi="Cambria Math"/>
                    <w:sz w:val="19"/>
                    <w:szCs w:val="19"/>
                  </w:rPr>
                  <m:t>X</m:t>
                </m:r>
              </m:e>
            </m:acc>
          </m:e>
          <m:sub>
            <m:r>
              <w:rPr>
                <w:rFonts w:ascii="Cambria Math" w:hAnsi="Cambria Math"/>
                <w:sz w:val="19"/>
                <w:szCs w:val="19"/>
              </w:rPr>
              <m:t>B</m:t>
            </m:r>
          </m:sub>
        </m:sSub>
        <m:r>
          <m:rPr>
            <m:sty m:val="p"/>
          </m:rPr>
          <w:rPr>
            <w:rFonts w:ascii="Cambria Math" w:hAnsi="Cambria Math"/>
            <w:sz w:val="19"/>
            <w:szCs w:val="19"/>
          </w:rPr>
          <m:t>−</m:t>
        </m:r>
        <m:r>
          <w:rPr>
            <w:rFonts w:ascii="Cambria Math" w:hAnsi="Cambria Math"/>
            <w:sz w:val="19"/>
            <w:szCs w:val="19"/>
          </w:rPr>
          <m:t>X</m:t>
        </m:r>
        <m:d>
          <m:dPr>
            <m:begChr m:val="("/>
            <m:sepChr m:val=""/>
            <m:endChr m:val=")"/>
            <m:grow/>
          </m:dPr>
          <m:e>
            <m:sSubSup>
              <m:e>
                <m:r>
                  <w:rPr>
                    <w:rFonts w:ascii="Cambria Math" w:hAnsi="Cambria Math"/>
                    <w:sz w:val="19"/>
                    <w:szCs w:val="19"/>
                  </w:rPr>
                  <m:t>s</m:t>
                </m:r>
              </m:e>
              <m:sub>
                <m:r>
                  <w:rPr>
                    <w:rFonts w:ascii="Cambria Math" w:hAnsi="Cambria Math"/>
                    <w:sz w:val="19"/>
                    <w:szCs w:val="19"/>
                  </w:rPr>
                  <m:t>B</m:t>
                </m:r>
              </m:sub>
              <m:sup>
                <m:r>
                  <m:rPr>
                    <m:lit/>
                    <m:sty m:val="p"/>
                  </m:rPr>
                  <w:rPr>
                    <w:rFonts w:ascii="Cambria Math" w:hAnsi="Cambria Math"/>
                    <w:sz w:val="19"/>
                    <w:szCs w:val="19"/>
                  </w:rPr>
                  <m:t>−</m:t>
                </m:r>
              </m:sup>
            </m:sSubSup>
          </m:e>
        </m:d>
      </m:oMath>
      <w:r>
        <w:t xml:space="preserve">, the second is at most the dischargeable energy</w:t>
      </w:r>
      <w:r>
        <w:t xml:space="preserve"> </w:t>
      </w:r>
      <m:oMath>
        <m:sSub>
          <m:e>
            <m:r>
              <w:rPr>
                <w:rFonts w:ascii="Cambria Math" w:hAnsi="Cambria Math"/>
                <w:sz w:val="19"/>
                <w:szCs w:val="19"/>
              </w:rPr>
              <m:t>E</m:t>
            </m:r>
          </m:e>
          <m:sub>
            <m:r>
              <w:rPr>
                <w:rFonts w:ascii="Cambria Math" w:hAnsi="Cambria Math"/>
                <w:sz w:val="19"/>
                <w:szCs w:val="19"/>
              </w:rPr>
              <m:t>s</m:t>
            </m:r>
          </m:sub>
        </m:sSub>
        <m:d>
          <m:dPr>
            <m:begChr m:val="("/>
            <m:sepChr m:val=""/>
            <m:endChr m:val=")"/>
            <m:grow/>
          </m:dPr>
          <m:e>
            <m:sSubSup>
              <m:e>
                <m:r>
                  <w:rPr>
                    <w:rFonts w:ascii="Cambria Math" w:hAnsi="Cambria Math"/>
                    <w:sz w:val="19"/>
                    <w:szCs w:val="19"/>
                  </w:rPr>
                  <m:t>s</m:t>
                </m:r>
              </m:e>
              <m:sub>
                <m:r>
                  <w:rPr>
                    <w:rFonts w:ascii="Cambria Math" w:hAnsi="Cambria Math"/>
                    <w:sz w:val="19"/>
                    <w:szCs w:val="19"/>
                  </w:rPr>
                  <m:t>B</m:t>
                </m:r>
              </m:sub>
              <m:sup>
                <m:r>
                  <m:rPr>
                    <m:lit/>
                    <m:sty m:val="p"/>
                  </m:rPr>
                  <w:rPr>
                    <w:rFonts w:ascii="Cambria Math" w:hAnsi="Cambria Math"/>
                    <w:sz w:val="19"/>
                    <w:szCs w:val="19"/>
                  </w:rPr>
                  <m:t>−</m:t>
                </m:r>
              </m:sup>
            </m:sSubSup>
          </m:e>
        </m:d>
      </m:oMath>
      <w:r>
        <w:t xml:space="preserve"> </w:t>
      </w:r>
      <w:r>
        <w:t xml:space="preserve">at the start of B, and the third is at most</w:t>
      </w:r>
      <w:r>
        <w:t xml:space="preserve"> </w:t>
      </w:r>
      <m:oMath>
        <m:r>
          <w:rPr>
            <w:rFonts w:ascii="Cambria Math" w:hAnsi="Cambria Math"/>
            <w:sz w:val="19"/>
            <w:szCs w:val="19"/>
          </w:rPr>
          <m:t>g</m:t>
        </m:r>
        <m:sSub>
          <m:e>
            <m:r>
              <w:rPr>
                <w:rFonts w:ascii="Cambria Math" w:hAnsi="Cambria Math"/>
                <w:sz w:val="19"/>
                <w:szCs w:val="19"/>
              </w:rPr>
              <m:t>D</m:t>
            </m:r>
          </m:e>
          <m:sub>
            <m:r>
              <w:rPr>
                <w:rFonts w:ascii="Cambria Math" w:hAnsi="Cambria Math"/>
                <w:sz w:val="19"/>
                <w:szCs w:val="19"/>
              </w:rPr>
              <m:t>B</m:t>
            </m:r>
          </m:sub>
        </m:sSub>
      </m:oMath>
      <w:r>
        <w:t xml:space="preserve">. In the interval, let</w:t>
      </w:r>
      <w:r>
        <w:t xml:space="preserve"> </w:t>
      </w:r>
      <m:oMath>
        <m:sSub>
          <m:e>
            <m:r>
              <w:rPr>
                <w:rFonts w:ascii="Cambria Math" w:hAnsi="Cambria Math"/>
                <w:sz w:val="19"/>
                <w:szCs w:val="19"/>
              </w:rPr>
              <m:t>c</m:t>
            </m:r>
          </m:e>
          <m:sub>
            <m:r>
              <m:rPr>
                <m:scr m:val="script"/>
                <m:sty m:val="p"/>
              </m:rPr>
              <w:rPr>
                <w:rFonts w:ascii="Cambria Math" w:hAnsi="Cambria Math"/>
                <w:sz w:val="19"/>
                <w:szCs w:val="19"/>
              </w:rPr>
              <m:t>I</m:t>
            </m:r>
          </m:sub>
        </m:sSub>
      </m:oMath>
      <w:r>
        <w:t xml:space="preserve"> </w:t>
      </w:r>
      <w:r>
        <w:t xml:space="preserve">be the net catch-up energy and</w:t>
      </w:r>
      <w:r>
        <w:t xml:space="preserve"> </w:t>
      </w:r>
      <m:oMath>
        <m:sSub>
          <m:e>
            <m:r>
              <w:rPr>
                <w:rFonts w:ascii="Cambria Math" w:hAnsi="Cambria Math"/>
                <w:sz w:val="19"/>
                <w:szCs w:val="19"/>
              </w:rPr>
              <m:t>s</m:t>
            </m:r>
          </m:e>
          <m:sub>
            <m:r>
              <m:rPr>
                <m:scr m:val="script"/>
                <m:sty m:val="p"/>
              </m:rPr>
              <w:rPr>
                <w:rFonts w:ascii="Cambria Math" w:hAnsi="Cambria Math"/>
                <w:sz w:val="19"/>
                <w:szCs w:val="19"/>
              </w:rPr>
              <m:t>I</m:t>
            </m:r>
          </m:sub>
        </m:sSub>
      </m:oMath>
      <w:r>
        <w:t xml:space="preserve"> </w:t>
      </w:r>
      <w:r>
        <w:t xml:space="preserve">the net energy drawn by the storage. Summing (37) over</w:t>
      </w:r>
      <w:r>
        <w:t xml:space="preserve"> </w:t>
      </w:r>
      <m:oMath>
        <m:r>
          <m:rPr>
            <m:scr m:val="script"/>
            <m:sty m:val="p"/>
          </m:rPr>
          <w:rPr>
            <w:rFonts w:ascii="Cambria Math" w:hAnsi="Cambria Math"/>
            <w:sz w:val="19"/>
            <w:szCs w:val="19"/>
          </w:rPr>
          <m:t>I</m:t>
        </m:r>
      </m:oMath>
      <w:r>
        <w:t xml:space="preserve"> </w:t>
      </w:r>
      <w:r>
        <w:t xml:space="preserve">with</w:t>
      </w:r>
      <w:r>
        <w:t xml:space="preserve"> </w:t>
      </w:r>
      <m:oMath>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p>
      </m:oMath>
      <w:r>
        <w:t xml:space="preserve"> </w:t>
      </w:r>
      <w:r>
        <w:t xml:space="preserve">gives the channel constraint</w:t>
      </w:r>
      <w:r>
        <w:t xml:space="preserve"> </w:t>
      </w:r>
      <m:oMath>
        <m:sSub>
          <m:e>
            <m:r>
              <w:rPr>
                <w:rFonts w:ascii="Cambria Math" w:hAnsi="Cambria Math"/>
                <w:sz w:val="19"/>
                <w:szCs w:val="19"/>
              </w:rPr>
              <m:t>c</m:t>
            </m:r>
          </m:e>
          <m:sub>
            <m:r>
              <m:rPr>
                <m:scr m:val="script"/>
                <m:sty m:val="p"/>
              </m:rPr>
              <w:rPr>
                <w:rFonts w:ascii="Cambria Math" w:hAnsi="Cambria Math"/>
                <w:sz w:val="19"/>
                <w:szCs w:val="19"/>
              </w:rPr>
              <m:t>I</m:t>
            </m:r>
          </m:sub>
        </m:sSub>
        <m:r>
          <m:rPr>
            <m:sty m:val="p"/>
          </m:rPr>
          <w:rPr>
            <w:rFonts w:ascii="Cambria Math" w:hAnsi="Cambria Math"/>
            <w:sz w:val="19"/>
            <w:szCs w:val="19"/>
          </w:rPr>
          <m:t>+</m:t>
        </m:r>
        <m:sSub>
          <m:e>
            <m:r>
              <w:rPr>
                <w:rFonts w:ascii="Cambria Math" w:hAnsi="Cambria Math"/>
                <w:sz w:val="19"/>
                <w:szCs w:val="19"/>
              </w:rPr>
              <m:t>s</m:t>
            </m:r>
          </m:e>
          <m:sub>
            <m:r>
              <m:rPr>
                <m:scr m:val="script"/>
                <m:sty m:val="p"/>
              </m:rPr>
              <w:rPr>
                <w:rFonts w:ascii="Cambria Math" w:hAnsi="Cambria Math"/>
                <w:sz w:val="19"/>
                <w:szCs w:val="19"/>
              </w:rPr>
              <m:t>I</m:t>
            </m:r>
          </m:sub>
        </m:sSub>
        <m:r>
          <m:rPr>
            <m:sty m:val="p"/>
          </m:rPr>
          <w:rPr>
            <w:rFonts w:ascii="Cambria Math" w:hAnsi="Cambria Math"/>
            <w:sz w:val="19"/>
            <w:szCs w:val="19"/>
          </w:rPr>
          <m:t>≤</m:t>
        </m:r>
        <m:r>
          <w:rPr>
            <w:rFonts w:ascii="Cambria Math" w:hAnsi="Cambria Math"/>
            <w:sz w:val="19"/>
            <w:szCs w:val="19"/>
          </w:rPr>
          <m:t>H</m:t>
        </m:r>
      </m:oMath>
      <w:r>
        <w:t xml:space="preserve">. The states evolve as</w:t>
      </w:r>
      <w:r>
        <w:t xml:space="preserve"> </w:t>
      </w:r>
      <m:oMath>
        <m:r>
          <w:rPr>
            <w:rFonts w:ascii="Cambria Math" w:hAnsi="Cambria Math"/>
            <w:sz w:val="19"/>
            <w:szCs w:val="19"/>
          </w:rPr>
          <m:t>X</m:t>
        </m:r>
        <m:d>
          <m:dPr>
            <m:begChr m:val="("/>
            <m:sepChr m:val=""/>
            <m:endChr m:val=")"/>
            <m:grow/>
          </m:dPr>
          <m:e>
            <m:sSubSup>
              <m:e>
                <m:r>
                  <w:rPr>
                    <w:rFonts w:ascii="Cambria Math" w:hAnsi="Cambria Math"/>
                    <w:sz w:val="19"/>
                    <w:szCs w:val="19"/>
                  </w:rPr>
                  <m:t>s</m:t>
                </m:r>
              </m:e>
              <m:sub>
                <m:r>
                  <w:rPr>
                    <w:rFonts w:ascii="Cambria Math" w:hAnsi="Cambria Math"/>
                    <w:sz w:val="19"/>
                    <w:szCs w:val="19"/>
                  </w:rPr>
                  <m:t>B</m:t>
                </m:r>
              </m:sub>
              <m:sup>
                <m:r>
                  <m:rPr>
                    <m:lit/>
                    <m:sty m:val="p"/>
                  </m:rPr>
                  <w:rPr>
                    <w:rFonts w:ascii="Cambria Math" w:hAnsi="Cambria Math"/>
                    <w:sz w:val="19"/>
                    <w:szCs w:val="19"/>
                  </w:rPr>
                  <m:t>−</m:t>
                </m:r>
              </m:sup>
            </m:sSubSup>
          </m:e>
        </m:d>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A</m:t>
            </m:r>
          </m:sub>
        </m:sSub>
        <m:r>
          <m:rPr>
            <m:sty m:val="p"/>
          </m:rPr>
          <w:rPr>
            <w:rFonts w:ascii="Cambria Math" w:hAnsi="Cambria Math"/>
            <w:sz w:val="19"/>
            <w:szCs w:val="19"/>
          </w:rPr>
          <m:t>−</m:t>
        </m:r>
        <m:sSub>
          <m:e>
            <m:r>
              <w:rPr>
                <w:rFonts w:ascii="Cambria Math" w:hAnsi="Cambria Math"/>
                <w:sz w:val="19"/>
                <w:szCs w:val="19"/>
              </w:rPr>
              <m:t>c</m:t>
            </m:r>
          </m:e>
          <m:sub>
            <m:r>
              <m:rPr>
                <m:scr m:val="script"/>
                <m:sty m:val="p"/>
              </m:rPr>
              <w:rPr>
                <w:rFonts w:ascii="Cambria Math" w:hAnsi="Cambria Math"/>
                <w:sz w:val="19"/>
                <w:szCs w:val="19"/>
              </w:rPr>
              <m:t>I</m:t>
            </m:r>
          </m:sub>
        </m:sSub>
        <m:r>
          <m:rPr>
            <m:sty m:val="p"/>
          </m:rPr>
          <w:rPr>
            <w:rFonts w:ascii="Cambria Math" w:hAnsi="Cambria Math"/>
            <w:sz w:val="19"/>
            <w:szCs w:val="19"/>
          </w:rPr>
          <m:t>≥</m:t>
        </m:r>
        <m:r>
          <w:rPr>
            <w:rFonts w:ascii="Cambria Math" w:hAnsi="Cambria Math"/>
            <w:sz w:val="19"/>
            <w:szCs w:val="19"/>
          </w:rPr>
          <m:t>0</m:t>
        </m:r>
      </m:oMath>
      <w:r>
        <w:t xml:space="preserve"> </w:t>
      </w:r>
      <w:r>
        <w:t xml:space="preserve">and</w:t>
      </w:r>
      <w:r>
        <w:t xml:space="preserve"> </w:t>
      </w:r>
      <m:oMath>
        <m:sSub>
          <m:e>
            <m:r>
              <w:rPr>
                <w:rFonts w:ascii="Cambria Math" w:hAnsi="Cambria Math"/>
                <w:sz w:val="19"/>
                <w:szCs w:val="19"/>
              </w:rPr>
              <m:t>E</m:t>
            </m:r>
          </m:e>
          <m:sub>
            <m:r>
              <w:rPr>
                <w:rFonts w:ascii="Cambria Math" w:hAnsi="Cambria Math"/>
                <w:sz w:val="19"/>
                <w:szCs w:val="19"/>
              </w:rPr>
              <m:t>s</m:t>
            </m:r>
          </m:sub>
        </m:sSub>
        <m:d>
          <m:dPr>
            <m:begChr m:val="("/>
            <m:sepChr m:val=""/>
            <m:endChr m:val=")"/>
            <m:grow/>
          </m:dPr>
          <m:e>
            <m:sSubSup>
              <m:e>
                <m:r>
                  <w:rPr>
                    <w:rFonts w:ascii="Cambria Math" w:hAnsi="Cambria Math"/>
                    <w:sz w:val="19"/>
                    <w:szCs w:val="19"/>
                  </w:rPr>
                  <m:t>s</m:t>
                </m:r>
              </m:e>
              <m:sub>
                <m:r>
                  <w:rPr>
                    <w:rFonts w:ascii="Cambria Math" w:hAnsi="Cambria Math"/>
                    <w:sz w:val="19"/>
                    <w:szCs w:val="19"/>
                  </w:rPr>
                  <m:t>B</m:t>
                </m:r>
              </m:sub>
              <m:sup>
                <m:r>
                  <m:rPr>
                    <m:lit/>
                    <m:sty m:val="p"/>
                  </m:rPr>
                  <w:rPr>
                    <w:rFonts w:ascii="Cambria Math" w:hAnsi="Cambria Math"/>
                    <w:sz w:val="19"/>
                    <w:szCs w:val="19"/>
                  </w:rPr>
                  <m:t>−</m:t>
                </m:r>
              </m:sup>
            </m:sSubSup>
          </m:e>
        </m:d>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s</m:t>
            </m:r>
          </m:sub>
        </m:sSub>
        <m:r>
          <m:rPr>
            <m:sty m:val="p"/>
          </m:rPr>
          <w:rPr>
            <w:rFonts w:ascii="Cambria Math" w:hAnsi="Cambria Math"/>
            <w:sz w:val="19"/>
            <w:szCs w:val="19"/>
          </w:rPr>
          <m:t>+</m:t>
        </m:r>
        <m:r>
          <w:rPr>
            <w:rFonts w:ascii="Cambria Math" w:hAnsi="Cambria Math"/>
            <w:sz w:val="19"/>
            <w:szCs w:val="19"/>
          </w:rPr>
          <m:t>ϕ</m:t>
        </m:r>
        <m:d>
          <m:dPr>
            <m:begChr m:val="("/>
            <m:sepChr m:val=""/>
            <m:endChr m:val=")"/>
            <m:grow/>
          </m:dPr>
          <m:e>
            <m:sSub>
              <m:e>
                <m:r>
                  <w:rPr>
                    <w:rFonts w:ascii="Cambria Math" w:hAnsi="Cambria Math"/>
                    <w:sz w:val="19"/>
                    <w:szCs w:val="19"/>
                  </w:rPr>
                  <m:t>s</m:t>
                </m:r>
              </m:e>
              <m:sub>
                <m:r>
                  <m:rPr>
                    <m:scr m:val="script"/>
                    <m:sty m:val="p"/>
                  </m:rPr>
                  <w:rPr>
                    <w:rFonts w:ascii="Cambria Math" w:hAnsi="Cambria Math"/>
                    <w:sz w:val="19"/>
                    <w:szCs w:val="19"/>
                  </w:rPr>
                  <m:t>I</m:t>
                </m:r>
              </m:sub>
            </m:sSub>
          </m:e>
        </m:d>
      </m:oMath>
      <w:r>
        <w:t xml:space="preserve"> </w:t>
      </w:r>
      <w:r>
        <w:t xml:space="preserve">with</w:t>
      </w:r>
      <w:r>
        <w:t xml:space="preserve"> </w:t>
      </w:r>
      <m:oMath>
        <m:r>
          <w:rPr>
            <w:rFonts w:ascii="Cambria Math" w:hAnsi="Cambria Math"/>
            <w:sz w:val="19"/>
            <w:szCs w:val="19"/>
          </w:rPr>
          <m:t>ϕ</m:t>
        </m:r>
        <m:d>
          <m:dPr>
            <m:begChr m:val="("/>
            <m:sepChr m:val=""/>
            <m:endChr m:val=")"/>
            <m:grow/>
          </m:dPr>
          <m:e>
            <m:r>
              <w:rPr>
                <w:rFonts w:ascii="Cambria Math" w:hAnsi="Cambria Math"/>
                <w:sz w:val="19"/>
                <w:szCs w:val="19"/>
              </w:rPr>
              <m:t>x</m:t>
            </m:r>
          </m:e>
        </m:d>
        <m:r>
          <m:rPr>
            <m:sty m:val="p"/>
          </m:rPr>
          <w:rPr>
            <w:rFonts w:ascii="Cambria Math" w:hAnsi="Cambria Math"/>
            <w:sz w:val="19"/>
            <w:szCs w:val="19"/>
          </w:rPr>
          <m:t>=</m:t>
        </m:r>
        <m:r>
          <w:rPr>
            <w:rFonts w:ascii="Cambria Math" w:hAnsi="Cambria Math"/>
            <w:sz w:val="19"/>
            <w:szCs w:val="19"/>
          </w:rPr>
          <m:t>η</m:t>
        </m:r>
        <m:r>
          <w:rPr>
            <w:rFonts w:ascii="Cambria Math" w:hAnsi="Cambria Math"/>
            <w:sz w:val="19"/>
            <w:szCs w:val="19"/>
          </w:rPr>
          <m:t>x</m:t>
        </m:r>
      </m:oMath>
      <w:r>
        <w:t xml:space="preserve"> </w:t>
      </w:r>
      <w:r>
        <w:t xml:space="preserve">for</w:t>
      </w:r>
      <w:r>
        <w:t xml:space="preserv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t xml:space="preserve"> </w:t>
      </w:r>
      <w:r>
        <w:t xml:space="preserve">and</w:t>
      </w:r>
      <w:r>
        <w:t xml:space="preserve"> </w:t>
      </w:r>
      <m:oMath>
        <m:r>
          <w:rPr>
            <w:rFonts w:ascii="Cambria Math" w:hAnsi="Cambria Math"/>
            <w:sz w:val="19"/>
            <w:szCs w:val="19"/>
          </w:rPr>
          <m:t>ϕ</m:t>
        </m:r>
        <m:d>
          <m:dPr>
            <m:begChr m:val="("/>
            <m:sepChr m:val=""/>
            <m:endChr m:val=")"/>
            <m:grow/>
          </m:dPr>
          <m:e>
            <m:r>
              <w:rPr>
                <w:rFonts w:ascii="Cambria Math" w:hAnsi="Cambria Math"/>
                <w:sz w:val="19"/>
                <w:szCs w:val="19"/>
              </w:rPr>
              <m:t>x</m:t>
            </m:r>
          </m:e>
        </m:d>
        <m:r>
          <m:rPr>
            <m:sty m:val="p"/>
          </m:rPr>
          <w:rPr>
            <w:rFonts w:ascii="Cambria Math" w:hAnsi="Cambria Math"/>
            <w:sz w:val="19"/>
            <w:szCs w:val="19"/>
          </w:rPr>
          <m:t>=</m:t>
        </m:r>
        <m:r>
          <w:rPr>
            <w:rFonts w:ascii="Cambria Math" w:hAnsi="Cambria Math"/>
            <w:sz w:val="19"/>
            <w:szCs w:val="19"/>
          </w:rPr>
          <m:t>x</m:t>
        </m:r>
      </m:oMath>
      <w:r>
        <w:t xml:space="preserve"> </w:t>
      </w:r>
      <w:r>
        <w:t xml:space="preserve">for</w:t>
      </w:r>
      <w:r>
        <w:t xml:space="preserve"> </w:t>
      </w:r>
      <m:oMath>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t xml:space="preserve">, because every MWh drawn for recharging returns only</w:t>
      </w:r>
      <w:r>
        <w:t xml:space="preserve"> </w:t>
      </w:r>
      <m:oMath>
        <m:r>
          <w:rPr>
            <w:rFonts w:ascii="Cambria Math" w:hAnsi="Cambria Math"/>
            <w:sz w:val="19"/>
            <w:szCs w:val="19"/>
          </w:rPr>
          <m:t>η</m:t>
        </m:r>
      </m:oMath>
      <w:r>
        <w:t xml:space="preserve"> </w:t>
      </w:r>
      <w:r>
        <w:t xml:space="preserve">MWh in B. Hence</w:t>
      </w:r>
    </w:p>
    <w:p>
      <w:pPr>
        <w:pStyle w:val="Equation"/>
      </w:pPr>
      <w:r>
        <w:tab/>
      </w:r>
      <m:oMath>
        <m:m>
          <m:mPr>
            <m:baseJc m:val="center"/>
            <m:plcHide m:val="on"/>
            <m:mcs>
              <m:mc>
                <m:mcPr>
                  <m:count m:val="1"/>
                  <m:mcJc m:val="right"/>
                </m:mcPr>
              </m:mc>
              <m:mc>
                <m:mcPr>
                  <m:count m:val="1"/>
                  <m:mcJc m:val="left"/>
                </m:mcPr>
              </m:mc>
            </m:mcs>
          </m:mPr>
          <m:mr>
            <m:e>
              <m:sSub>
                <m:e>
                  <m:r>
                    <w:rPr>
                      <w:rFonts w:ascii="Cambria Math" w:hAnsi="Cambria Math"/>
                      <w:sz w:val="19"/>
                      <w:szCs w:val="19"/>
                    </w:rPr>
                    <m:t>Γ</m:t>
                  </m:r>
                </m:e>
                <m:sub>
                  <m:r>
                    <w:rPr>
                      <w:rFonts w:ascii="Cambria Math" w:hAnsi="Cambria Math"/>
                      <w:sz w:val="19"/>
                      <w:szCs w:val="19"/>
                    </w:rPr>
                    <m:t>B</m:t>
                  </m:r>
                </m:sub>
              </m:sSub>
              <m:sSub>
                <m:e>
                  <m:r>
                    <w:rPr>
                      <w:rFonts w:ascii="Cambria Math" w:hAnsi="Cambria Math"/>
                      <w:sz w:val="19"/>
                      <w:szCs w:val="19"/>
                    </w:rPr>
                    <m:t>D</m:t>
                  </m:r>
                </m:e>
                <m:sub>
                  <m:r>
                    <w:rPr>
                      <w:rFonts w:ascii="Cambria Math" w:hAnsi="Cambria Math"/>
                      <w:sz w:val="19"/>
                      <w:szCs w:val="19"/>
                    </w:rPr>
                    <m:t>B</m:t>
                  </m:r>
                </m:sub>
              </m:sSub>
              <m:r>
                <m:rPr>
                  <m:sty m:val="p"/>
                </m:rPr>
                <w:rPr>
                  <w:rFonts w:ascii="Cambria Math" w:hAnsi="Cambria Math"/>
                  <w:sz w:val="19"/>
                  <w:szCs w:val="19"/>
                </w:rPr>
                <m:t>−</m:t>
              </m:r>
              <m:r>
                <w:rPr>
                  <w:rFonts w:ascii="Cambria Math" w:hAnsi="Cambria Math"/>
                  <w:sz w:val="19"/>
                  <w:szCs w:val="19"/>
                </w:rPr>
                <m:t>g</m:t>
              </m:r>
              <m:sSub>
                <m:e>
                  <m:r>
                    <w:rPr>
                      <w:rFonts w:ascii="Cambria Math" w:hAnsi="Cambria Math"/>
                      <w:sz w:val="19"/>
                      <w:szCs w:val="19"/>
                    </w:rPr>
                    <m:t>D</m:t>
                  </m:r>
                </m:e>
                <m:sub>
                  <m:r>
                    <w:rPr>
                      <w:rFonts w:ascii="Cambria Math" w:hAnsi="Cambria Math"/>
                      <w:sz w:val="19"/>
                      <w:szCs w:val="19"/>
                    </w:rPr>
                    <m:t>B</m:t>
                  </m:r>
                </m:sub>
              </m:sSub>
              <m:r>
                <m:rPr>
                  <m:sty m:val="p"/>
                </m:rPr>
                <w:rPr>
                  <w:rFonts w:ascii="Cambria Math" w:hAnsi="Cambria Math"/>
                  <w:sz w:val="19"/>
                  <w:szCs w:val="19"/>
                </w:rPr>
                <m:t>≤</m:t>
              </m:r>
              <m:r>
                <w:rPr>
                  <w:rFonts w:ascii="Cambria Math" w:hAnsi="Cambria Math"/>
                  <w:sz w:val="19"/>
                  <w:szCs w:val="19"/>
                </w:rPr>
                <m:t>​</m:t>
              </m:r>
            </m:e>
            <m:e>
              <m:sSub>
                <m:e>
                  <m:acc>
                    <m:accPr>
                      <m:chr m:val="‾"/>
                    </m:accPr>
                    <m:e>
                      <m:r>
                        <w:rPr>
                          <w:rFonts w:ascii="Cambria Math" w:hAnsi="Cambria Math"/>
                          <w:sz w:val="19"/>
                          <w:szCs w:val="19"/>
                        </w:rPr>
                        <m:t>X</m:t>
                      </m:r>
                    </m:e>
                  </m:acc>
                </m:e>
                <m:sub>
                  <m:r>
                    <w:rPr>
                      <w:rFonts w:ascii="Cambria Math" w:hAnsi="Cambria Math"/>
                      <w:sz w:val="19"/>
                      <w:szCs w:val="19"/>
                    </w:rPr>
                    <m:t>B</m:t>
                  </m:r>
                </m:sub>
              </m:sSub>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A</m:t>
                  </m:r>
                </m:sub>
              </m:sSub>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s</m:t>
                  </m:r>
                </m:sub>
              </m:sSub>
            </m:e>
          </m:mr>
          <m:mr>
            <m:e/>
            <m:e>
              <m:r>
                <m:rPr>
                  <m:sty m:val="p"/>
                </m:rPr>
                <w:rPr>
                  <w:rFonts w:ascii="Cambria Math" w:hAnsi="Cambria Math"/>
                  <w:sz w:val="19"/>
                  <w:szCs w:val="19"/>
                </w:rPr>
                <m:t>+</m:t>
              </m:r>
              <m:sSub>
                <m:e>
                  <m:r>
                    <m:rPr>
                      <m:sty m:val="p"/>
                    </m:rPr>
                    <w:rPr>
                      <w:rFonts w:ascii="Cambria Math" w:hAnsi="Cambria Math"/>
                      <w:sz w:val="19"/>
                      <w:szCs w:val="19"/>
                    </w:rPr>
                    <m:t>max</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c</m:t>
                  </m:r>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A</m:t>
                      </m:r>
                    </m:sub>
                  </m:sSub>
                </m:sub>
              </m:sSub>
              <m:d>
                <m:dPr>
                  <m:begChr m:val="{"/>
                  <m:sepChr m:val=""/>
                  <m:endChr m:val="}"/>
                  <m:grow/>
                </m:dPr>
                <m:e>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ϕ</m:t>
                  </m:r>
                  <m:d>
                    <m:dPr>
                      <m:begChr m:val="("/>
                      <m:sepChr m:val=""/>
                      <m:endChr m:val=")"/>
                      <m:grow/>
                    </m:dPr>
                    <m:e>
                      <m:r>
                        <w:rPr>
                          <w:rFonts w:ascii="Cambria Math" w:hAnsi="Cambria Math"/>
                          <w:sz w:val="19"/>
                          <w:szCs w:val="19"/>
                        </w:rPr>
                        <m:t>s</m:t>
                      </m:r>
                    </m:e>
                  </m:d>
                </m:e>
              </m:d>
              <m:r>
                <m:rPr>
                  <m:sty m:val="p"/>
                </m:rPr>
                <w:rPr>
                  <w:rFonts w:ascii="Cambria Math" w:hAnsi="Cambria Math"/>
                  <w:sz w:val="19"/>
                  <w:szCs w:val="19"/>
                </w:rPr>
                <m:t>.</m:t>
              </m:r>
            </m:e>
          </m:mr>
        </m:m>
      </m:oMath>
      <w:r>
        <w:tab/>
      </w:r>
      <w:r>
        <w:t xml:space="preserve">(B.2)</w:t>
      </w:r>
    </w:p>
    <w:p>
      <w:pPr>
        <w:pStyle w:val="BodyText"/>
      </w:pPr>
      <w:r>
        <w:t xml:space="preserve">Catch-up has the marginal value 1 and recharge the marginal value</w:t>
      </w:r>
      <w:r>
        <w:t xml:space="preserve"> </w:t>
      </w:r>
      <m:oMath>
        <m:r>
          <w:rPr>
            <w:rFonts w:ascii="Cambria Math" w:hAnsi="Cambria Math"/>
            <w:sz w:val="19"/>
            <w:szCs w:val="19"/>
          </w:rPr>
          <m:t>η</m:t>
        </m:r>
        <m:r>
          <m:rPr>
            <m:sty m:val="p"/>
          </m:rPr>
          <w:rPr>
            <w:rFonts w:ascii="Cambria Math" w:hAnsi="Cambria Math"/>
            <w:sz w:val="19"/>
            <w:szCs w:val="19"/>
          </w:rPr>
          <m:t>&lt;</m:t>
        </m:r>
        <m:r>
          <w:rPr>
            <w:rFonts w:ascii="Cambria Math" w:hAnsi="Cambria Math"/>
            <w:sz w:val="19"/>
            <w:szCs w:val="19"/>
          </w:rPr>
          <m:t>1</m:t>
        </m:r>
      </m:oMath>
      <w:r>
        <w:t xml:space="preserve">, so the maximum is attained by</w:t>
      </w:r>
      <w:r>
        <w:t xml:space="preserve"> </w:t>
      </w:r>
      <m:oMath>
        <m:acc>
          <m:accPr>
            <m:chr m:val="̂"/>
          </m:accPr>
          <m:e>
            <m:r>
              <w:rPr>
                <w:rFonts w:ascii="Cambria Math" w:hAnsi="Cambria Math"/>
                <w:sz w:val="19"/>
                <w:szCs w:val="19"/>
              </w:rPr>
              <m:t>c</m:t>
            </m:r>
          </m:e>
        </m:acc>
        <m:r>
          <m:rPr>
            <m:sty m:val="p"/>
          </m:rPr>
          <w:rPr>
            <w:rFonts w:ascii="Cambria Math" w:hAnsi="Cambria Math"/>
            <w:sz w:val="19"/>
            <w:szCs w:val="19"/>
          </w:rPr>
          <m:t>=</m:t>
        </m:r>
        <m:r>
          <m:rPr>
            <m:sty m:val="p"/>
          </m:rPr>
          <w:rPr>
            <w:rFonts w:ascii="Cambria Math" w:hAnsi="Cambria Math"/>
            <w:sz w:val="19"/>
            <w:szCs w:val="19"/>
          </w:rPr>
          <m:t>min</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A</m:t>
            </m:r>
          </m:sub>
        </m:sSub>
        <m:r>
          <m:rPr>
            <m:sty m:val="p"/>
          </m:rPr>
          <w:rPr>
            <w:rFonts w:ascii="Cambria Math" w:hAnsi="Cambria Math"/>
            <w:sz w:val="19"/>
            <w:szCs w:val="19"/>
          </w:rPr>
          <m:t>}</m:t>
        </m:r>
      </m:oMath>
      <w:r>
        <w:t xml:space="preserve"> </w:t>
      </w:r>
      <w:r>
        <w:t xml:space="preserve">and</w:t>
      </w:r>
      <w:r>
        <w:t xml:space="preserve"> </w:t>
      </w:r>
      <m:oMath>
        <m:acc>
          <m:accPr>
            <m:chr m:val="̂"/>
          </m:accPr>
          <m:e>
            <m:r>
              <w:rPr>
                <w:rFonts w:ascii="Cambria Math" w:hAnsi="Cambria Math"/>
                <w:sz w:val="19"/>
                <w:szCs w:val="19"/>
              </w:rPr>
              <m:t>s</m:t>
            </m:r>
          </m:e>
        </m:acc>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A</m:t>
            </m:r>
          </m:sub>
        </m:sSub>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t xml:space="preserve">, whose value is</w:t>
      </w:r>
      <w:r>
        <w:t xml:space="preserve"> </w:t>
      </w:r>
      <m:oMath>
        <m:sSup>
          <m:e>
            <m:r>
              <w:rPr>
                <w:rFonts w:ascii="Cambria Math" w:hAnsi="Cambria Math"/>
                <w:sz w:val="19"/>
                <w:szCs w:val="19"/>
              </w:rPr>
              <m:t>H</m:t>
            </m:r>
          </m:e>
          <m:sup>
            <m:r>
              <w:rPr>
                <w:rFonts w:ascii="Cambria Math" w:hAnsi="Cambria Math"/>
                <w:sz w:val="19"/>
                <w:szCs w:val="19"/>
              </w:rPr>
              <m:t>e</m:t>
            </m:r>
            <m:r>
              <w:rPr>
                <w:rFonts w:ascii="Cambria Math" w:hAnsi="Cambria Math"/>
                <w:sz w:val="19"/>
                <w:szCs w:val="19"/>
              </w:rPr>
              <m:t>f</m:t>
            </m:r>
            <m:r>
              <w:rPr>
                <w:rFonts w:ascii="Cambria Math" w:hAnsi="Cambria Math"/>
                <w:sz w:val="19"/>
                <w:szCs w:val="19"/>
              </w:rPr>
              <m:t>f</m:t>
            </m:r>
          </m:sup>
        </m:sSup>
      </m:oMath>
      <w:r>
        <w:t xml:space="preserve"> </w:t>
      </w:r>
      <w:r>
        <w:t xml:space="preserve">in (40). Dividing by</w:t>
      </w:r>
      <w:r>
        <w:t xml:space="preserve"> </w:t>
      </w:r>
      <m:oMath>
        <m:sSub>
          <m:e>
            <m:r>
              <w:rPr>
                <w:rFonts w:ascii="Cambria Math" w:hAnsi="Cambria Math"/>
                <w:sz w:val="19"/>
                <w:szCs w:val="19"/>
              </w:rPr>
              <m:t>D</m:t>
            </m:r>
          </m:e>
          <m:sub>
            <m:r>
              <w:rPr>
                <w:rFonts w:ascii="Cambria Math" w:hAnsi="Cambria Math"/>
                <w:sz w:val="19"/>
                <w:szCs w:val="19"/>
              </w:rPr>
              <m:t>B</m:t>
            </m:r>
          </m:sub>
        </m:sSub>
      </m:oMath>
      <w:r>
        <w:t xml:space="preserve"> </w:t>
      </w:r>
      <w:r>
        <w:t xml:space="preserve">gives (39).</w:t>
      </w:r>
    </w:p>
    <w:p>
      <w:pPr>
        <w:pStyle w:val="BodyText"/>
      </w:pPr>
      <w:r>
        <w:t xml:space="preserve">(iii) The computing reduction in B equals the backlog increase in B. Work arriving in B can be deferred by at most</w:t>
      </w:r>
      <w:r>
        <w:t xml:space="preserve"> </w:t>
      </w:r>
      <m:oMath>
        <m:r>
          <m:rPr>
            <m:sty m:val="p"/>
          </m:rPr>
          <w:rPr>
            <w:rFonts w:ascii="Cambria Math" w:hAnsi="Cambria Math"/>
            <w:sz w:val="19"/>
            <w:szCs w:val="19"/>
          </w:rPr>
          <m:t>min</m:t>
        </m:r>
        <m:d>
          <m:dPr>
            <m:begChr m:val="("/>
            <m:sepChr m:val=""/>
            <m:endChr m:val=")"/>
            <m:grow/>
          </m:dPr>
          <m:e>
            <m:sSub>
              <m:e>
                <m:r>
                  <w:rPr>
                    <w:rFonts w:ascii="Cambria Math" w:hAnsi="Cambria Math"/>
                    <w:sz w:val="19"/>
                    <w:szCs w:val="19"/>
                  </w:rPr>
                  <m:t>L</m:t>
                </m:r>
              </m:e>
              <m:sub>
                <m:r>
                  <w:rPr>
                    <w:rFonts w:ascii="Cambria Math" w:hAnsi="Cambria Math"/>
                    <w:sz w:val="19"/>
                    <w:szCs w:val="19"/>
                  </w:rPr>
                  <m:t>c</m:t>
                </m:r>
              </m:sub>
            </m:sSub>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e>
        </m:d>
      </m:oMath>
      <w:r>
        <w:t xml:space="preserve">, which contributes at most</w:t>
      </w:r>
      <w:r>
        <w:t xml:space="preserve"> </w:t>
      </w:r>
      <m:oMath>
        <m:sSub>
          <m:e>
            <m:r>
              <w:rPr>
                <w:rFonts w:ascii="Cambria Math" w:hAnsi="Cambria Math"/>
                <w:sz w:val="19"/>
                <w:szCs w:val="19"/>
              </w:rPr>
              <m:t>p</m:t>
            </m:r>
          </m:e>
          <m:sub>
            <m:r>
              <w:rPr>
                <w:rFonts w:ascii="Cambria Math" w:hAnsi="Cambria Math"/>
                <w:sz w:val="19"/>
                <w:szCs w:val="19"/>
              </w:rPr>
              <m:t>f</m:t>
            </m:r>
          </m:sub>
        </m:sSub>
        <m:sSub>
          <m:e>
            <m:r>
              <w:rPr>
                <w:rFonts w:ascii="Cambria Math" w:hAnsi="Cambria Math"/>
                <w:sz w:val="19"/>
                <w:szCs w:val="19"/>
              </w:rPr>
              <m:t>D</m:t>
            </m:r>
          </m:e>
          <m:sub>
            <m:r>
              <w:rPr>
                <w:rFonts w:ascii="Cambria Math" w:hAnsi="Cambria Math"/>
                <w:sz w:val="19"/>
                <w:szCs w:val="19"/>
              </w:rPr>
              <m:t>B</m:t>
            </m:r>
          </m:sub>
        </m:sSub>
      </m:oMath>
      <w:r>
        <w:t xml:space="preserve">. The debt</w:t>
      </w:r>
      <w:r>
        <w:t xml:space="preserve"> </w:t>
      </w:r>
      <m:oMath>
        <m:sSubSup>
          <m:e>
            <m:r>
              <w:rPr>
                <w:rFonts w:ascii="Cambria Math" w:hAnsi="Cambria Math"/>
                <w:sz w:val="19"/>
                <w:szCs w:val="19"/>
              </w:rPr>
              <m:t>X</m:t>
            </m:r>
          </m:e>
          <m:sub>
            <m:r>
              <w:rPr>
                <w:rFonts w:ascii="Cambria Math" w:hAnsi="Cambria Math"/>
                <w:sz w:val="19"/>
                <w:szCs w:val="19"/>
              </w:rPr>
              <m:t>A</m:t>
            </m:r>
          </m:sub>
          <m:sup>
            <m:r>
              <w:rPr>
                <w:rFonts w:ascii="Cambria Math" w:hAnsi="Cambria Math"/>
                <w:sz w:val="19"/>
                <w:szCs w:val="19"/>
              </w:rPr>
              <m:t>d</m:t>
            </m:r>
            <m:r>
              <w:rPr>
                <w:rFonts w:ascii="Cambria Math" w:hAnsi="Cambria Math"/>
                <w:sz w:val="19"/>
                <w:szCs w:val="19"/>
              </w:rPr>
              <m:t>u</m:t>
            </m:r>
            <m:r>
              <w:rPr>
                <w:rFonts w:ascii="Cambria Math" w:hAnsi="Cambria Math"/>
                <w:sz w:val="19"/>
                <w:szCs w:val="19"/>
              </w:rPr>
              <m:t>e</m:t>
            </m:r>
          </m:sup>
        </m:sSubSup>
      </m:oMath>
      <w:r>
        <w:t xml:space="preserve"> </w:t>
      </w:r>
      <w:r>
        <w:t xml:space="preserve">is either caught up in the interval (</w:t>
      </w:r>
      <m:oMath>
        <m:sSub>
          <m:e>
            <m:r>
              <w:rPr>
                <w:rFonts w:ascii="Cambria Math" w:hAnsi="Cambria Math"/>
                <w:sz w:val="19"/>
                <w:szCs w:val="19"/>
              </w:rPr>
              <m:t>H</m:t>
            </m:r>
          </m:e>
          <m:sub>
            <m:r>
              <w:rPr>
                <w:rFonts w:ascii="Cambria Math" w:hAnsi="Cambria Math"/>
                <w:sz w:val="19"/>
                <w:szCs w:val="19"/>
              </w:rPr>
              <m:t>c</m:t>
            </m:r>
          </m:sub>
        </m:sSub>
      </m:oMath>
      <w:r>
        <w:t xml:space="preserve">), swapped with later-deadline work (at most</w:t>
      </w:r>
      <w:r>
        <w:t xml:space="preserve"> </w:t>
      </w:r>
      <m:oMath>
        <m:sSup>
          <m:e>
            <m:r>
              <w:rPr>
                <w:rFonts w:ascii="Cambria Math" w:hAnsi="Cambria Math"/>
                <w:sz w:val="19"/>
                <w:szCs w:val="19"/>
              </w:rPr>
              <m:t>W</m:t>
            </m:r>
          </m:e>
          <m:sup>
            <m:r>
              <w:rPr>
                <w:rFonts w:ascii="Cambria Math" w:hAnsi="Cambria Math"/>
                <w:sz w:val="19"/>
                <w:szCs w:val="19"/>
              </w:rPr>
              <m:t>s</m:t>
            </m:r>
            <m:r>
              <w:rPr>
                <w:rFonts w:ascii="Cambria Math" w:hAnsi="Cambria Math"/>
                <w:sz w:val="19"/>
                <w:szCs w:val="19"/>
              </w:rPr>
              <m:t>w</m:t>
            </m:r>
          </m:sup>
        </m:sSup>
      </m:oMath>
      <w:r>
        <w:t xml:space="preserve">), or executed in B, where it offsets the reduction one to one. The storage contribution is limited by</w:t>
      </w:r>
      <w:r>
        <w:t xml:space="preserve"> </w:t>
      </w:r>
      <m:oMath>
        <m:sSub>
          <m:e>
            <m:r>
              <w:rPr>
                <w:rFonts w:ascii="Cambria Math" w:hAnsi="Cambria Math"/>
                <w:sz w:val="19"/>
                <w:szCs w:val="19"/>
              </w:rPr>
              <m:t>P</m:t>
            </m:r>
          </m:e>
          <m:sub>
            <m:r>
              <w:rPr>
                <w:rFonts w:ascii="Cambria Math" w:hAnsi="Cambria Math"/>
                <w:sz w:val="19"/>
                <w:szCs w:val="19"/>
              </w:rPr>
              <m:t>s</m:t>
            </m:r>
          </m:sub>
        </m:sSub>
        <m:sSub>
          <m:e>
            <m:r>
              <w:rPr>
                <w:rFonts w:ascii="Cambria Math" w:hAnsi="Cambria Math"/>
                <w:sz w:val="19"/>
                <w:szCs w:val="19"/>
              </w:rPr>
              <m:t>D</m:t>
            </m:r>
          </m:e>
          <m:sub>
            <m:r>
              <w:rPr>
                <w:rFonts w:ascii="Cambria Math" w:hAnsi="Cambria Math"/>
                <w:sz w:val="19"/>
                <w:szCs w:val="19"/>
              </w:rPr>
              <m:t>B</m:t>
            </m:r>
          </m:sub>
        </m:sSub>
      </m:oMath>
      <w:r>
        <w:t xml:space="preserve"> </w:t>
      </w:r>
      <w:r>
        <w:t xml:space="preserve">and by</w:t>
      </w:r>
      <w:r>
        <w:t xml:space="preserve"> </w:t>
      </w:r>
      <m:oMath>
        <m:sSub>
          <m:e>
            <m:r>
              <w:rPr>
                <w:rFonts w:ascii="Cambria Math" w:hAnsi="Cambria Math"/>
                <w:sz w:val="19"/>
                <w:szCs w:val="19"/>
              </w:rPr>
              <m:t>E</m:t>
            </m:r>
          </m:e>
          <m:sub>
            <m:r>
              <w:rPr>
                <w:rFonts w:ascii="Cambria Math" w:hAnsi="Cambria Math"/>
                <w:sz w:val="19"/>
                <w:szCs w:val="19"/>
              </w:rPr>
              <m:t>s</m:t>
            </m:r>
          </m:sub>
        </m:sSub>
        <m:r>
          <m:rPr>
            <m:sty m:val="p"/>
          </m:rPr>
          <w:rPr>
            <w:rFonts w:ascii="Cambria Math" w:hAnsi="Cambria Math"/>
            <w:sz w:val="19"/>
            <w:szCs w:val="19"/>
          </w:rPr>
          <m:t>+</m:t>
        </m:r>
        <m:r>
          <w:rPr>
            <w:rFonts w:ascii="Cambria Math" w:hAnsi="Cambria Math"/>
            <w:sz w:val="19"/>
            <w:szCs w:val="19"/>
          </w:rPr>
          <m:t>η</m:t>
        </m:r>
        <m:sSub>
          <m:e>
            <m:r>
              <w:rPr>
                <w:rFonts w:ascii="Cambria Math" w:hAnsi="Cambria Math"/>
                <w:sz w:val="19"/>
                <w:szCs w:val="19"/>
              </w:rPr>
              <m:t>H</m:t>
            </m:r>
          </m:e>
          <m:sub>
            <m:r>
              <w:rPr>
                <w:rFonts w:ascii="Cambria Math" w:hAnsi="Cambria Math"/>
                <w:sz w:val="19"/>
                <w:szCs w:val="19"/>
              </w:rPr>
              <m:t>s</m:t>
            </m:r>
          </m:sub>
        </m:sSub>
      </m:oMath>
      <w:r>
        <w:t xml:space="preserve">. Maximising over the allocations</w:t>
      </w:r>
      <w:r>
        <w:t xml:space="preserve"> </w:t>
      </w:r>
      <m:oMath>
        <m:d>
          <m:dPr>
            <m:begChr m:val="("/>
            <m:sepChr m:val=""/>
            <m:endChr m:val=")"/>
            <m:grow/>
          </m:dPr>
          <m:e>
            <m:sSub>
              <m:e>
                <m:r>
                  <w:rPr>
                    <w:rFonts w:ascii="Cambria Math" w:hAnsi="Cambria Math"/>
                    <w:sz w:val="19"/>
                    <w:szCs w:val="19"/>
                  </w:rPr>
                  <m:t>H</m:t>
                </m:r>
              </m:e>
              <m:sub>
                <m:r>
                  <w:rPr>
                    <w:rFonts w:ascii="Cambria Math" w:hAnsi="Cambria Math"/>
                    <w:sz w:val="19"/>
                    <w:szCs w:val="19"/>
                  </w:rPr>
                  <m:t>c</m:t>
                </m:r>
              </m:sub>
            </m:sSub>
            <m:r>
              <m:rPr>
                <m:sty m:val="p"/>
              </m:rPr>
              <w:rPr>
                <w:rFonts w:ascii="Cambria Math" w:hAnsi="Cambria Math"/>
                <w:sz w:val="19"/>
                <w:szCs w:val="19"/>
              </w:rPr>
              <m:t>,</m:t>
            </m:r>
            <m:sSub>
              <m:e>
                <m:r>
                  <w:rPr>
                    <w:rFonts w:ascii="Cambria Math" w:hAnsi="Cambria Math"/>
                    <w:sz w:val="19"/>
                    <w:szCs w:val="19"/>
                  </w:rPr>
                  <m:t>H</m:t>
                </m:r>
              </m:e>
              <m:sub>
                <m:r>
                  <w:rPr>
                    <w:rFonts w:ascii="Cambria Math" w:hAnsi="Cambria Math"/>
                    <w:sz w:val="19"/>
                    <w:szCs w:val="19"/>
                  </w:rPr>
                  <m:t>s</m:t>
                </m:r>
              </m:sub>
            </m:sSub>
          </m:e>
        </m:d>
        <m:r>
          <m:rPr>
            <m:sty m:val="p"/>
          </m:rPr>
          <w:rPr>
            <w:rFonts w:ascii="Cambria Math" w:hAnsi="Cambria Math"/>
            <w:sz w:val="19"/>
            <w:szCs w:val="19"/>
          </w:rPr>
          <m:t>∈</m:t>
        </m:r>
        <m:r>
          <m:rPr>
            <m:scr m:val="script"/>
            <m:sty m:val="p"/>
          </m:rPr>
          <w:rPr>
            <w:rFonts w:ascii="Cambria Math" w:hAnsi="Cambria Math"/>
            <w:sz w:val="19"/>
            <w:szCs w:val="19"/>
          </w:rPr>
          <m:t>H</m:t>
        </m:r>
      </m:oMath>
      <w:r>
        <w:t xml:space="preserve"> </w:t>
      </w:r>
      <w:r>
        <w:t xml:space="preserve">of (42), subject to the free GPU and charging-power limits, gives (41). ∎</w:t>
      </w:r>
    </w:p>
    <w:p>
      <w:pPr>
        <w:pStyle w:val="BodyText"/>
      </w:pPr>
      <w:r>
        <w:rPr>
          <w:bCs/>
          <w:b/>
        </w:rPr>
        <w:t xml:space="preserve">Proof of Proposition 2.</w:t>
      </w:r>
      <w:r>
        <w:t xml:space="preserve"> </w:t>
      </w:r>
      <w:r>
        <w:t xml:space="preserve">Assume, in addition, full pausing of deferrable work in B, the dischargeable energy</w:t>
      </w:r>
      <w:r>
        <w:t xml:space="preserve"> </w:t>
      </w:r>
      <m:oMath>
        <m:sSub>
          <m:e>
            <m:r>
              <w:rPr>
                <w:rFonts w:ascii="Cambria Math" w:hAnsi="Cambria Math"/>
                <w:sz w:val="19"/>
                <w:szCs w:val="19"/>
              </w:rPr>
              <m:t>η</m:t>
            </m:r>
          </m:e>
          <m:sub>
            <m:r>
              <w:rPr>
                <w:rFonts w:ascii="Cambria Math" w:hAnsi="Cambria Math"/>
                <w:sz w:val="19"/>
                <w:szCs w:val="19"/>
              </w:rPr>
              <m:t>d</m:t>
            </m:r>
          </m:sub>
        </m:sSub>
        <m:sSub>
          <m:e>
            <m:r>
              <w:rPr>
                <w:rFonts w:ascii="Cambria Math" w:hAnsi="Cambria Math"/>
                <w:sz w:val="19"/>
                <w:szCs w:val="19"/>
              </w:rPr>
              <m:t>E</m:t>
            </m:r>
          </m:e>
          <m:sub>
            <m:r>
              <w:rPr>
                <w:rFonts w:ascii="Cambria Math" w:hAnsi="Cambria Math"/>
                <w:sz w:val="19"/>
                <w:szCs w:val="19"/>
              </w:rPr>
              <m:t>A</m:t>
            </m:r>
          </m:sub>
        </m:sSub>
      </m:oMath>
      <w:r>
        <w:t xml:space="preserve"> </w:t>
      </w:r>
      <w:r>
        <w:t xml:space="preserve">and no gas engine. With catch-up</w:t>
      </w:r>
      <w:r>
        <w:t xml:space="preserve"> </w:t>
      </w:r>
      <m:oMath>
        <m:r>
          <w:rPr>
            <w:rFonts w:ascii="Cambria Math" w:hAnsi="Cambria Math"/>
            <w:sz w:val="19"/>
            <w:szCs w:val="19"/>
          </w:rPr>
          <m:t>c</m:t>
        </m:r>
        <m:r>
          <m:rPr>
            <m:sty m:val="p"/>
          </m:rPr>
          <w:rPr>
            <w:rFonts w:ascii="Cambria Math" w:hAnsi="Cambria Math"/>
            <w:sz w:val="19"/>
            <w:szCs w:val="19"/>
          </w:rPr>
          <m:t>∈</m:t>
        </m:r>
        <m:d>
          <m:dPr>
            <m:begChr m:val="["/>
            <m:sepChr m:val=""/>
            <m:endChr m:val="]"/>
            <m:grow/>
          </m:dPr>
          <m:e>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e>
        </m:d>
      </m:oMath>
      <w:r>
        <w:t xml:space="preserve"> </w:t>
      </w:r>
      <w:r>
        <w:t xml:space="preserve">and recharge</w:t>
      </w:r>
      <w:r>
        <w:t xml:space="preserve"> </w:t>
      </w:r>
      <m:oMath>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0</m:t>
        </m:r>
      </m:oMath>
      <w:r>
        <w:t xml:space="preserve"> </w:t>
      </w:r>
      <w:r>
        <w:t xml:space="preserve">in the interval,</w:t>
      </w:r>
      <w:r>
        <w:t xml:space="preserve"> </w:t>
      </w:r>
      <m:oMath>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H</m:t>
        </m:r>
      </m:oMath>
      <w:r>
        <w:t xml:space="preserve">, the deliverable reduction energy of B is</w:t>
      </w:r>
    </w:p>
    <w:p>
      <w:pPr>
        <w:pStyle w:val="Equation"/>
      </w:pPr>
      <w:r>
        <w:tab/>
      </w:r>
      <m:oMath>
        <m:m>
          <m:mPr>
            <m:baseJc m:val="center"/>
            <m:plcHide m:val="on"/>
            <m:mcs>
              <m:mc>
                <m:mcPr>
                  <m:count m:val="1"/>
                  <m:mcJc m:val="right"/>
                </m:mcPr>
              </m:mc>
              <m:mc>
                <m:mcPr>
                  <m:count m:val="1"/>
                  <m:mcJc m:val="left"/>
                </m:mcPr>
              </m:mc>
            </m:mcs>
          </m:mPr>
          <m:mr>
            <m:e>
              <m:r>
                <w:rPr>
                  <w:rFonts w:ascii="Cambria Math" w:hAnsi="Cambria Math"/>
                  <w:sz w:val="19"/>
                  <w:szCs w:val="19"/>
                </w:rPr>
                <m:t>G</m:t>
              </m:r>
              <m:d>
                <m:dPr>
                  <m:begChr m:val="("/>
                  <m:sepChr m:val=""/>
                  <m:endChr m:val=")"/>
                  <m:grow/>
                </m:dPr>
                <m:e>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s</m:t>
                  </m:r>
                </m:e>
              </m:d>
              <m:r>
                <m:rPr>
                  <m:sty m:val="p"/>
                </m:rPr>
                <w:rPr>
                  <w:rFonts w:ascii="Cambria Math" w:hAnsi="Cambria Math"/>
                  <w:sz w:val="19"/>
                  <w:szCs w:val="19"/>
                </w:rPr>
                <m:t>=</m:t>
              </m:r>
              <m:r>
                <w:rPr>
                  <w:rFonts w:ascii="Cambria Math" w:hAnsi="Cambria Math"/>
                  <w:sz w:val="19"/>
                  <w:szCs w:val="19"/>
                </w:rPr>
                <m:t>​</m:t>
              </m:r>
            </m:e>
            <m:e>
              <m:r>
                <m:rPr>
                  <m:sty m:val="p"/>
                </m:rPr>
                <w:rPr>
                  <w:rFonts w:ascii="Cambria Math" w:hAnsi="Cambria Math"/>
                  <w:sz w:val="19"/>
                  <w:szCs w:val="19"/>
                </w:rPr>
                <m:t>min</m:t>
              </m:r>
              <m:d>
                <m:dPr>
                  <m:begChr m:val="{"/>
                  <m:sepChr m:val=""/>
                  <m:endChr m:val="}"/>
                  <m:grow/>
                </m:dPr>
                <m:e>
                  <m:sSub>
                    <m:e>
                      <m:r>
                        <w:rPr>
                          <w:rFonts w:ascii="Cambria Math" w:hAnsi="Cambria Math"/>
                          <w:sz w:val="19"/>
                          <w:szCs w:val="19"/>
                        </w:rPr>
                        <m:t>p</m:t>
                      </m:r>
                    </m:e>
                    <m:sub>
                      <m:r>
                        <w:rPr>
                          <w:rFonts w:ascii="Cambria Math" w:hAnsi="Cambria Math"/>
                          <w:sz w:val="19"/>
                          <w:szCs w:val="19"/>
                        </w:rPr>
                        <m:t>f</m:t>
                      </m:r>
                    </m:sub>
                  </m:sSub>
                  <m:sSub>
                    <m:e>
                      <m:r>
                        <w:rPr>
                          <w:rFonts w:ascii="Cambria Math" w:hAnsi="Cambria Math"/>
                          <w:sz w:val="19"/>
                          <w:szCs w:val="19"/>
                        </w:rPr>
                        <m:t>D</m:t>
                      </m:r>
                    </m:e>
                    <m:sub>
                      <m:r>
                        <w:rPr>
                          <w:rFonts w:ascii="Cambria Math" w:hAnsi="Cambria Math"/>
                          <w:sz w:val="19"/>
                          <w:szCs w:val="19"/>
                        </w:rPr>
                        <m:t>B</m:t>
                      </m:r>
                    </m:sub>
                  </m:sSub>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p</m:t>
                      </m:r>
                    </m:e>
                    <m:sub>
                      <m:r>
                        <w:rPr>
                          <w:rFonts w:ascii="Cambria Math" w:hAnsi="Cambria Math"/>
                          <w:sz w:val="19"/>
                          <w:szCs w:val="19"/>
                        </w:rPr>
                        <m:t>f</m:t>
                      </m:r>
                    </m:sub>
                  </m:sSub>
                  <m:r>
                    <w:rPr>
                      <w:rFonts w:ascii="Cambria Math" w:hAnsi="Cambria Math"/>
                      <w:sz w:val="19"/>
                      <w:szCs w:val="19"/>
                    </w:rPr>
                    <m:t>L</m:t>
                  </m:r>
                  <m:r>
                    <m:rPr>
                      <m:sty m:val="p"/>
                    </m:rPr>
                    <w:rPr>
                      <w:rFonts w:ascii="Cambria Math" w:hAnsi="Cambria Math"/>
                      <w:sz w:val="19"/>
                      <w:szCs w:val="19"/>
                    </w:rPr>
                    <m:t>−</m:t>
                  </m:r>
                  <m:d>
                    <m:dPr>
                      <m:begChr m:val="("/>
                      <m:sepChr m:val=""/>
                      <m:endChr m:val=")"/>
                      <m:grow/>
                    </m:dPr>
                    <m:e>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c</m:t>
                      </m:r>
                    </m:e>
                  </m:d>
                </m:e>
              </m:d>
            </m:e>
          </m:mr>
          <m:mr>
            <m:e/>
            <m:e>
              <m:r>
                <m:rPr>
                  <m:sty m:val="p"/>
                </m:rPr>
                <w:rPr>
                  <w:rFonts w:ascii="Cambria Math" w:hAnsi="Cambria Math"/>
                  <w:sz w:val="19"/>
                  <w:szCs w:val="19"/>
                </w:rPr>
                <m:t>+</m:t>
              </m:r>
              <m:r>
                <m:rPr>
                  <m:sty m:val="p"/>
                </m:rPr>
                <w:rPr>
                  <w:rFonts w:ascii="Cambria Math" w:hAnsi="Cambria Math"/>
                  <w:sz w:val="19"/>
                  <w:szCs w:val="19"/>
                </w:rPr>
                <m:t>min</m:t>
              </m:r>
              <m:d>
                <m:dPr>
                  <m:begChr m:val="{"/>
                  <m:sepChr m:val=""/>
                  <m:endChr m:val="}"/>
                  <m:grow/>
                </m:dPr>
                <m:e>
                  <m:sSub>
                    <m:e>
                      <m:r>
                        <w:rPr>
                          <w:rFonts w:ascii="Cambria Math" w:hAnsi="Cambria Math"/>
                          <w:sz w:val="19"/>
                          <w:szCs w:val="19"/>
                        </w:rPr>
                        <m:t>P</m:t>
                      </m:r>
                    </m:e>
                    <m:sub>
                      <m:r>
                        <w:rPr>
                          <w:rFonts w:ascii="Cambria Math" w:hAnsi="Cambria Math"/>
                          <w:sz w:val="19"/>
                          <w:szCs w:val="19"/>
                        </w:rPr>
                        <m:t>s</m:t>
                      </m:r>
                    </m:sub>
                  </m:sSub>
                  <m:sSub>
                    <m:e>
                      <m:r>
                        <w:rPr>
                          <w:rFonts w:ascii="Cambria Math" w:hAnsi="Cambria Math"/>
                          <w:sz w:val="19"/>
                          <w:szCs w:val="19"/>
                        </w:rPr>
                        <m:t>D</m:t>
                      </m:r>
                    </m:e>
                    <m:sub>
                      <m:r>
                        <w:rPr>
                          <w:rFonts w:ascii="Cambria Math" w:hAnsi="Cambria Math"/>
                          <w:sz w:val="19"/>
                          <w:szCs w:val="19"/>
                        </w:rPr>
                        <m:t>B</m:t>
                      </m:r>
                    </m:sub>
                  </m:sSub>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η</m:t>
                      </m:r>
                    </m:e>
                    <m:sub>
                      <m:r>
                        <w:rPr>
                          <w:rFonts w:ascii="Cambria Math" w:hAnsi="Cambria Math"/>
                          <w:sz w:val="19"/>
                          <w:szCs w:val="19"/>
                        </w:rPr>
                        <m:t>d</m:t>
                      </m:r>
                    </m:sub>
                  </m:sSub>
                  <m:sSub>
                    <m:e>
                      <m:r>
                        <w:rPr>
                          <w:rFonts w:ascii="Cambria Math" w:hAnsi="Cambria Math"/>
                          <w:sz w:val="19"/>
                          <w:szCs w:val="19"/>
                        </w:rPr>
                        <m:t>E</m:t>
                      </m:r>
                    </m:e>
                    <m:sub>
                      <m:r>
                        <w:rPr>
                          <w:rFonts w:ascii="Cambria Math" w:hAnsi="Cambria Math"/>
                          <w:sz w:val="19"/>
                          <w:szCs w:val="19"/>
                        </w:rPr>
                        <m:t>A</m:t>
                      </m:r>
                    </m:sub>
                  </m:sSub>
                  <m:r>
                    <m:rPr>
                      <m:sty m:val="p"/>
                    </m:rPr>
                    <w:rPr>
                      <w:rFonts w:ascii="Cambria Math" w:hAnsi="Cambria Math"/>
                      <w:sz w:val="19"/>
                      <w:szCs w:val="19"/>
                    </w:rPr>
                    <m:t>+</m:t>
                  </m:r>
                  <m:r>
                    <w:rPr>
                      <w:rFonts w:ascii="Cambria Math" w:hAnsi="Cambria Math"/>
                      <w:sz w:val="19"/>
                      <w:szCs w:val="19"/>
                    </w:rPr>
                    <m:t>η</m:t>
                  </m:r>
                  <m:r>
                    <w:rPr>
                      <w:rFonts w:ascii="Cambria Math" w:hAnsi="Cambria Math"/>
                      <w:sz w:val="19"/>
                      <w:szCs w:val="19"/>
                    </w:rPr>
                    <m:t>s</m:t>
                  </m:r>
                </m:e>
              </m:d>
              <m:r>
                <m:rPr>
                  <m:sty m:val="p"/>
                </m:rPr>
                <w:rPr>
                  <w:rFonts w:ascii="Cambria Math" w:hAnsi="Cambria Math"/>
                  <w:sz w:val="19"/>
                  <w:szCs w:val="19"/>
                </w:rPr>
                <m:t>.</m:t>
              </m:r>
            </m:e>
          </m:mr>
        </m:m>
      </m:oMath>
      <w:r>
        <w:tab/>
      </w:r>
      <w:r>
        <w:t xml:space="preserve">(B.3)</w:t>
      </w:r>
    </w:p>
    <w:p>
      <w:pPr>
        <w:pStyle w:val="BodyText"/>
      </w:pPr>
      <w:r>
        <w:t xml:space="preserve">Let</w:t>
      </w:r>
      <w:r>
        <w:t xml:space="preserve"> </w:t>
      </w:r>
      <m:oMath>
        <m:sSup>
          <m:e>
            <m:r>
              <w:rPr>
                <w:rFonts w:ascii="Cambria Math" w:hAnsi="Cambria Math"/>
                <w:sz w:val="19"/>
                <w:szCs w:val="19"/>
              </w:rPr>
              <m:t>c</m:t>
            </m:r>
          </m:e>
          <m:sup>
            <m:r>
              <m:rPr>
                <m:lit/>
                <m:sty m:val="p"/>
              </m:rPr>
              <w:rPr>
                <w:rFonts w:ascii="Cambria Math" w:hAnsi="Cambria Math"/>
                <w:sz w:val="19"/>
                <w:szCs w:val="19"/>
              </w:rPr>
              <m:t>*</m:t>
            </m:r>
          </m:sup>
        </m:sSup>
      </m:oMath>
      <w:r>
        <w:t xml:space="preserve"> </w:t>
      </w:r>
      <w:r>
        <w:t xml:space="preserve">be the necessary catch-up (43) and</w:t>
      </w:r>
      <w:r>
        <w:t xml:space="preserve"> </w:t>
      </w:r>
      <m:oMath>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sSub>
          <m:e>
            <m:r>
              <w:rPr>
                <w:rFonts w:ascii="Cambria Math" w:hAnsi="Cambria Math"/>
                <w:sz w:val="19"/>
                <w:szCs w:val="19"/>
              </w:rPr>
              <m:t>P</m:t>
            </m:r>
          </m:e>
          <m:sub>
            <m:r>
              <w:rPr>
                <w:rFonts w:ascii="Cambria Math" w:hAnsi="Cambria Math"/>
                <w:sz w:val="19"/>
                <w:szCs w:val="19"/>
              </w:rPr>
              <m:t>s</m:t>
            </m:r>
          </m:sub>
        </m:sSub>
        <m:sSub>
          <m:e>
            <m:r>
              <w:rPr>
                <w:rFonts w:ascii="Cambria Math" w:hAnsi="Cambria Math"/>
                <w:sz w:val="19"/>
                <w:szCs w:val="19"/>
              </w:rPr>
              <m:t>D</m:t>
            </m:r>
          </m:e>
          <m:sub>
            <m:r>
              <w:rPr>
                <w:rFonts w:ascii="Cambria Math" w:hAnsi="Cambria Math"/>
                <w:sz w:val="19"/>
                <w:szCs w:val="19"/>
              </w:rPr>
              <m:t>B</m:t>
            </m:r>
          </m:sub>
        </m:sSub>
        <m:r>
          <m:rPr>
            <m:sty m:val="p"/>
          </m:rPr>
          <w:rPr>
            <w:rFonts w:ascii="Cambria Math" w:hAnsi="Cambria Math"/>
            <w:sz w:val="19"/>
            <w:szCs w:val="19"/>
          </w:rPr>
          <m:t>−</m:t>
        </m:r>
        <m:sSub>
          <m:e>
            <m:r>
              <w:rPr>
                <w:rFonts w:ascii="Cambria Math" w:hAnsi="Cambria Math"/>
                <w:sz w:val="19"/>
                <w:szCs w:val="19"/>
              </w:rPr>
              <m:t>η</m:t>
            </m:r>
          </m:e>
          <m:sub>
            <m:r>
              <w:rPr>
                <w:rFonts w:ascii="Cambria Math" w:hAnsi="Cambria Math"/>
                <w:sz w:val="19"/>
                <w:szCs w:val="19"/>
              </w:rPr>
              <m:t>d</m:t>
            </m:r>
          </m:sub>
        </m:sSub>
        <m:sSub>
          <m:e>
            <m:r>
              <w:rPr>
                <w:rFonts w:ascii="Cambria Math" w:hAnsi="Cambria Math"/>
                <w:sz w:val="19"/>
                <w:szCs w:val="19"/>
              </w:rPr>
              <m:t>E</m:t>
            </m:r>
          </m:e>
          <m:sub>
            <m:r>
              <w:rPr>
                <w:rFonts w:ascii="Cambria Math" w:hAnsi="Cambria Math"/>
                <w:sz w:val="19"/>
                <w:szCs w:val="19"/>
              </w:rPr>
              <m:t>A</m:t>
            </m:r>
          </m:sub>
        </m:sSub>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η</m:t>
        </m:r>
      </m:oMath>
      <w:r>
        <w:t xml:space="preserve"> </w:t>
      </w:r>
      <w:r>
        <w:t xml:space="preserve">the necessary recharge. The first term of</w:t>
      </w:r>
      <w:r>
        <w:t xml:space="preserve"> </w:t>
      </w:r>
      <m:oMath>
        <m:r>
          <w:rPr>
            <w:rFonts w:ascii="Cambria Math" w:hAnsi="Cambria Math"/>
            <w:sz w:val="19"/>
            <w:szCs w:val="19"/>
          </w:rPr>
          <m:t>G</m:t>
        </m:r>
      </m:oMath>
      <w:r>
        <w:t xml:space="preserve"> </w:t>
      </w:r>
      <w:r>
        <w:t xml:space="preserve">is concave with slope 1 for</w:t>
      </w:r>
      <w:r>
        <w:t xml:space="preserve"> </w:t>
      </w:r>
      <m:oMath>
        <m:r>
          <w:rPr>
            <w:rFonts w:ascii="Cambria Math" w:hAnsi="Cambria Math"/>
            <w:sz w:val="19"/>
            <w:szCs w:val="19"/>
          </w:rPr>
          <m:t>c</m:t>
        </m:r>
        <m:r>
          <m:rPr>
            <m:sty m:val="p"/>
          </m:rPr>
          <w:rPr>
            <w:rFonts w:ascii="Cambria Math" w:hAnsi="Cambria Math"/>
            <w:sz w:val="19"/>
            <w:szCs w:val="19"/>
          </w:rPr>
          <m:t>&lt;</m:t>
        </m:r>
        <m:sSup>
          <m:e>
            <m:r>
              <w:rPr>
                <w:rFonts w:ascii="Cambria Math" w:hAnsi="Cambria Math"/>
                <w:sz w:val="19"/>
                <w:szCs w:val="19"/>
              </w:rPr>
              <m:t>c</m:t>
            </m:r>
          </m:e>
          <m:sup>
            <m:r>
              <m:rPr>
                <m:lit/>
                <m:sty m:val="p"/>
              </m:rPr>
              <w:rPr>
                <w:rFonts w:ascii="Cambria Math" w:hAnsi="Cambria Math"/>
                <w:sz w:val="19"/>
                <w:szCs w:val="19"/>
              </w:rPr>
              <m:t>*</m:t>
            </m:r>
          </m:sup>
        </m:sSup>
      </m:oMath>
      <w:r>
        <w:t xml:space="preserve"> </w:t>
      </w:r>
      <w:r>
        <w:t xml:space="preserve">and slope 0 afterwards; the second is concave with slope</w:t>
      </w:r>
      <w:r>
        <w:t xml:space="preserve"> </w:t>
      </w:r>
      <m:oMath>
        <m:r>
          <w:rPr>
            <w:rFonts w:ascii="Cambria Math" w:hAnsi="Cambria Math"/>
            <w:sz w:val="19"/>
            <w:szCs w:val="19"/>
          </w:rPr>
          <m:t>η</m:t>
        </m:r>
      </m:oMath>
      <w:r>
        <w:t xml:space="preserve"> </w:t>
      </w:r>
      <w:r>
        <w:t xml:space="preserve">for</w:t>
      </w:r>
      <w:r>
        <w:t xml:space="preserve"> </w:t>
      </w:r>
      <m:oMath>
        <m:r>
          <w:rPr>
            <w:rFonts w:ascii="Cambria Math" w:hAnsi="Cambria Math"/>
            <w:sz w:val="19"/>
            <w:szCs w:val="19"/>
          </w:rPr>
          <m:t>s</m:t>
        </m:r>
        <m:r>
          <m:rPr>
            <m:sty m:val="p"/>
          </m:rPr>
          <w:rPr>
            <w:rFonts w:ascii="Cambria Math" w:hAnsi="Cambria Math"/>
            <w:sz w:val="19"/>
            <w:szCs w:val="19"/>
          </w:rPr>
          <m:t>&lt;</m:t>
        </m:r>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oMath>
      <w:r>
        <w:t xml:space="preserve"> </w:t>
      </w:r>
      <w:r>
        <w:t xml:space="preserve">and 0 afterwards. Maximising the sum of two separable concave functions under</w:t>
      </w:r>
      <w:r>
        <w:t xml:space="preserve"> </w:t>
      </w:r>
      <m:oMath>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s</m:t>
        </m:r>
        <m:r>
          <m:rPr>
            <m:sty m:val="p"/>
          </m:rPr>
          <w:rPr>
            <w:rFonts w:ascii="Cambria Math" w:hAnsi="Cambria Math"/>
            <w:sz w:val="19"/>
            <w:szCs w:val="19"/>
          </w:rPr>
          <m:t>≤</m:t>
        </m:r>
        <m:r>
          <w:rPr>
            <w:rFonts w:ascii="Cambria Math" w:hAnsi="Cambria Math"/>
            <w:sz w:val="19"/>
            <w:szCs w:val="19"/>
          </w:rPr>
          <m:t>H</m:t>
        </m:r>
      </m:oMath>
      <w:r>
        <w:t xml:space="preserve"> </w:t>
      </w:r>
      <w:r>
        <w:t xml:space="preserve">allocates the channel greedily by marginal value: catch-up up to</w:t>
      </w:r>
      <w:r>
        <w:t xml:space="preserve"> </w:t>
      </w:r>
      <m:oMath>
        <m:sSup>
          <m:e>
            <m:r>
              <w:rPr>
                <w:rFonts w:ascii="Cambria Math" w:hAnsi="Cambria Math"/>
                <w:sz w:val="19"/>
                <w:szCs w:val="19"/>
              </w:rPr>
              <m:t>c</m:t>
            </m:r>
          </m:e>
          <m:sup>
            <m:r>
              <m:rPr>
                <m:lit/>
                <m:sty m:val="p"/>
              </m:rPr>
              <w:rPr>
                <w:rFonts w:ascii="Cambria Math" w:hAnsi="Cambria Math"/>
                <w:sz w:val="19"/>
                <w:szCs w:val="19"/>
              </w:rPr>
              <m:t>*</m:t>
            </m:r>
          </m:sup>
        </m:sSup>
      </m:oMath>
      <w:r>
        <w:t xml:space="preserve">, then recharge up to</w:t>
      </w:r>
      <w:r>
        <w:t xml:space="preserve"> </w:t>
      </w:r>
      <m:oMath>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oMath>
      <w:r>
        <w:t xml:space="preserve">. This is the joint allocation of (44). Independent recovery repays the whole debt first and spends</w:t>
      </w:r>
      <w:r>
        <w:t xml:space="preserve"> </w:t>
      </w:r>
      <m:oMath>
        <m:r>
          <w:rPr>
            <w:rFonts w:ascii="Cambria Math" w:hAnsi="Cambria Math"/>
            <w:sz w:val="19"/>
            <w:szCs w:val="19"/>
          </w:rPr>
          <m:t>X</m:t>
        </m:r>
        <m:r>
          <m:rPr>
            <m:sty m:val="p"/>
          </m:rPr>
          <w:rPr>
            <w:rFonts w:ascii="Cambria Math" w:hAnsi="Cambria Math"/>
            <w:sz w:val="19"/>
            <w:szCs w:val="19"/>
          </w:rPr>
          <m:t>−</m:t>
        </m:r>
        <m:sSup>
          <m:e>
            <m:r>
              <w:rPr>
                <w:rFonts w:ascii="Cambria Math" w:hAnsi="Cambria Math"/>
                <w:sz w:val="19"/>
                <w:szCs w:val="19"/>
              </w:rPr>
              <m:t>c</m:t>
            </m:r>
          </m:e>
          <m:sup>
            <m:r>
              <m:rPr>
                <m:lit/>
                <m:sty m:val="p"/>
              </m:rPr>
              <w:rPr>
                <w:rFonts w:ascii="Cambria Math" w:hAnsi="Cambria Math"/>
                <w:sz w:val="19"/>
                <w:szCs w:val="19"/>
              </w:rPr>
              <m:t>*</m:t>
            </m:r>
          </m:sup>
        </m:sSup>
      </m:oMath>
      <w:r>
        <w:t xml:space="preserve"> </w:t>
      </w:r>
      <w:r>
        <w:t xml:space="preserve">of the channel on catch-up of zero marginal value. Substituting both allocations,</w:t>
      </w:r>
    </w:p>
    <w:p>
      <w:pPr>
        <w:pStyle w:val="Equation"/>
      </w:pPr>
      <w:r>
        <w:tab/>
      </w:r>
      <m:oMath>
        <m:m>
          <m:mPr>
            <m:baseJc m:val="center"/>
            <m:plcHide m:val="on"/>
            <m:mcs>
              <m:mc>
                <m:mcPr>
                  <m:count m:val="1"/>
                  <m:mcJc m:val="right"/>
                </m:mcPr>
              </m:mc>
              <m:mc>
                <m:mcPr>
                  <m:count m:val="1"/>
                  <m:mcJc m:val="left"/>
                </m:mcPr>
              </m:mc>
            </m:mcs>
          </m:mPr>
          <m:mr>
            <m:e>
              <m:sSub>
                <m:e>
                  <m:r>
                    <w:rPr>
                      <w:rFonts w:ascii="Cambria Math" w:hAnsi="Cambria Math"/>
                      <w:sz w:val="19"/>
                      <w:szCs w:val="19"/>
                    </w:rPr>
                    <m:t>G</m:t>
                  </m:r>
                </m:e>
                <m:sub>
                  <m:r>
                    <w:rPr>
                      <w:rFonts w:ascii="Cambria Math" w:hAnsi="Cambria Math"/>
                      <w:sz w:val="19"/>
                      <w:szCs w:val="19"/>
                    </w:rPr>
                    <m:t>J</m:t>
                  </m:r>
                  <m:r>
                    <w:rPr>
                      <w:rFonts w:ascii="Cambria Math" w:hAnsi="Cambria Math"/>
                      <w:sz w:val="19"/>
                      <w:szCs w:val="19"/>
                    </w:rPr>
                    <m:t>R</m:t>
                  </m:r>
                </m:sub>
              </m:sSub>
              <m:r>
                <m:rPr>
                  <m:sty m:val="p"/>
                </m:rPr>
                <w:rPr>
                  <w:rFonts w:ascii="Cambria Math" w:hAnsi="Cambria Math"/>
                  <w:sz w:val="19"/>
                  <w:szCs w:val="19"/>
                </w:rPr>
                <m:t>−</m:t>
              </m:r>
              <m:sSub>
                <m:e>
                  <m:r>
                    <w:rPr>
                      <w:rFonts w:ascii="Cambria Math" w:hAnsi="Cambria Math"/>
                      <w:sz w:val="19"/>
                      <w:szCs w:val="19"/>
                    </w:rPr>
                    <m:t>G</m:t>
                  </m:r>
                </m:e>
                <m:sub>
                  <m:r>
                    <w:rPr>
                      <w:rFonts w:ascii="Cambria Math" w:hAnsi="Cambria Math"/>
                      <w:sz w:val="19"/>
                      <w:szCs w:val="19"/>
                    </w:rPr>
                    <m:t>I</m:t>
                  </m:r>
                  <m:r>
                    <w:rPr>
                      <w:rFonts w:ascii="Cambria Math" w:hAnsi="Cambria Math"/>
                      <w:sz w:val="19"/>
                      <w:szCs w:val="19"/>
                    </w:rPr>
                    <m:t>R</m:t>
                  </m:r>
                </m:sub>
              </m:sSub>
              <m:r>
                <m:rPr>
                  <m:sty m:val="p"/>
                </m:rPr>
                <w:rPr>
                  <w:rFonts w:ascii="Cambria Math" w:hAnsi="Cambria Math"/>
                  <w:sz w:val="19"/>
                  <w:szCs w:val="19"/>
                </w:rPr>
                <m:t>=</m:t>
              </m:r>
              <m:r>
                <w:rPr>
                  <w:rFonts w:ascii="Cambria Math" w:hAnsi="Cambria Math"/>
                  <w:sz w:val="19"/>
                  <w:szCs w:val="19"/>
                </w:rPr>
                <m:t>η</m:t>
              </m:r>
              <m:r>
                <m:rPr>
                  <m:sty m:val="p"/>
                </m:rPr>
                <w:rPr>
                  <w:rFonts w:ascii="Cambria Math" w:hAnsi="Cambria Math"/>
                  <w:sz w:val="19"/>
                  <w:szCs w:val="19"/>
                </w:rPr>
                <m:t>[</m:t>
              </m:r>
            </m:e>
            <m:e>
              <m:r>
                <m:rPr>
                  <m:sty m:val="p"/>
                </m:rPr>
                <w:rPr>
                  <w:rFonts w:ascii="Cambria Math" w:hAnsi="Cambria Math"/>
                  <w:sz w:val="19"/>
                  <w:szCs w:val="19"/>
                </w:rPr>
                <m:t>min</m:t>
              </m:r>
              <m:d>
                <m:dPr>
                  <m:begChr m:val="{"/>
                  <m:sepChr m:val=""/>
                  <m:endChr m:val="}"/>
                  <m:grow/>
                </m:dPr>
                <m:e>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sSup>
                    <m:e>
                      <m:r>
                        <w:rPr>
                          <w:rFonts w:ascii="Cambria Math" w:hAnsi="Cambria Math"/>
                          <w:sz w:val="19"/>
                          <w:szCs w:val="19"/>
                        </w:rPr>
                        <m:t>c</m:t>
                      </m:r>
                    </m:e>
                    <m:sup>
                      <m:r>
                        <m:rPr>
                          <m:lit/>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e>
              </m:d>
            </m:e>
          </m:mr>
          <m:mr>
            <m:e/>
            <m:e>
              <m:r>
                <m:rPr>
                  <m:sty m:val="p"/>
                </m:rPr>
                <w:rPr>
                  <w:rFonts w:ascii="Cambria Math" w:hAnsi="Cambria Math"/>
                  <w:sz w:val="19"/>
                  <w:szCs w:val="19"/>
                </w:rPr>
                <m:t>−</m:t>
              </m:r>
              <m:r>
                <m:rPr>
                  <m:sty m:val="p"/>
                </m:rPr>
                <w:rPr>
                  <w:rFonts w:ascii="Cambria Math" w:hAnsi="Cambria Math"/>
                  <w:sz w:val="19"/>
                  <w:szCs w:val="19"/>
                </w:rPr>
                <m:t>min</m:t>
              </m:r>
              <m:d>
                <m:dPr>
                  <m:begChr m:val="{"/>
                  <m:sepChr m:val=""/>
                  <m:endChr m:val="}"/>
                  <m:grow/>
                </m:dPr>
                <m:e>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r>
                    <m:rPr>
                      <m:sty m:val="p"/>
                    </m:rPr>
                    <w:rPr>
                      <w:rFonts w:ascii="Cambria Math" w:hAnsi="Cambria Math"/>
                      <w:sz w:val="19"/>
                      <w:szCs w:val="19"/>
                    </w:rPr>
                    <m:t>,</m:t>
                  </m:r>
                  <m:r>
                    <m:rPr>
                      <m:sty m:val="p"/>
                    </m:rPr>
                    <w:rPr>
                      <w:rFonts w:ascii="Cambria Math" w:hAnsi="Cambria Math"/>
                      <w:sz w:val="19"/>
                      <w:szCs w:val="19"/>
                    </w:rPr>
                    <m:t>max</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e>
              </m:d>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e>
          </m:mr>
        </m:m>
      </m:oMath>
      <w:r>
        <w:tab/>
      </w:r>
      <w:r>
        <w:t xml:space="preserve">(B.4)</w:t>
      </w:r>
    </w:p>
    <w:p>
      <w:pPr>
        <w:pStyle w:val="BodyText"/>
      </w:pPr>
      <w:r>
        <w:t xml:space="preserve">with the maximum</w:t>
      </w:r>
      <w:r>
        <w:t xml:space="preserve"> </w:t>
      </w:r>
      <m:oMath>
        <m:r>
          <w:rPr>
            <w:rFonts w:ascii="Cambria Math" w:hAnsi="Cambria Math"/>
            <w:sz w:val="19"/>
            <w:szCs w:val="19"/>
          </w:rPr>
          <m:t>η</m:t>
        </m:r>
        <m:r>
          <m:rPr>
            <m:sty m:val="p"/>
          </m:rPr>
          <w:rPr>
            <w:rFonts w:ascii="Cambria Math" w:hAnsi="Cambria Math"/>
            <w:sz w:val="19"/>
            <w:szCs w:val="19"/>
          </w:rPr>
          <m:t>min</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p</m:t>
            </m:r>
          </m:e>
          <m:sub>
            <m:r>
              <w:rPr>
                <w:rFonts w:ascii="Cambria Math" w:hAnsi="Cambria Math"/>
                <w:sz w:val="19"/>
                <w:szCs w:val="19"/>
              </w:rPr>
              <m:t>f</m:t>
            </m:r>
          </m:sub>
        </m:sSub>
        <m:d>
          <m:dPr>
            <m:begChr m:val="("/>
            <m:sepChr m:val=""/>
            <m:endChr m:val=")"/>
            <m:grow/>
          </m:dPr>
          <m:e>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e>
        </m:d>
        <m:r>
          <m:rPr>
            <m:sty m:val="p"/>
          </m:rPr>
          <w:rPr>
            <w:rFonts w:ascii="Cambria Math" w:hAnsi="Cambria Math"/>
            <w:sz w:val="19"/>
            <w:szCs w:val="19"/>
          </w:rPr>
          <m:t>,</m:t>
        </m:r>
        <m:r>
          <w:rPr>
            <w:rFonts w:ascii="Cambria Math" w:hAnsi="Cambria Math"/>
            <w:sz w:val="19"/>
            <w:szCs w:val="19"/>
          </w:rPr>
          <m:t> </m:t>
        </m:r>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r>
          <m:rPr>
            <m:sty m:val="p"/>
          </m:rPr>
          <w:rPr>
            <w:rFonts w:ascii="Cambria Math" w:hAnsi="Cambria Math"/>
            <w:sz w:val="19"/>
            <w:szCs w:val="19"/>
          </w:rPr>
          <m:t>}</m:t>
        </m:r>
      </m:oMath>
      <w:r>
        <w:t xml:space="preserve">. The single-event capability</w:t>
      </w:r>
      <w:r>
        <w:t xml:space="preserve"> </w:t>
      </w:r>
      <m:oMath>
        <m:sSub>
          <m:e>
            <m:r>
              <w:rPr>
                <w:rFonts w:ascii="Cambria Math" w:hAnsi="Cambria Math"/>
                <w:sz w:val="19"/>
                <w:szCs w:val="19"/>
              </w:rPr>
              <m:t>p</m:t>
            </m:r>
          </m:e>
          <m:sub>
            <m:r>
              <w:rPr>
                <w:rFonts w:ascii="Cambria Math" w:hAnsi="Cambria Math"/>
                <w:sz w:val="19"/>
                <w:szCs w:val="19"/>
              </w:rPr>
              <m:t>f</m:t>
            </m:r>
          </m:sub>
        </m:sSub>
        <m:sSub>
          <m:e>
            <m:r>
              <w:rPr>
                <w:rFonts w:ascii="Cambria Math" w:hAnsi="Cambria Math"/>
                <w:sz w:val="19"/>
                <w:szCs w:val="19"/>
              </w:rPr>
              <m:t>D</m:t>
            </m:r>
          </m:e>
          <m:sub>
            <m:r>
              <w:rPr>
                <w:rFonts w:ascii="Cambria Math" w:hAnsi="Cambria Math"/>
                <w:sz w:val="19"/>
                <w:szCs w:val="19"/>
              </w:rPr>
              <m:t>B</m:t>
            </m:r>
          </m:sub>
        </m:sSub>
        <m:r>
          <m:rPr>
            <m:sty m:val="p"/>
          </m:rPr>
          <w:rPr>
            <w:rFonts w:ascii="Cambria Math" w:hAnsi="Cambria Math"/>
            <w:sz w:val="19"/>
            <w:szCs w:val="19"/>
          </w:rPr>
          <m:t>+</m:t>
        </m:r>
        <m:sSub>
          <m:e>
            <m:r>
              <w:rPr>
                <w:rFonts w:ascii="Cambria Math" w:hAnsi="Cambria Math"/>
                <w:sz w:val="19"/>
                <w:szCs w:val="19"/>
              </w:rPr>
              <m:t>P</m:t>
            </m:r>
          </m:e>
          <m:sub>
            <m:r>
              <w:rPr>
                <w:rFonts w:ascii="Cambria Math" w:hAnsi="Cambria Math"/>
                <w:sz w:val="19"/>
                <w:szCs w:val="19"/>
              </w:rPr>
              <m:t>s</m:t>
            </m:r>
          </m:sub>
        </m:sSub>
        <m:sSub>
          <m:e>
            <m:r>
              <w:rPr>
                <w:rFonts w:ascii="Cambria Math" w:hAnsi="Cambria Math"/>
                <w:sz w:val="19"/>
                <w:szCs w:val="19"/>
              </w:rPr>
              <m:t>D</m:t>
            </m:r>
          </m:e>
          <m:sub>
            <m:r>
              <w:rPr>
                <w:rFonts w:ascii="Cambria Math" w:hAnsi="Cambria Math"/>
                <w:sz w:val="19"/>
                <w:szCs w:val="19"/>
              </w:rPr>
              <m:t>B</m:t>
            </m:r>
          </m:sub>
        </m:sSub>
      </m:oMath>
      <w:r>
        <w:t xml:space="preserve"> </w:t>
      </w:r>
      <w:r>
        <w:t xml:space="preserve">is restored if and only if</w:t>
      </w:r>
      <w:r>
        <w:t xml:space="preserve"> </w:t>
      </w:r>
      <m:oMath>
        <m:r>
          <w:rPr>
            <w:rFonts w:ascii="Cambria Math" w:hAnsi="Cambria Math"/>
            <w:sz w:val="19"/>
            <w:szCs w:val="19"/>
          </w:rPr>
          <m:t>c</m:t>
        </m:r>
        <m:r>
          <m:rPr>
            <m:sty m:val="p"/>
          </m:rPr>
          <w:rPr>
            <w:rFonts w:ascii="Cambria Math" w:hAnsi="Cambria Math"/>
            <w:sz w:val="19"/>
            <w:szCs w:val="19"/>
          </w:rPr>
          <m:t>≥</m:t>
        </m:r>
        <m:sSup>
          <m:e>
            <m:r>
              <w:rPr>
                <w:rFonts w:ascii="Cambria Math" w:hAnsi="Cambria Math"/>
                <w:sz w:val="19"/>
                <w:szCs w:val="19"/>
              </w:rPr>
              <m:t>c</m:t>
            </m:r>
          </m:e>
          <m:sup>
            <m:r>
              <m:rPr>
                <m:lit/>
                <m:sty m:val="p"/>
              </m:rPr>
              <w:rPr>
                <w:rFonts w:ascii="Cambria Math" w:hAnsi="Cambria Math"/>
                <w:sz w:val="19"/>
                <w:szCs w:val="19"/>
              </w:rPr>
              <m:t>*</m:t>
            </m:r>
          </m:sup>
        </m:sSup>
      </m:oMath>
      <w:r>
        <w:t xml:space="preserve"> </w:t>
      </w:r>
      <w:r>
        <w:t xml:space="preserve">and</w:t>
      </w:r>
      <w:r>
        <w:t xml:space="preserve"> </w:t>
      </w:r>
      <m:oMath>
        <m:r>
          <w:rPr>
            <w:rFonts w:ascii="Cambria Math" w:hAnsi="Cambria Math"/>
            <w:sz w:val="19"/>
            <w:szCs w:val="19"/>
          </w:rPr>
          <m:t>s</m:t>
        </m:r>
        <m:r>
          <m:rPr>
            <m:sty m:val="p"/>
          </m:rPr>
          <w:rPr>
            <w:rFonts w:ascii="Cambria Math" w:hAnsi="Cambria Math"/>
            <w:sz w:val="19"/>
            <w:szCs w:val="19"/>
          </w:rPr>
          <m:t>≥</m:t>
        </m:r>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oMath>
      <w:r>
        <w:t xml:space="preserve">, which requires the channel energy</w:t>
      </w:r>
      <w:r>
        <w:t xml:space="preserve"> </w:t>
      </w:r>
      <m:oMath>
        <m:sSup>
          <m:e>
            <m:r>
              <w:rPr>
                <w:rFonts w:ascii="Cambria Math" w:hAnsi="Cambria Math"/>
                <w:sz w:val="19"/>
                <w:szCs w:val="19"/>
              </w:rPr>
              <m:t>c</m:t>
            </m:r>
          </m:e>
          <m:sup>
            <m:r>
              <m:rPr>
                <m:lit/>
                <m:sty m:val="p"/>
              </m:rPr>
              <w:rPr>
                <w:rFonts w:ascii="Cambria Math" w:hAnsi="Cambria Math"/>
                <w:sz w:val="19"/>
                <w:szCs w:val="19"/>
              </w:rPr>
              <m:t>*</m:t>
            </m:r>
          </m:sup>
        </m:sSup>
        <m:r>
          <m:rPr>
            <m:sty m:val="p"/>
          </m:rPr>
          <w:rPr>
            <w:rFonts w:ascii="Cambria Math" w:hAnsi="Cambria Math"/>
            <w:sz w:val="19"/>
            <w:szCs w:val="19"/>
          </w:rPr>
          <m:t>+</m:t>
        </m:r>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oMath>
      <w:r>
        <w:t xml:space="preserve"> </w:t>
      </w:r>
      <w:r>
        <w:t xml:space="preserve">under joint and</w:t>
      </w:r>
      <w:r>
        <w:t xml:space="preserve"> </w:t>
      </w:r>
      <m:oMath>
        <m:r>
          <w:rPr>
            <w:rFonts w:ascii="Cambria Math" w:hAnsi="Cambria Math"/>
            <w:sz w:val="19"/>
            <w:szCs w:val="19"/>
          </w:rPr>
          <m:t>X</m:t>
        </m:r>
        <m:r>
          <m:rPr>
            <m:sty m:val="p"/>
          </m:rPr>
          <w:rPr>
            <w:rFonts w:ascii="Cambria Math" w:hAnsi="Cambria Math"/>
            <w:sz w:val="19"/>
            <w:szCs w:val="19"/>
          </w:rPr>
          <m:t>+</m:t>
        </m:r>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oMath>
      <w:r>
        <w:t xml:space="preserve"> </w:t>
      </w:r>
      <w:r>
        <w:t xml:space="preserve">under independent recovery. Dividing by</w:t>
      </w:r>
      <w:r>
        <w:t xml:space="preserve"> </w:t>
      </w:r>
      <m:oMath>
        <m:r>
          <w:rPr>
            <w:rFonts w:ascii="Cambria Math" w:hAnsi="Cambria Math"/>
            <w:sz w:val="19"/>
            <w:szCs w:val="19"/>
          </w:rPr>
          <m:t>h</m:t>
        </m:r>
      </m:oMath>
      <w:r>
        <w:t xml:space="preserve"> </w:t>
      </w:r>
      <w:r>
        <w:t xml:space="preserve">and using</w:t>
      </w:r>
      <w:r>
        <w:t xml:space="preserve"> </w:t>
      </w:r>
      <m:oMath>
        <m:r>
          <w:rPr>
            <w:rFonts w:ascii="Cambria Math" w:hAnsi="Cambria Math"/>
            <w:sz w:val="19"/>
            <w:szCs w:val="19"/>
          </w:rPr>
          <m:t>X</m:t>
        </m:r>
        <m:r>
          <m:rPr>
            <m:sty m:val="p"/>
          </m:rPr>
          <w:rPr>
            <w:rFonts w:ascii="Cambria Math" w:hAnsi="Cambria Math"/>
            <w:sz w:val="19"/>
            <w:szCs w:val="19"/>
          </w:rPr>
          <m:t>−</m:t>
        </m:r>
        <m:sSup>
          <m:e>
            <m:r>
              <w:rPr>
                <w:rFonts w:ascii="Cambria Math" w:hAnsi="Cambria Math"/>
                <w:sz w:val="19"/>
                <w:szCs w:val="19"/>
              </w:rPr>
              <m:t>c</m:t>
            </m:r>
          </m:e>
          <m:sup>
            <m:r>
              <m:rPr>
                <m:lit/>
                <m:sty m:val="p"/>
              </m:rPr>
              <w:rPr>
                <w:rFonts w:ascii="Cambria Math" w:hAnsi="Cambria Math"/>
                <w:sz w:val="19"/>
                <w:szCs w:val="19"/>
              </w:rPr>
              <m:t>*</m:t>
            </m:r>
          </m:sup>
        </m:sSup>
        <m:r>
          <m:rPr>
            <m:sty m:val="p"/>
          </m:rPr>
          <w:rPr>
            <w:rFonts w:ascii="Cambria Math" w:hAnsi="Cambria Math"/>
            <w:sz w:val="19"/>
            <w:szCs w:val="19"/>
          </w:rPr>
          <m:t>=</m:t>
        </m:r>
        <m:r>
          <m:rPr>
            <m:sty m:val="p"/>
          </m:rPr>
          <w:rPr>
            <w:rFonts w:ascii="Cambria Math" w:hAnsi="Cambria Math"/>
            <w:sz w:val="19"/>
            <w:szCs w:val="19"/>
          </w:rPr>
          <m:t>min</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sSub>
          <m:e>
            <m:r>
              <w:rPr>
                <w:rFonts w:ascii="Cambria Math" w:hAnsi="Cambria Math"/>
                <w:sz w:val="19"/>
                <w:szCs w:val="19"/>
              </w:rPr>
              <m:t>p</m:t>
            </m:r>
          </m:e>
          <m:sub>
            <m:r>
              <w:rPr>
                <w:rFonts w:ascii="Cambria Math" w:hAnsi="Cambria Math"/>
                <w:sz w:val="19"/>
                <w:szCs w:val="19"/>
              </w:rPr>
              <m:t>f</m:t>
            </m:r>
          </m:sub>
        </m:sSub>
        <m:d>
          <m:dPr>
            <m:begChr m:val="("/>
            <m:sepChr m:val=""/>
            <m:endChr m:val=")"/>
            <m:grow/>
          </m:dPr>
          <m:e>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e>
        </m:d>
        <m:r>
          <m:rPr>
            <m:sty m:val="p"/>
          </m:rPr>
          <w:rPr>
            <w:rFonts w:ascii="Cambria Math" w:hAnsi="Cambria Math"/>
            <w:sz w:val="19"/>
            <w:szCs w:val="19"/>
          </w:rPr>
          <m:t>}</m:t>
        </m:r>
      </m:oMath>
      <w:r>
        <w:t xml:space="preserve"> </w:t>
      </w:r>
      <w:r>
        <w:t xml:space="preserve">gives (45). The difference (B.4) vanishes if and only if</w:t>
      </w:r>
      <w:r>
        <w:t xml:space="preserve"> </w:t>
      </w:r>
      <m:oMath>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oMath>
      <w:r>
        <w:t xml:space="preserve"> </w:t>
      </w:r>
      <w:r>
        <w:t xml:space="preserve">or</w:t>
      </w:r>
      <w:r>
        <w:t xml:space="preserv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t xml:space="preserve"> </w:t>
      </w:r>
      <w:r>
        <w:t xml:space="preserve">(no debt can be carried),</w:t>
      </w:r>
      <w:r>
        <w:t xml:space="preserve"> </w:t>
      </w:r>
      <m:oMath>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r>
          <m:rPr>
            <m:sty m:val="p"/>
          </m:rPr>
          <w:rPr>
            <w:rFonts w:ascii="Cambria Math" w:hAnsi="Cambria Math"/>
            <w:sz w:val="19"/>
            <w:szCs w:val="19"/>
          </w:rPr>
          <m:t>=</m:t>
        </m:r>
        <m:r>
          <w:rPr>
            <w:rFonts w:ascii="Cambria Math" w:hAnsi="Cambria Math"/>
            <w:sz w:val="19"/>
            <w:szCs w:val="19"/>
          </w:rPr>
          <m:t>0</m:t>
        </m:r>
      </m:oMath>
      <w:r>
        <w:t xml:space="preserve"> </w:t>
      </w:r>
      <w:r>
        <w:t xml:space="preserve">(B needs no storage),</w:t>
      </w:r>
      <w:r>
        <w:t xml:space="preserve"> </w:t>
      </w:r>
      <m:oMath>
        <m:r>
          <w:rPr>
            <w:rFonts w:ascii="Cambria Math" w:hAnsi="Cambria Math"/>
            <w:sz w:val="19"/>
            <w:szCs w:val="19"/>
          </w:rPr>
          <m:t>H</m:t>
        </m:r>
        <m:r>
          <m:rPr>
            <m:sty m:val="p"/>
          </m:rPr>
          <w:rPr>
            <w:rFonts w:ascii="Cambria Math" w:hAnsi="Cambria Math"/>
            <w:sz w:val="19"/>
            <w:szCs w:val="19"/>
          </w:rPr>
          <m:t>≤</m:t>
        </m:r>
        <m:sSup>
          <m:e>
            <m:r>
              <w:rPr>
                <w:rFonts w:ascii="Cambria Math" w:hAnsi="Cambria Math"/>
                <w:sz w:val="19"/>
                <w:szCs w:val="19"/>
              </w:rPr>
              <m:t>c</m:t>
            </m:r>
          </m:e>
          <m:sup>
            <m:r>
              <m:rPr>
                <m:lit/>
                <m:sty m:val="p"/>
              </m:rPr>
              <w:rPr>
                <w:rFonts w:ascii="Cambria Math" w:hAnsi="Cambria Math"/>
                <w:sz w:val="19"/>
                <w:szCs w:val="19"/>
              </w:rPr>
              <m:t>*</m:t>
            </m:r>
          </m:sup>
        </m:sSup>
      </m:oMath>
      <w:r>
        <w:t xml:space="preserve"> </w:t>
      </w:r>
      <w:r>
        <w:t xml:space="preserve">(the channel only suffices for necessary catch-up) or</w:t>
      </w:r>
      <w:r>
        <w:t xml:space="preserve">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sSup>
          <m:e>
            <m:r>
              <w:rPr>
                <w:rFonts w:ascii="Cambria Math" w:hAnsi="Cambria Math"/>
                <w:sz w:val="19"/>
                <w:szCs w:val="19"/>
              </w:rPr>
              <m:t>s</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q</m:t>
            </m:r>
          </m:sup>
        </m:sSup>
      </m:oMath>
      <w:r>
        <w:t xml:space="preserve"> </w:t>
      </w:r>
      <w:r>
        <w:t xml:space="preserve">(the channel repays both debts). ∎</w:t>
      </w:r>
    </w:p>
    <w:p>
      <w:pPr>
        <w:pStyle w:val="BodyText"/>
      </w:pPr>
      <w:r>
        <w:t xml:space="preserve">Two consequences are used in Section 5. First, the minimum recovery energy</w:t>
      </w:r>
      <w:r>
        <w:t xml:space="preserve"> </w:t>
      </w:r>
      <m:oMath>
        <m:sSup>
          <m:e>
            <m:r>
              <w:rPr>
                <w:rFonts w:ascii="Cambria Math" w:hAnsi="Cambria Math"/>
                <w:sz w:val="19"/>
                <w:szCs w:val="19"/>
              </w:rPr>
              <m:t>τ</m:t>
            </m:r>
          </m:e>
          <m:sup>
            <m:r>
              <m:rPr>
                <m:lit/>
                <m:sty m:val="p"/>
              </m:rPr>
              <w:rPr>
                <w:rFonts w:ascii="Cambria Math" w:hAnsi="Cambria Math"/>
                <w:sz w:val="19"/>
                <w:szCs w:val="19"/>
              </w:rPr>
              <m:t>*</m:t>
            </m:r>
          </m:sup>
        </m:sSup>
        <m:r>
          <w:rPr>
            <w:rFonts w:ascii="Cambria Math" w:hAnsi="Cambria Math"/>
            <w:sz w:val="19"/>
            <w:szCs w:val="19"/>
          </w:rPr>
          <m:t>h</m:t>
        </m:r>
      </m:oMath>
      <w:r>
        <w:t xml:space="preserve"> </w:t>
      </w:r>
      <w:r>
        <w:t xml:space="preserve">is fixed, so iso-capability curves are hyperbolas in the plane of the interval and the channel width: a longer interval and a larger connection margin substitute for each other, and joint recovery shifts the curve by the carried debt</w:t>
      </w:r>
      <w:r>
        <w:t xml:space="preserve"> </w:t>
      </w:r>
      <m:oMath>
        <m:r>
          <m:rPr>
            <m:sty m:val="p"/>
          </m:rPr>
          <w:rPr>
            <w:rFonts w:ascii="Cambria Math" w:hAnsi="Cambria Math"/>
            <w:sz w:val="19"/>
            <w:szCs w:val="19"/>
          </w:rPr>
          <m:t>min</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sSub>
          <m:e>
            <m:r>
              <w:rPr>
                <w:rFonts w:ascii="Cambria Math" w:hAnsi="Cambria Math"/>
                <w:sz w:val="19"/>
                <w:szCs w:val="19"/>
              </w:rPr>
              <m:t>p</m:t>
            </m:r>
          </m:e>
          <m:sub>
            <m:r>
              <w:rPr>
                <w:rFonts w:ascii="Cambria Math" w:hAnsi="Cambria Math"/>
                <w:sz w:val="19"/>
                <w:szCs w:val="19"/>
              </w:rPr>
              <m:t>f</m:t>
            </m:r>
          </m:sub>
        </m:sSub>
        <m:d>
          <m:dPr>
            <m:begChr m:val="("/>
            <m:sepChr m:val=""/>
            <m:endChr m:val=")"/>
            <m:grow/>
          </m:dPr>
          <m:e>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e>
        </m:d>
        <m:r>
          <m:rPr>
            <m:sty m:val="p"/>
          </m:rPr>
          <w:rPr>
            <w:rFonts w:ascii="Cambria Math" w:hAnsi="Cambria Math"/>
            <w:sz w:val="19"/>
            <w:szCs w:val="19"/>
          </w:rPr>
          <m:t>}</m:t>
        </m:r>
      </m:oMath>
      <w:r>
        <w:t xml:space="preserve">. Second, with several classes the necessary catch-up is</w:t>
      </w:r>
      <w:r>
        <w:t xml:space="preserve"> </w:t>
      </w:r>
      <m:oMath>
        <m:nary>
          <m:naryPr>
            <m:chr m:val="∑"/>
            <m:limLoc m:val="undOvr"/>
            <m:subHide m:val="off"/>
            <m:supHide m:val="on"/>
          </m:naryPr>
          <m:sub>
            <m:r>
              <w:rPr>
                <w:rFonts w:ascii="Cambria Math" w:hAnsi="Cambria Math"/>
                <w:sz w:val="19"/>
                <w:szCs w:val="19"/>
              </w:rPr>
              <m:t>c</m:t>
            </m:r>
          </m:sub>
          <m:sup>
            <m:r>
              <w:rPr>
                <w:rFonts w:ascii="Cambria Math" w:hAnsi="Cambria Math"/>
                <w:sz w:val="19"/>
                <w:szCs w:val="19"/>
              </w:rPr>
              <m:t>​</m:t>
            </m:r>
          </m:sup>
          <m:e>
            <m:r>
              <m:rPr>
                <m:sty m:val="p"/>
              </m:rPr>
              <w:rPr>
                <w:rFonts w:ascii="Cambria Math" w:hAnsi="Cambria Math"/>
                <w:sz w:val="19"/>
                <w:szCs w:val="19"/>
              </w:rPr>
              <m:t>max</m:t>
            </m:r>
          </m:e>
        </m:nary>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c</m:t>
            </m:r>
          </m:sub>
        </m:sSub>
        <m:r>
          <m:rPr>
            <m:sty m:val="p"/>
          </m:rPr>
          <w:rPr>
            <w:rFonts w:ascii="Cambria Math" w:hAnsi="Cambria Math"/>
            <w:sz w:val="19"/>
            <w:szCs w:val="19"/>
          </w:rPr>
          <m:t>−</m:t>
        </m:r>
        <m:sSub>
          <m:e>
            <m:r>
              <w:rPr>
                <w:rFonts w:ascii="Cambria Math" w:hAnsi="Cambria Math"/>
                <w:sz w:val="19"/>
                <w:szCs w:val="19"/>
              </w:rPr>
              <m:t>p</m:t>
            </m:r>
          </m:e>
          <m:sub>
            <m:r>
              <w:rPr>
                <w:rFonts w:ascii="Cambria Math" w:hAnsi="Cambria Math"/>
                <w:sz w:val="19"/>
                <w:szCs w:val="19"/>
              </w:rPr>
              <m:t>f</m:t>
            </m:r>
            <m:r>
              <m:rPr>
                <m:sty m:val="p"/>
              </m:rPr>
              <w:rPr>
                <w:rFonts w:ascii="Cambria Math" w:hAnsi="Cambria Math"/>
                <w:sz w:val="19"/>
                <w:szCs w:val="19"/>
              </w:rPr>
              <m:t>,</m:t>
            </m:r>
            <m:r>
              <w:rPr>
                <w:rFonts w:ascii="Cambria Math" w:hAnsi="Cambria Math"/>
                <w:sz w:val="19"/>
                <w:szCs w:val="19"/>
              </w:rPr>
              <m:t>c</m:t>
            </m:r>
          </m:sub>
        </m:sSub>
        <m:d>
          <m:dPr>
            <m:begChr m:val="("/>
            <m:sepChr m:val=""/>
            <m:endChr m:val=")"/>
            <m:grow/>
          </m:dPr>
          <m:e>
            <m:sSub>
              <m:e>
                <m:r>
                  <w:rPr>
                    <w:rFonts w:ascii="Cambria Math" w:hAnsi="Cambria Math"/>
                    <w:sz w:val="19"/>
                    <w:szCs w:val="19"/>
                  </w:rPr>
                  <m:t>L</m:t>
                </m:r>
              </m:e>
              <m:sub>
                <m:r>
                  <w:rPr>
                    <w:rFonts w:ascii="Cambria Math" w:hAnsi="Cambria Math"/>
                    <w:sz w:val="19"/>
                    <w:szCs w:val="19"/>
                  </w:rPr>
                  <m:t>c</m:t>
                </m:r>
              </m:sub>
            </m:sSub>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B</m:t>
                </m:r>
              </m:sub>
            </m:sSub>
          </m:e>
        </m:d>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t xml:space="preserve">, so the long-deadline class C3 is carried across events first. The closed form is verified against a discrete-time LP on 68 cases (</w:t>
      </w:r>
      <m:oMath>
        <m:sSub>
          <m:e>
            <m:r>
              <w:rPr>
                <w:rFonts w:ascii="Cambria Math" w:hAnsi="Cambria Math"/>
                <w:sz w:val="19"/>
                <w:szCs w:val="19"/>
              </w:rPr>
              <m:t>p</m:t>
            </m:r>
          </m:e>
          <m:sub>
            <m:r>
              <w:rPr>
                <w:rFonts w:ascii="Cambria Math" w:hAnsi="Cambria Math"/>
                <w:sz w:val="19"/>
                <w:szCs w:val="19"/>
              </w:rPr>
              <m:t>f</m:t>
            </m:r>
          </m:sub>
        </m:sSub>
      </m:oMath>
      <w:r>
        <w:t xml:space="preserve"> </w:t>
      </w:r>
      <w:r>
        <w:t xml:space="preserve">= 5 MW,</w:t>
      </w:r>
      <w:r>
        <w:t xml:space="preserve"> </w:t>
      </w:r>
      <m:oMath>
        <m:sSub>
          <m:e>
            <m:r>
              <w:rPr>
                <w:rFonts w:ascii="Cambria Math" w:hAnsi="Cambria Math"/>
                <w:sz w:val="19"/>
                <w:szCs w:val="19"/>
              </w:rPr>
              <m:t>D</m:t>
            </m:r>
          </m:e>
          <m:sub>
            <m:r>
              <w:rPr>
                <w:rFonts w:ascii="Cambria Math" w:hAnsi="Cambria Math"/>
                <w:sz w:val="19"/>
                <w:szCs w:val="19"/>
              </w:rPr>
              <m:t>B</m:t>
            </m:r>
          </m:sub>
        </m:sSub>
      </m:oMath>
      <w:r>
        <w:t xml:space="preserve"> </w:t>
      </w:r>
      <w:r>
        <w:t xml:space="preserve">= 1 h,</w:t>
      </w:r>
      <w:r>
        <w:t xml:space="preserve"> </w:t>
      </w:r>
      <m:oMath>
        <m:r>
          <w:rPr>
            <w:rFonts w:ascii="Cambria Math" w:hAnsi="Cambria Math"/>
            <w:sz w:val="19"/>
            <w:szCs w:val="19"/>
          </w:rPr>
          <m:t>X</m:t>
        </m:r>
      </m:oMath>
      <w:r>
        <w:t xml:space="preserve"> </w:t>
      </w:r>
      <w:r>
        <w:t xml:space="preserve">= 5 MWh,</w:t>
      </w:r>
      <w:r>
        <w:t xml:space="preserve"> </w:t>
      </w:r>
      <m:oMath>
        <m:r>
          <w:rPr>
            <w:rFonts w:ascii="Cambria Math" w:hAnsi="Cambria Math"/>
            <w:sz w:val="19"/>
            <w:szCs w:val="19"/>
          </w:rPr>
          <m:t>h</m:t>
        </m:r>
      </m:oMath>
      <w:r>
        <w:t xml:space="preserve"> </w:t>
      </w:r>
      <w:r>
        <w:t xml:space="preserve">= 3 MW,</w:t>
      </w:r>
      <w:r>
        <w:t xml:space="preserve"> </w:t>
      </w:r>
      <m:oMath>
        <m:r>
          <w:rPr>
            <w:rFonts w:ascii="Cambria Math" w:hAnsi="Cambria Math"/>
            <w:sz w:val="19"/>
            <w:szCs w:val="19"/>
          </w:rPr>
          <m:t>L</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1.5</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oMath>
      <w:r>
        <w:t xml:space="preserve"> </w:t>
      </w:r>
      <w:r>
        <w:t xml:space="preserve">h,</w:t>
      </w:r>
      <w:r>
        <w:t xml:space="preserve"> </w:t>
      </w:r>
      <m:oMath>
        <m:r>
          <w:rPr>
            <w:rFonts w:ascii="Cambria Math" w:hAnsi="Cambria Math"/>
            <w:sz w:val="19"/>
            <w:szCs w:val="19"/>
          </w:rPr>
          <m:t>τ</m:t>
        </m:r>
        <m:r>
          <m:rPr>
            <m:sty m:val="p"/>
          </m:rPr>
          <w:rPr>
            <w:rFonts w:ascii="Cambria Math" w:hAnsi="Cambria Math"/>
            <w:sz w:val="19"/>
            <w:szCs w:val="19"/>
          </w:rPr>
          <m:t>∈</m:t>
        </m:r>
        <m:d>
          <m:dPr>
            <m:begChr m:val="["/>
            <m:sepChr m:val=""/>
            <m:endChr m:val="]"/>
            <m:grow/>
          </m:dPr>
          <m:e>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4</m:t>
            </m:r>
          </m:e>
        </m:d>
      </m:oMath>
      <w:r>
        <w:t xml:space="preserve"> </w:t>
      </w:r>
      <w:r>
        <w:t xml:space="preserve">h); the two agree to within</w:t>
      </w:r>
      <w:r>
        <w:t xml:space="preserve"> </w:t>
      </w:r>
      <m:oMath>
        <m:sSup>
          <m:e>
            <m:r>
              <w:rPr>
                <w:rFonts w:ascii="Cambria Math" w:hAnsi="Cambria Math"/>
                <w:sz w:val="19"/>
                <w:szCs w:val="19"/>
              </w:rPr>
              <m:t>10</m:t>
            </m:r>
          </m:e>
          <m:sup>
            <m:r>
              <m:rPr>
                <m:sty m:val="p"/>
              </m:rPr>
              <w:rPr>
                <w:rFonts w:ascii="Cambria Math" w:hAnsi="Cambria Math"/>
                <w:sz w:val="19"/>
                <w:szCs w:val="19"/>
              </w:rPr>
              <m:t>−</m:t>
            </m:r>
            <m:r>
              <w:rPr>
                <w:rFonts w:ascii="Cambria Math" w:hAnsi="Cambria Math"/>
                <w:sz w:val="19"/>
                <w:szCs w:val="19"/>
              </w:rPr>
              <m:t>5</m:t>
            </m:r>
          </m:sup>
        </m:sSup>
      </m:oMath>
      <w:r>
        <w:t xml:space="preserve"> </w:t>
      </w:r>
      <w:r>
        <w:t xml:space="preserve">MW, the rounding of the stored results, and the interval reductions are 0, 0.83, 1.67 and 1.67 h, as given by (45) (supplementary Fig. S4).</w:t>
      </w:r>
    </w:p>
    <w:p>
      <w:pPr>
        <w:pStyle w:val="BodyText"/>
      </w:pPr>
      <w:r>
        <w:rPr>
          <w:bCs/>
          <w:b/>
        </w:rPr>
        <w:t xml:space="preserve">Proof of Proposition 3.</w:t>
      </w:r>
      <w:r>
        <w:t xml:space="preserve"> </w:t>
      </w:r>
      <w:r>
        <w:t xml:space="preserve">For fixed</w:t>
      </w:r>
      <w:r>
        <w:t xml:space="preserve"> </w:t>
      </w:r>
      <m:oMath>
        <m:sSub>
          <m:e>
            <m:r>
              <w:rPr>
                <w:rFonts w:ascii="Cambria Math" w:hAnsi="Cambria Math"/>
                <w:sz w:val="19"/>
                <w:szCs w:val="19"/>
              </w:rPr>
              <m:t>z</m:t>
            </m:r>
          </m:e>
          <m:sub>
            <m:r>
              <w:rPr>
                <w:rFonts w:ascii="Cambria Math" w:hAnsi="Cambria Math"/>
                <w:sz w:val="19"/>
                <w:szCs w:val="19"/>
              </w:rPr>
              <m:t>k</m:t>
            </m:r>
          </m:sub>
        </m:sSub>
      </m:oMath>
      <w:r>
        <w:t xml:space="preserve"> </w:t>
      </w:r>
      <w:r>
        <w:t xml:space="preserve">all constraints are linear, so the KKT conditions of (46) are necessary and sufficient for optimality. Stationarity with respect to</w:t>
      </w:r>
      <w:r>
        <w:t xml:space="preserve"> </w:t>
      </w:r>
      <m:oMath>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g</m:t>
            </m:r>
            <m:r>
              <w:rPr>
                <w:rFonts w:ascii="Cambria Math" w:hAnsi="Cambria Math"/>
                <w:sz w:val="19"/>
                <w:szCs w:val="19"/>
              </w:rPr>
              <m:t>r</m:t>
            </m:r>
            <m:r>
              <w:rPr>
                <w:rFonts w:ascii="Cambria Math" w:hAnsi="Cambria Math"/>
                <w:sz w:val="19"/>
                <w:szCs w:val="19"/>
              </w:rPr>
              <m:t>i</m:t>
            </m:r>
            <m:r>
              <w:rPr>
                <w:rFonts w:ascii="Cambria Math" w:hAnsi="Cambria Math"/>
                <w:sz w:val="19"/>
                <w:szCs w:val="19"/>
              </w:rPr>
              <m:t>d</m:t>
            </m:r>
          </m:sup>
        </m:sSubSup>
      </m:oMath>
      <w:r>
        <w:t xml:space="preserve"> </w:t>
      </w:r>
      <w:r>
        <w:t xml:space="preserve">gives</w:t>
      </w:r>
      <w:r>
        <w:t xml:space="preserve"> </w:t>
      </w:r>
      <m:oMath>
        <m:d>
          <m:dPr>
            <m:begChr m:val="("/>
            <m:sepChr m:val=""/>
            <m:endChr m:val=")"/>
            <m:grow/>
          </m:dPr>
          <m:e>
            <m:sSub>
              <m:e>
                <m:r>
                  <w:rPr>
                    <w:rFonts w:ascii="Cambria Math" w:hAnsi="Cambria Math"/>
                    <w:sz w:val="19"/>
                    <w:szCs w:val="19"/>
                  </w:rPr>
                  <m:t>π</m:t>
                </m:r>
              </m:e>
              <m:sub>
                <m:r>
                  <w:rPr>
                    <w:rFonts w:ascii="Cambria Math" w:hAnsi="Cambria Math"/>
                    <w:sz w:val="19"/>
                    <w:szCs w:val="19"/>
                  </w:rPr>
                  <m:t>t</m:t>
                </m:r>
              </m:sub>
            </m:sSub>
            <m:r>
              <m:rPr>
                <m:sty m:val="p"/>
              </m:rPr>
              <w:rPr>
                <w:rFonts w:ascii="Cambria Math" w:hAnsi="Cambria Math"/>
                <w:sz w:val="19"/>
                <w:szCs w:val="19"/>
              </w:rPr>
              <m:t>−</m:t>
            </m:r>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r>
              <m:rPr>
                <m:sty m:val="p"/>
              </m:rPr>
              <w:rPr>
                <w:rFonts w:ascii="Cambria Math" w:hAnsi="Cambria Math"/>
                <w:sz w:val="19"/>
                <w:szCs w:val="19"/>
              </w:rPr>
              <m:t>+</m:t>
            </m:r>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a</m:t>
                </m:r>
                <m:r>
                  <w:rPr>
                    <w:rFonts w:ascii="Cambria Math" w:hAnsi="Cambria Math"/>
                    <w:sz w:val="19"/>
                    <w:szCs w:val="19"/>
                  </w:rPr>
                  <m:t>p</m:t>
                </m:r>
              </m:sup>
            </m:sSubSup>
            <m:r>
              <m:rPr>
                <m:sty m:val="p"/>
              </m:rPr>
              <w:rPr>
                <w:rFonts w:ascii="Cambria Math" w:hAnsi="Cambria Math"/>
                <w:sz w:val="19"/>
                <w:szCs w:val="19"/>
              </w:rPr>
              <m:t>+</m:t>
            </m:r>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v</m:t>
                </m:r>
              </m:sup>
            </m:sSubSup>
          </m:e>
        </m:d>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m:t>
        </m:r>
      </m:oMath>
      <w:r>
        <w:t xml:space="preserve"> </w:t>
      </w:r>
      <w:r>
        <w:t xml:space="preserve">when the minimum import does not bind; here</w:t>
      </w:r>
      <w:r>
        <w:t xml:space="preserve"> </w:t>
      </w:r>
      <m:oMath>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v</m:t>
            </m:r>
          </m:sup>
        </m:sSubSup>
        <m:r>
          <w:rPr>
            <w:rFonts w:ascii="Cambria Math" w:hAnsi="Cambria Math"/>
            <w:sz w:val="19"/>
            <w:szCs w:val="19"/>
          </w:rPr>
          <m:t>Δ</m:t>
        </m:r>
        <m:r>
          <w:rPr>
            <w:rFonts w:ascii="Cambria Math" w:hAnsi="Cambria Math"/>
            <w:sz w:val="19"/>
            <w:szCs w:val="19"/>
          </w:rPr>
          <m:t>t</m:t>
        </m:r>
      </m:oMath>
      <w:r>
        <w:t xml:space="preserve"> </w:t>
      </w:r>
      <w:r>
        <w:t xml:space="preserve">collects the derivatives of the settlement terms in</w:t>
      </w:r>
      <w:r>
        <w:t xml:space="preserve"> </w:t>
      </w:r>
      <m:oMath>
        <m:sSup>
          <m:e>
            <m:r>
              <m:rPr>
                <m:scr m:val="script"/>
                <m:sty m:val="p"/>
              </m:rPr>
              <w:rPr>
                <w:rFonts w:ascii="Cambria Math" w:hAnsi="Cambria Math"/>
                <w:sz w:val="19"/>
                <w:szCs w:val="19"/>
              </w:rPr>
              <m:t>L</m:t>
            </m:r>
          </m:e>
          <m:sup>
            <m:r>
              <w:rPr>
                <w:rFonts w:ascii="Cambria Math" w:hAnsi="Cambria Math"/>
                <w:sz w:val="19"/>
                <w:szCs w:val="19"/>
              </w:rPr>
              <m:t>r</m:t>
            </m:r>
            <m:r>
              <w:rPr>
                <w:rFonts w:ascii="Cambria Math" w:hAnsi="Cambria Math"/>
                <w:sz w:val="19"/>
                <w:szCs w:val="19"/>
              </w:rPr>
              <m:t>e</m:t>
            </m:r>
            <m:r>
              <w:rPr>
                <w:rFonts w:ascii="Cambria Math" w:hAnsi="Cambria Math"/>
                <w:sz w:val="19"/>
                <w:szCs w:val="19"/>
              </w:rPr>
              <m:t>s</m:t>
            </m:r>
            <m:r>
              <w:rPr>
                <w:rFonts w:ascii="Cambria Math" w:hAnsi="Cambria Math"/>
                <w:sz w:val="19"/>
                <w:szCs w:val="19"/>
              </w:rPr>
              <m:t>t</m:t>
            </m:r>
          </m:sup>
        </m:sSup>
      </m:oMath>
      <w:r>
        <w:t xml:space="preserve">, because a step of event</w:t>
      </w:r>
      <w:r>
        <w:t xml:space="preserve"> </w:t>
      </w:r>
      <m:oMath>
        <m:r>
          <w:rPr>
            <w:rFonts w:ascii="Cambria Math" w:hAnsi="Cambria Math"/>
            <w:sz w:val="19"/>
            <w:szCs w:val="19"/>
          </w:rPr>
          <m:t>k</m:t>
        </m:r>
      </m:oMath>
      <w:r>
        <w:t xml:space="preserve"> </w:t>
      </w:r>
      <w:r>
        <w:t xml:space="preserve">enters</w:t>
      </w:r>
      <w:r>
        <w:t xml:space="preserve"> </w:t>
      </w:r>
      <m:oMath>
        <m:sSub>
          <m:e>
            <m:acc>
              <m:accPr>
                <m:chr m:val="‾"/>
              </m:accPr>
              <m:e>
                <m:r>
                  <w:rPr>
                    <w:rFonts w:ascii="Cambria Math" w:hAnsi="Cambria Math"/>
                    <w:sz w:val="19"/>
                    <w:szCs w:val="19"/>
                  </w:rPr>
                  <m:t>r</m:t>
                </m:r>
              </m:e>
            </m:acc>
          </m:e>
          <m:sub>
            <m:r>
              <w:rPr>
                <w:rFonts w:ascii="Cambria Math" w:hAnsi="Cambria Math"/>
                <w:sz w:val="19"/>
                <w:szCs w:val="19"/>
              </w:rPr>
              <m:t>k</m:t>
            </m:r>
          </m:sub>
        </m:sSub>
      </m:oMath>
      <w:r>
        <w:t xml:space="preserve"> </w:t>
      </w:r>
      <w:r>
        <w:t xml:space="preserve">in (21) with the weight</w:t>
      </w:r>
      <w:r>
        <w:t xml:space="preserve"> </w:t>
      </w:r>
      <m:oMath>
        <m:r>
          <m:rPr>
            <m:sty m:val="p"/>
          </m:rPr>
          <w:rPr>
            <w:rFonts w:ascii="Cambria Math" w:hAnsi="Cambria Math"/>
            <w:sz w:val="19"/>
            <w:szCs w:val="19"/>
          </w:rPr>
          <m:t>−</m:t>
        </m:r>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sSub>
          <m:e>
            <m:r>
              <w:rPr>
                <w:rFonts w:ascii="Cambria Math" w:hAnsi="Cambria Math"/>
                <w:sz w:val="19"/>
                <w:szCs w:val="19"/>
              </w:rPr>
              <m:t>D</m:t>
            </m:r>
          </m:e>
          <m:sub>
            <m:r>
              <w:rPr>
                <w:rFonts w:ascii="Cambria Math" w:hAnsi="Cambria Math"/>
                <w:sz w:val="19"/>
                <w:szCs w:val="19"/>
              </w:rPr>
              <m:t>k</m:t>
            </m:r>
          </m:sub>
        </m:sSub>
      </m:oMath>
      <w:r>
        <w:t xml:space="preserve">, so that the multipliers of (22)–(24) divided by</w:t>
      </w:r>
      <w:r>
        <w:t xml:space="preserve"> </w:t>
      </w:r>
      <m:oMath>
        <m:sSub>
          <m:e>
            <m:r>
              <w:rPr>
                <w:rFonts w:ascii="Cambria Math" w:hAnsi="Cambria Math"/>
                <w:sz w:val="19"/>
                <w:szCs w:val="19"/>
              </w:rPr>
              <m:t>D</m:t>
            </m:r>
          </m:e>
          <m:sub>
            <m:r>
              <w:rPr>
                <w:rFonts w:ascii="Cambria Math" w:hAnsi="Cambria Math"/>
                <w:sz w:val="19"/>
                <w:szCs w:val="19"/>
              </w:rPr>
              <m:t>k</m:t>
            </m:r>
          </m:sub>
        </m:sSub>
      </m:oMath>
      <w:r>
        <w:t xml:space="preserve"> </w:t>
      </w:r>
      <w:r>
        <w:t xml:space="preserve">form</w:t>
      </w:r>
      <w:r>
        <w:t xml:space="preserve"> </w:t>
      </w:r>
      <m:oMath>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v</m:t>
            </m:r>
          </m:sup>
        </m:sSubSup>
        <m:r>
          <m:rPr>
            <m:sty m:val="p"/>
          </m:rPr>
          <w:rPr>
            <w:rFonts w:ascii="Cambria Math" w:hAnsi="Cambria Math"/>
            <w:sz w:val="19"/>
            <w:szCs w:val="19"/>
          </w:rPr>
          <m:t>≥</m:t>
        </m:r>
        <m:r>
          <w:rPr>
            <w:rFonts w:ascii="Cambria Math" w:hAnsi="Cambria Math"/>
            <w:sz w:val="19"/>
            <w:szCs w:val="19"/>
          </w:rPr>
          <m:t>0</m:t>
        </m:r>
      </m:oMath>
      <w:r>
        <w:t xml:space="preserve">. Stationarity with respect to</w:t>
      </w:r>
      <w:r>
        <w:t xml:space="preserve"> </w:t>
      </w:r>
      <m:oMath>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h</m:t>
            </m:r>
          </m:sup>
        </m:sSubSup>
      </m:oMath>
      <w:r>
        <w:t xml:space="preserve"> </w:t>
      </w:r>
      <w:r>
        <w:t xml:space="preserve">gives</w:t>
      </w:r>
      <w:r>
        <w:t xml:space="preserve"> </w:t>
      </w:r>
      <m:oMath>
        <m:d>
          <m:dPr>
            <m:begChr m:val="("/>
            <m:sepChr m:val=""/>
            <m:endChr m:val=")"/>
            <m:grow/>
          </m:dPr>
          <m:e>
            <m:sSup>
              <m:e>
                <m:r>
                  <w:rPr>
                    <w:rFonts w:ascii="Cambria Math" w:hAnsi="Cambria Math"/>
                    <w:sz w:val="19"/>
                    <w:szCs w:val="19"/>
                  </w:rPr>
                  <m:t>c</m:t>
                </m:r>
              </m:e>
              <m:sup>
                <m:r>
                  <w:rPr>
                    <w:rFonts w:ascii="Cambria Math" w:hAnsi="Cambria Math"/>
                    <w:sz w:val="19"/>
                    <w:szCs w:val="19"/>
                  </w:rPr>
                  <m:t>d</m:t>
                </m:r>
                <m:r>
                  <w:rPr>
                    <w:rFonts w:ascii="Cambria Math" w:hAnsi="Cambria Math"/>
                    <w:sz w:val="19"/>
                    <w:szCs w:val="19"/>
                  </w:rPr>
                  <m:t>e</m:t>
                </m:r>
                <m:r>
                  <w:rPr>
                    <w:rFonts w:ascii="Cambria Math" w:hAnsi="Cambria Math"/>
                    <w:sz w:val="19"/>
                    <w:szCs w:val="19"/>
                  </w:rPr>
                  <m:t>g</m:t>
                </m:r>
              </m:sup>
            </m:sSup>
            <m:r>
              <m:rPr>
                <m:sty m:val="p"/>
              </m:rPr>
              <w:rPr>
                <w:rFonts w:ascii="Cambria Math" w:hAnsi="Cambria Math"/>
                <w:sz w:val="19"/>
                <w:szCs w:val="19"/>
              </w:rPr>
              <m:t>+</m:t>
            </m:r>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r>
              <m:rPr>
                <m:sty m:val="p"/>
              </m:rPr>
              <w:rPr>
                <w:rFonts w:ascii="Cambria Math" w:hAnsi="Cambria Math"/>
                <w:sz w:val="19"/>
                <w:szCs w:val="19"/>
              </w:rPr>
              <m:t>−</m:t>
            </m:r>
            <m:sSub>
              <m:e>
                <m:r>
                  <w:rPr>
                    <w:rFonts w:ascii="Cambria Math" w:hAnsi="Cambria Math"/>
                    <w:sz w:val="19"/>
                    <w:szCs w:val="19"/>
                  </w:rPr>
                  <m:t>η</m:t>
                </m:r>
              </m:e>
              <m:sub>
                <m:r>
                  <w:rPr>
                    <w:rFonts w:ascii="Cambria Math" w:hAnsi="Cambria Math"/>
                    <w:sz w:val="19"/>
                    <w:szCs w:val="19"/>
                  </w:rPr>
                  <m:t>c</m:t>
                </m:r>
              </m:sub>
            </m:sSub>
            <m:sSub>
              <m:e>
                <m:r>
                  <w:rPr>
                    <w:rFonts w:ascii="Cambria Math" w:hAnsi="Cambria Math"/>
                    <w:sz w:val="19"/>
                    <w:szCs w:val="19"/>
                  </w:rPr>
                  <m:t>ν</m:t>
                </m:r>
              </m:e>
              <m:sub>
                <m:r>
                  <w:rPr>
                    <w:rFonts w:ascii="Cambria Math" w:hAnsi="Cambria Math"/>
                    <w:sz w:val="19"/>
                    <w:szCs w:val="19"/>
                  </w:rPr>
                  <m:t>t</m:t>
                </m:r>
              </m:sub>
            </m:sSub>
          </m:e>
        </m:d>
        <m:r>
          <w:rPr>
            <w:rFonts w:ascii="Cambria Math" w:hAnsi="Cambria Math"/>
            <w:sz w:val="19"/>
            <w:szCs w:val="19"/>
          </w:rPr>
          <m:t>Δ</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m:t>
        </m:r>
      </m:oMath>
      <w:r>
        <w:t xml:space="preserve"> </w:t>
      </w:r>
      <w:r>
        <w:t xml:space="preserve">when</w:t>
      </w:r>
      <w:r>
        <w:t xml:space="preserve"> </w:t>
      </w:r>
      <m:oMath>
        <m:r>
          <w:rPr>
            <w:rFonts w:ascii="Cambria Math" w:hAnsi="Cambria Math"/>
            <w:sz w:val="19"/>
            <w:szCs w:val="19"/>
          </w:rPr>
          <m:t>0</m:t>
        </m:r>
        <m:r>
          <m:rPr>
            <m:sty m:val="p"/>
          </m:rPr>
          <w:rPr>
            <w:rFonts w:ascii="Cambria Math" w:hAnsi="Cambria Math"/>
            <w:sz w:val="19"/>
            <w:szCs w:val="19"/>
          </w:rPr>
          <m:t>&lt;</m:t>
        </m:r>
        <m:sSubSup>
          <m:e>
            <m:r>
              <w:rPr>
                <w:rFonts w:ascii="Cambria Math" w:hAnsi="Cambria Math"/>
                <w:sz w:val="19"/>
                <w:szCs w:val="19"/>
              </w:rPr>
              <m:t>P</m:t>
            </m:r>
          </m:e>
          <m:sub>
            <m:r>
              <w:rPr>
                <w:rFonts w:ascii="Cambria Math" w:hAnsi="Cambria Math"/>
                <w:sz w:val="19"/>
                <w:szCs w:val="19"/>
              </w:rPr>
              <m:t>t</m:t>
            </m:r>
          </m:sub>
          <m:sup>
            <m:r>
              <w:rPr>
                <w:rFonts w:ascii="Cambria Math" w:hAnsi="Cambria Math"/>
                <w:sz w:val="19"/>
                <w:szCs w:val="19"/>
              </w:rPr>
              <m:t>c</m:t>
            </m:r>
            <m:r>
              <w:rPr>
                <w:rFonts w:ascii="Cambria Math" w:hAnsi="Cambria Math"/>
                <w:sz w:val="19"/>
                <w:szCs w:val="19"/>
              </w:rPr>
              <m:t>h</m:t>
            </m:r>
          </m:sup>
        </m:sSubSup>
        <m:r>
          <m:rPr>
            <m:sty m:val="p"/>
          </m:rPr>
          <w:rPr>
            <w:rFonts w:ascii="Cambria Math" w:hAnsi="Cambria Math"/>
            <w:sz w:val="19"/>
            <w:szCs w:val="19"/>
          </w:rPr>
          <m:t>&lt;</m:t>
        </m:r>
        <m:sSup>
          <m:e>
            <m:acc>
              <m:accPr>
                <m:chr m:val="‾"/>
              </m:accPr>
              <m:e>
                <m:r>
                  <w:rPr>
                    <w:rFonts w:ascii="Cambria Math" w:hAnsi="Cambria Math"/>
                    <w:sz w:val="19"/>
                    <w:szCs w:val="19"/>
                  </w:rPr>
                  <m:t>P</m:t>
                </m:r>
              </m:e>
            </m:acc>
          </m:e>
          <m:sup>
            <m:r>
              <w:rPr>
                <w:rFonts w:ascii="Cambria Math" w:hAnsi="Cambria Math"/>
                <w:sz w:val="19"/>
                <w:szCs w:val="19"/>
              </w:rPr>
              <m:t>B</m:t>
            </m:r>
          </m:sup>
        </m:sSup>
      </m:oMath>
      <w:r>
        <w:t xml:space="preserve">. Stationarity with respect to</w:t>
      </w:r>
      <w:r>
        <w:t xml:space="preserve"> </w:t>
      </w:r>
      <m:oMath>
        <m:sSubSup>
          <m:e>
            <m:r>
              <w:rPr>
                <w:rFonts w:ascii="Cambria Math" w:hAnsi="Cambria Math"/>
                <w:sz w:val="19"/>
                <w:szCs w:val="19"/>
              </w:rPr>
              <m:t>Q</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C</m:t>
            </m:r>
          </m:sup>
        </m:sSubSup>
      </m:oMath>
      <w:r>
        <w:t xml:space="preserve"> </w:t>
      </w:r>
      <w:r>
        <w:t xml:space="preserve">gives</w:t>
      </w:r>
      <w:r>
        <w:t xml:space="preserve"> </w:t>
      </w:r>
      <m:oMath>
        <m:sSub>
          <m:e>
            <m:r>
              <w:rPr>
                <w:rFonts w:ascii="Cambria Math" w:hAnsi="Cambria Math"/>
                <w:sz w:val="19"/>
                <w:szCs w:val="19"/>
              </w:rPr>
              <m:t>χ</m:t>
            </m:r>
          </m:e>
          <m:sub>
            <m:r>
              <w:rPr>
                <w:rFonts w:ascii="Cambria Math" w:hAnsi="Cambria Math"/>
                <w:sz w:val="19"/>
                <w:szCs w:val="19"/>
              </w:rPr>
              <m:t>t</m:t>
            </m:r>
          </m:sub>
        </m:sSub>
        <m:r>
          <m:rPr>
            <m:sty m:val="p"/>
          </m:rPr>
          <w:rPr>
            <w:rFonts w:ascii="Cambria Math" w:hAnsi="Cambria Math"/>
            <w:sz w:val="19"/>
            <w:szCs w:val="19"/>
          </w:rPr>
          <m:t>=</m:t>
        </m:r>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r>
          <m:rPr>
            <m:sty m:val="p"/>
          </m:rPr>
          <w:rPr>
            <w:rFonts w:ascii="Cambria Math" w:hAnsi="Cambria Math"/>
            <w:sz w:val="19"/>
            <w:szCs w:val="19"/>
          </w:rPr>
          <m:t>/</m:t>
        </m:r>
        <m:sSub>
          <m:e>
            <m:r>
              <m:rPr>
                <m:sty m:val="p"/>
              </m:rPr>
              <w:rPr>
                <w:rFonts w:ascii="Cambria Math" w:hAnsi="Cambria Math"/>
                <w:sz w:val="19"/>
                <w:szCs w:val="19"/>
              </w:rPr>
              <m:t>C</m:t>
            </m:r>
            <m:r>
              <m:rPr>
                <m:sty m:val="p"/>
              </m:rPr>
              <w:rPr>
                <w:rFonts w:ascii="Cambria Math" w:hAnsi="Cambria Math"/>
                <w:sz w:val="19"/>
                <w:szCs w:val="19"/>
              </w:rPr>
              <m:t>O</m:t>
            </m:r>
            <m:r>
              <m:rPr>
                <m:sty m:val="p"/>
              </m:rPr>
              <w:rPr>
                <w:rFonts w:ascii="Cambria Math" w:hAnsi="Cambria Math"/>
                <w:sz w:val="19"/>
                <w:szCs w:val="19"/>
              </w:rPr>
              <m:t>P</m:t>
            </m:r>
          </m:e>
          <m:sub>
            <m:r>
              <w:rPr>
                <w:rFonts w:ascii="Cambria Math" w:hAnsi="Cambria Math"/>
                <w:sz w:val="19"/>
                <w:szCs w:val="19"/>
              </w:rPr>
              <m:t>t</m:t>
            </m:r>
          </m:sub>
        </m:sSub>
      </m:oMath>
      <w:r>
        <w:t xml:space="preserve"> </w:t>
      </w:r>
      <w:r>
        <w:t xml:space="preserve">when the electric chillers operate between their bounds, and stationarity with respect to</w:t>
      </w:r>
      <w:r>
        <w:t xml:space="preserve"> </w:t>
      </w:r>
      <m:oMath>
        <m:sSub>
          <m:e>
            <m:r>
              <w:rPr>
                <w:rFonts w:ascii="Cambria Math" w:hAnsi="Cambria Math"/>
                <w:sz w:val="19"/>
                <w:szCs w:val="19"/>
              </w:rPr>
              <m:t>y</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oMath>
      <w:r>
        <w:t xml:space="preserve">, through (3), gives</w:t>
      </w:r>
      <w:r>
        <w:t xml:space="preserve"> </w:t>
      </w:r>
      <m:oMath>
        <m:d>
          <m:dPr>
            <m:begChr m:val="["/>
            <m:sepChr m:val=""/>
            <m:endChr m:val="]"/>
            <m:grow/>
          </m:dPr>
          <m:e>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ζ</m:t>
                </m:r>
              </m:e>
            </m:d>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r>
              <m:rPr>
                <m:sty m:val="p"/>
              </m:rPr>
              <w:rPr>
                <w:rFonts w:ascii="Cambria Math" w:hAnsi="Cambria Math"/>
                <w:sz w:val="19"/>
                <w:szCs w:val="19"/>
              </w:rPr>
              <m:t>+</m:t>
            </m:r>
            <m:r>
              <w:rPr>
                <w:rFonts w:ascii="Cambria Math" w:hAnsi="Cambria Math"/>
                <w:sz w:val="19"/>
                <w:szCs w:val="19"/>
              </w:rPr>
              <m:t>θ</m:t>
            </m:r>
            <m:sSub>
              <m:e>
                <m:r>
                  <w:rPr>
                    <w:rFonts w:ascii="Cambria Math" w:hAnsi="Cambria Math"/>
                    <w:sz w:val="19"/>
                    <w:szCs w:val="19"/>
                  </w:rPr>
                  <m:t>χ</m:t>
                </m:r>
              </m:e>
              <m:sub>
                <m:r>
                  <w:rPr>
                    <w:rFonts w:ascii="Cambria Math" w:hAnsi="Cambria Math"/>
                    <w:sz w:val="19"/>
                    <w:szCs w:val="19"/>
                  </w:rPr>
                  <m:t>t</m:t>
                </m:r>
              </m:sub>
            </m:sSub>
          </m:e>
        </m:d>
        <m:sSup>
          <m:e>
            <m:r>
              <w:rPr>
                <w:rFonts w:ascii="Cambria Math" w:hAnsi="Cambria Math"/>
                <w:sz w:val="19"/>
                <w:szCs w:val="19"/>
              </w:rPr>
              <m:t>p</m:t>
            </m:r>
          </m:e>
          <m:sup>
            <m:r>
              <w:rPr>
                <w:rFonts w:ascii="Cambria Math" w:hAnsi="Cambria Math"/>
                <w:sz w:val="19"/>
                <w:szCs w:val="19"/>
              </w:rPr>
              <m:t>d</m:t>
            </m:r>
            <m:r>
              <w:rPr>
                <w:rFonts w:ascii="Cambria Math" w:hAnsi="Cambria Math"/>
                <w:sz w:val="19"/>
                <w:szCs w:val="19"/>
              </w:rPr>
              <m:t>y</m:t>
            </m:r>
            <m:r>
              <w:rPr>
                <w:rFonts w:ascii="Cambria Math" w:hAnsi="Cambria Math"/>
                <w:sz w:val="19"/>
                <w:szCs w:val="19"/>
              </w:rPr>
              <m:t>n</m:t>
            </m:r>
          </m:sup>
        </m:sSup>
        <m:r>
          <m:rPr>
            <m:sty m:val="p"/>
          </m:rPr>
          <w:rPr>
            <w:rFonts w:ascii="Cambria Math" w:hAnsi="Cambria Math"/>
            <w:sz w:val="19"/>
            <w:szCs w:val="19"/>
          </w:rPr>
          <m:t>−</m:t>
        </m:r>
        <m:sSub>
          <m:e>
            <m:r>
              <w:rPr>
                <w:rFonts w:ascii="Cambria Math" w:hAnsi="Cambria Math"/>
                <w:sz w:val="19"/>
                <w:szCs w:val="19"/>
              </w:rPr>
              <m:t>μ</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0</m:t>
        </m:r>
      </m:oMath>
      <w:r>
        <w:t xml:space="preserve"> </w:t>
      </w:r>
      <w:r>
        <w:t xml:space="preserve">when</w:t>
      </w:r>
      <w:r>
        <w:t xml:space="preserve"> </w:t>
      </w:r>
      <m:oMath>
        <m:sSub>
          <m:e>
            <m:r>
              <w:rPr>
                <w:rFonts w:ascii="Cambria Math" w:hAnsi="Cambria Math"/>
                <w:sz w:val="19"/>
                <w:szCs w:val="19"/>
              </w:rPr>
              <m:t>y</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oMath>
      <w:r>
        <w:t xml:space="preserve"> </w:t>
      </w:r>
      <w:r>
        <w:t xml:space="preserve">is interior; substituting</w:t>
      </w:r>
      <w:r>
        <w:t xml:space="preserve"> </w:t>
      </w:r>
      <m:oMath>
        <m:sSub>
          <m:e>
            <m:r>
              <w:rPr>
                <w:rFonts w:ascii="Cambria Math" w:hAnsi="Cambria Math"/>
                <w:sz w:val="19"/>
                <w:szCs w:val="19"/>
              </w:rPr>
              <m:t>χ</m:t>
            </m:r>
          </m:e>
          <m:sub>
            <m:r>
              <w:rPr>
                <w:rFonts w:ascii="Cambria Math" w:hAnsi="Cambria Math"/>
                <w:sz w:val="19"/>
                <w:szCs w:val="19"/>
              </w:rPr>
              <m:t>t</m:t>
            </m:r>
          </m:sub>
        </m:sSub>
      </m:oMath>
      <w:r>
        <w:t xml:space="preserve"> </w:t>
      </w:r>
      <w:r>
        <w:t xml:space="preserve">and (7) yields</w:t>
      </w:r>
      <w:r>
        <w:t xml:space="preserve"> </w:t>
      </w:r>
      <m:oMath>
        <m:sSub>
          <m:e>
            <m:r>
              <w:rPr>
                <w:rFonts w:ascii="Cambria Math" w:hAnsi="Cambria Math"/>
                <w:sz w:val="19"/>
                <w:szCs w:val="19"/>
              </w:rPr>
              <m:t>μ</m:t>
            </m:r>
          </m:e>
          <m:sub>
            <m:r>
              <w:rPr>
                <w:rFonts w:ascii="Cambria Math" w:hAnsi="Cambria Math"/>
                <w:sz w:val="19"/>
                <w:szCs w:val="19"/>
              </w:rPr>
              <m:t>c</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ψ</m:t>
            </m:r>
          </m:e>
          <m:sub>
            <m:r>
              <w:rPr>
                <w:rFonts w:ascii="Cambria Math" w:hAnsi="Cambria Math"/>
                <w:sz w:val="19"/>
                <w:szCs w:val="19"/>
              </w:rPr>
              <m:t>t</m:t>
            </m:r>
          </m:sub>
        </m:sSub>
        <m:sSubSup>
          <m:e>
            <m:r>
              <w:rPr>
                <w:rFonts w:ascii="Cambria Math" w:hAnsi="Cambria Math"/>
                <w:sz w:val="19"/>
                <w:szCs w:val="19"/>
              </w:rPr>
              <m:t>λ</m:t>
            </m:r>
          </m:e>
          <m:sub>
            <m:r>
              <w:rPr>
                <w:rFonts w:ascii="Cambria Math" w:hAnsi="Cambria Math"/>
                <w:sz w:val="19"/>
                <w:szCs w:val="19"/>
              </w:rPr>
              <m:t>t</m:t>
            </m:r>
          </m:sub>
          <m:sup>
            <m:r>
              <w:rPr>
                <w:rFonts w:ascii="Cambria Math" w:hAnsi="Cambria Math"/>
                <w:sz w:val="19"/>
                <w:szCs w:val="19"/>
              </w:rPr>
              <m:t>e</m:t>
            </m:r>
            <m:r>
              <w:rPr>
                <w:rFonts w:ascii="Cambria Math" w:hAnsi="Cambria Math"/>
                <w:sz w:val="19"/>
                <w:szCs w:val="19"/>
              </w:rPr>
              <m:t>l</m:t>
            </m:r>
          </m:sup>
        </m:sSubSup>
      </m:oMath>
      <w:r>
        <w:t xml:space="preserve">. These are the conditions (47), and combining the last two gives (48). ∎</w:t>
      </w:r>
    </w:p>
    <w:p>
      <w:pPr>
        <w:pStyle w:val="BodyText"/>
      </w:pPr>
      <w:r>
        <w:t xml:space="preserve">The channel price of the day-ahead joint plan and the backlog multipliers of the three classes are shown in supplementary Fig. S5; they coincide whenever catch-up and recharge are both interior.</w:t>
      </w:r>
    </w:p>
    <w:p>
      <w:pPr>
        <w:pStyle w:val="BodyText"/>
      </w:pPr>
      <w:r>
        <w:rPr>
          <w:bCs/>
          <w:b/>
        </w:rPr>
        <w:t xml:space="preserve">Proof of Proposition 4.</w:t>
      </w:r>
      <w:r>
        <w:t xml:space="preserve"> </w:t>
      </w:r>
      <w:r>
        <w:t xml:space="preserve">Write the empirical distribution as</w:t>
      </w:r>
      <w:r>
        <w:t xml:space="preserve"> </w:t>
      </w:r>
      <m:oMath>
        <m:r>
          <w:rPr>
            <w:rFonts w:ascii="Cambria Math" w:hAnsi="Cambria Math"/>
            <w:sz w:val="19"/>
            <w:szCs w:val="19"/>
          </w:rPr>
          <m:t>N</m:t>
        </m:r>
      </m:oMath>
      <w:r>
        <w:t xml:space="preserve"> </w:t>
      </w:r>
      <w:r>
        <w:t xml:space="preserve">atoms of mass</w:t>
      </w:r>
      <w:r>
        <w:t xml:space="preserve">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N</m:t>
        </m:r>
      </m:oMath>
      <w:r>
        <w:t xml:space="preserve"> </w:t>
      </w:r>
      <w:r>
        <w:t xml:space="preserve">at</w:t>
      </w:r>
      <w:r>
        <w:t xml:space="preserve"> </w:t>
      </w:r>
      <m:oMath>
        <m:sSub>
          <m:e>
            <m:r>
              <w:rPr>
                <w:rFonts w:ascii="Cambria Math" w:hAnsi="Cambria Math"/>
                <w:sz w:val="19"/>
                <w:szCs w:val="19"/>
              </w:rPr>
              <m:t>ξ</m:t>
            </m:r>
          </m:e>
          <m:sub>
            <m:r>
              <w:rPr>
                <w:rFonts w:ascii="Cambria Math" w:hAnsi="Cambria Math"/>
                <w:sz w:val="19"/>
                <w:szCs w:val="19"/>
              </w:rPr>
              <m:t>d</m:t>
            </m:r>
          </m:sub>
        </m:sSub>
      </m:oMath>
      <w:r>
        <w:t xml:space="preserve">. Any</w:t>
      </w:r>
      <w:r>
        <w:t xml:space="preserve"> </w:t>
      </w:r>
      <m:oMath>
        <m:r>
          <w:rPr>
            <w:rFonts w:ascii="Cambria Math" w:hAnsi="Cambria Math"/>
            <w:sz w:val="19"/>
            <w:szCs w:val="19"/>
          </w:rPr>
          <m:t>Q</m:t>
        </m:r>
        <m:r>
          <m:rPr>
            <m:sty m:val="p"/>
          </m:rPr>
          <w:rPr>
            <w:rFonts w:ascii="Cambria Math" w:hAnsi="Cambria Math"/>
            <w:sz w:val="19"/>
            <w:szCs w:val="19"/>
          </w:rPr>
          <m:t>∈</m:t>
        </m:r>
        <m:sSub>
          <m:e>
            <m:r>
              <m:rPr>
                <m:scr m:val="script"/>
                <m:sty m:val="p"/>
              </m:rPr>
              <w:rPr>
                <w:rFonts w:ascii="Cambria Math" w:hAnsi="Cambria Math"/>
                <w:sz w:val="19"/>
                <w:szCs w:val="19"/>
              </w:rPr>
              <m:t>B</m:t>
            </m:r>
          </m:e>
          <m:sub>
            <m:r>
              <w:rPr>
                <w:rFonts w:ascii="Cambria Math" w:hAnsi="Cambria Math"/>
                <w:sz w:val="19"/>
                <w:szCs w:val="19"/>
              </w:rPr>
              <m:t>ε</m:t>
            </m:r>
          </m:sub>
        </m:sSub>
        <m:d>
          <m:dPr>
            <m:begChr m:val="("/>
            <m:sepChr m:val=""/>
            <m:endChr m:val=")"/>
            <m:grow/>
          </m:dPr>
          <m:e>
            <m:sSub>
              <m:e>
                <m:acc>
                  <m:accPr>
                    <m:chr m:val="̂"/>
                  </m:accPr>
                  <m:e>
                    <m:r>
                      <w:rPr>
                        <w:rFonts w:ascii="Cambria Math" w:hAnsi="Cambria Math"/>
                        <w:sz w:val="19"/>
                        <w:szCs w:val="19"/>
                      </w:rPr>
                      <m:t>P</m:t>
                    </m:r>
                  </m:e>
                </m:acc>
              </m:e>
              <m:sub>
                <m:r>
                  <w:rPr>
                    <w:rFonts w:ascii="Cambria Math" w:hAnsi="Cambria Math"/>
                    <w:sz w:val="19"/>
                    <w:szCs w:val="19"/>
                  </w:rPr>
                  <m:t>N</m:t>
                </m:r>
              </m:sub>
            </m:sSub>
          </m:e>
        </m:d>
      </m:oMath>
      <w:r>
        <w:t xml:space="preserve"> </w:t>
      </w:r>
      <w:r>
        <w:t xml:space="preserve">is the image of a transport plan with average displacement at most</w:t>
      </w:r>
      <w:r>
        <w:t xml:space="preserve"> </w:t>
      </w:r>
      <m:oMath>
        <m:r>
          <w:rPr>
            <w:rFonts w:ascii="Cambria Math" w:hAnsi="Cambria Math"/>
            <w:sz w:val="19"/>
            <w:szCs w:val="19"/>
          </w:rPr>
          <m:t>ε</m:t>
        </m:r>
      </m:oMath>
      <w:r>
        <w:t xml:space="preserve">. Moving mass between points on the same side of</w:t>
      </w:r>
      <w:r>
        <w:t xml:space="preserve"> </w:t>
      </w:r>
      <m:oMath>
        <m:r>
          <w:rPr>
            <w:rFonts w:ascii="Cambria Math" w:hAnsi="Cambria Math"/>
            <w:sz w:val="19"/>
            <w:szCs w:val="19"/>
          </w:rPr>
          <m:t>C</m:t>
        </m:r>
      </m:oMath>
      <w:r>
        <w:t xml:space="preserve">, or upwards, does not reduce</w:t>
      </w:r>
      <w:r>
        <w:t xml:space="preserve"> </w:t>
      </w:r>
      <m:oMath>
        <m:r>
          <w:rPr>
            <w:rFonts w:ascii="Cambria Math" w:hAnsi="Cambria Math"/>
            <w:sz w:val="19"/>
            <w:szCs w:val="19"/>
          </w:rPr>
          <m:t>Q</m:t>
        </m:r>
        <m:d>
          <m:dPr>
            <m:begChr m:val="("/>
            <m:sepChr m:val=""/>
            <m:endChr m:val=")"/>
            <m:grow/>
          </m:dPr>
          <m:e>
            <m:r>
              <w:rPr>
                <w:rFonts w:ascii="Cambria Math" w:hAnsi="Cambria Math"/>
                <w:sz w:val="19"/>
                <w:szCs w:val="19"/>
              </w:rPr>
              <m:t>ξ</m:t>
            </m:r>
            <m:r>
              <m:rPr>
                <m:sty m:val="p"/>
              </m:rPr>
              <w:rPr>
                <w:rFonts w:ascii="Cambria Math" w:hAnsi="Cambria Math"/>
                <w:sz w:val="19"/>
                <w:szCs w:val="19"/>
              </w:rPr>
              <m:t>≥</m:t>
            </m:r>
            <m:r>
              <w:rPr>
                <w:rFonts w:ascii="Cambria Math" w:hAnsi="Cambria Math"/>
                <w:sz w:val="19"/>
                <w:szCs w:val="19"/>
              </w:rPr>
              <m:t>C</m:t>
            </m:r>
          </m:e>
        </m:d>
      </m:oMath>
      <w:r>
        <w:t xml:space="preserve">, so a least favourable plan only moves mass</w:t>
      </w:r>
      <w:r>
        <w:t xml:space="preserve"> </w:t>
      </w:r>
      <m:oMath>
        <m:sSub>
          <m:e>
            <m:r>
              <w:rPr>
                <w:rFonts w:ascii="Cambria Math" w:hAnsi="Cambria Math"/>
                <w:sz w:val="19"/>
                <w:szCs w:val="19"/>
              </w:rPr>
              <m:t>w</m:t>
            </m:r>
          </m:e>
          <m:sub>
            <m:r>
              <w:rPr>
                <w:rFonts w:ascii="Cambria Math" w:hAnsi="Cambria Math"/>
                <w:sz w:val="19"/>
                <w:szCs w:val="19"/>
              </w:rPr>
              <m:t>d</m:t>
            </m:r>
          </m:sub>
        </m:sSub>
        <m:r>
          <m:rPr>
            <m:sty m:val="p"/>
          </m:rPr>
          <w:rPr>
            <w:rFonts w:ascii="Cambria Math" w:hAnsi="Cambria Math"/>
            <w:sz w:val="19"/>
            <w:szCs w:val="19"/>
          </w:rPr>
          <m:t>∈</m:t>
        </m:r>
        <m:d>
          <m:dPr>
            <m:begChr m:val="["/>
            <m:sepChr m:val=""/>
            <m:endChr m:val="]"/>
            <m:grow/>
          </m:dPr>
          <m:e>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N</m:t>
            </m:r>
          </m:e>
        </m:d>
      </m:oMath>
      <w:r>
        <w:t xml:space="preserve"> </w:t>
      </w:r>
      <w:r>
        <w:t xml:space="preserve">from the atoms of</w:t>
      </w:r>
      <w:r>
        <w:t xml:space="preserve"> </w:t>
      </w:r>
      <m:oMath>
        <m:sSub>
          <m:e>
            <m:r>
              <m:rPr>
                <m:scr m:val="script"/>
                <m:sty m:val="p"/>
              </m:rPr>
              <w:rPr>
                <w:rFonts w:ascii="Cambria Math" w:hAnsi="Cambria Math"/>
                <w:sz w:val="19"/>
                <w:szCs w:val="19"/>
              </w:rPr>
              <m:t>D</m:t>
            </m:r>
          </m:e>
          <m:sub>
            <m:r>
              <w:rPr>
                <w:rFonts w:ascii="Cambria Math" w:hAnsi="Cambria Math"/>
                <w:sz w:val="19"/>
                <w:szCs w:val="19"/>
              </w:rPr>
              <m:t>C</m:t>
            </m:r>
          </m:sub>
        </m:sSub>
      </m:oMath>
      <w:r>
        <w:t xml:space="preserve"> </w:t>
      </w:r>
      <w:r>
        <w:t xml:space="preserve">to points arbitrarily close below</w:t>
      </w:r>
      <w:r>
        <w:t xml:space="preserve"> </w:t>
      </w:r>
      <m:oMath>
        <m:r>
          <w:rPr>
            <w:rFonts w:ascii="Cambria Math" w:hAnsi="Cambria Math"/>
            <w:sz w:val="19"/>
            <w:szCs w:val="19"/>
          </w:rPr>
          <m:t>C</m:t>
        </m:r>
      </m:oMath>
      <w:r>
        <w:t xml:space="preserve">, at the cost</w:t>
      </w:r>
      <w:r>
        <w:t xml:space="preserve"> </w:t>
      </w:r>
      <m:oMath>
        <m:sSub>
          <m:e>
            <m:r>
              <w:rPr>
                <w:rFonts w:ascii="Cambria Math" w:hAnsi="Cambria Math"/>
                <w:sz w:val="19"/>
                <w:szCs w:val="19"/>
              </w:rPr>
              <m:t>w</m:t>
            </m:r>
          </m:e>
          <m:sub>
            <m:r>
              <w:rPr>
                <w:rFonts w:ascii="Cambria Math" w:hAnsi="Cambria Math"/>
                <w:sz w:val="19"/>
                <w:szCs w:val="19"/>
              </w:rPr>
              <m:t>d</m:t>
            </m:r>
          </m:sub>
        </m:sSub>
        <m:r>
          <w:rPr>
            <w:rFonts w:ascii="Cambria Math" w:hAnsi="Cambria Math"/>
            <w:sz w:val="19"/>
            <w:szCs w:val="19"/>
          </w:rPr>
          <m:t> </m:t>
        </m:r>
        <m:sSub>
          <m:e>
            <m:r>
              <w:rPr>
                <w:rFonts w:ascii="Cambria Math" w:hAnsi="Cambria Math"/>
                <w:sz w:val="19"/>
                <w:szCs w:val="19"/>
              </w:rPr>
              <m:t>δ</m:t>
            </m:r>
          </m:e>
          <m:sub>
            <m:r>
              <w:rPr>
                <w:rFonts w:ascii="Cambria Math" w:hAnsi="Cambria Math"/>
                <w:sz w:val="19"/>
                <w:szCs w:val="19"/>
              </w:rPr>
              <m:t>d</m:t>
            </m:r>
          </m:sub>
        </m:sSub>
        <m:d>
          <m:dPr>
            <m:begChr m:val="("/>
            <m:sepChr m:val=""/>
            <m:endChr m:val=")"/>
            <m:grow/>
          </m:dPr>
          <m:e>
            <m:r>
              <w:rPr>
                <w:rFonts w:ascii="Cambria Math" w:hAnsi="Cambria Math"/>
                <w:sz w:val="19"/>
                <w:szCs w:val="19"/>
              </w:rPr>
              <m:t>C</m:t>
            </m:r>
          </m:e>
        </m:d>
      </m:oMath>
      <w:r>
        <w:t xml:space="preserve">; the supremum in (51) is therefore the value of the knapsack (52), approached by such plans. The optimum of (52) removes the atoms with the smallest margins first. The worst-case probability</w:t>
      </w:r>
      <w:r>
        <w:t xml:space="preserve"> </w:t>
      </w:r>
      <m:oMath>
        <m:sSub>
          <m:e>
            <m:r>
              <m:rPr>
                <m:lit/>
                <m:sty m:val="p"/>
              </m:rPr>
              <w:rPr>
                <w:rFonts w:ascii="Cambria Math" w:hAnsi="Cambria Math"/>
                <w:sz w:val="19"/>
                <w:szCs w:val="19"/>
              </w:rPr>
              <m:t>inf</m:t>
            </m:r>
          </m:e>
          <m:sub>
            <m:r>
              <w:rPr>
                <w:rFonts w:ascii="Cambria Math" w:hAnsi="Cambria Math"/>
                <w:sz w:val="19"/>
                <w:szCs w:val="19"/>
              </w:rPr>
              <m:t>Q</m:t>
            </m:r>
          </m:sub>
        </m:sSub>
        <m:r>
          <w:rPr>
            <w:rFonts w:ascii="Cambria Math" w:hAnsi="Cambria Math"/>
            <w:sz w:val="19"/>
            <w:szCs w:val="19"/>
          </w:rPr>
          <m:t>Q</m:t>
        </m:r>
        <m:d>
          <m:dPr>
            <m:begChr m:val="("/>
            <m:sepChr m:val=""/>
            <m:endChr m:val=")"/>
            <m:grow/>
          </m:dPr>
          <m:e>
            <m:r>
              <w:rPr>
                <w:rFonts w:ascii="Cambria Math" w:hAnsi="Cambria Math"/>
                <w:sz w:val="19"/>
                <w:szCs w:val="19"/>
              </w:rPr>
              <m:t>ξ</m:t>
            </m:r>
            <m:r>
              <m:rPr>
                <m:sty m:val="p"/>
              </m:rPr>
              <w:rPr>
                <w:rFonts w:ascii="Cambria Math" w:hAnsi="Cambria Math"/>
                <w:sz w:val="19"/>
                <w:szCs w:val="19"/>
              </w:rPr>
              <m:t>≥</m:t>
            </m:r>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n</m:t>
        </m:r>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sSubSup>
          <m:e>
            <m:r>
              <w:rPr>
                <w:rFonts w:ascii="Cambria Math" w:hAnsi="Cambria Math"/>
                <w:sz w:val="19"/>
                <w:szCs w:val="19"/>
              </w:rPr>
              <m:t>m</m:t>
            </m:r>
          </m:e>
          <m:sub>
            <m:r>
              <w:rPr>
                <w:rFonts w:ascii="Cambria Math" w:hAnsi="Cambria Math"/>
                <w:sz w:val="19"/>
                <w:szCs w:val="19"/>
              </w:rPr>
              <m:t>C</m:t>
            </m:r>
          </m:sub>
          <m:sup>
            <m:r>
              <m:rPr>
                <m:lit/>
                <m:sty m:val="p"/>
              </m:rPr>
              <w:rPr>
                <w:rFonts w:ascii="Cambria Math" w:hAnsi="Cambria Math"/>
                <w:sz w:val="19"/>
                <w:szCs w:val="19"/>
              </w:rPr>
              <m:t>*</m:t>
            </m:r>
          </m:sup>
        </m:sSubSup>
        <m:d>
          <m:dPr>
            <m:begChr m:val="("/>
            <m:sepChr m:val=""/>
            <m:endChr m:val=")"/>
            <m:grow/>
          </m:dPr>
          <m:e>
            <m:r>
              <w:rPr>
                <w:rFonts w:ascii="Cambria Math" w:hAnsi="Cambria Math"/>
                <w:sz w:val="19"/>
                <w:szCs w:val="19"/>
              </w:rPr>
              <m:t>ε</m:t>
            </m:r>
          </m:e>
        </m:d>
      </m:oMath>
      <w:r>
        <w:t xml:space="preserve"> </w:t>
      </w:r>
      <w:r>
        <w:t xml:space="preserve">therefore stays at least</w:t>
      </w:r>
      <w:r>
        <w:t xml:space="preserve"> </w:t>
      </w:r>
      <m:oMath>
        <m:r>
          <w:rPr>
            <w:rFonts w:ascii="Cambria Math" w:hAnsi="Cambria Math"/>
            <w:sz w:val="19"/>
            <w:szCs w:val="19"/>
          </w:rPr>
          <m:t>ρ</m:t>
        </m:r>
      </m:oMath>
      <w:r>
        <w:t xml:space="preserve"> </w:t>
      </w:r>
      <w:r>
        <w:t xml:space="preserve">if and only if removing the mass</w:t>
      </w:r>
      <w:r>
        <w:t xml:space="preserve"> </w:t>
      </w:r>
      <m:oMath>
        <m:r>
          <w:rPr>
            <w:rFonts w:ascii="Cambria Math" w:hAnsi="Cambria Math"/>
            <w:sz w:val="19"/>
            <w:szCs w:val="19"/>
          </w:rPr>
          <m:t>q</m:t>
        </m:r>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N</m:t>
        </m:r>
      </m:oMath>
      <w:r>
        <w:t xml:space="preserve">, i.e. the</w:t>
      </w:r>
      <w:r>
        <w:t xml:space="preserve"> </w:t>
      </w:r>
      <m:oMath>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oMath>
      <w:r>
        <w:t xml:space="preserve"> </w:t>
      </w:r>
      <w:r>
        <w:t xml:space="preserve">atoms with the smallest margins and the fraction</w:t>
      </w:r>
      <w:r>
        <w:t xml:space="preserve"> </w:t>
      </w:r>
      <m:oMath>
        <m:r>
          <w:rPr>
            <w:rFonts w:ascii="Cambria Math" w:hAnsi="Cambria Math"/>
            <w:sz w:val="19"/>
            <w:szCs w:val="19"/>
          </w:rPr>
          <m:t>q</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oMath>
      <w:r>
        <w:t xml:space="preserve"> </w:t>
      </w:r>
      <w:r>
        <w:t xml:space="preserve">of the next one, costs at least</w:t>
      </w:r>
      <w:r>
        <w:t xml:space="preserve"> </w:t>
      </w:r>
      <m:oMath>
        <m:r>
          <w:rPr>
            <w:rFonts w:ascii="Cambria Math" w:hAnsi="Cambria Math"/>
            <w:sz w:val="19"/>
            <w:szCs w:val="19"/>
          </w:rPr>
          <m:t>ε</m:t>
        </m:r>
      </m:oMath>
      <w:r>
        <w:t xml:space="preserve">, which is (54). For</w:t>
      </w:r>
      <w:r>
        <w:t xml:space="preserve"> </w:t>
      </w:r>
      <m:oMath>
        <m:r>
          <w:rPr>
            <w:rFonts w:ascii="Cambria Math" w:hAnsi="Cambria Math"/>
            <w:sz w:val="19"/>
            <w:szCs w:val="19"/>
          </w:rPr>
          <m:t>ε</m:t>
        </m:r>
        <m:r>
          <m:rPr>
            <m:sty m:val="p"/>
          </m:rPr>
          <w:rPr>
            <w:rFonts w:ascii="Cambria Math" w:hAnsi="Cambria Math"/>
            <w:sz w:val="19"/>
            <w:szCs w:val="19"/>
          </w:rPr>
          <m:t>=</m:t>
        </m:r>
        <m:r>
          <w:rPr>
            <w:rFonts w:ascii="Cambria Math" w:hAnsi="Cambria Math"/>
            <w:sz w:val="19"/>
            <w:szCs w:val="19"/>
          </w:rPr>
          <m:t>0</m:t>
        </m:r>
      </m:oMath>
      <w:r>
        <w:t xml:space="preserve"> </w:t>
      </w:r>
      <w:r>
        <w:t xml:space="preserve">the condition reduces to</w:t>
      </w:r>
      <w:r>
        <w:t xml:space="preserve"> </w:t>
      </w:r>
      <m:oMath>
        <m:r>
          <w:rPr>
            <w:rFonts w:ascii="Cambria Math" w:hAnsi="Cambria Math"/>
            <w:sz w:val="19"/>
            <w:szCs w:val="19"/>
          </w:rPr>
          <m:t>n</m:t>
        </m:r>
        <m:d>
          <m:dPr>
            <m:begChr m:val="("/>
            <m:sepChr m:val=""/>
            <m:endChr m:val=")"/>
            <m:grow/>
          </m:dPr>
          <m:e>
            <m:r>
              <w:rPr>
                <w:rFonts w:ascii="Cambria Math" w:hAnsi="Cambria Math"/>
                <w:sz w:val="19"/>
                <w:szCs w:val="19"/>
              </w:rPr>
              <m:t>C</m:t>
            </m:r>
          </m:e>
        </m:d>
        <m:r>
          <m:rPr>
            <m:sty m:val="p"/>
          </m:rPr>
          <w:rPr>
            <w:rFonts w:ascii="Cambria Math" w:hAnsi="Cambria Math"/>
            <w:sz w:val="19"/>
            <w:szCs w:val="19"/>
          </w:rPr>
          <m:t>≥</m:t>
        </m:r>
        <m:r>
          <w:rPr>
            <w:rFonts w:ascii="Cambria Math" w:hAnsi="Cambria Math"/>
            <w:sz w:val="19"/>
            <w:szCs w:val="19"/>
          </w:rPr>
          <m:t>ρ</m:t>
        </m:r>
        <m:r>
          <w:rPr>
            <w:rFonts w:ascii="Cambria Math" w:hAnsi="Cambria Math"/>
            <w:sz w:val="19"/>
            <w:szCs w:val="19"/>
          </w:rPr>
          <m:t>N</m:t>
        </m:r>
      </m:oMath>
      <w:r>
        <w:t xml:space="preserve">, the sample-average constraint.</w:t>
      </w:r>
      <w:r>
        <w:t xml:space="preserve"> </w:t>
      </w:r>
      <m:oMath>
        <m:sSub>
          <m:e>
            <m:r>
              <w:rPr>
                <w:rFonts w:ascii="Cambria Math" w:hAnsi="Cambria Math"/>
                <w:sz w:val="19"/>
                <w:szCs w:val="19"/>
              </w:rPr>
              <m:t>Φ</m:t>
            </m:r>
          </m:e>
          <m:sub>
            <m:r>
              <w:rPr>
                <w:rFonts w:ascii="Cambria Math" w:hAnsi="Cambria Math"/>
                <w:sz w:val="19"/>
                <w:szCs w:val="19"/>
              </w:rPr>
              <m:t>ρ</m:t>
            </m:r>
          </m:sub>
        </m:sSub>
        <m:d>
          <m:dPr>
            <m:begChr m:val="("/>
            <m:sepChr m:val=""/>
            <m:endChr m:val=")"/>
            <m:grow/>
          </m:dPr>
          <m:e>
            <m:r>
              <w:rPr>
                <w:rFonts w:ascii="Cambria Math" w:hAnsi="Cambria Math"/>
                <w:sz w:val="19"/>
                <w:szCs w:val="19"/>
              </w:rPr>
              <m:t>C</m:t>
            </m:r>
          </m:e>
        </m:d>
      </m:oMath>
      <w:r>
        <w:t xml:space="preserve"> </w:t>
      </w:r>
      <w:r>
        <w:t xml:space="preserve">is non-increasing in</w:t>
      </w:r>
      <w:r>
        <w:t xml:space="preserve"> </w:t>
      </w:r>
      <m:oMath>
        <m:r>
          <w:rPr>
            <w:rFonts w:ascii="Cambria Math" w:hAnsi="Cambria Math"/>
            <w:sz w:val="19"/>
            <w:szCs w:val="19"/>
          </w:rPr>
          <m:t>C</m:t>
        </m:r>
      </m:oMath>
      <w:r>
        <w:t xml:space="preserve">, because</w:t>
      </w:r>
      <w:r>
        <w:t xml:space="preserve"> </w:t>
      </w:r>
      <m:oMath>
        <m:r>
          <w:rPr>
            <w:rFonts w:ascii="Cambria Math" w:hAnsi="Cambria Math"/>
            <w:sz w:val="19"/>
            <w:szCs w:val="19"/>
          </w:rPr>
          <m:t>n</m:t>
        </m:r>
        <m:d>
          <m:dPr>
            <m:begChr m:val="("/>
            <m:sepChr m:val=""/>
            <m:endChr m:val=")"/>
            <m:grow/>
          </m:dPr>
          <m:e>
            <m:r>
              <w:rPr>
                <w:rFonts w:ascii="Cambria Math" w:hAnsi="Cambria Math"/>
                <w:sz w:val="19"/>
                <w:szCs w:val="19"/>
              </w:rPr>
              <m:t>C</m:t>
            </m:r>
          </m:e>
        </m:d>
      </m:oMath>
      <w:r>
        <w:t xml:space="preserve"> </w:t>
      </w:r>
      <w:r>
        <w:t xml:space="preserve">and all margins decrease with</w:t>
      </w:r>
      <w:r>
        <w:t xml:space="preserve"> </w:t>
      </w:r>
      <m:oMath>
        <m:r>
          <w:rPr>
            <w:rFonts w:ascii="Cambria Math" w:hAnsi="Cambria Math"/>
            <w:sz w:val="19"/>
            <w:szCs w:val="19"/>
          </w:rPr>
          <m:t>C</m:t>
        </m:r>
      </m:oMath>
      <w:r>
        <w:t xml:space="preserve">, so the feasible commitments form a lower set and</w:t>
      </w:r>
      <w:r>
        <w:t xml:space="preserve"> </w:t>
      </w:r>
      <m:oMath>
        <m:sSubSup>
          <m:e>
            <m:r>
              <w:rPr>
                <w:rFonts w:ascii="Cambria Math" w:hAnsi="Cambria Math"/>
                <w:sz w:val="19"/>
                <w:szCs w:val="19"/>
              </w:rPr>
              <m:t>C</m:t>
            </m:r>
          </m:e>
          <m:sub>
            <m:r>
              <w:rPr>
                <w:rFonts w:ascii="Cambria Math" w:hAnsi="Cambria Math"/>
                <w:sz w:val="19"/>
                <w:szCs w:val="19"/>
              </w:rPr>
              <m:t>ρ</m:t>
            </m:r>
          </m:sub>
          <m:sup>
            <m:r>
              <w:rPr>
                <w:rFonts w:ascii="Cambria Math" w:hAnsi="Cambria Math"/>
                <w:sz w:val="19"/>
                <w:szCs w:val="19"/>
              </w:rPr>
              <m:t>D</m:t>
            </m:r>
            <m:r>
              <w:rPr>
                <w:rFonts w:ascii="Cambria Math" w:hAnsi="Cambria Math"/>
                <w:sz w:val="19"/>
                <w:szCs w:val="19"/>
              </w:rPr>
              <m:t>R</m:t>
            </m:r>
            <m:r>
              <w:rPr>
                <w:rFonts w:ascii="Cambria Math" w:hAnsi="Cambria Math"/>
                <w:sz w:val="19"/>
                <w:szCs w:val="19"/>
              </w:rPr>
              <m:t>O</m:t>
            </m:r>
          </m:sup>
        </m:sSubSup>
        <m:d>
          <m:dPr>
            <m:begChr m:val="("/>
            <m:sepChr m:val=""/>
            <m:endChr m:val=")"/>
            <m:grow/>
          </m:dPr>
          <m:e>
            <m:r>
              <w:rPr>
                <w:rFonts w:ascii="Cambria Math" w:hAnsi="Cambria Math"/>
                <w:sz w:val="19"/>
                <w:szCs w:val="19"/>
              </w:rPr>
              <m:t>ε</m:t>
            </m:r>
          </m:e>
        </m:d>
      </m:oMath>
      <w:r>
        <w:t xml:space="preserve"> </w:t>
      </w:r>
      <w:r>
        <w:t xml:space="preserve">is non-increasing in</w:t>
      </w:r>
      <w:r>
        <w:t xml:space="preserve"> </w:t>
      </w:r>
      <m:oMath>
        <m:r>
          <w:rPr>
            <w:rFonts w:ascii="Cambria Math" w:hAnsi="Cambria Math"/>
            <w:sz w:val="19"/>
            <w:szCs w:val="19"/>
          </w:rPr>
          <m:t>ε</m:t>
        </m:r>
      </m:oMath>
      <w:r>
        <w:t xml:space="preserve">. When the atoms just above</w:t>
      </w:r>
      <w:r>
        <w:t xml:space="preserve"> </w:t>
      </w:r>
      <m:oMath>
        <m:r>
          <w:rPr>
            <w:rFonts w:ascii="Cambria Math" w:hAnsi="Cambria Math"/>
            <w:sz w:val="19"/>
            <w:szCs w:val="19"/>
          </w:rPr>
          <m:t>C</m:t>
        </m:r>
      </m:oMath>
      <w:r>
        <w:t xml:space="preserve"> </w:t>
      </w:r>
      <w:r>
        <w:t xml:space="preserve">have large margins,</w:t>
      </w:r>
      <w:r>
        <w:t xml:space="preserve"> </w:t>
      </w:r>
      <m:oMath>
        <m:sSub>
          <m:e>
            <m:r>
              <w:rPr>
                <w:rFonts w:ascii="Cambria Math" w:hAnsi="Cambria Math"/>
                <w:sz w:val="19"/>
                <w:szCs w:val="19"/>
              </w:rPr>
              <m:t>Φ</m:t>
            </m:r>
          </m:e>
          <m:sub>
            <m:r>
              <w:rPr>
                <w:rFonts w:ascii="Cambria Math" w:hAnsi="Cambria Math"/>
                <w:sz w:val="19"/>
                <w:szCs w:val="19"/>
              </w:rPr>
              <m:t>ρ</m:t>
            </m:r>
          </m:sub>
        </m:sSub>
        <m:d>
          <m:dPr>
            <m:begChr m:val="("/>
            <m:sepChr m:val=""/>
            <m:endChr m:val=")"/>
            <m:grow/>
          </m:dPr>
          <m:e>
            <m:r>
              <w:rPr>
                <w:rFonts w:ascii="Cambria Math" w:hAnsi="Cambria Math"/>
                <w:sz w:val="19"/>
                <w:szCs w:val="19"/>
              </w:rPr>
              <m:t>C</m:t>
            </m:r>
          </m:e>
        </m:d>
      </m:oMath>
      <w:r>
        <w:t xml:space="preserve"> </w:t>
      </w:r>
      <w:r>
        <w:t xml:space="preserve">is large and a moderate radius does not change the commitment. ∎</w:t>
      </w:r>
    </w:p>
    <w:p>
      <w:pPr>
        <w:pStyle w:val="BodyText"/>
      </w:pPr>
      <w:r>
        <w:t xml:space="preserve">If the radius exceeds the finite-sample concentration radius</w:t>
      </w:r>
      <w:r>
        <w:t xml:space="preserve"> </w:t>
      </w:r>
      <m:oMath>
        <m:sSub>
          <m:e>
            <m:r>
              <w:rPr>
                <w:rFonts w:ascii="Cambria Math" w:hAnsi="Cambria Math"/>
                <w:sz w:val="19"/>
                <w:szCs w:val="19"/>
              </w:rPr>
              <m:t>ε</m:t>
            </m:r>
          </m:e>
          <m:sub>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β</m:t>
            </m:r>
          </m:sub>
        </m:sSub>
      </m:oMath>
      <w:r>
        <w:t xml:space="preserve"> </w:t>
      </w:r>
      <w:r>
        <w:t xml:space="preserve">of the 1-Wasserstein distance [37], the true capability distribution lies in</w:t>
      </w:r>
      <w:r>
        <w:t xml:space="preserve"> </w:t>
      </w:r>
      <m:oMath>
        <m:sSub>
          <m:e>
            <m:r>
              <m:rPr>
                <m:scr m:val="script"/>
                <m:sty m:val="p"/>
              </m:rPr>
              <w:rPr>
                <w:rFonts w:ascii="Cambria Math" w:hAnsi="Cambria Math"/>
                <w:sz w:val="19"/>
                <w:szCs w:val="19"/>
              </w:rPr>
              <m:t>B</m:t>
            </m:r>
          </m:e>
          <m:sub>
            <m:r>
              <w:rPr>
                <w:rFonts w:ascii="Cambria Math" w:hAnsi="Cambria Math"/>
                <w:sz w:val="19"/>
                <w:szCs w:val="19"/>
              </w:rPr>
              <m:t>ε</m:t>
            </m:r>
          </m:sub>
        </m:sSub>
        <m:d>
          <m:dPr>
            <m:begChr m:val="("/>
            <m:sepChr m:val=""/>
            <m:endChr m:val=")"/>
            <m:grow/>
          </m:dPr>
          <m:e>
            <m:sSub>
              <m:e>
                <m:acc>
                  <m:accPr>
                    <m:chr m:val="̂"/>
                  </m:accPr>
                  <m:e>
                    <m:r>
                      <w:rPr>
                        <w:rFonts w:ascii="Cambria Math" w:hAnsi="Cambria Math"/>
                        <w:sz w:val="19"/>
                        <w:szCs w:val="19"/>
                      </w:rPr>
                      <m:t>P</m:t>
                    </m:r>
                  </m:e>
                </m:acc>
              </m:e>
              <m:sub>
                <m:r>
                  <w:rPr>
                    <w:rFonts w:ascii="Cambria Math" w:hAnsi="Cambria Math"/>
                    <w:sz w:val="19"/>
                    <w:szCs w:val="19"/>
                  </w:rPr>
                  <m:t>N</m:t>
                </m:r>
              </m:sub>
            </m:sSub>
          </m:e>
        </m:d>
      </m:oMath>
      <w:r>
        <w:t xml:space="preserve"> </w:t>
      </w:r>
      <w:r>
        <w:t xml:space="preserve">with confidence</w:t>
      </w:r>
      <w:r>
        <w:t xml:space="preserve">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β</m:t>
        </m:r>
      </m:oMath>
      <w:r>
        <w:t xml:space="preserve">, and the commitment</w:t>
      </w:r>
      <w:r>
        <w:t xml:space="preserve"> </w:t>
      </w:r>
      <m:oMath>
        <m:sSubSup>
          <m:e>
            <m:r>
              <w:rPr>
                <w:rFonts w:ascii="Cambria Math" w:hAnsi="Cambria Math"/>
                <w:sz w:val="19"/>
                <w:szCs w:val="19"/>
              </w:rPr>
              <m:t>C</m:t>
            </m:r>
          </m:e>
          <m:sub>
            <m:r>
              <w:rPr>
                <w:rFonts w:ascii="Cambria Math" w:hAnsi="Cambria Math"/>
                <w:sz w:val="19"/>
                <w:szCs w:val="19"/>
              </w:rPr>
              <m:t>ρ</m:t>
            </m:r>
          </m:sub>
          <m:sup>
            <m:r>
              <w:rPr>
                <w:rFonts w:ascii="Cambria Math" w:hAnsi="Cambria Math"/>
                <w:sz w:val="19"/>
                <w:szCs w:val="19"/>
              </w:rPr>
              <m:t>D</m:t>
            </m:r>
            <m:r>
              <w:rPr>
                <w:rFonts w:ascii="Cambria Math" w:hAnsi="Cambria Math"/>
                <w:sz w:val="19"/>
                <w:szCs w:val="19"/>
              </w:rPr>
              <m:t>R</m:t>
            </m:r>
            <m:r>
              <w:rPr>
                <w:rFonts w:ascii="Cambria Math" w:hAnsi="Cambria Math"/>
                <w:sz w:val="19"/>
                <w:szCs w:val="19"/>
              </w:rPr>
              <m:t>O</m:t>
            </m:r>
          </m:sup>
        </m:sSubSup>
      </m:oMath>
      <w:r>
        <w:t xml:space="preserve"> </w:t>
      </w:r>
      <w:r>
        <w:t xml:space="preserve">is delivered in full with probability at least</w:t>
      </w:r>
      <w:r>
        <w:t xml:space="preserve"> </w:t>
      </w:r>
      <m:oMath>
        <m:r>
          <w:rPr>
            <w:rFonts w:ascii="Cambria Math" w:hAnsi="Cambria Math"/>
            <w:sz w:val="19"/>
            <w:szCs w:val="19"/>
          </w:rPr>
          <m:t>ρ</m:t>
        </m:r>
      </m:oMath>
      <w:r>
        <w:t xml:space="preserve">. For</w:t>
      </w:r>
      <w:r>
        <w:t xml:space="preserve">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14</m:t>
        </m:r>
      </m:oMath>
      <w:r>
        <w:t xml:space="preserve"> </w:t>
      </w:r>
      <w:r>
        <w:t xml:space="preserve">such radii exceed the spread of the capability itself, so the case study uses the expected estimation error (55), which scales with the dispersion of the capability, and compares it with a leave-one-out choice (Section 5.6.2).</w:t>
      </w:r>
    </w:p>
    <w:bookmarkEnd w:id="144"/>
    <w:bookmarkStart w:id="145" w:name="references"/>
    <w:p>
      <w:pPr>
        <w:pStyle w:val="Heading1"/>
      </w:pPr>
      <w:r>
        <w:t xml:space="preserve">References</w:t>
      </w:r>
    </w:p>
    <w:p>
      <w:pPr>
        <w:pStyle w:val="Bibliography"/>
      </w:pPr>
      <w:r>
        <w:t xml:space="preserve">[1] International Energy Agency. Energy and AI. Paris: IEA; 2025.</w:t>
      </w:r>
    </w:p>
    <w:p>
      <w:pPr>
        <w:pStyle w:val="Bibliography"/>
      </w:pPr>
      <w:r>
        <w:t xml:space="preserve">[2] Shehabi A, Smith SJ, Hubbard A, et al. 2024 United States data center energy usage report. Berkeley: Lawrence Berkeley National Laboratory; 2024.</w:t>
      </w:r>
    </w:p>
    <w:p>
      <w:pPr>
        <w:pStyle w:val="Bibliography"/>
      </w:pPr>
      <w:r>
        <w:t xml:space="preserve">[3] Kim D, Dong L, Singh C, et al. Theoretical limits and reform needed for AI data center–grid interconnection. Cell Rep Sustain 2026;3(9):100788.</w:t>
      </w:r>
    </w:p>
    <w:p>
      <w:pPr>
        <w:pStyle w:val="Bibliography"/>
      </w:pPr>
      <w:r>
        <w:t xml:space="preserve">[4] Norris TH, Profeta T, Patiño-Echeverri D, et al. Rethinking load growth: assessing the potential for integration of large flexible loads in US power systems. Durham: Nicholas Institute for Energy, Environment &amp; Sustainability, Duke University; 2025.</w:t>
      </w:r>
    </w:p>
    <w:p>
      <w:pPr>
        <w:pStyle w:val="Bibliography"/>
      </w:pPr>
      <w:r>
        <w:t xml:space="preserve">[5] Colangelo P, Coskun AK, Megrue J, et al. AI data centres as grid-interactive assets. Nat Energy 2026;11(2):254–61.</w:t>
      </w:r>
    </w:p>
    <w:p>
      <w:pPr>
        <w:pStyle w:val="Bibliography"/>
      </w:pPr>
      <w:r>
        <w:t xml:space="preserve">[6] Google. Demand response agreements with Indiana Michigan Power and the Tennessee Valley Authority targeting machine-learning workloads. Google blog; 4 August 2025.</w:t>
      </w:r>
    </w:p>
    <w:p>
      <w:pPr>
        <w:pStyle w:val="Bibliography"/>
      </w:pPr>
      <w:r>
        <w:t xml:space="preserve">[7] Jiangsu Provincial Development and Reform Commission. Implementation rules for electricity demand response in Jiangsu Province (effective 14 July 2024). Nanjing; 2024 [in Chinese].</w:t>
      </w:r>
    </w:p>
    <w:p>
      <w:pPr>
        <w:pStyle w:val="Bibliography"/>
      </w:pPr>
      <w:r>
        <w:t xml:space="preserve">[8] Liu Z, Wierman A, Chen Y, et al. Data center demand response: avoiding the coincident peak via workload shifting and local generation. Perform Eval 2013;70(10):770–91.</w:t>
      </w:r>
    </w:p>
    <w:p>
      <w:pPr>
        <w:pStyle w:val="Bibliography"/>
      </w:pPr>
      <w:r>
        <w:t xml:space="preserve">[9] Wierman A, Liu Z, Liu I, et al. Opportunities and challenges for data center demand response. In: Proceedings of the International Green Computing Conference (IGCC); 2014. p. 1–10.</w:t>
      </w:r>
    </w:p>
    <w:p>
      <w:pPr>
        <w:pStyle w:val="Bibliography"/>
      </w:pPr>
      <w:r>
        <w:t xml:space="preserve">[10] Chen M, Gao C, Song M, et al. Internet data centers participating in demand response: a comprehensive review. Renew Sust Energ Rev 2020;117:109466.</w:t>
      </w:r>
    </w:p>
    <w:p>
      <w:pPr>
        <w:pStyle w:val="Bibliography"/>
      </w:pPr>
      <w:r>
        <w:t xml:space="preserve">[11] Acun F, Hankendi C, Levine E, et al. Investigating power consumption flexibility of AI data centers for demand response participation. In: Proceedings of the 17th ACM International Conference on Future and Sustainable Energy Systems (e-Energy); 2026. p. 344–8.</w:t>
      </w:r>
    </w:p>
    <w:p>
      <w:pPr>
        <w:pStyle w:val="Bibliography"/>
      </w:pPr>
      <w:r>
        <w:t xml:space="preserve">[12] Wang Y, Guo Q, Chen M. Providing load flexibility by reshaping power profiles of large language model workloads. Adv Appl Energy 2025;19:100232.</w:t>
      </w:r>
    </w:p>
    <w:p>
      <w:pPr>
        <w:pStyle w:val="Bibliography"/>
      </w:pPr>
      <w:r>
        <w:t xml:space="preserve">[13] Du B, Fan X, Du E, et al. From tokens to energy flexibility: quantization-enabled demand response for data centers with LLM inference workloads. arXiv:2606.18851; 2026.</w:t>
      </w:r>
    </w:p>
    <w:p>
      <w:pPr>
        <w:pStyle w:val="Bibliography"/>
      </w:pPr>
      <w:r>
        <w:t xml:space="preserve">[14] Chen Y, Zheng X. To defer or to shift? The role of AI data center flexibility on grid interconnection. In: Proceedings of the 2026 ACM Sustainability Week; 2026. p. 322–7.</w:t>
      </w:r>
    </w:p>
    <w:p>
      <w:pPr>
        <w:pStyle w:val="Bibliography"/>
      </w:pPr>
      <w:r>
        <w:t xml:space="preserve">[15] Williams C, Colangelo P, Coskun AK, et al. Power-flexible AI data centers: a new paradigm for grid-responsive compute. arXiv:2606.25098; 2026.</w:t>
      </w:r>
    </w:p>
    <w:p>
      <w:pPr>
        <w:pStyle w:val="Bibliography"/>
      </w:pPr>
      <w:r>
        <w:t xml:space="preserve">[16] Zhou Y, Wei F, Li S, et al. Data center load modeling through optimal energy consumption characteristics: a path to simultaneously enhance energy efficiency and demand response quality. Appl Energy 2025;393:126095.</w:t>
      </w:r>
    </w:p>
    <w:p>
      <w:pPr>
        <w:pStyle w:val="Bibliography"/>
      </w:pPr>
      <w:r>
        <w:t xml:space="preserve">[17] Chen C, Ye C, Ding Y, et al. Exploring the demand response potential of liquid-cooled data centers. Appl Energy 2026;412:127679.</w:t>
      </w:r>
    </w:p>
    <w:p>
      <w:pPr>
        <w:pStyle w:val="Bibliography"/>
      </w:pPr>
      <w:r>
        <w:t xml:space="preserve">[18] Han O, Ding T, Yang M, et al. A novel 4-level joint optimal dispatch for demand response of data centers with district autonomy realization. Appl Energy 2024;358:122590.</w:t>
      </w:r>
    </w:p>
    <w:p>
      <w:pPr>
        <w:pStyle w:val="Bibliography"/>
      </w:pPr>
      <w:r>
        <w:t xml:space="preserve">[19] Bian Y, Xie L, Ma L, et al. A novel two-stage energy sharing model for data center cluster considering integrated demand response of multiple loads. Appl Energy 2025;384:125454.</w:t>
      </w:r>
    </w:p>
    <w:p>
      <w:pPr>
        <w:pStyle w:val="Bibliography"/>
      </w:pPr>
      <w:r>
        <w:t xml:space="preserve">[20] Xu D, Xiang S, Bai Z, et al. Optimal multi-energy portfolio towards zero carbon data center buildings in the presence of proactive demand response programs. Appl Energy 2023;350:121806.</w:t>
      </w:r>
    </w:p>
    <w:p>
      <w:pPr>
        <w:pStyle w:val="Bibliography"/>
      </w:pPr>
      <w:r>
        <w:t xml:space="preserve">[21] Lin J, Han J, Wang Y, et al. Planning and operation optimization of a low-carbon data-center computing integrated energy system considering exergy efficiency. J Shanghai Jiaotong Univ 2025;59(9):1327–37 [in Chinese].</w:t>
      </w:r>
    </w:p>
    <w:p>
      <w:pPr>
        <w:pStyle w:val="Bibliography"/>
      </w:pPr>
      <w:r>
        <w:t xml:space="preserve">[22] Fan H, Chen S, Luo H, et al. Optimal operation of data centers considering multi-energy complementarity of cooling, heating and power and spatio-temporal adjustable loads. South Power Syst Technol 2026;20(5):28–36 [in Chinese].</w:t>
      </w:r>
    </w:p>
    <w:p>
      <w:pPr>
        <w:pStyle w:val="Bibliography"/>
      </w:pPr>
      <w:r>
        <w:t xml:space="preserve">[23] Zhang S, Ding S, Li Y, et al. A bi-level planning model of integrated energy capacity configuration for data center cluster considering computing-electricity coupling operation and supply-demand uncertainties. Appl Energy 2026;425:128499.</w:t>
      </w:r>
    </w:p>
    <w:p>
      <w:pPr>
        <w:pStyle w:val="Bibliography"/>
      </w:pPr>
      <w:r>
        <w:t xml:space="preserve">[24] Liu X. Research on collaborative scheduling of internet data center and regional integrated energy system based on electricity-heat-water coupling. Energy 2024;292:130462.</w:t>
      </w:r>
    </w:p>
    <w:p>
      <w:pPr>
        <w:pStyle w:val="Bibliography"/>
      </w:pPr>
      <w:r>
        <w:t xml:space="preserve">[25] Hou J, Li H, Nord N, et al. Model predictive control for a university heat prosumer with data centre waste heat and thermal energy storage. Energy 2023;267:126579.</w:t>
      </w:r>
    </w:p>
    <w:p>
      <w:pPr>
        <w:pStyle w:val="Bibliography"/>
      </w:pPr>
      <w:r>
        <w:t xml:space="preserve">[26] Zhang Y, Wang Z, Filonenko K, et al. Physics-guided deep reinforcement learning for optimized data center cooling and waste heat recovery utilizing aquifer thermal energy storage. Appl Energy 2026;402:126984.</w:t>
      </w:r>
    </w:p>
    <w:p>
      <w:pPr>
        <w:pStyle w:val="Bibliography"/>
      </w:pPr>
      <w:r>
        <w:t xml:space="preserve">[27] Sun J, Chen S, You P, et al. Battery-assisted online operation of distributed data centers with uncertain workload and electricity prices. IEEE Trans Cloud Comput 2023;11(2):1303–14.</w:t>
      </w:r>
    </w:p>
    <w:p>
      <w:pPr>
        <w:pStyle w:val="Bibliography"/>
      </w:pPr>
      <w:r>
        <w:t xml:space="preserve">[28] Xie X, Huang C, Hu Q, et al. Risk-aware coordinated scheduling of battery storage and AI data centers with decoupled multi-layer AI workload models. Appl Energy 2027;427:128836.</w:t>
      </w:r>
    </w:p>
    <w:p>
      <w:pPr>
        <w:pStyle w:val="Bibliography"/>
      </w:pPr>
      <w:r>
        <w:t xml:space="preserve">[29] Lu X, Qiu J, Lin J, et al. Battery-assisted operation of hyperscale AI data centers under connect-and-manage interconnection practices. arXiv:2605.14105; 2026.</w:t>
      </w:r>
    </w:p>
    <w:p>
      <w:pPr>
        <w:pStyle w:val="Bibliography"/>
      </w:pPr>
      <w:r>
        <w:t xml:space="preserve">[30] Yu Y, Shan K, Li H, et al. Quantitative impacts of energy system flexibility provision and design/operation on data center reliability and the key influential parameters. Appl Energy 2026;415:127904.</w:t>
      </w:r>
    </w:p>
    <w:p>
      <w:pPr>
        <w:pStyle w:val="Bibliography"/>
      </w:pPr>
      <w:r>
        <w:t xml:space="preserve">[31] Hao H, Sanandaji BM, Poolla K, et al. Aggregate flexibility of thermostatically controlled loads. IEEE Trans Power Syst 2015;30(1):189–98.</w:t>
      </w:r>
    </w:p>
    <w:p>
      <w:pPr>
        <w:pStyle w:val="Bibliography"/>
      </w:pPr>
      <w:r>
        <w:t xml:space="preserve">[32] Evans MP, Tindemans SH, Angeli D. Flexibility framework with recovery guarantees for aggregated energy storage devices. IEEE Trans Smart Grid 2022;13(5):3519–31.</w:t>
      </w:r>
    </w:p>
    <w:p>
      <w:pPr>
        <w:pStyle w:val="Bibliography"/>
      </w:pPr>
      <w:r>
        <w:t xml:space="preserve">[33] Li M. Beyond scalar flexibility: from eligible AI workloads to dependable load relief. arXiv:2609.05406; 2026.</w:t>
      </w:r>
    </w:p>
    <w:p>
      <w:pPr>
        <w:pStyle w:val="Bibliography"/>
      </w:pPr>
      <w:r>
        <w:t xml:space="preserve">[34] Schildbach G, Fagiano L, Frei C, et al. The scenario approach for stochastic model predictive control with bounds on closed-loop constraint violations. Automatica 2014;50(12):3009–18.</w:t>
      </w:r>
    </w:p>
    <w:p>
      <w:pPr>
        <w:pStyle w:val="Bibliography"/>
      </w:pPr>
      <w:r>
        <w:t xml:space="preserve">[35] Wang Z, Zhang H. Customer baseline load estimation for virtual power plants in demand response: an attention mechanism-based generative adversarial networks approach. Appl Energy 2024;357:122544.</w:t>
      </w:r>
    </w:p>
    <w:p>
      <w:pPr>
        <w:pStyle w:val="Bibliography"/>
      </w:pPr>
      <w:r>
        <w:t xml:space="preserve">[36] Wang Y, Zhang X, Cai M, et al. Physics-informed baseline load estimation for high-frequency demand response. Appl Energy 2026;405:127155.</w:t>
      </w:r>
    </w:p>
    <w:p>
      <w:pPr>
        <w:pStyle w:val="Bibliography"/>
      </w:pPr>
      <w:r>
        <w:t xml:space="preserve">[37] Mohajerin Esfahani P, Kuhn D. Data-driven distributionally robust optimization using the Wasserstein metric: performance guarantees and tractable reformulations. Math Program 2018;171(1–2):115–66.</w:t>
      </w:r>
    </w:p>
    <w:p>
      <w:pPr>
        <w:pStyle w:val="Bibliography"/>
      </w:pPr>
      <w:r>
        <w:t xml:space="preserve">[38] Duan C, Fang W, Jiang L, et al. Distributionally robust chance-constrained approximate AC-OPF with Wasserstein metric. IEEE Trans Power Syst 2018;33(5):4924–36.</w:t>
      </w:r>
    </w:p>
    <w:p>
      <w:pPr>
        <w:pStyle w:val="Bibliography"/>
      </w:pPr>
      <w:r>
        <w:t xml:space="preserve">[39] Paredes Á, Zhou Y, Aguado JA, et al. Independent aggregators securing end user Wasserstein distributionally robust flexibility through bilevel incentives. Appl Energy 2026;409:127484.</w:t>
      </w:r>
    </w:p>
    <w:p>
      <w:pPr>
        <w:pStyle w:val="Bibliography"/>
      </w:pPr>
      <w:r>
        <w:t xml:space="preserve">[40] Zeng B, Zhao L. Solving two-stage robust optimization problems using a column-and-constraint generation method. Oper Res Lett 2013;41(5):457–61.</w:t>
      </w:r>
    </w:p>
    <w:p>
      <w:pPr>
        <w:pStyle w:val="Bibliography"/>
      </w:pPr>
      <w:r>
        <w:t xml:space="preserve">[41] Ministry of Ecology and Environment, National Bureau of Statistics. Announcement on the release of the 2022 electricity carbon dioxide emission factors. Beijing; 2024 [in Chinese].</w:t>
      </w:r>
    </w:p>
    <w:p>
      <w:pPr>
        <w:pStyle w:val="Bibliography"/>
      </w:pPr>
      <w:r>
        <w:t xml:space="preserve">[42] Intergovernmental Panel on Climate Change. 2006 IPCC guidelines for national greenhouse gas inventories, vol. 2: energy. Hayama: Institute for Global Environmental Strategies; 2006.</w:t>
      </w:r>
    </w:p>
    <w:p>
      <w:pPr>
        <w:pStyle w:val="Bibliography"/>
      </w:pPr>
      <w:r>
        <w:t xml:space="preserve">[43] del Barrio E, Giné E, Matrán C. Central limit theorems for the Wasserstein distance between the empirical and the true distributions. Ann Probab 1999;27(2):1009–71.</w:t>
      </w:r>
    </w:p>
    <w:p>
      <w:pPr>
        <w:pStyle w:val="Bibliography"/>
      </w:pPr>
      <w:r>
        <w:t xml:space="preserve">[44] Weng Q, Xiao W, Yu Y, et al. MLaaS in the wild: workload analysis and scheduling in large-scale heterogeneous GPU clusters. In: Proceedings of the 19th USENIX Symposium on Networked Systems Design and Implementation (NSDI); 2022. p. 945–60.</w:t>
      </w:r>
    </w:p>
    <w:p>
      <w:pPr>
        <w:pStyle w:val="Bibliography"/>
      </w:pPr>
      <w:r>
        <w:t xml:space="preserve">[45] Stojkovic J, Zhang C, Goiri Í, et al. DynamoLLM: designing LLM inference clusters for performance and energy efficiency. In: Proceedings of the IEEE International Symposium on High Performance Computer Architecture (HPCA); 2025. p. 1348–62.</w:t>
      </w:r>
    </w:p>
    <w:p>
      <w:pPr>
        <w:pStyle w:val="Bibliography"/>
      </w:pPr>
      <w:r>
        <w:t xml:space="preserve">[46] Chao H. Demand response in wholesale electricity markets: the choice of customer baseline. J Regul Econ 2011;39(1):68–88.</w:t>
      </w:r>
    </w:p>
    <w:p>
      <w:pPr>
        <w:pStyle w:val="Bibliography"/>
      </w:pPr>
      <w:r>
        <w:t xml:space="preserve">[47] Latif I, Newkirk AC, Carbone MR, et al. Single-node power demand during AI training: measurements on an 8-GPU NVIDIA H100 system. IEEE Access 2025;13:61740–7.</w:t>
      </w:r>
    </w:p>
    <w:p>
      <w:pPr>
        <w:pStyle w:val="Bibliography"/>
      </w:pPr>
      <w:r>
        <w:t xml:space="preserve">[48] Fan X, Weber W-D, Barroso LA. Power provisioning for a warehouse-sized computer. In: Proceedings of the 34th Annual International Symposium on Computer Architecture (ISCA); 2007. p. 13–23.</w:t>
      </w:r>
    </w:p>
    <w:p>
      <w:pPr>
        <w:pStyle w:val="Bibliography"/>
      </w:pPr>
      <w:r>
        <w:t xml:space="preserve">[49] Patel P, Choukse E, Zhang C, et al. Characterizing power management opportunities for LLMs in the cloud. In: Proceedings of the 29th ACM International Conference on Architectural Support for Programming Languages and Operating Systems (ASPLOS); 2024. p. 207–22.</w:t>
      </w:r>
    </w:p>
    <w:p>
      <w:pPr>
        <w:pStyle w:val="Bibliography"/>
      </w:pPr>
      <w:r>
        <w:t xml:space="preserve">[50] Xu B, Zhao J, Zheng T, et al. Factoring the cycle aging cost of batteries participating in electricity markets. IEEE Trans Power Syst 2018;33(2):2248–59.</w:t>
      </w:r>
    </w:p>
    <w:p>
      <w:pPr>
        <w:pStyle w:val="Bibliography"/>
      </w:pPr>
      <w:r>
        <w:t xml:space="preserve">[51] Dobos AP. PVWatts version 5 manual. Technical Report NREL/TP-6A20-62641. Golden: National Renewable Energy Laboratory; 2014.</w:t>
      </w:r>
    </w:p>
    <w:p>
      <w:pPr>
        <w:pStyle w:val="Bibliography"/>
      </w:pPr>
      <w:r>
        <w:t xml:space="preserve">[52] General Office of the National Development and Reform Commission. Notice on improving the implementation of the capacity charge for two-part tariff users (Fagai Ban Jiage [2016] No. 1583). Beijing; 2016 [in Chinese].</w:t>
      </w:r>
    </w:p>
    <w:bookmarkEnd w:id="145"/>
    <w:sectPr>
      <w:headerReference r:id="rId9" w:type="default"/>
      <w:footerReference r:id="rId10" w:type="default"/>
      <w:footerReference r:id="rId10" w:type="first"/>
      <w:type w:val="continuous"/>
      <w:pgSz w:h="16838" w:w="11906"/>
      <w:pgMar w:bottom="1077" w:footer="510" w:gutter="0" w:header="567" w:left="850" w:right="850" w:top="1077"/>
      <w:cols w:num="2" w:space="3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spacing w:before="0" w:after="0" w:line="240" w:lineRule="auto"/>
      <w:jc w:val="left"/>
    </w:pPr>
    <w:r>
      <w:rPr>
        <w:i/>
        <w:iCs/>
        <w:sz w:val="15"/>
        <w:szCs w:val="15"/>
      </w:rPr>
      <w:t>Recovery-aware scheduling for consecutive demand response of AI data centers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19"/>
        <w:szCs w:val="19"/>
        <w:lang w:bidi="ar-SA" w:eastAsia="zh-CN" w:val="en-GB"/>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0" w:before="0" w:line="240" w:lineRule="auto"/>
      <w:ind w:firstLine="227"/>
      <w:jc w:val="both"/>
    </w:pPr>
  </w:style>
  <w:style w:customStyle="1" w:styleId="FirstParagraph" w:type="paragraph">
    <w:name w:val="First Paragraph"/>
    <w:basedOn w:val="BodyText"/>
    <w:next w:val="BodyText"/>
    <w:qFormat/>
    <w:pPr>
      <w:ind w:firstLine="0"/>
    </w:pPr>
  </w:style>
  <w:style w:customStyle="1" w:styleId="Compact" w:type="paragraph">
    <w:name w:val="Compact"/>
    <w:basedOn w:val="BodyText"/>
    <w:qFormat/>
    <w:pPr>
      <w:ind w:firstLine="0"/>
      <w:jc w:val="left"/>
    </w:pPr>
  </w:style>
  <w:style w:styleId="Title" w:type="paragraph">
    <w:name w:val="Title"/>
    <w:basedOn w:val="Normal"/>
    <w:next w:val="BodyText"/>
    <w:qFormat/>
    <w:pPr>
      <w:keepNext/>
      <w:spacing w:after="200" w:before="120" w:line="252" w:lineRule="auto"/>
      <w:jc w:val="left"/>
    </w:pPr>
    <w:rPr>
      <w:sz w:val="32"/>
      <w:szCs w:val="32"/>
    </w:rPr>
  </w:style>
  <w:style w:styleId="Subtitle" w:type="paragraph">
    <w:name w:val="Subtitle"/>
    <w:basedOn w:val="Normal"/>
    <w:next w:val="BodyText"/>
    <w:qFormat/>
    <w:pPr>
      <w:spacing w:after="240" w:before="0" w:line="240" w:lineRule="auto"/>
      <w:jc w:val="left"/>
    </w:pPr>
    <w:rPr>
      <w:i/>
      <w:iCs/>
      <w:sz w:val="22"/>
      <w:szCs w:val="22"/>
    </w:rPr>
  </w:style>
  <w:style w:customStyle="1" w:styleId="Author" w:type="paragraph">
    <w:name w:val="Author"/>
    <w:basedOn w:val="Normal"/>
    <w:next w:val="BodyText"/>
    <w:qFormat/>
    <w:pPr>
      <w:spacing w:after="60" w:before="0" w:line="240" w:lineRule="auto"/>
      <w:jc w:val="left"/>
    </w:pPr>
    <w:rPr>
      <w:sz w:val="22"/>
      <w:szCs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20" w:before="0" w:line="240" w:lineRule="auto"/>
      <w:ind w:hanging="397" w:left="397"/>
      <w:jc w:val="left"/>
    </w:pPr>
    <w:rPr>
      <w:sz w:val="15"/>
      <w:szCs w:val="15"/>
    </w:rPr>
  </w:style>
  <w:style w:styleId="Heading1" w:type="paragraph">
    <w:name w:val="Heading 1"/>
    <w:basedOn w:val="Normal"/>
    <w:next w:val="FirstParagraph"/>
    <w:qFormat/>
    <w:pPr>
      <w:keepNext/>
      <w:keepLines/>
      <w:spacing w:after="100" w:before="240" w:line="240" w:lineRule="auto"/>
      <w:outlineLvl w:val="0"/>
    </w:pPr>
    <w:rPr>
      <w:b/>
      <w:bCs/>
      <w:sz w:val="19"/>
      <w:szCs w:val="19"/>
    </w:rPr>
  </w:style>
  <w:style w:styleId="Heading2" w:type="paragraph">
    <w:name w:val="Heading 2"/>
    <w:basedOn w:val="Normal"/>
    <w:next w:val="FirstParagraph"/>
    <w:qFormat/>
    <w:pPr>
      <w:keepNext/>
      <w:keepLines/>
      <w:spacing w:after="80" w:before="180" w:line="240" w:lineRule="auto"/>
      <w:outlineLvl w:val="1"/>
    </w:pPr>
    <w:rPr>
      <w:i/>
      <w:iCs/>
      <w:sz w:val="19"/>
      <w:szCs w:val="19"/>
    </w:rPr>
  </w:style>
  <w:style w:styleId="Heading3" w:type="paragraph">
    <w:name w:val="Heading 3"/>
    <w:basedOn w:val="Normal"/>
    <w:next w:val="FirstParagraph"/>
    <w:qFormat/>
    <w:pPr>
      <w:keepNext/>
      <w:keepLines/>
      <w:spacing w:after="60" w:before="140" w:line="240" w:lineRule="auto"/>
      <w:outlineLvl w:val="2"/>
    </w:pPr>
    <w:rPr>
      <w:i/>
      <w:iCs/>
      <w:sz w:val="19"/>
      <w:szCs w:val="19"/>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qFormat/>
    <w:pPr>
      <w:spacing w:after="0" w:before="0" w:line="240" w:lineRule="auto"/>
    </w:pPr>
    <w:rPr>
      <w:sz w:val="15"/>
      <w:szCs w:val="15"/>
    </w:r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000000" w:space="0" w:sz="6" w:val="single"/>
        <w:bottom w:color="000000" w:space="0" w:sz="6" w:val="single"/>
      </w:tblBorders>
      <w:tblCellMar>
        <w:top w:type="dxa" w:w="0"/>
        <w:left w:type="dxa" w:w="57"/>
        <w:bottom w:type="dxa" w:w="0"/>
        <w:right w:type="dxa" w:w="57"/>
      </w:tblCellMar>
    </w:tblPr>
    <w:tblStylePr w:type="firstRow">
      <w:tcPr>
        <w:tcBorders>
          <w:bottom w:color="000000" w:space="0" w:sz="4"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0" w:before="0" w:line="240" w:lineRule="auto"/>
      <w:jc w:val="both"/>
    </w:pPr>
    <w:rPr>
      <w:sz w:val="15"/>
      <w:szCs w:val="15"/>
    </w:rPr>
  </w:style>
  <w:style w:customStyle="1" w:styleId="TableCaption" w:type="paragraph">
    <w:name w:val="Table Caption"/>
    <w:basedOn w:val="Caption"/>
    <w:qFormat/>
    <w:pPr>
      <w:keepNext/>
      <w:spacing w:after="60" w:before="120" w:line="240" w:lineRule="auto"/>
      <w:jc w:val="left"/>
    </w:pPr>
  </w:style>
  <w:style w:customStyle="1" w:styleId="ImageCaption" w:type="paragraph">
    <w:name w:val="Image Caption"/>
    <w:basedOn w:val="FigureCaption"/>
    <w:qFormat/>
  </w:style>
  <w:style w:customStyle="1" w:styleId="Figure" w:type="paragraph">
    <w:name w:val="Figure"/>
    <w:basedOn w:val="Normal"/>
    <w:qFormat/>
    <w:pPr>
      <w:keepNext/>
      <w:spacing w:after="0" w:before="0" w:line="240" w:lineRule="auto"/>
      <w:jc w:val="center"/>
    </w:pPr>
  </w:style>
  <w:style w:customStyle="1" w:styleId="CaptionedFigure" w:type="paragraph">
    <w:name w:val="Captioned Figure"/>
    <w:basedOn w:val="Figure"/>
    <w:qFormat/>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qFormat/>
    <w:rPr>
      <w:color w:val="1F6FB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ffiliation" w:type="paragraph">
    <w:name w:val="Affiliation"/>
    <w:basedOn w:val="Normal"/>
    <w:next w:val="BodyText"/>
    <w:qFormat/>
    <w:pPr>
      <w:spacing w:after="40" w:before="0" w:line="240" w:lineRule="auto"/>
      <w:jc w:val="left"/>
    </w:pPr>
    <w:rPr>
      <w:sz w:val="15"/>
      <w:szCs w:val="15"/>
    </w:rPr>
  </w:style>
  <w:style w:customStyle="1" w:styleId="FrontHead" w:type="paragraph">
    <w:name w:val="Front Head"/>
    <w:basedOn w:val="Normal"/>
    <w:next w:val="BodyText"/>
    <w:qFormat/>
    <w:pPr>
      <w:keepNext/>
      <w:spacing w:after="60" w:before="160" w:line="240" w:lineRule="auto"/>
    </w:pPr>
    <w:rPr>
      <w:caps/>
      <w:spacing w:val="30"/>
      <w:sz w:val="15"/>
      <w:szCs w:val="15"/>
    </w:rPr>
  </w:style>
  <w:style w:customStyle="1" w:styleId="FrontText" w:type="paragraph">
    <w:name w:val="Front Text"/>
    <w:basedOn w:val="BodyText"/>
    <w:qFormat/>
    <w:pPr>
      <w:ind w:firstLine="0"/>
      <w:spacing w:after="0" w:before="0" w:line="240" w:lineRule="auto"/>
    </w:pPr>
    <w:rPr>
      <w:sz w:val="17"/>
      <w:szCs w:val="17"/>
    </w:rPr>
  </w:style>
  <w:style w:customStyle="1" w:styleId="HighlightItem" w:type="paragraph">
    <w:name w:val="Highlight Item"/>
    <w:basedOn w:val="BodyText"/>
    <w:qFormat/>
    <w:pPr>
      <w:ind w:firstLine="0" w:hanging="170" w:left="170"/>
      <w:jc w:val="left"/>
    </w:pPr>
    <w:rPr>
      <w:sz w:val="16"/>
      <w:szCs w:val="16"/>
    </w:rPr>
  </w:style>
  <w:style w:customStyle="1" w:styleId="Rule" w:type="paragraph">
    <w:name w:val="Rule"/>
    <w:basedOn w:val="Normal"/>
    <w:qFormat/>
    <w:pPr>
      <w:spacing w:after="40" w:before="40" w:line="240" w:lineRule="auto"/>
      <w:pBdr>
        <w:bottom w:color="7F7F7F" w:space="0" w:sz="4" w:val="single"/>
      </w:pBdr>
    </w:pPr>
    <w:rPr>
      <w:sz w:val="8"/>
      <w:szCs w:val="8"/>
    </w:rPr>
  </w:style>
  <w:style w:customStyle="1" w:styleId="FigureCaption" w:type="paragraph">
    <w:name w:val="Figure Caption"/>
    <w:basedOn w:val="Caption"/>
    <w:qFormat/>
    <w:pPr>
      <w:spacing w:after="0" w:before="60" w:line="240" w:lineRule="auto"/>
    </w:pPr>
  </w:style>
  <w:style w:customStyle="1" w:styleId="FigureCaptionCentered" w:type="paragraph">
    <w:name w:val="Figure Caption Centered"/>
    <w:basedOn w:val="FigureCaption"/>
    <w:qFormat/>
    <w:pPr>
      <w:jc w:val="center"/>
    </w:pPr>
  </w:style>
  <w:style w:customStyle="1" w:styleId="Equation" w:type="paragraph">
    <w:name w:val="Equation"/>
    <w:basedOn w:val="Normal"/>
    <w:qFormat/>
    <w:pPr>
      <w:keepLines/>
      <w:tabs>
        <w:tab w:pos="284" w:val="left"/>
        <w:tab w:pos="4918" w:val="right"/>
      </w:tabs>
      <w:spacing w:after="80" w:before="80" w:line="240" w:lineRule="auto"/>
    </w:pPr>
  </w:style>
  <w:style w:customStyle="1" w:styleId="TableText" w:type="paragraph">
    <w:name w:val="Table Text"/>
    <w:basedOn w:val="Normal"/>
    <w:qFormat/>
    <w:pPr>
      <w:spacing w:after="10" w:before="10" w:line="240" w:lineRule="auto"/>
      <w:jc w:val="left"/>
    </w:pPr>
    <w:rPr>
      <w:sz w:val="15"/>
      <w:szCs w:val="15"/>
    </w:rPr>
  </w:style>
  <w:style w:customStyle="1" w:styleId="TableNote" w:type="paragraph">
    <w:name w:val="Table Note"/>
    <w:basedOn w:val="BodyText"/>
    <w:qFormat/>
    <w:pPr>
      <w:ind w:firstLine="0"/>
      <w:spacing w:after="0" w:before="40" w:line="240" w:lineRule="auto"/>
    </w:pPr>
    <w:rPr>
      <w:sz w:val="14"/>
      <w:szCs w:val="14"/>
    </w:rPr>
  </w:style>
  <w:style w:customStyle="1" w:styleId="NomHead" w:type="paragraph">
    <w:name w:val="Nomenclature Head"/>
    <w:basedOn w:val="BodyText"/>
    <w:next w:val="BodyText"/>
    <w:qFormat/>
    <w:pPr>
      <w:keepNext/>
      <w:ind w:firstLine="0"/>
      <w:spacing w:after="20" w:before="100" w:line="240" w:lineRule="auto"/>
    </w:pPr>
    <w:rPr>
      <w:i/>
      <w:iCs/>
      <w:sz w:val="17"/>
      <w:szCs w:val="17"/>
    </w:rPr>
  </w:style>
  <w:style w:customStyle="1" w:styleId="Placeholder" w:type="character">
    <w:name w:val="Placeholder"/>
    <w:basedOn w:val="DefaultParagraphFont"/>
    <w:qFormat/>
    <w:rPr>
      <w:shd w:color="auto" w:fill="FFFF00"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90" Target="media/rId90.png" /><Relationship Type="http://schemas.openxmlformats.org/officeDocument/2006/relationships/image" Id="rId97" Target="media/rId97.png" /><Relationship Type="http://schemas.openxmlformats.org/officeDocument/2006/relationships/image" Id="rId104" Target="media/rId104.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8" Target="media/rId128.png" /><Relationship Type="http://schemas.openxmlformats.org/officeDocument/2006/relationships/image" Id="rId22" Target="media/rId22.png" /><Relationship Type="http://schemas.openxmlformats.org/officeDocument/2006/relationships/image" Id="rId40" Target="media/rId40.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84" Target="media/rId8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2026-10-25T21:40:16Z</dcterms:created>
  <dcterms:modified xsi:type="dcterms:W3CDTF">2026-10-25T21:40:16Z</dcterms:modified>
</cp:coreProperties>
</file>

<file path=docProps/custom.xml><?xml version="1.0" encoding="utf-8"?>
<Properties xmlns="http://schemas.openxmlformats.org/officeDocument/2006/custom-properties" xmlns:vt="http://schemas.openxmlformats.org/officeDocument/2006/docPropsVTypes"/>
</file>