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Recovery-aware</w:t>
      </w:r>
      <w:r>
        <w:t xml:space="preserve"> </w:t>
      </w:r>
      <w:r>
        <w:t xml:space="preserve">coordinated</w:t>
      </w:r>
      <w:r>
        <w:t xml:space="preserve"> </w:t>
      </w:r>
      <w:r>
        <w:t xml:space="preserve">scheduling</w:t>
      </w:r>
      <w:r>
        <w:t xml:space="preserve"> </w:t>
      </w:r>
      <w:r>
        <w:t xml:space="preserve">of</w:t>
      </w:r>
      <w:r>
        <w:t xml:space="preserve"> </w:t>
      </w:r>
      <w:r>
        <w:t xml:space="preserve">computing</w:t>
      </w:r>
      <w:r>
        <w:t xml:space="preserve"> </w:t>
      </w:r>
      <w:r>
        <w:t xml:space="preserve">workloads</w:t>
      </w:r>
      <w:r>
        <w:t xml:space="preserve"> </w:t>
      </w:r>
      <w:r>
        <w:t xml:space="preserve">and</w:t>
      </w:r>
      <w:r>
        <w:t xml:space="preserve"> </w:t>
      </w:r>
      <w:r>
        <w:t xml:space="preserve">energy</w:t>
      </w:r>
      <w:r>
        <w:t xml:space="preserve"> </w:t>
      </w:r>
      <w:r>
        <w:t xml:space="preserve">storage</w:t>
      </w:r>
      <w:r>
        <w:t xml:space="preserve"> </w:t>
      </w:r>
      <w:r>
        <w:t xml:space="preserve">for</w:t>
      </w:r>
      <w:r>
        <w:t xml:space="preserve"> </w:t>
      </w:r>
      <w:r>
        <w:t xml:space="preserve">deliverable</w:t>
      </w:r>
      <w:r>
        <w:t xml:space="preserve"> </w:t>
      </w:r>
      <w:r>
        <w:t xml:space="preserve">consecutive</w:t>
      </w:r>
      <w:r>
        <w:t xml:space="preserve"> </w:t>
      </w:r>
      <w:r>
        <w:t xml:space="preserve">demand</w:t>
      </w:r>
      <w:r>
        <w:t xml:space="preserve"> </w:t>
      </w:r>
      <w:r>
        <w:t xml:space="preserve">response</w:t>
      </w:r>
      <w:r>
        <w:t xml:space="preserve"> </w:t>
      </w:r>
      <w:r>
        <w:t xml:space="preserve">in</w:t>
      </w:r>
      <w:r>
        <w:t xml:space="preserve"> </w:t>
      </w:r>
      <w:r>
        <w:t xml:space="preserve">AI</w:t>
      </w:r>
      <w:r>
        <w:t xml:space="preserve"> </w:t>
      </w:r>
      <w:r>
        <w:t xml:space="preserve">data</w:t>
      </w:r>
      <w:r>
        <w:t xml:space="preserve"> </w:t>
      </w:r>
      <w:r>
        <w:t xml:space="preserve">centers</w:t>
      </w:r>
    </w:p>
    <w:p>
      <w:pPr>
        <w:pStyle w:val="Figure"/>
      </w:pPr>
      <w:r>
        <w:drawing>
          <wp:inline>
            <wp:extent cx="5576399" cy="324223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datacenter/paper/figures/FigS1_perfect_information_regio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399" cy="3242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Two-event capability regions with perfect information on the DR day for different event durations and intervals, and for three events (E1 = E2 =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 E3 maximised), for joint recovery, event-by-event joint recovery, independent recovery with the best static split and the independent post-event state with joint recovery.</w:t>
      </w:r>
    </w:p>
    <w:p>
      <w:pPr>
        <w:pStyle w:val="Figure"/>
      </w:pPr>
      <w:r>
        <w:drawing>
          <wp:inline>
            <wp:extent cx="5648399" cy="271598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datacenter/paper/figures/FigS2_commitment_method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99" cy="2715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Day-ahead commitment methods in the plane of out-of-sample full delivery and daily benefit (Table 5): closed-loop back-test with sample-average, robust and cost-optimal commitments, and commitments from physical capability (perfect-recourse MILP, single-event capability).</w:t>
      </w:r>
    </w:p>
    <w:p>
      <w:pPr>
        <w:pStyle w:val="Figure"/>
      </w:pPr>
      <w:r>
        <w:drawing>
          <wp:inline>
            <wp:extent cx="5695199" cy="240423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datacenter/paper/figures/FigS3_call_uncertaint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240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Event-call uncertainty (S3 with the third event called with probability 0.6 and confirmed 1 h ahead, 6 MW per event): (a) mean daily cost and (b) mean fulfilment on the days on which the third event is called or cancelled.</w:t>
      </w:r>
    </w:p>
    <w:p>
      <w:pPr>
        <w:pStyle w:val="Figure"/>
      </w:pPr>
      <w:r>
        <w:drawing>
          <wp:inline>
            <wp:extent cx="5695199" cy="234633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datacenter/paper/figures/FigS4_rebound_polic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2346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Post-event rebound as a policy parameter (S1, 6 MW, DR day): (a) cost under the Jiangsu rules alone versus the peak post-event rebound, (b) peak rebound versus the rebound assessment price.</w:t>
      </w:r>
    </w:p>
    <w:p>
      <w:pPr>
        <w:pStyle w:val="Figure"/>
      </w:pPr>
      <w:r>
        <w:drawing>
          <wp:inline>
            <wp:extent cx="5723999" cy="237042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datacenter/paper/figures/FigS5_mechanism_boun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999" cy="2370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Proposition 1 on the DR day: deliverable capability of event B relative to its single-event capability versus the interval, for joint response and recovery, independent recovery, the independent post-event state with joint recovery and the bound of Proposition 1, for (a) a 2-h first event and (b) a 2-h second event; (c) capability gain of joint recovery over the interval and the connection margin.</w:t>
      </w:r>
    </w:p>
    <w:p>
      <w:pPr>
        <w:pStyle w:val="Figure"/>
      </w:pPr>
      <w:r>
        <w:drawing>
          <wp:inline>
            <wp:extent cx="5723999" cy="19760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datacenter/paper/figures/FigS6_proposition2_chec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999" cy="197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S6.</w:t>
      </w:r>
      <w:r>
        <w:t xml:space="preserve"> </w:t>
      </w:r>
      <w:r>
        <w:t xml:space="preserve">Proposition 2: deliverable reduction of the next event versus the interval in the single-class model, closed form (lines) and discrete-time LP (markers), for lag bounds of 1, 1.5, 2 and 3 h.</w:t>
      </w:r>
    </w:p>
    <w:p>
      <w:pPr>
        <w:pStyle w:val="Figure"/>
      </w:pPr>
      <w:r>
        <w:drawing>
          <wp:inline>
            <wp:extent cx="4017599" cy="30025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datacenter/paper/figures/FigS7_shadow_pric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99" cy="3002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S7.</w:t>
      </w:r>
      <w:r>
        <w:t xml:space="preserve"> </w:t>
      </w:r>
      <w:r>
        <w:t xml:space="preserve">Single channel price (Remark B.1): (a) dual of the electric balance (recovery-channel price) and TOU price; (b) duals of the backlog equations of the three classes, which coincide with the channel price when catch-up and recharge are both interior.</w:t>
      </w:r>
    </w:p>
    <w:sectPr>
      <w:footerReference r:id="rId9" w:type="default"/>
      <w:pgSz w:h="16838" w:w="11906"/>
      <w:pgMar w:bottom="1418" w:footer="709" w:gutter="0" w:header="709" w:left="1418" w:right="1418" w:top="1418"/>
      <w:lnNumType w:countBy="1" w:distance="284" w:restart="continuous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uppressLineNumbers/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480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</w:pPr>
  </w:style>
  <w:style w:styleId="Title" w:type="paragraph">
    <w:name w:val="Title"/>
    <w:basedOn w:val="Normal"/>
    <w:next w:val="BodyText"/>
    <w:qFormat/>
    <w:pPr>
      <w:keepNext/>
      <w:spacing w:after="360" w:before="0" w:line="360" w:lineRule="auto"/>
      <w:jc w:val="center"/>
    </w:pPr>
    <w:rPr>
      <w:b/>
      <w:bCs/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360" w:before="0" w:line="360" w:lineRule="auto"/>
      <w:jc w:val="center"/>
    </w:pPr>
    <w:rPr>
      <w:i/>
      <w:iCs/>
      <w:sz w:val="24"/>
      <w:szCs w:val="24"/>
    </w:rPr>
  </w:style>
  <w:style w:customStyle="1" w:styleId="Author" w:type="paragraph">
    <w:name w:val="Author"/>
    <w:basedOn w:val="Normal"/>
    <w:next w:val="BodyText"/>
    <w:qFormat/>
    <w:pPr>
      <w:spacing w:after="120" w:before="0" w:line="360" w:lineRule="auto"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spacing w:after="120" w:before="240" w:line="276" w:lineRule="auto"/>
    </w:pPr>
    <w:rPr>
      <w:b/>
      <w:bCs/>
    </w:rPr>
  </w:style>
  <w:style w:customStyle="1" w:styleId="Abstract" w:type="paragraph">
    <w:name w:val="Abstract"/>
    <w:basedOn w:val="BodyText"/>
    <w:qFormat/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hanging="567" w:left="567"/>
    </w:pPr>
  </w:style>
  <w:style w:styleId="Heading1" w:type="paragraph">
    <w:name w:val="Heading 1"/>
    <w:basedOn w:val="Normal"/>
    <w:next w:val="BodyText"/>
    <w:qFormat/>
    <w:pPr>
      <w:keepNext/>
      <w:keepLines/>
      <w:spacing w:after="120" w:before="360" w:line="276" w:lineRule="auto"/>
      <w:outlineLvl w:val="0"/>
    </w:pPr>
    <w:rPr>
      <w:b/>
      <w:bCs/>
      <w:sz w:val="24"/>
      <w:szCs w:val="24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40" w:line="276" w:lineRule="auto"/>
      <w:outlineLvl w:val="1"/>
    </w:pPr>
    <w:rPr>
      <w:b/>
      <w:bCs/>
      <w:i/>
      <w:iCs/>
      <w:sz w:val="24"/>
      <w:szCs w:val="24"/>
    </w:rPr>
  </w:style>
  <w:style w:styleId="Heading3" w:type="paragraph">
    <w:name w:val="Heading 3"/>
    <w:basedOn w:val="Normal"/>
    <w:next w:val="BodyText"/>
    <w:qFormat/>
    <w:pPr>
      <w:keepNext/>
      <w:keepLines/>
      <w:spacing w:after="60" w:before="240" w:line="276" w:lineRule="auto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8" w:val="single"/>
        <w:bottom w:color="000000" w:space="0" w:sz="8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120" w:before="0" w:line="276" w:lineRule="auto"/>
      <w:jc w:val="both"/>
    </w:pPr>
    <w:rPr>
      <w:sz w:val="22"/>
      <w:szCs w:val="22"/>
    </w:rPr>
  </w:style>
  <w:style w:customStyle="1" w:styleId="TableCaption" w:type="paragraph">
    <w:name w:val="Table Caption"/>
    <w:basedOn w:val="Caption"/>
    <w:qFormat/>
    <w:pPr>
      <w:keepNext/>
      <w:spacing w:after="120" w:before="240" w:line="276" w:lineRule="auto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60" w:before="24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igureCaption" w:type="paragraph">
    <w:name w:val="Figure Caption"/>
    <w:basedOn w:val="Caption"/>
    <w:qFormat/>
    <w:pPr>
      <w:spacing w:after="240" w:before="60" w:line="276" w:lineRule="auto"/>
    </w:pPr>
  </w:style>
  <w:style w:customStyle="1" w:styleId="Equation" w:type="paragraph">
    <w:name w:val="Equation"/>
    <w:basedOn w:val="Normal"/>
    <w:qFormat/>
    <w:pPr>
      <w:keepLines/>
      <w:tabs>
        <w:tab w:pos="4535" w:val="center"/>
        <w:tab w:pos="9070" w:val="right"/>
      </w:tabs>
      <w:spacing w:after="120" w:before="120" w:line="276" w:lineRule="auto"/>
    </w:pPr>
  </w:style>
  <w:style w:customStyle="1" w:styleId="TableText" w:type="paragraph">
    <w:name w:val="Table Text"/>
    <w:basedOn w:val="Normal"/>
    <w:qFormat/>
    <w:pPr>
      <w:spacing w:after="20" w:before="20" w:line="240" w:lineRule="auto"/>
      <w:jc w:val="left"/>
    </w:pPr>
    <w:rPr>
      <w:sz w:val="20"/>
      <w:szCs w:val="20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dc:language>en-GB</dc:language>
  <cp:keywords/>
  <dcterms:created xsi:type="dcterms:W3CDTF">2026-10-24T06:24:53Z</dcterms:created>
  <dcterms:modified xsi:type="dcterms:W3CDTF">2026-10-24T06:24:53Z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Recovery-aware coordinated scheduling of computing workloads and energy storage for deliverable consecutive demand response in AI data centers</vt:lpwstr>
  </property>
</Properties>
</file>