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Application Card</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3: Cecilia Li, Fangyuan Lu, Isis Hernandez Moreno, Jiahui Han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tl w:val="0"/>
        </w:rPr>
      </w:r>
    </w:p>
    <w:p w:rsidR="00000000" w:rsidDel="00000000" w:rsidP="00000000" w:rsidRDefault="00000000" w:rsidRPr="00000000" w14:paraId="00000005">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targets climate risk and sustainability analysts working in financial regulators, central banks, and multilateral institutions who review and compare disclosure practices across systemically important banks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In practice, this work is time-consuming and often inconsistent when done manually. Even when banks publicly state which Sustainable Development Goals (SDGs) they align with, those commitments are usually presented at a broad level and are not clearly connected to specific risk disclosures in the text. This makes it difficult for analysts to assess how firms frame transition and physical climate risks, and whether those narratives are comparable across institutions.</w:t>
      </w:r>
    </w:p>
    <w:p w:rsidR="00000000" w:rsidDel="00000000" w:rsidP="00000000" w:rsidRDefault="00000000" w:rsidRPr="00000000" w14:paraId="00000006">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adds value because it makes the review process more efficient, structured, and transparent. Instead of reading entire reports one by one, a user can ask a targeted question and receive relevant excerpts, a classification of the type of climate risk being discussed, and a structured comparison across firms. This is especially useful when analysts need to identify patterns in disclosure practices, check whether firms are emphasizing similar or different risk themes, or understand how climate risk language is being presented under SDG-related commitments. By linking outputs back to specific evidence in the source documents, the tool also helps users verify the reasoning behind the results rather than relying on an opaque summary.</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Non-triaviality</w:t>
      </w:r>
    </w:p>
    <w:p w:rsidR="00000000" w:rsidDel="00000000" w:rsidP="00000000" w:rsidRDefault="00000000" w:rsidRPr="00000000" w14:paraId="00000008">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application addresses a practical challenge in reviewing sustainability and climate disclosures from large banks. These reports are lengthy and heterogeneous, yet analysts often need specific outputs to enable cross-firm comparison and support further analysis. Existing approaches remain insufficient: manual review is thorough but not scalable, keyword search may miss relevant disclosures when banks use different terminology or embed information in narrative sections, and standalone generative AI tools typically produce long narrative summaries rather than structured analytical results, leaving key information buried in generated text.</w:t>
      </w:r>
    </w:p>
    <w:p w:rsidR="00000000" w:rsidDel="00000000" w:rsidP="00000000" w:rsidRDefault="00000000" w:rsidRPr="00000000" w14:paraId="00000009">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application addresses this gap by focusing on structured cross-firm disclosure analysis. The system separates retrieval from generation. Disclosure reports are first preprocessed and indexed in a vector database to retrieve the most relevant passages at the chunk level, which are then provided to the LLM for classification and synthesis. This retrieval-augmented design grounds the model’s reasoning in specific evidence rather than requiring it to interpret entire documents.</w:t>
      </w:r>
    </w:p>
    <w:p w:rsidR="00000000" w:rsidDel="00000000" w:rsidP="00000000" w:rsidRDefault="00000000" w:rsidRPr="00000000" w14:paraId="0000000A">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produces structured outputs linked to source text, including risk classification, SDG linkage, key metrics, and the originating document. By prioritizing controlled retrieval and disciplined output formats, the application enables more consistent and transparent cross-firm comparisons than manual review, keyword search, or unconstrained generative summaries.</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application, we designed 10 test queries representing common analytical tasks performed by sustainability and climate risk analysts reviewing bank disclosures. These queries covered several use cases, including identifying climate risks, comparing disclosures across banks, mapping disclosures to SDGs, and retrieving quantitative metrics. Each query was run through the system, which retrieved relevant document excerpts and generated structured analytical outputs.</w:t>
      </w:r>
    </w:p>
    <w:p w:rsidR="00000000" w:rsidDel="00000000" w:rsidP="00000000" w:rsidRDefault="00000000" w:rsidRPr="00000000" w14:paraId="0000000D">
      <w:pPr>
        <w:spacing w:before="2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w:t>
      </w:r>
    </w:p>
    <w:p w:rsidR="00000000" w:rsidDel="00000000" w:rsidP="00000000" w:rsidRDefault="00000000" w:rsidRPr="00000000" w14:paraId="0000000E">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application produces structured results rather than binary answers, we used a combination of objective and qualitative evaluation metrics.</w:t>
      </w:r>
    </w:p>
    <w:p w:rsidR="00000000" w:rsidDel="00000000" w:rsidP="00000000" w:rsidRDefault="00000000" w:rsidRPr="00000000" w14:paraId="0000000F">
      <w:pPr>
        <w:spacing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retrieval relevance measures whether the system retrieved passages containing the information needed to answer the query, scored on a three-point scale (2 = highly relevant, 1 = partially relevant, 0 = irrelevant).</w:t>
      </w:r>
    </w:p>
    <w:p w:rsidR="00000000" w:rsidDel="00000000" w:rsidP="00000000" w:rsidRDefault="00000000" w:rsidRPr="00000000" w14:paraId="00000010">
      <w:pPr>
        <w:spacing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risk classification accuracy evaluates whether the model correctly classified disclosures as transition risk, physical risk, or both, based on manual verification.</w:t>
      </w:r>
    </w:p>
    <w:p w:rsidR="00000000" w:rsidDel="00000000" w:rsidP="00000000" w:rsidRDefault="00000000" w:rsidRPr="00000000" w14:paraId="00000011">
      <w:pPr>
        <w:spacing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output usefulness assesses whether the structured outputs support meaningful cross-firm comparison, scored based on clarity, completeness, and analytical usefulness.</w:t>
      </w:r>
    </w:p>
    <w:p w:rsidR="00000000" w:rsidDel="00000000" w:rsidP="00000000" w:rsidRDefault="00000000" w:rsidRPr="00000000" w14:paraId="00000012">
      <w:pPr>
        <w:spacing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Comparison</w:t>
      </w:r>
      <w:r w:rsidDel="00000000" w:rsidR="00000000" w:rsidRPr="00000000">
        <w:rPr>
          <w:rtl w:val="0"/>
        </w:rPr>
      </w:r>
    </w:p>
    <w:p w:rsidR="00000000" w:rsidDel="00000000" w:rsidP="00000000" w:rsidRDefault="00000000" w:rsidRPr="00000000" w14:paraId="00000013">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comparison, we used manual verification and standalone LLM to analyze the same disclosure documents. The baseline system generally produced narrative summaries but lacked structured outputs and clear cross-firm comparisons. In contrast, our application generated structured results linked to specific source passages, enabling more transparent identification of risk classifications, SDG references, and key metrics across banks.</w:t>
      </w:r>
    </w:p>
    <w:p w:rsidR="00000000" w:rsidDel="00000000" w:rsidP="00000000" w:rsidRDefault="00000000" w:rsidRPr="00000000" w14:paraId="00000014">
      <w:pPr>
        <w:spacing w:before="2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Limitations</w:t>
      </w:r>
      <w:r w:rsidDel="00000000" w:rsidR="00000000" w:rsidRPr="00000000">
        <w:rPr>
          <w:rFonts w:ascii="Times New Roman" w:cs="Times New Roman" w:eastAsia="Times New Roman" w:hAnsi="Times New Roman"/>
          <w:b w:val="1"/>
          <w:bCs w:val="1"/>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15">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Retrieval Score: 1.9 / 2</w:t>
      </w:r>
    </w:p>
    <w:p w:rsidR="00000000" w:rsidDel="00000000" w:rsidP="00000000" w:rsidRDefault="00000000" w:rsidRPr="00000000" w14:paraId="00000016">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Classification Accuracy: 9 / 10 correct (1 partially correct)</w:t>
      </w:r>
    </w:p>
    <w:p w:rsidR="00000000" w:rsidDel="00000000" w:rsidP="00000000" w:rsidRDefault="00000000" w:rsidRPr="00000000" w14:paraId="00000017">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Output Usefulness: 1.5 / 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retrieved relevant passages and produced structured outputs suitable for cross-firm comparison. Most limitations occurred when disclosures used broad narrative language or when queries required more detailed quantitative metrics or sector-specific context.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the standalone LLM baseline, our system is able to process multiple disclosure documents simultaneously and produce structured outputs linked to supporting evidence, whereas baseline tools typically generated narrative summaries or struggled to process multiple large PDFs.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more time and resources, we would run three additional experiments to better estimate the application’s performance. First, we would expand the evaluation beyond 10 queries to include a larger and more diverse benchmark across banks, reporting years, and query types, providing a more reliable estimate of retrieval and classification performance. Second, we would involve multiple sustainability experts to assess whether the structured outputs are consistently useful for real cross-firm analysis. In this case, we can quantify the added value of our retrieval-augmented pipeline. Third, we would conduct more systematic failure and robustness tests (adversarial queries, ambiguous wording, and missing-evidence cases) to evaluate when the system should abstain rather than generate an answer. We will also incorporate additional retrieval metrics, such as precision and recall at the chunk level, to better evaluate the accuracy and reliability of the retrieval component.</w:t>
      </w:r>
    </w:p>
    <w:p w:rsidR="00000000" w:rsidDel="00000000" w:rsidP="00000000" w:rsidRDefault="00000000" w:rsidRPr="00000000" w14:paraId="0000001B">
      <w:pPr>
        <w:numPr>
          <w:ilvl w:val="0"/>
          <w:numId w:val="1"/>
        </w:numPr>
        <w:spacing w:before="2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Safety</w:t>
      </w:r>
      <w:r w:rsidDel="00000000" w:rsidR="00000000" w:rsidRPr="00000000">
        <w:rPr>
          <w:rtl w:val="0"/>
        </w:rPr>
      </w:r>
    </w:p>
    <w:p w:rsidR="00000000" w:rsidDel="00000000" w:rsidP="00000000" w:rsidRDefault="00000000" w:rsidRPr="00000000" w14:paraId="0000001C">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operational risk is that the model may generate an answer when the retrieved evidence is weak or incomplete. In our testing, we ran an adversarial query asking whether Citi in 2024 disclosed exposure to high transition risk. Based on manual review, we did not find a relevant disclosure for Citi in the source material. However, the application still produced a comparative response that included both Citi and HSBC, using SDG-related source points and key excerpts. Although the answer was not entirely fabricated, it still represented a hallucination because it implied that comparable evidence existed for Citi when it did not. In this case, the correct behavior would have been to return “no relevant evidence found” for Citi rather than generating a comparison. This also creates a reputational risk, since users may lose trust in the tool if it produces confident comparisons without enough support in the underlying documents. Ethically, the system may misrepresent a firm’s climate risk disclosures and lead users to draw conclusions that are not supported by the source.</w:t>
      </w:r>
    </w:p>
    <w:p w:rsidR="00000000" w:rsidDel="00000000" w:rsidP="00000000" w:rsidRDefault="00000000" w:rsidRPr="00000000" w14:paraId="0000001D">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may also be misused, either accidentally or intentionally. A user could ask leading comparative questions designed to push the model toward a conclusion that is not supported by the documents, such as implying that a bank has disclosed high transition risk exposure when no such statement appears in the text. A more intentional misuse case would be using the tool to support a portfolio recommendation while presenting generated comparisons as if they were complete and verified findings. Even if the model does not produce a fully false statement, it can still be misleading if it presents weak or missing evidence as if it were sufficient.</w:t>
      </w:r>
    </w:p>
    <w:p w:rsidR="00000000" w:rsidDel="00000000" w:rsidP="00000000" w:rsidRDefault="00000000" w:rsidRPr="00000000" w14:paraId="0000001E">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cost considerations at the intended scale. Because the application relies on document preprocessing, retrieval, and LLM-based generation across multiple long disclosure reports, operating costs may rise quickly as the corpus expands across firms and reporting years. Some of these costs can be reduced by optimizing the retrieval process, for example by caching document embeddings and limiting queries to the most relevant sections instead of repeatedly processing entire reports. Additional human review may also be required to verify evidence quality before results are used in analytical or regulatory settings. </w:t>
      </w:r>
    </w:p>
    <w:p w:rsidR="00000000" w:rsidDel="00000000" w:rsidP="00000000" w:rsidRDefault="00000000" w:rsidRPr="00000000" w14:paraId="0000001F">
      <w:pPr>
        <w:spacing w:before="12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Mitigations can be introduced by requiring the system to abstain whenever retrieval does not meet a minimum similarity threshold or when evidence is missing for one of the firms being compared. Prompts should instruct the model to return “no relevant evidence found” rather than generate inferences from weak evidence, and outputs should require citations tied to the source documents. The tool could also be misused if users treat generated comparisons as verified findings, so it is best positioned as an analyst support system rather than a decision-making system. </w:t>
      </w:r>
    </w:p>
    <w:p w:rsidR="00000000" w:rsidDel="00000000" w:rsidP="00000000" w:rsidRDefault="00000000" w:rsidRPr="00000000" w14:paraId="00000020">
      <w:pPr>
        <w:spacing w:before="12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before="12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Appendix.1</w:t>
      </w:r>
    </w:p>
    <w:p w:rsidR="00000000" w:rsidDel="00000000" w:rsidP="00000000" w:rsidRDefault="00000000" w:rsidRPr="00000000" w14:paraId="00000022">
      <w:pPr>
        <w:rPr/>
      </w:pPr>
      <w:r w:rsidDel="00000000" w:rsidR="00000000" w:rsidRPr="00000000">
        <w:rPr>
          <w:rtl w:val="0"/>
        </w:rPr>
      </w:r>
    </w:p>
    <w:tbl>
      <w:tblPr>
        <w:tblStyle w:val="Table1"/>
        <w:tblW w:w="864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320"/>
        <w:gridCol w:w="1440"/>
        <w:gridCol w:w="1440"/>
        <w:gridCol w:w="1440"/>
        <w:gridCol w:w="1440"/>
        <w:tblGridChange w:id="0">
          <w:tblGrid>
            <w:gridCol w:w="1560"/>
            <w:gridCol w:w="1320"/>
            <w:gridCol w:w="1440"/>
            <w:gridCol w:w="1440"/>
            <w:gridCol w:w="1440"/>
            <w:gridCol w:w="1440"/>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System: Retrieval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System: 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 Usefulness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Standalone AI Baseline Result</w:t>
            </w: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 How does UBS define transition risk in its 2024 disclosure?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identification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narrative summary; risk type not explicitly classified</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 Does HSBC quantify transition risk exposure in its most recent disclosures?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identification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Mentioned risks without supporting document excerpts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 How do HSBC and Citi frame climate risk under SDG commitments?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Cross-firm comparison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(slightly broad labeling)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focused on one bank; limited comparison</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Q4: What quantitative climate risk metrics does Bank of America disclose?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 retrieval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br w:type="textWrapping"/>
              <w:t xml:space="preserve">(could involve more specific quantitative metrics)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identified metrics but it was embedded in narratives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Q5: Which banks link climate disclosures to SDG 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Cross-firm comparison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able to process all PDFs.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Q6: How does Citi describe transition risks from regulatory changes?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identification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 question produced short output)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produced but classification not explicit</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Q7: Which banks mention physical risks related to extreme weather events?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identification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br w:type="textWrapping"/>
              <w:t xml:space="preserve">(slightly broad labeling)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br w:type="textWrapping"/>
              <w:t xml:space="preserve">(slightly broad labeling)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able to process all PDFs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Q8: Which banks discuss scenario analysis for climate transition risk?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comparison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able to process all PDFs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Q9: What risks are associated with stranded assets?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identification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 sector-specific vulnerabilities)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able to process all PDFs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Q10: How do banks connect climate disclosures to SDG commitments?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SDG mapping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correct</w:t>
              <w:br w:type="textWrapping"/>
              <w:t xml:space="preserve">(slightly broad labeling)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able to process all PDFs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query: Did Citi disclose exposure to high transition risk in 2024?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identification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irrelevant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before="120" w:lineRule="auto"/>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Eberley, D. (2023, July 18). </w:t>
      </w:r>
      <w:r w:rsidDel="00000000" w:rsidR="00000000" w:rsidRPr="00000000">
        <w:rPr>
          <w:rFonts w:ascii="Times New Roman" w:cs="Times New Roman" w:eastAsia="Times New Roman" w:hAnsi="Times New Roman"/>
          <w:i w:val="1"/>
          <w:iCs w:val="1"/>
          <w:sz w:val="20"/>
          <w:szCs w:val="20"/>
          <w:rtl w:val="0"/>
        </w:rPr>
        <w:t xml:space="preserve">Climate-risk: Are financial regulators politically independent. </w:t>
      </w:r>
      <w:r w:rsidDel="00000000" w:rsidR="00000000" w:rsidRPr="00000000">
        <w:rPr>
          <w:rtl w:val="0"/>
        </w:rPr>
      </w:r>
    </w:p>
  </w:footnote>
  <w:footnote w:id="1">
    <w:p w:rsidR="00000000" w:rsidDel="00000000" w:rsidP="00000000" w:rsidRDefault="00000000" w:rsidRPr="00000000" w14:paraId="00000071">
      <w:pPr>
        <w:spacing w:line="240" w:lineRule="auto"/>
        <w:rPr>
          <w:rFonts w:ascii="Times New Roman" w:cs="Times New Roman" w:eastAsia="Times New Roman" w:hAnsi="Times New Roman"/>
          <w:i w:val="1"/>
          <w:i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See full results in Appendix.1</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