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Focus Area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Key Terms to Check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Transition Risk </w:t>
      </w:r>
      <w:r w:rsidDel="00000000" w:rsidR="00000000" w:rsidRPr="00000000">
        <w:rPr>
          <w:rtl w:val="0"/>
        </w:rPr>
        <w:t xml:space="preserve">Net Zero targets, Financed emissions, Carbon intensity, Sectoral pathways.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Physical Risk </w:t>
      </w:r>
      <w:r w:rsidDel="00000000" w:rsidR="00000000" w:rsidRPr="00000000">
        <w:rPr>
          <w:rtl w:val="0"/>
        </w:rPr>
        <w:t xml:space="preserve">Geospatial analysis, Flood/Fire risk, Mortgage portfolio vulnerability.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Analysis </w:t>
      </w:r>
      <w:r w:rsidDel="00000000" w:rsidR="00000000" w:rsidRPr="00000000">
        <w:rPr>
          <w:rtl w:val="0"/>
        </w:rPr>
        <w:t xml:space="preserve">NGFS scenarios, IEA NZE 2050, Stress testing, Temperature alignment.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Governance </w:t>
      </w:r>
      <w:r w:rsidDel="00000000" w:rsidR="00000000" w:rsidRPr="00000000">
        <w:rPr>
          <w:rtl w:val="0"/>
        </w:rPr>
        <w:t xml:space="preserve">Board oversight, Remuneration links, Risk appetite framework.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