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遗留系统封装说明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封装使用说明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0.1 JDK版本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需要确保JDK版本为1.8，否则会报Endpoint类的ClassNotFoundException异常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0.2 本地调用方式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先在Initiator类中将服务通过Endpoint进行发布。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然后在本地通过创建*Service类型的服务对象对服务进行调用，具体见</w:t>
      </w:r>
      <w:r>
        <w:rPr>
          <w:rFonts w:hint="eastAsia"/>
          <w:b/>
          <w:bCs/>
          <w:lang w:val="en-US" w:eastAsia="zh-CN"/>
        </w:rPr>
        <w:fldChar w:fldCharType="begin"/>
      </w:r>
      <w:r>
        <w:rPr>
          <w:rFonts w:hint="eastAsia"/>
          <w:b/>
          <w:bCs/>
          <w:lang w:val="en-US" w:eastAsia="zh-CN"/>
        </w:rPr>
        <w:instrText xml:space="preserve"> HYPERLINK \l "_服务调用 &amp; 测试结果" </w:instrText>
      </w:r>
      <w:r>
        <w:rPr>
          <w:rFonts w:hint="eastAsia"/>
          <w:b/>
          <w:bCs/>
          <w:lang w:val="en-US" w:eastAsia="zh-CN"/>
        </w:rPr>
        <w:fldChar w:fldCharType="separate"/>
      </w:r>
      <w:r>
        <w:rPr>
          <w:rStyle w:val="7"/>
          <w:rFonts w:hint="eastAsia"/>
          <w:b/>
          <w:bCs/>
          <w:lang w:val="en-US" w:eastAsia="zh-CN"/>
        </w:rPr>
        <w:t>3. 服务调用 &amp; 测试结果</w:t>
      </w:r>
      <w:r>
        <w:rPr>
          <w:rFonts w:hint="eastAsia"/>
          <w:b/>
          <w:bCs/>
          <w:lang w:val="en-US" w:eastAsia="zh-CN"/>
        </w:rPr>
        <w:fldChar w:fldCharType="end"/>
      </w:r>
      <w:r>
        <w:rPr>
          <w:rFonts w:hint="eastAsia"/>
          <w:b/>
          <w:bCs/>
          <w:lang w:val="en-US" w:eastAsia="zh-CN"/>
        </w:rPr>
        <w:t>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0.3 客户端调用方式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需要确保客户端类实例化之前，相应的服务在服务端已经发布，这样在客户端就能通过服务地址获取WSDL文档，进而结合QName来创建服务接口的具体服务实例，然后调用其中的服务。在测试客户端程序调用时，需要通过@Before在每次单元测试前，将服务发布出去，然后获取到调用相应服务所需要的客户端对象，同时为了确保服务不会重复发布而导致绑定异常出现，@Before的代码中加入了相关判断，具体见</w:t>
      </w:r>
      <w:r>
        <w:rPr>
          <w:rFonts w:hint="eastAsia"/>
          <w:color w:val="auto"/>
          <w:u w:val="none"/>
          <w:lang w:val="en-US" w:eastAsia="zh-CN"/>
        </w:rPr>
        <w:fldChar w:fldCharType="begin"/>
      </w:r>
      <w:r>
        <w:rPr>
          <w:rFonts w:hint="eastAsia"/>
          <w:color w:val="auto"/>
          <w:u w:val="none"/>
          <w:lang w:val="en-US" w:eastAsia="zh-CN"/>
        </w:rPr>
        <w:instrText xml:space="preserve"> HYPERLINK \l "_客户端代码 &amp; 测试结果" </w:instrText>
      </w:r>
      <w:r>
        <w:rPr>
          <w:rFonts w:hint="eastAsia"/>
          <w:color w:val="auto"/>
          <w:u w:val="none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4. 客户端代码 &amp; 测试结果</w:t>
      </w:r>
      <w:r>
        <w:rPr>
          <w:rFonts w:hint="eastAsia"/>
          <w:color w:val="auto"/>
          <w:u w:val="none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  <w:bookmarkStart w:id="2" w:name="_GoBack"/>
      <w:bookmarkEnd w:id="2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0.4 数据模拟方式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创建一个Database类，在其中通过静态类型的Map对象来模拟数据库中的表。</w:t>
      </w:r>
    </w:p>
    <w:p>
      <w:r>
        <w:drawing>
          <wp:inline distT="0" distB="0" distL="114300" distR="114300">
            <wp:extent cx="5267325" cy="2720975"/>
            <wp:effectExtent l="0" t="0" r="571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0.5 Xslx表格的读取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读取过程中为了保证可扩展性，将数据为空，但表头不为空的内容作为空字符串读入，从而保证在未来xslx表格发生变更时，能够更容易的修改代码并进行扩展。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"LegacySystem/src/main/java/Service/util/ExcelReadUtil.java"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util.ExcelReadUtil.java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0.6 编译说明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在读取Xlsx表格文件的过程中，使用了相对路径，而该路径的获取是针对编译产生的class文件进行的，所以如果运行过程中出现因为读取文件导致的NullPointerException异常，可以将target文件夹删除，并重新编译运行。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0.7 数据表拆分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将原始多表xlsx拆分成多个xlsx并放在resources.excel文件夹下，从而能够更好的和Database类中模拟的数据库表Map对象进行映射。</w:t>
      </w:r>
    </w:p>
    <w:p>
      <w:r>
        <w:drawing>
          <wp:inline distT="0" distB="0" distL="114300" distR="114300">
            <wp:extent cx="3383280" cy="2133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0.8 开发方式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开发采用Start-from-Java的开发方式。通过先行开发Java Web Service，通过@WebService注释来让JWS来自动生成相应的WSDL文档。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数据模型</w:t>
      </w:r>
    </w:p>
    <w:p>
      <w:pPr>
        <w:pStyle w:val="4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9126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班次信息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634490"/>
            <wp:effectExtent l="0" t="0" r="146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班次名称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261745"/>
            <wp:effectExtent l="0" t="0" r="444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生产线信息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550035"/>
            <wp:effectExtent l="0" t="0" r="762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人力资源班组信息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168525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人力资源排班信息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268095"/>
            <wp:effectExtent l="0" t="0" r="190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210945"/>
            <wp:effectExtent l="0" t="0" r="571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物品信息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201545"/>
            <wp:effectExtent l="0" t="0" r="63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物品属性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174750"/>
            <wp:effectExtent l="0" t="0" r="381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计量单位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955040"/>
            <wp:effectExtent l="0" t="0" r="127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2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准备方式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977265"/>
            <wp:effectExtent l="0" t="0" r="381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717165"/>
            <wp:effectExtent l="0" t="0" r="2540" b="1079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185035"/>
            <wp:effectExtent l="0" t="0" r="1460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遗留系统服务接口 &amp; WSDL</w:t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人事系统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2.1.1 服务接口</w:t>
      </w:r>
    </w:p>
    <w:p>
      <w:r>
        <w:drawing>
          <wp:inline distT="0" distB="0" distL="114300" distR="114300">
            <wp:extent cx="5272405" cy="247396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WSDL文档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433955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考勤系统</w:t>
      </w:r>
    </w:p>
    <w:p>
      <w:pPr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393950"/>
            <wp:effectExtent l="0" t="0" r="698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WSDL文档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06015"/>
            <wp:effectExtent l="0" t="0" r="508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ERP系统</w:t>
      </w:r>
    </w:p>
    <w:p>
      <w:pPr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074035"/>
            <wp:effectExtent l="0" t="0" r="571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WSDL文档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503170"/>
            <wp:effectExtent l="0" t="0" r="10795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订单管理系统</w:t>
      </w:r>
    </w:p>
    <w:p>
      <w:pPr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091690"/>
            <wp:effectExtent l="0" t="0" r="698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WSDL文档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50749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0" w:name="_服务调用 &amp; 测试结果"/>
      <w:r>
        <w:rPr>
          <w:rFonts w:hint="eastAsia"/>
          <w:lang w:val="en-US" w:eastAsia="zh-CN"/>
        </w:rPr>
        <w:t>服务调用 &amp; 测试结果</w:t>
      </w:r>
    </w:p>
    <w:bookmarkEnd w:id="0"/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人事系统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966085"/>
            <wp:effectExtent l="0" t="0" r="825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考勤系统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08927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ERP系统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053080"/>
            <wp:effectExtent l="0" t="0" r="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905000"/>
            <wp:effectExtent l="0" t="0" r="5080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订单管理系统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234565"/>
            <wp:effectExtent l="0" t="0" r="1397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" w:name="_客户端代码 &amp; 测试结果"/>
      <w:r>
        <w:rPr>
          <w:rFonts w:hint="eastAsia"/>
          <w:lang w:val="en-US" w:eastAsia="zh-CN"/>
        </w:rPr>
        <w:t>客户端代码 &amp; 测试结果</w:t>
      </w:r>
    </w:p>
    <w:bookmarkEnd w:id="1"/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人事系统</w:t>
      </w:r>
    </w:p>
    <w:p>
      <w:pPr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客户端程序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293745"/>
            <wp:effectExtent l="0" t="0" r="5715" b="1333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客户端测试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126105"/>
            <wp:effectExtent l="0" t="0" r="0" b="133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考勤系统</w:t>
      </w:r>
    </w:p>
    <w:p>
      <w:pPr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客户端程序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310255"/>
            <wp:effectExtent l="0" t="0" r="2540" b="1206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客户端测试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104515"/>
            <wp:effectExtent l="0" t="0" r="2540" b="444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ERP系统</w:t>
      </w:r>
    </w:p>
    <w:p>
      <w:pPr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客户端程序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293745"/>
            <wp:effectExtent l="0" t="0" r="14605" b="1333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客户端测试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907030"/>
            <wp:effectExtent l="0" t="0" r="6350" b="381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21790"/>
            <wp:effectExtent l="0" t="0" r="5715" b="889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订单管理系统</w:t>
      </w:r>
    </w:p>
    <w:p>
      <w:pPr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客户端程序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300095"/>
            <wp:effectExtent l="0" t="0" r="1270" b="698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客户端测试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830830"/>
            <wp:effectExtent l="0" t="0" r="5715" b="381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EBF288"/>
    <w:multiLevelType w:val="singleLevel"/>
    <w:tmpl w:val="84EBF288"/>
    <w:lvl w:ilvl="0" w:tentative="0">
      <w:start w:val="0"/>
      <w:numFmt w:val="decimal"/>
      <w:suff w:val="space"/>
      <w:lvlText w:val="%1."/>
      <w:lvlJc w:val="left"/>
    </w:lvl>
  </w:abstractNum>
  <w:abstractNum w:abstractNumId="1">
    <w:nsid w:val="AA578797"/>
    <w:multiLevelType w:val="multilevel"/>
    <w:tmpl w:val="AA57879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A8775E"/>
    <w:rsid w:val="1E8625BA"/>
    <w:rsid w:val="20042762"/>
    <w:rsid w:val="2D76629A"/>
    <w:rsid w:val="30A31008"/>
    <w:rsid w:val="348B1509"/>
    <w:rsid w:val="35E356B2"/>
    <w:rsid w:val="412A4936"/>
    <w:rsid w:val="51D17DED"/>
    <w:rsid w:val="5F6760F1"/>
    <w:rsid w:val="6D3F4913"/>
    <w:rsid w:val="70AD2512"/>
    <w:rsid w:val="7925176C"/>
    <w:rsid w:val="7AF6258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128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ASUS</cp:lastModifiedBy>
  <dcterms:modified xsi:type="dcterms:W3CDTF">2020-09-24T09:03:08Z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