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6F8B6205" w:rsidR="00CF7161" w:rsidRPr="00EE731F" w:rsidRDefault="00CF7161" w:rsidP="00E7645C">
      <w:pPr>
        <w:pStyle w:val="ad"/>
        <w:jc w:val="center"/>
        <w:rPr>
          <w:rFonts w:ascii="黑体" w:eastAsia="黑体" w:hAnsi="黑体" w:hint="eastAsia"/>
          <w:sz w:val="32"/>
          <w:szCs w:val="32"/>
        </w:rPr>
      </w:pPr>
      <w:r w:rsidRPr="00EE731F">
        <w:rPr>
          <w:rFonts w:ascii="黑体" w:eastAsia="黑体" w:hAnsi="黑体" w:hint="eastAsia"/>
          <w:sz w:val="32"/>
          <w:szCs w:val="32"/>
        </w:rPr>
        <w:t>轮圈腿式平衡机器人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r>
        <w:rPr>
          <w:rFonts w:hint="eastAsia"/>
        </w:rPr>
        <w:t>本文设计的轮圈腿式平衡机器人由机体，一对轮圈腿结构组成，其中轮圈腿</w:t>
      </w:r>
      <w:r w:rsidR="006E60F4">
        <w:rPr>
          <w:rFonts w:hint="eastAsia"/>
        </w:rPr>
        <w:t>结构</w:t>
      </w:r>
      <w:r>
        <w:rPr>
          <w:rFonts w:hint="eastAsia"/>
        </w:rPr>
        <w:t>由内轮和外轮组成。根据结构特点，轮圈腿式平衡机器人可以实现坐姿，站姿，跳跃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多模态运动。依靠多模态运动的特点，轮圈腿式平衡机器人可以实现在平坦地面，起伏路面，台阶等常见地形运动，拥有较强的地形通过能力。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轮圈腿式平衡</w:t>
      </w:r>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 w14:paraId="3A6B219C" w14:textId="5D2080AD" w:rsidR="002831B4" w:rsidRDefault="002831B4" w:rsidP="00D42195">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r w:rsidRPr="003B4D7D">
        <w:t>prototype.The</w:t>
      </w:r>
      <w:proofErr w:type="spell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r>
        <w:br w:type="page"/>
      </w:r>
    </w:p>
    <w:p w14:paraId="08581F2A" w14:textId="12D7B777" w:rsidR="0047065B" w:rsidRDefault="0047065B" w:rsidP="006A7B55">
      <w:pPr>
        <w:pStyle w:val="1"/>
        <w:spacing w:before="312" w:after="312"/>
        <w:rPr>
          <w:rFonts w:hint="eastAsia"/>
        </w:rPr>
      </w:pPr>
      <w:r>
        <w:rPr>
          <w:rFonts w:hint="eastAsia"/>
        </w:rPr>
        <w:lastRenderedPageBreak/>
        <w:t>绪</w:t>
      </w:r>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，轮足复合式移动机器人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。轮式移动以及的主要优势有运行效率高，平坦地形运行速度快，动作灵活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r w:rsidR="002867A9">
        <w:rPr>
          <w:rFonts w:hint="eastAsia"/>
        </w:rPr>
        <w:t>轮足复合式移动机器是将轮式移动机器人与足式机器人相结合，在相对平坦的地形运行时使用轮式的移动机构，在面对复杂地形情况下发挥足式机器人的优势。这类轮足复合式的机器人往往结构较为复杂，需求的主动电机数量角度，成本较高。</w:t>
      </w:r>
    </w:p>
    <w:p w14:paraId="1F1B7A47" w14:textId="0E8D4D0A" w:rsidR="006468AC" w:rsidRDefault="006468AC" w:rsidP="005E5DC6">
      <w:r>
        <w:rPr>
          <w:rFonts w:hint="eastAsia"/>
        </w:rPr>
        <w:t>综合以上分析，我们发现轮式，足式，履带机器人都有其较为擅长的运行环境同时也具有明显的不足，轮足式机器人兼顾的轮式与足式移动机器人优点，但同时存在结构复杂的不足。本论文沿着轮足式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r>
        <w:rPr>
          <w:rFonts w:hint="eastAsia"/>
        </w:rPr>
        <w:t>目前根据复合式机构移动机器人可以分为轮</w:t>
      </w:r>
      <w:r w:rsidR="00B242F6">
        <w:rPr>
          <w:rFonts w:hint="eastAsia"/>
        </w:rPr>
        <w:t>腿</w:t>
      </w:r>
      <w:r>
        <w:rPr>
          <w:rFonts w:hint="eastAsia"/>
        </w:rPr>
        <w:t>式机器人，异性轮式机器人和变形轮式机器人。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6F8F74C7" w:rsidR="00A21ADA" w:rsidRDefault="000653D6" w:rsidP="00A21ADA">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高的台阶。该构型的倒立摆</w:t>
      </w:r>
      <w:r w:rsidR="00A04F96">
        <w:rPr>
          <w:rFonts w:hint="eastAsia"/>
        </w:rPr>
        <w:t>平衡</w:t>
      </w:r>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07A779D2">
            <wp:extent cx="2900680" cy="2564720"/>
            <wp:effectExtent l="0" t="0" r="0" b="762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1780" cy="2583376"/>
                    </a:xfrm>
                    <a:prstGeom prst="rect">
                      <a:avLst/>
                    </a:prstGeom>
                  </pic:spPr>
                </pic:pic>
              </a:graphicData>
            </a:graphic>
          </wp:inline>
        </w:drawing>
      </w:r>
    </w:p>
    <w:p w14:paraId="559C62C1" w14:textId="729789D5" w:rsidR="005F10E5" w:rsidRDefault="005F10E5" w:rsidP="005F10E5">
      <w:pPr>
        <w:pStyle w:val="af4"/>
        <w:ind w:firstLine="420"/>
        <w:jc w:val="center"/>
        <w:rPr>
          <w:rFonts w:hint="eastAsia"/>
        </w:rPr>
      </w:pPr>
      <w:r>
        <w:rPr>
          <w:rFonts w:hint="eastAsia"/>
        </w:rPr>
        <w:t>图</w:t>
      </w:r>
      <w:r>
        <w:rPr>
          <w:rFonts w:hint="eastAsia"/>
        </w:rPr>
        <w:t xml:space="preserve"> </w:t>
      </w:r>
      <w:r w:rsidR="00274717">
        <w:fldChar w:fldCharType="begin"/>
      </w:r>
      <w:r w:rsidR="00274717">
        <w:instrText xml:space="preserve"> </w:instrText>
      </w:r>
      <w:r w:rsidR="00274717">
        <w:rPr>
          <w:rFonts w:hint="eastAsia"/>
        </w:rPr>
        <w:instrText>STYLEREF 1 \s</w:instrText>
      </w:r>
      <w:r w:rsidR="00274717">
        <w:instrText xml:space="preserve"> </w:instrText>
      </w:r>
      <w:r w:rsidR="00274717">
        <w:fldChar w:fldCharType="separate"/>
      </w:r>
      <w:r w:rsidR="00274717">
        <w:rPr>
          <w:noProof/>
        </w:rPr>
        <w:t>1</w:t>
      </w:r>
      <w:r w:rsidR="00274717">
        <w:fldChar w:fldCharType="end"/>
      </w:r>
      <w:r w:rsidR="00274717">
        <w:t>.</w:t>
      </w:r>
      <w:r w:rsidR="00274717">
        <w:fldChar w:fldCharType="begin"/>
      </w:r>
      <w:r w:rsidR="00274717">
        <w:instrText xml:space="preserve"> </w:instrText>
      </w:r>
      <w:r w:rsidR="00274717">
        <w:rPr>
          <w:rFonts w:hint="eastAsia"/>
        </w:rPr>
        <w:instrText xml:space="preserve">SEQ </w:instrText>
      </w:r>
      <w:r w:rsidR="00274717">
        <w:rPr>
          <w:rFonts w:hint="eastAsia"/>
        </w:rPr>
        <w:instrText>图</w:instrText>
      </w:r>
      <w:r w:rsidR="00274717">
        <w:rPr>
          <w:rFonts w:hint="eastAsia"/>
        </w:rPr>
        <w:instrText xml:space="preserve"> \* ARABIC \s 1</w:instrText>
      </w:r>
      <w:r w:rsidR="00274717">
        <w:instrText xml:space="preserve"> </w:instrText>
      </w:r>
      <w:r w:rsidR="00274717">
        <w:fldChar w:fldCharType="separate"/>
      </w:r>
      <w:r w:rsidR="00274717">
        <w:rPr>
          <w:noProof/>
        </w:rPr>
        <w:t>1</w:t>
      </w:r>
      <w:r w:rsidR="00274717">
        <w:fldChar w:fldCharType="end"/>
      </w:r>
      <w:r w:rsidR="00D46E3A">
        <w:rPr>
          <w:rFonts w:hint="eastAsia"/>
        </w:rPr>
        <w:t xml:space="preserve"> </w:t>
      </w:r>
      <w:r w:rsidR="00D46E3A">
        <w:rPr>
          <w:rFonts w:hint="eastAsia"/>
        </w:rPr>
        <w:t>广岛大学楼梯攀爬机器人</w:t>
      </w:r>
    </w:p>
    <w:p w14:paraId="277389B0" w14:textId="39D13885" w:rsidR="00F810C3" w:rsidRDefault="005F10E5" w:rsidP="005F10E5">
      <w:pPr>
        <w:pStyle w:val="af4"/>
        <w:ind w:firstLine="420"/>
        <w:jc w:val="center"/>
        <w:rPr>
          <w:rFonts w:hint="eastAsia"/>
        </w:rPr>
      </w:pPr>
      <w:r>
        <w:t xml:space="preserve">Fig. </w:t>
      </w:r>
      <w:r w:rsidR="00274717">
        <w:fldChar w:fldCharType="begin"/>
      </w:r>
      <w:r w:rsidR="00274717">
        <w:instrText xml:space="preserve"> STYLEREF 1 \s </w:instrText>
      </w:r>
      <w:r w:rsidR="00274717">
        <w:fldChar w:fldCharType="separate"/>
      </w:r>
      <w:r w:rsidR="00274717">
        <w:rPr>
          <w:noProof/>
        </w:rPr>
        <w:t>1</w:t>
      </w:r>
      <w:r w:rsidR="00274717">
        <w:fldChar w:fldCharType="end"/>
      </w:r>
      <w:r w:rsidR="00274717">
        <w:t>.</w:t>
      </w:r>
      <w:r w:rsidR="00274717">
        <w:fldChar w:fldCharType="begin"/>
      </w:r>
      <w:r w:rsidR="00274717">
        <w:instrText xml:space="preserve"> SEQ Fig. \* ARABIC \s 1 </w:instrText>
      </w:r>
      <w:r w:rsidR="00274717">
        <w:fldChar w:fldCharType="separate"/>
      </w:r>
      <w:r w:rsidR="00274717">
        <w:rPr>
          <w:noProof/>
        </w:rPr>
        <w:t>1</w:t>
      </w:r>
      <w:r w:rsidR="00274717">
        <w:fldChar w:fldCharType="end"/>
      </w:r>
      <w:r w:rsidR="00D46E3A">
        <w:rPr>
          <w:rFonts w:hint="eastAsia"/>
        </w:rPr>
        <w:t xml:space="preserve"> </w:t>
      </w:r>
      <w:r w:rsidR="00D1022E" w:rsidRPr="00D1022E">
        <w:t>Hiroshima University Stair Climbing Robot</w:t>
      </w:r>
    </w:p>
    <w:p w14:paraId="73B80866" w14:textId="2BA00E68" w:rsidR="00A26FE2" w:rsidRDefault="00731A1E" w:rsidP="00A21ADA">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r>
        <w:rPr>
          <w:rFonts w:hint="eastAsia"/>
        </w:rPr>
        <w:t>Ascento</w:t>
      </w:r>
      <w:r>
        <w:rPr>
          <w:rFonts w:hint="eastAsia"/>
        </w:rPr>
        <w:t>，这个机器人由四个电机组成，</w:t>
      </w:r>
      <w:r w:rsidR="00F542F5">
        <w:rPr>
          <w:rFonts w:hint="eastAsia"/>
        </w:rPr>
        <w:t>通过拓扑优化的腿部结构配合扭簧组成了结构紧凑的轮足结构。</w:t>
      </w:r>
      <w:r w:rsidR="00F542F5">
        <w:rPr>
          <w:rFonts w:hint="eastAsia"/>
        </w:rPr>
        <w:t>Ascento</w:t>
      </w:r>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r w:rsidR="00770DB3">
        <w:rPr>
          <w:rFonts w:hint="eastAsia"/>
        </w:rPr>
        <w:t>Ascento</w:t>
      </w:r>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rPr>
                <w:rFonts w:hint="eastAsia"/>
              </w:rPr>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rPr>
                <w:rFonts w:hint="eastAsia"/>
              </w:r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rPr>
                <w:rFonts w:hint="eastAsia"/>
              </w:rPr>
            </w:pPr>
            <w:r>
              <w:rPr>
                <w:rFonts w:hint="eastAsia"/>
              </w:rPr>
              <w:t>2021</w:t>
            </w:r>
            <w:r>
              <w:rPr>
                <w:rFonts w:hint="eastAsia"/>
              </w:rPr>
              <w:t>年</w:t>
            </w:r>
            <w:r>
              <w:rPr>
                <w:rFonts w:hint="eastAsia"/>
              </w:rPr>
              <w:t>Ascento</w:t>
            </w:r>
            <w:r>
              <w:rPr>
                <w:rFonts w:hint="eastAsia"/>
              </w:rPr>
              <w:t>样机</w:t>
            </w:r>
          </w:p>
        </w:tc>
      </w:tr>
    </w:tbl>
    <w:p w14:paraId="790AE75D" w14:textId="4F9ACD16" w:rsidR="00AC404E" w:rsidRDefault="00AC404E" w:rsidP="00AC404E">
      <w:pPr>
        <w:pStyle w:val="af4"/>
        <w:ind w:firstLine="420"/>
        <w:jc w:val="center"/>
      </w:pPr>
      <w:r>
        <w:rPr>
          <w:rFonts w:hint="eastAsia"/>
        </w:rPr>
        <w:t>图</w:t>
      </w:r>
      <w:r>
        <w:rPr>
          <w:rFonts w:hint="eastAsia"/>
        </w:rPr>
        <w:t xml:space="preserve"> </w:t>
      </w:r>
      <w:r w:rsidR="00274717">
        <w:fldChar w:fldCharType="begin"/>
      </w:r>
      <w:r w:rsidR="00274717">
        <w:instrText xml:space="preserve"> </w:instrText>
      </w:r>
      <w:r w:rsidR="00274717">
        <w:rPr>
          <w:rFonts w:hint="eastAsia"/>
        </w:rPr>
        <w:instrText>STYLEREF 1 \s</w:instrText>
      </w:r>
      <w:r w:rsidR="00274717">
        <w:instrText xml:space="preserve"> </w:instrText>
      </w:r>
      <w:r w:rsidR="00274717">
        <w:fldChar w:fldCharType="separate"/>
      </w:r>
      <w:r w:rsidR="00274717">
        <w:rPr>
          <w:noProof/>
        </w:rPr>
        <w:t>1</w:t>
      </w:r>
      <w:r w:rsidR="00274717">
        <w:fldChar w:fldCharType="end"/>
      </w:r>
      <w:r w:rsidR="00274717">
        <w:t>.</w:t>
      </w:r>
      <w:r w:rsidR="00274717">
        <w:fldChar w:fldCharType="begin"/>
      </w:r>
      <w:r w:rsidR="00274717">
        <w:instrText xml:space="preserve"> </w:instrText>
      </w:r>
      <w:r w:rsidR="00274717">
        <w:rPr>
          <w:rFonts w:hint="eastAsia"/>
        </w:rPr>
        <w:instrText xml:space="preserve">SEQ </w:instrText>
      </w:r>
      <w:r w:rsidR="00274717">
        <w:rPr>
          <w:rFonts w:hint="eastAsia"/>
        </w:rPr>
        <w:instrText>图</w:instrText>
      </w:r>
      <w:r w:rsidR="00274717">
        <w:rPr>
          <w:rFonts w:hint="eastAsia"/>
        </w:rPr>
        <w:instrText xml:space="preserve"> \* ARABIC \s 1</w:instrText>
      </w:r>
      <w:r w:rsidR="00274717">
        <w:instrText xml:space="preserve"> </w:instrText>
      </w:r>
      <w:r w:rsidR="00274717">
        <w:fldChar w:fldCharType="separate"/>
      </w:r>
      <w:r w:rsidR="00274717">
        <w:rPr>
          <w:noProof/>
        </w:rPr>
        <w:t>2</w:t>
      </w:r>
      <w:r w:rsidR="00274717">
        <w:fldChar w:fldCharType="end"/>
      </w:r>
      <w:r w:rsidR="00056980">
        <w:rPr>
          <w:rFonts w:hint="eastAsia"/>
        </w:rPr>
        <w:t xml:space="preserve"> </w:t>
      </w:r>
      <w:r w:rsidR="00056980">
        <w:rPr>
          <w:rFonts w:hint="eastAsia"/>
        </w:rPr>
        <w:t>苏黎世联邦理工学院</w:t>
      </w:r>
      <w:r w:rsidR="00056980">
        <w:rPr>
          <w:rFonts w:hint="eastAsia"/>
        </w:rPr>
        <w:t>Ascento</w:t>
      </w:r>
      <w:r w:rsidR="00056980">
        <w:rPr>
          <w:rFonts w:hint="eastAsia"/>
        </w:rPr>
        <w:t>机器人两代样机</w:t>
      </w:r>
    </w:p>
    <w:p w14:paraId="62D835DA" w14:textId="7FD66BE3" w:rsidR="00FC5039" w:rsidRDefault="00AC404E" w:rsidP="00AC404E">
      <w:pPr>
        <w:pStyle w:val="af4"/>
        <w:ind w:firstLine="420"/>
        <w:jc w:val="center"/>
        <w:rPr>
          <w:rFonts w:hint="eastAsia"/>
        </w:rPr>
      </w:pPr>
      <w:r>
        <w:t xml:space="preserve">Fig. </w:t>
      </w:r>
      <w:r w:rsidR="00274717">
        <w:fldChar w:fldCharType="begin"/>
      </w:r>
      <w:r w:rsidR="00274717">
        <w:instrText xml:space="preserve"> STYLEREF 1 \s </w:instrText>
      </w:r>
      <w:r w:rsidR="00274717">
        <w:fldChar w:fldCharType="separate"/>
      </w:r>
      <w:r w:rsidR="00274717">
        <w:rPr>
          <w:noProof/>
        </w:rPr>
        <w:t>1</w:t>
      </w:r>
      <w:r w:rsidR="00274717">
        <w:fldChar w:fldCharType="end"/>
      </w:r>
      <w:r w:rsidR="00274717">
        <w:t>.</w:t>
      </w:r>
      <w:r w:rsidR="00274717">
        <w:fldChar w:fldCharType="begin"/>
      </w:r>
      <w:r w:rsidR="00274717">
        <w:instrText xml:space="preserve"> SEQ Fig. \* ARABIC \s 1 </w:instrText>
      </w:r>
      <w:r w:rsidR="00274717">
        <w:fldChar w:fldCharType="separate"/>
      </w:r>
      <w:r w:rsidR="00274717">
        <w:rPr>
          <w:noProof/>
        </w:rPr>
        <w:t>2</w:t>
      </w:r>
      <w:r w:rsidR="00274717">
        <w:fldChar w:fldCharType="end"/>
      </w:r>
      <w:r w:rsidR="00056980">
        <w:rPr>
          <w:rFonts w:hint="eastAsia"/>
        </w:rPr>
        <w:t xml:space="preserve"> </w:t>
      </w:r>
      <w:r w:rsidR="00056980" w:rsidRPr="00056980">
        <w:t>Two generations of prototype Ascento robots at ETH Zurich</w:t>
      </w:r>
    </w:p>
    <w:p w14:paraId="3A85D764" w14:textId="2341DCA1" w:rsidR="00783057" w:rsidRDefault="00473D18" w:rsidP="00783057">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r w:rsidR="00302F80">
        <w:rPr>
          <w:rFonts w:hint="eastAsia"/>
        </w:rPr>
        <w:t>ANYmal</w:t>
      </w:r>
      <w:r w:rsidR="00302F80">
        <w:rPr>
          <w:rFonts w:hint="eastAsia"/>
        </w:rPr>
        <w:t>四轮足机器人，该机器人将传统四足机器人的行走机构替换为轮足机构，通过</w:t>
      </w:r>
      <w:r w:rsidR="00302F80">
        <w:rPr>
          <w:rFonts w:hint="eastAsia"/>
        </w:rPr>
        <w:t>ZMP</w:t>
      </w:r>
      <w:r w:rsidR="00302F80">
        <w:rPr>
          <w:rFonts w:hint="eastAsia"/>
        </w:rPr>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w:t>
      </w:r>
      <w:r w:rsidR="00302F80">
        <w:rPr>
          <w:rFonts w:hint="eastAsia"/>
        </w:rPr>
        <w:lastRenderedPageBreak/>
        <w:t>相较四足机器人降低了</w:t>
      </w:r>
      <w:r w:rsidR="00302F80">
        <w:rPr>
          <w:rFonts w:hint="eastAsia"/>
        </w:rPr>
        <w:t>83%</w:t>
      </w:r>
      <w:r w:rsidR="00302F80">
        <w:rPr>
          <w:rFonts w:hint="eastAsia"/>
        </w:rPr>
        <w:t>的行走成本，验证了轮足机器人在行走方面相较于四足机器人的优越性。</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轮足机构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01579DEE">
            <wp:extent cx="5274310" cy="3515995"/>
            <wp:effectExtent l="0" t="0" r="2540" b="825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3CD5ED1" w14:textId="3C2B2BD0" w:rsidR="00274717" w:rsidRDefault="00274717" w:rsidP="00274717">
      <w:pPr>
        <w:pStyle w:val="af4"/>
        <w:ind w:firstLine="42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苏黎世联邦理工大学</w:t>
      </w:r>
      <w:r>
        <w:rPr>
          <w:rFonts w:hint="eastAsia"/>
        </w:rPr>
        <w:t>ANYmal</w:t>
      </w:r>
      <w:r>
        <w:rPr>
          <w:rFonts w:hint="eastAsia"/>
        </w:rPr>
        <w:t>四轮足机器人</w:t>
      </w:r>
    </w:p>
    <w:p w14:paraId="10BFF5A9" w14:textId="7171FB06" w:rsidR="00F14C64" w:rsidRDefault="00274717" w:rsidP="00274717">
      <w:pPr>
        <w:pStyle w:val="af4"/>
        <w:ind w:firstLine="420"/>
        <w:jc w:val="center"/>
        <w:rPr>
          <w:rFonts w:hint="eastAsia"/>
        </w:rPr>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3</w:t>
      </w:r>
      <w:r>
        <w:fldChar w:fldCharType="end"/>
      </w:r>
      <w:r>
        <w:rPr>
          <w:rFonts w:hint="eastAsia"/>
        </w:rPr>
        <w:t xml:space="preserve"> </w:t>
      </w:r>
      <w:r w:rsidRPr="00274717">
        <w:t>ANYmal quadrupedal foot robot at ETH Zurich</w:t>
      </w:r>
    </w:p>
    <w:p w14:paraId="676DCEAC" w14:textId="404CAEBD" w:rsidR="00396D94" w:rsidRDefault="00396D94" w:rsidP="00396D94">
      <w:pPr>
        <w:pStyle w:val="3"/>
      </w:pPr>
      <w:r>
        <w:rPr>
          <w:rFonts w:hint="eastAsia"/>
        </w:rPr>
        <w:t>国内发展现状</w:t>
      </w:r>
    </w:p>
    <w:p w14:paraId="40025D62" w14:textId="4D971831" w:rsidR="00961D2D" w:rsidRPr="00961D2D" w:rsidRDefault="00961D2D" w:rsidP="00961D2D">
      <w:r w:rsidRPr="00961D2D">
        <w:t>重庆大学机械传动国家重点实验室</w:t>
      </w:r>
      <w:r>
        <w:rPr>
          <w:rFonts w:hint="eastAsia"/>
        </w:rPr>
        <w:t>2019</w:t>
      </w:r>
      <w:r>
        <w:rPr>
          <w:rFonts w:hint="eastAsia"/>
        </w:rPr>
        <w:t>年</w:t>
      </w:r>
      <w:r w:rsidRPr="00961D2D">
        <w:t>研制的</w:t>
      </w:r>
      <w:r w:rsidRPr="00961D2D">
        <w:t>LDR</w:t>
      </w:r>
      <w:r w:rsidRPr="00961D2D">
        <w:t>被动或主动变形轮腿移动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轮状态下跨越不了的障碍。该轮腿机器人可以攀爬高于车轮半径的</w:t>
      </w:r>
      <w:r w:rsidRPr="00961D2D">
        <w:t>2.8</w:t>
      </w:r>
      <w:r w:rsidRPr="00961D2D">
        <w:t>倍的障碍高度。</w:t>
      </w:r>
    </w:p>
    <w:p w14:paraId="3C89AA26" w14:textId="744CC3D9" w:rsidR="00783057" w:rsidRDefault="009E5757" w:rsidP="00783057">
      <w:r>
        <w:rPr>
          <w:rFonts w:hint="eastAsia"/>
        </w:rPr>
        <w:lastRenderedPageBreak/>
        <w:t>由国内腾讯公司</w:t>
      </w:r>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p>
    <w:p w14:paraId="698444EE" w14:textId="12554FAE" w:rsidR="0054445D" w:rsidRDefault="008A7EFB" w:rsidP="0054445D">
      <w:r>
        <w:rPr>
          <w:rFonts w:hint="eastAsia"/>
        </w:rPr>
        <w:t>燕山大学在</w:t>
      </w:r>
      <w:r>
        <w:rPr>
          <w:rFonts w:hint="eastAsia"/>
        </w:rPr>
        <w:t>2024</w:t>
      </w:r>
      <w:r>
        <w:rPr>
          <w:rFonts w:hint="eastAsia"/>
        </w:rPr>
        <w:t>年研发的</w:t>
      </w:r>
      <w:r w:rsidRPr="008A7EFB">
        <w:rPr>
          <w:rFonts w:hint="eastAsia"/>
        </w:rPr>
        <w:t>一种轮足结构一体化复合式移动机器人</w:t>
      </w:r>
      <w:r>
        <w:rPr>
          <w:rFonts w:hint="eastAsia"/>
        </w:rPr>
        <w:t>，该机器人的移动</w:t>
      </w:r>
      <w:r w:rsidRPr="008A7EFB">
        <w:t>通过融合折扇机构与剪叉机构设计一种可收折轮式结构，并通过螺旋理论对腿部结构进行设计，将两种机构整合，完成对变形轮机构的设计</w:t>
      </w:r>
      <w:r>
        <w:rPr>
          <w:rFonts w:hint="eastAsia"/>
        </w:rPr>
        <w:t>。</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高的台阶，在沙地，冰面，腐叶地，草地等复杂环境中均进行测试并且轮式和足式模态均可通过。</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lastRenderedPageBreak/>
        <w:t xml:space="preserve">(3) </w:t>
      </w:r>
      <w:r w:rsidR="00A1301C">
        <w:rPr>
          <w:rFonts w:hint="eastAsia"/>
        </w:rPr>
        <w:t>搭建实物样机平台。根据仿真以及理论分析数据分析各电机所需性能做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r>
        <w:rPr>
          <w:rFonts w:hint="eastAsia"/>
        </w:rPr>
        <w:t>该结构由一对轮圈腿和一个主躯干组成、轮圈腿分布在躯干两侧。轮圈腿由一个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3224B9B4" w14:textId="66EE3762" w:rsidR="00342DCA" w:rsidRDefault="00342DCA" w:rsidP="00342DCA">
      <w:r>
        <w:rPr>
          <w:rFonts w:hint="eastAsia"/>
        </w:rPr>
        <w:t>该结构可通过驱动齿轮和外轮的配合，驱动整个机器人移动和行走。</w:t>
      </w:r>
      <w:r w:rsidRPr="00342DCA">
        <w:rPr>
          <w:rFonts w:hint="eastAsia"/>
        </w:rPr>
        <w:t>通过驱动齿轮和外轮的配合，该结构可驱动整个机器人移动和行走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4E01CDF1" w14:textId="1183F6B5" w:rsidR="00C46B18" w:rsidRDefault="00C46B18" w:rsidP="00342DCA">
      <w:r w:rsidRPr="00C46B18">
        <w:rPr>
          <w:rFonts w:hint="eastAsia"/>
        </w:rPr>
        <w:t>机器人的主要部件如图所示。机器人由一个躯干和固定在躯干上的两个圆环组成。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rPr>
          <w:noProof/>
        </w:rPr>
      </w:pPr>
      <w:r>
        <w:rPr>
          <w:rFonts w:hint="eastAsia"/>
          <w:noProof/>
        </w:rPr>
        <w:t>轮圈腿式平衡机器人共有四个电机分别驱动机体的俯仰运动和外轮的旋转</w:t>
      </w:r>
      <w:r>
        <w:rPr>
          <w:rFonts w:hint="eastAsia"/>
          <w:noProof/>
        </w:rPr>
        <w:lastRenderedPageBreak/>
        <w:t>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4C655620" w14:textId="77777777" w:rsidR="00C2643B" w:rsidRPr="00C2643B" w:rsidRDefault="00C2643B" w:rsidP="00342DCA"/>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rPr>
          <w:noProof/>
        </w:rPr>
      </w:pP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286E0C66" w14:textId="77777777" w:rsidR="00AE59A4" w:rsidRDefault="00AE59A4" w:rsidP="00864871">
      <w:r w:rsidRPr="00AE59A4">
        <w:t>为实现轮圈腿式平衡机器人多模态运动的理论建模，本研究选择在</w:t>
      </w:r>
      <w:proofErr w:type="spellStart"/>
      <w:r w:rsidRPr="00AE59A4">
        <w:t>xoz</w:t>
      </w:r>
      <w:proofErr w:type="spellEnd"/>
      <w:r w:rsidRPr="00AE59A4">
        <w:t>平面内建立二维运动学模型。该简化基于以下假设</w:t>
      </w:r>
      <w:r>
        <w:rPr>
          <w:rFonts w:hint="eastAsia"/>
        </w:rPr>
        <w:t>：</w:t>
      </w:r>
    </w:p>
    <w:p w14:paraId="12B9C8BD" w14:textId="11F63432" w:rsidR="00AE59A4" w:rsidRDefault="00CC6B74" w:rsidP="00864871">
      <w:r>
        <w:rPr>
          <w:rFonts w:hint="eastAsia"/>
        </w:rPr>
        <w:t xml:space="preserve">(1) </w:t>
      </w:r>
      <w:r w:rsidR="00AE59A4">
        <w:rPr>
          <w:rFonts w:hint="eastAsia"/>
        </w:rPr>
        <w:t>机</w:t>
      </w:r>
      <w:r w:rsidR="00AE59A4" w:rsidRPr="00AE59A4">
        <w:t>器人对称结构在</w:t>
      </w:r>
      <w:r w:rsidR="00AE59A4" w:rsidRPr="00AE59A4">
        <w:t>y</w: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r>
        <w:rPr>
          <w:rFonts w:hint="eastAsia"/>
        </w:rPr>
        <w:t xml:space="preserve">(3) </w:t>
      </w:r>
      <w:r w:rsidR="00AE59A4" w:rsidRPr="00AE59A4">
        <w:t>地面接触点摩擦力满足非完整约束条</w:t>
      </w:r>
      <w:r w:rsidR="00AE59A4">
        <w:rPr>
          <w:rFonts w:hint="eastAsia"/>
        </w:rPr>
        <w:t>件。</w:t>
      </w:r>
    </w:p>
    <w:p w14:paraId="1EBB5F6E" w14:textId="6BCF5CB1" w:rsidR="00864871" w:rsidRDefault="00864871" w:rsidP="00864871">
      <w:pPr>
        <w:rPr>
          <w:noProof/>
        </w:rPr>
      </w:pPr>
      <w:r>
        <w:rPr>
          <w:rFonts w:hint="eastAsia"/>
          <w:noProof/>
        </w:rPr>
        <w:t>我们定义状态空间方程的状态变量为机器人沿前进正方向</w:t>
      </w:r>
      <w:r>
        <w:rPr>
          <w:rFonts w:hint="eastAsia"/>
          <w:noProof/>
        </w:rPr>
        <w:t>x</w:t>
      </w:r>
      <w:r>
        <w:rPr>
          <w:rFonts w:hint="eastAsia"/>
          <w:noProof/>
        </w:rPr>
        <w:t>的位移为</w:t>
      </w:r>
      <w:r>
        <w:rPr>
          <w:rFonts w:hint="eastAsia"/>
          <w:noProof/>
        </w:rPr>
        <w:t>s</w:t>
      </w:r>
      <w:r>
        <w:rPr>
          <w:rFonts w:hint="eastAsia"/>
          <w:noProof/>
        </w:rPr>
        <w:t>，速度为</w:t>
      </w:r>
      <m:oMath>
        <m:acc>
          <m:accPr>
            <m:chr m:val="̇"/>
            <m:ctrlPr>
              <w:rPr>
                <w:rFonts w:ascii="Cambria Math" w:hAnsi="Cambria Math"/>
                <w:i/>
                <w:noProof/>
              </w:rPr>
            </m:ctrlPr>
          </m:accPr>
          <m:e>
            <m:r>
              <w:rPr>
                <w:rFonts w:ascii="Cambria Math" w:hAnsi="Cambria Math" w:hint="eastAsia"/>
                <w:noProof/>
              </w:rPr>
              <m:t>s</m:t>
            </m:r>
          </m:e>
        </m:acc>
      </m:oMath>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，旋转角速度</w:t>
      </w:r>
      <m:oMath>
        <m:acc>
          <m:accPr>
            <m:chr m:val="̇"/>
            <m:ctrlPr>
              <w:rPr>
                <w:rFonts w:ascii="Cambria Math" w:hAnsi="Cambria Math"/>
                <w:i/>
                <w:noProof/>
              </w:rPr>
            </m:ctrlPr>
          </m:accPr>
          <m:e>
            <m:r>
              <w:rPr>
                <w:rFonts w:ascii="Cambria Math" w:hAnsi="Cambria Math"/>
                <w:noProof/>
              </w:rPr>
              <m:t>ω</m:t>
            </m:r>
          </m:e>
        </m:acc>
      </m:oMath>
      <w:r>
        <w:rPr>
          <w:rFonts w:hint="eastAsia"/>
          <w:noProof/>
        </w:rPr>
        <w:t>，两侧内轮的抬升角度</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oMath>
      <w:r>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oMath>
      <w:r>
        <w:rPr>
          <w:rFonts w:hint="eastAsia"/>
          <w:noProof/>
        </w:rPr>
        <w:t>，抬升角速度</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oMath>
      <w:r>
        <w:rPr>
          <w:rFonts w:hint="eastAsia"/>
          <w:noProof/>
        </w:rPr>
        <w:t>、</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oMath>
      <w:r>
        <w:rPr>
          <w:rFonts w:hint="eastAsia"/>
          <w:noProof/>
        </w:rPr>
        <w:t>，机体绕旋转轴的俯仰角度</w:t>
      </w:r>
      <m:oMath>
        <m:r>
          <w:rPr>
            <w:rFonts w:ascii="Cambria Math" w:hAnsi="Cambria Math"/>
            <w:noProof/>
          </w:rPr>
          <m:t>φ</m:t>
        </m:r>
      </m:oMath>
      <w:r>
        <w:rPr>
          <w:rFonts w:hint="eastAsia"/>
          <w:noProof/>
        </w:rPr>
        <w:t>，角速度</w:t>
      </w:r>
      <m:oMath>
        <m:acc>
          <m:accPr>
            <m:chr m:val="̇"/>
            <m:ctrlPr>
              <w:rPr>
                <w:rFonts w:ascii="Cambria Math" w:hAnsi="Cambria Math"/>
                <w:i/>
                <w:noProof/>
              </w:rPr>
            </m:ctrlPr>
          </m:accPr>
          <m:e>
            <m:r>
              <w:rPr>
                <w:rFonts w:ascii="Cambria Math" w:hAnsi="Cambria Math"/>
                <w:noProof/>
              </w:rPr>
              <m:t>φ</m:t>
            </m:r>
          </m:e>
        </m:acc>
      </m:oMath>
      <w:r>
        <w:rPr>
          <w:rFonts w:hint="eastAsia"/>
          <w:noProof/>
        </w:rPr>
        <w:t>。各变量的正方向均在图中表示。各状态变量写作向量形式为：</w:t>
      </w:r>
      <m:oMath>
        <m:r>
          <w:rPr>
            <w:rFonts w:ascii="Cambria Math" w:hAnsi="Cambria Math"/>
            <w:noProof/>
          </w:rPr>
          <m:t>X=</m:t>
        </m:r>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 xml:space="preserve">s </m:t>
                </m:r>
                <w:bookmarkStart w:id="0" w:name="OLE_LINK1"/>
                <m:r>
                  <w:rPr>
                    <w:rFonts w:ascii="Cambria Math" w:hAnsi="Cambria Math"/>
                    <w:noProof/>
                  </w:rPr>
                  <m:t xml:space="preserve"> </m:t>
                </m:r>
                <m:acc>
                  <m:accPr>
                    <m:chr m:val="̇"/>
                    <m:ctrlPr>
                      <w:rPr>
                        <w:rFonts w:ascii="Cambria Math" w:hAnsi="Cambria Math"/>
                        <w:i/>
                        <w:noProof/>
                      </w:rPr>
                    </m:ctrlPr>
                  </m:accPr>
                  <m:e>
                    <m:r>
                      <w:rPr>
                        <w:rFonts w:ascii="Cambria Math" w:hAnsi="Cambria Math" w:hint="eastAsia"/>
                        <w:noProof/>
                      </w:rPr>
                      <m:t>s</m:t>
                    </m:r>
                  </m:e>
                </m:acc>
                <w:bookmarkEnd w:id="0"/>
                <m:r>
                  <w:rPr>
                    <w:rFonts w:ascii="Cambria Math" w:hAnsi="Cambria Math"/>
                    <w:noProof/>
                  </w:rPr>
                  <m:t xml:space="preserve">  ω </m:t>
                </m:r>
                <m:acc>
                  <m:accPr>
                    <m:chr m:val="̇"/>
                    <m:ctrlPr>
                      <w:rPr>
                        <w:rFonts w:ascii="Cambria Math" w:hAnsi="Cambria Math"/>
                        <w:i/>
                        <w:noProof/>
                      </w:rPr>
                    </m:ctrlPr>
                  </m:accPr>
                  <m:e>
                    <m:r>
                      <w:rPr>
                        <w:rFonts w:ascii="Cambria Math" w:hAnsi="Cambria Math"/>
                        <w:noProof/>
                      </w:rPr>
                      <m:t xml:space="preserve"> ω</m:t>
                    </m:r>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 xml:space="preserve"> θ</m:t>
                    </m:r>
                  </m:e>
                  <m:sub>
                    <m:r>
                      <w:rPr>
                        <w:rFonts w:ascii="Cambria Math" w:hAnsi="Cambria Math" w:hint="eastAsia"/>
                        <w:noProof/>
                      </w:rPr>
                      <m:t>b</m:t>
                    </m:r>
                    <m:r>
                      <w:rPr>
                        <w:rFonts w:ascii="Cambria Math" w:hAnsi="Cambria Math"/>
                        <w:noProof/>
                      </w:rPr>
                      <m:t>l</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r>
                  <w:rPr>
                    <w:rFonts w:ascii="Cambria Math" w:hAnsi="Cambria Math"/>
                    <w:noProof/>
                  </w:rPr>
                  <m:t xml:space="preserve">  φ  </m:t>
                </m:r>
                <m:acc>
                  <m:accPr>
                    <m:chr m:val="̇"/>
                    <m:ctrlPr>
                      <w:rPr>
                        <w:rFonts w:ascii="Cambria Math" w:hAnsi="Cambria Math"/>
                        <w:i/>
                        <w:noProof/>
                      </w:rPr>
                    </m:ctrlPr>
                  </m:accPr>
                  <m:e>
                    <m:r>
                      <w:rPr>
                        <w:rFonts w:ascii="Cambria Math" w:hAnsi="Cambria Math"/>
                        <w:noProof/>
                      </w:rPr>
                      <m:t>φ</m:t>
                    </m:r>
                  </m:e>
                </m:acc>
                <m:r>
                  <w:rPr>
                    <w:rFonts w:ascii="Cambria Math" w:hAnsi="Cambria Math"/>
                    <w:noProof/>
                  </w:rPr>
                  <m:t xml:space="preserve"> </m:t>
                </m:r>
              </m:e>
            </m:d>
          </m:e>
          <m:sup>
            <m:r>
              <w:rPr>
                <w:rFonts w:ascii="Cambria Math" w:hAnsi="Cambria Math"/>
                <w:noProof/>
              </w:rPr>
              <m:t>T</m:t>
            </m:r>
          </m:sup>
        </m:sSup>
      </m:oMath>
      <w:r>
        <w:rPr>
          <w:rFonts w:hint="eastAsia"/>
          <w:noProof/>
        </w:rPr>
        <w:t>。机器人的外部输入为四个电机的扭矩，写作向量形式为：</w:t>
      </w:r>
      <m:oMath>
        <m:r>
          <w:rPr>
            <w:rFonts w:ascii="Cambria Math" w:hAnsi="Cambria Math"/>
            <w:noProof/>
          </w:rPr>
          <m:t>u=</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τ</m:t>
                    </m:r>
                  </m:e>
                  <m:sub>
                    <m:r>
                      <w:rPr>
                        <w:rFonts w:ascii="Cambria Math" w:hAnsi="Cambria Math"/>
                        <w:noProof/>
                      </w:rPr>
                      <m:t>wl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wr</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br</m:t>
                    </m:r>
                  </m:sub>
                </m:sSub>
              </m:e>
            </m:d>
          </m:e>
          <m:sup>
            <m:r>
              <w:rPr>
                <w:rFonts w:ascii="Cambria Math" w:hAnsi="Cambria Math"/>
                <w:noProof/>
              </w:rPr>
              <m:t>T</m:t>
            </m:r>
          </m:sup>
        </m:sSup>
      </m:oMath>
      <w:r>
        <w:rPr>
          <w:rFonts w:hint="eastAsia"/>
          <w:noProof/>
        </w:rPr>
        <w:t>。机器人个物理量及坐标系表示如图所示。</w:t>
      </w:r>
    </w:p>
    <w:p w14:paraId="7080B34B" w14:textId="77777777" w:rsidR="00864871" w:rsidRDefault="00864871" w:rsidP="00864871">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p w14:paraId="06201E48" w14:textId="77777777" w:rsidR="00864871" w:rsidRDefault="00864871" w:rsidP="00864871">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o</m:t>
            </m:r>
          </m:sub>
        </m:sSub>
      </m:oMath>
      <w:r>
        <w:rPr>
          <w:rFonts w:hint="eastAsia"/>
        </w:rPr>
        <w:t>为外轮中心点在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hint="eastAsia"/>
        </w:rPr>
        <w:t>为外轮中心点在</w:t>
      </w:r>
      <m:oMath>
        <m:r>
          <w:rPr>
            <w:rFonts w:ascii="Cambria Math" w:hAnsi="Cambria Math" w:hint="eastAsia"/>
          </w:rPr>
          <m:t>z</m:t>
        </m:r>
      </m:oMath>
      <w:r>
        <w:rPr>
          <w:rFonts w:hint="eastAsia"/>
        </w:rPr>
        <w:t>轴方向上的位移，</w:t>
      </w:r>
      <w:r>
        <w:rPr>
          <w:rFonts w:hint="eastAsia"/>
        </w:rPr>
        <w:t>R</w:t>
      </w:r>
      <w:r>
        <w:rPr>
          <w:rFonts w:hint="eastAsia"/>
        </w:rPr>
        <w:t>为外轮的半径。对于内轮：</w:t>
      </w:r>
    </w:p>
    <w:p w14:paraId="75912F20" w14:textId="77777777" w:rsidR="00864871" w:rsidRDefault="00864871" w:rsidP="00864871">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为内轮质心点在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为内轮质心点在</w:t>
      </w:r>
      <m:oMath>
        <m:r>
          <w:rPr>
            <w:rFonts w:ascii="Cambria Math" w:hAnsi="Cambria Math" w:hint="eastAsia"/>
          </w:rPr>
          <m:t>z</m:t>
        </m:r>
      </m:oMath>
      <w:r>
        <w:rPr>
          <w:rFonts w:hint="eastAsia"/>
        </w:rPr>
        <w:t>轴方向上的位移</w:t>
      </w:r>
      <w:r>
        <w:rPr>
          <w:rFonts w:hint="eastAsia"/>
        </w:rPr>
        <w:t>,l</w:t>
      </w:r>
      <w:r>
        <w:rPr>
          <w:rFonts w:hint="eastAsia"/>
        </w:rPr>
        <w:t>为外轮质心到外轮圆心的距离。对于机体：</w:t>
      </w:r>
    </w:p>
    <w:p w14:paraId="4F46D6A9" w14:textId="77777777" w:rsidR="00864871" w:rsidRDefault="00864871" w:rsidP="00864871">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为机体质心点在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为机体质心点在</w:t>
      </w:r>
      <m:oMath>
        <m:r>
          <w:rPr>
            <w:rFonts w:ascii="Cambria Math" w:hAnsi="Cambria Math" w:hint="eastAsia"/>
          </w:rPr>
          <m:t>z</m:t>
        </m:r>
      </m:oMath>
      <w:r>
        <w:rPr>
          <w:rFonts w:hint="eastAsia"/>
        </w:rPr>
        <w:t>轴方向上的位移，</w:t>
      </w:r>
      <w:r>
        <w:rPr>
          <w:rFonts w:hint="eastAsia"/>
        </w:rPr>
        <w:t>h</w:t>
      </w:r>
      <w:r>
        <w:rPr>
          <w:rFonts w:hint="eastAsia"/>
        </w:rPr>
        <w:t>为机体质心到旋转轴的距离。</w:t>
      </w:r>
      <m:oMath>
        <m:r>
          <w:rPr>
            <w:rFonts w:ascii="Cambria Math" w:hAnsi="Cambria Math"/>
            <w:noProof/>
          </w:rPr>
          <m:t>s</m:t>
        </m:r>
      </m:oMath>
      <w:r>
        <w:rPr>
          <w:rFonts w:hint="eastAsia"/>
        </w:rPr>
        <w:t>为两轮与地面接触点之间连线的中点，运动学表示为：</w:t>
      </w:r>
    </w:p>
    <w:p w14:paraId="0CC8FE37" w14:textId="77777777" w:rsidR="00864871" w:rsidRDefault="00864871" w:rsidP="00864871">
      <w:pPr>
        <w:rPr>
          <w:noProof/>
        </w:rPr>
      </w:pPr>
      <w:r>
        <w:rPr>
          <w:rFonts w:hint="eastAsia"/>
          <w:noProof/>
        </w:rPr>
        <w:lastRenderedPageBreak/>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的运动学可表示为：</w:t>
      </w:r>
    </w:p>
    <w:p w14:paraId="22865C9C" w14:textId="77777777" w:rsidR="00864871" w:rsidRDefault="00864871" w:rsidP="00864871">
      <w:r>
        <w:rPr>
          <w:rFonts w:hint="eastAsia"/>
        </w:rPr>
        <w:t>其中</w:t>
      </w:r>
      <w:r>
        <w:rPr>
          <w:rFonts w:hint="eastAsia"/>
        </w:rPr>
        <w:t>d</w:t>
      </w:r>
      <w:r>
        <w:rPr>
          <w:rFonts w:hint="eastAsia"/>
        </w:rPr>
        <w:t>为两轮轮轮距的一半。</w:t>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r>
        <w:rPr>
          <w:rFonts w:hint="eastAsia"/>
        </w:rPr>
        <w:t>在对于</w:t>
      </w:r>
      <w:r w:rsidR="00FD2C0C">
        <w:rPr>
          <w:rFonts w:hint="eastAsia"/>
        </w:rPr>
        <w:t>轮圈腿式平衡机器人，我们在动力学分析中采用牛顿动力学方法。</w:t>
      </w:r>
      <w:r w:rsidR="00FD2C0C" w:rsidRPr="00FD2C0C">
        <w:t>选择牛顿动力学作为分析方法，主要是因为其物理直观性强，能够直接描述机器人系统中力、加速度和质量之间的关系。这种直观性有助于清晰地理解系统的动力学行为，并为后续的控制策略设计提供基础。</w:t>
      </w:r>
    </w:p>
    <w:p w14:paraId="7402CB6D" w14:textId="64191CB6" w:rsidR="00FD2C0C" w:rsidRDefault="00FD2C0C" w:rsidP="00FD2C0C">
      <w:r>
        <w:rPr>
          <w:rFonts w:hint="eastAsia"/>
        </w:rPr>
        <w:t>因此将机器人分为外轮，内轮，机体三部分并做受力分析，如图所示。</w:t>
      </w:r>
    </w:p>
    <w:p w14:paraId="4E844AC0" w14:textId="77777777" w:rsidR="00FD2C0C" w:rsidRDefault="00FD2C0C" w:rsidP="00FD2C0C">
      <w:r>
        <w:rPr>
          <w:rFonts w:hint="eastAsia"/>
        </w:rPr>
        <w:t>对外轮做受力分析：</w:t>
      </w:r>
    </w:p>
    <w:p w14:paraId="69CE8FF6" w14:textId="26CF42B6" w:rsidR="00FD2C0C" w:rsidRDefault="00FD2C0C" w:rsidP="00FD2C0C">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o</m:t>
            </m:r>
          </m:sub>
        </m:sSub>
      </m:oMath>
      <w:r>
        <w:rPr>
          <w:rFonts w:hint="eastAsia"/>
        </w:rPr>
        <w:t>为外轮质量，</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Pr>
          <w:rFonts w:hint="eastAsia"/>
        </w:rPr>
        <w:t>为外轮绕旋转中心的转动惯量。</w:t>
      </w:r>
    </w:p>
    <w:p w14:paraId="1425883D" w14:textId="04988262" w:rsidR="00FD2C0C" w:rsidRDefault="00FD2C0C" w:rsidP="00FD2C0C">
      <w:r>
        <w:rPr>
          <w:rFonts w:hint="eastAsia"/>
        </w:rPr>
        <w:t>对内轮做受力分析：</w:t>
      </w:r>
    </w:p>
    <w:p w14:paraId="6C1AF7CC" w14:textId="27C25E74" w:rsidR="00FD2C0C" w:rsidRDefault="00FD2C0C" w:rsidP="00FD2C0C">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Pr>
          <w:rFonts w:hint="eastAsia"/>
        </w:rPr>
        <w:t>为内轮质量，</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为内轮绕质心旋转的转动惯量。</w:t>
      </w:r>
    </w:p>
    <w:p w14:paraId="70306721" w14:textId="74293674" w:rsidR="00FD2C0C" w:rsidRDefault="00FD2C0C" w:rsidP="00FD2C0C">
      <w:r>
        <w:rPr>
          <w:rFonts w:hint="eastAsia"/>
        </w:rPr>
        <w:t>对机体做受力分析：</w:t>
      </w:r>
    </w:p>
    <w:p w14:paraId="483BE213" w14:textId="77777777" w:rsidR="00FD2C0C" w:rsidRDefault="00FD2C0C" w:rsidP="00FD2C0C">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oMath>
      <w:r>
        <w:rPr>
          <w:rFonts w:hint="eastAsia"/>
        </w:rPr>
        <w:t>为机体质量，</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为机体绕质心选择的转动惯量。</w:t>
      </w:r>
    </w:p>
    <w:p w14:paraId="0395FE4F" w14:textId="3F67FDEF" w:rsidR="00A535D5" w:rsidRPr="00A535D5" w:rsidRDefault="00FD2C0C" w:rsidP="00921DC6">
      <w:r>
        <w:rPr>
          <w:rFonts w:hint="eastAsia"/>
        </w:rPr>
        <w:t>因为假设机体仅在</w:t>
      </w:r>
      <m:oMath>
        <m:r>
          <w:rPr>
            <w:rFonts w:ascii="Cambria Math" w:hAnsi="Cambria Math" w:hint="eastAsia"/>
          </w:rPr>
          <m:t>x</m:t>
        </m:r>
        <m:r>
          <w:rPr>
            <w:rFonts w:ascii="Cambria Math" w:hAnsi="Cambria Math"/>
          </w:rPr>
          <m:t>oz</m:t>
        </m:r>
      </m:oMath>
      <w:r>
        <w:rPr>
          <w:rFonts w:hint="eastAsia"/>
        </w:rPr>
        <w:t>平面内运动，可以在机体上得到约束关系：</w:t>
      </w:r>
    </w:p>
    <w:p w14:paraId="4F856710" w14:textId="681E78C8"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55E2860B" w14:textId="368DB7B6" w:rsidR="0014382B" w:rsidRDefault="0014382B" w:rsidP="0014382B">
      <w:r w:rsidRPr="0014382B">
        <w:t>在实际机器人运动控制中，轮圈腿式平衡机器人的运动学和动力学模型通常是非线性的，这主要由于存在多自由度、复杂的连杆传动以及非线性受力关系。为了设计有效的状态反馈控制器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p>
    <w:p w14:paraId="294B0229" w14:textId="3D9EAACC" w:rsidR="0014382B" w:rsidRPr="0014382B" w:rsidRDefault="0014382B" w:rsidP="0014382B">
      <w:r>
        <w:rPr>
          <w:rFonts w:hint="eastAsia"/>
        </w:rPr>
        <w:lastRenderedPageBreak/>
        <w:t>其一般形式为：</w:t>
      </w:r>
    </w:p>
    <w:p w14:paraId="1ED4C3BC" w14:textId="3DDEA8BF" w:rsidR="00921DC6" w:rsidRDefault="00921DC6" w:rsidP="00921DC6">
      <w:pPr>
        <w:pStyle w:val="3"/>
      </w:pPr>
      <w:r>
        <w:rPr>
          <w:rFonts w:hint="eastAsia"/>
        </w:rPr>
        <w:t>系统状态空间方程</w:t>
      </w:r>
    </w:p>
    <w:p w14:paraId="6D3BB3A8" w14:textId="28B4F580" w:rsidR="00921DC6" w:rsidRDefault="00921DC6" w:rsidP="00921DC6">
      <w:pPr>
        <w:pStyle w:val="3"/>
      </w:pPr>
      <w:r>
        <w:rPr>
          <w:rFonts w:hint="eastAsia"/>
        </w:rPr>
        <w:t>系统可控性分析</w:t>
      </w:r>
    </w:p>
    <w:p w14:paraId="645D1891" w14:textId="77777777" w:rsidR="00611AC4" w:rsidRDefault="00611AC4" w:rsidP="00611AC4">
      <w:r>
        <w:t>在控制理论中，</w:t>
      </w:r>
      <w:r w:rsidRPr="00611AC4">
        <w:t>可控性（</w:t>
      </w:r>
      <w:r w:rsidRPr="00611AC4">
        <w:t>Controllability</w:t>
      </w:r>
      <w:r w:rsidRPr="00611AC4">
        <w:t>）描述了</w:t>
      </w:r>
      <w:r>
        <w:t>通过合适的控制输入，能否在有限时间内将系统状态从任一初始状态转移到任一指定目标状态。直观上，若一个系统是可控的，则说明系统的所有状态都能通过设计输入加以调节，从而实现预期的控制目标。</w:t>
      </w:r>
    </w:p>
    <w:p w14:paraId="72FDD83C" w14:textId="11AE3CBF" w:rsidR="00611AC4" w:rsidRDefault="00611AC4" w:rsidP="00611AC4">
      <w:r>
        <w:t>对于线性时不变系统，其状态空间表达式通常写为</w:t>
      </w:r>
    </w:p>
    <w:p w14:paraId="0C645403" w14:textId="5F4DDAC4" w:rsidR="00921DC6" w:rsidRPr="00611AC4" w:rsidRDefault="000B1D70" w:rsidP="00921DC6">
      <w:r w:rsidRPr="000B1D70">
        <w:t>针对线性时不变系统，</w:t>
      </w:r>
      <w:r w:rsidRPr="000B1D70">
        <w:t xml:space="preserve">R.E. Kalman </w:t>
      </w:r>
      <w:r w:rsidRPr="000B1D70">
        <w:t>提出了判断系统可控性的判据，其基本思想是利用系统的状态矩阵</w:t>
      </w:r>
      <w:r w:rsidR="006B34CE">
        <w:rPr>
          <w:rFonts w:hint="eastAsia"/>
        </w:rPr>
        <w:t>A</w:t>
      </w:r>
      <w:r w:rsidRPr="000B1D70">
        <w:t>与输入矩阵</w:t>
      </w:r>
      <w:r w:rsidR="006B34CE">
        <w:rPr>
          <w:rFonts w:hint="eastAsia"/>
        </w:rPr>
        <w:t>B</w:t>
      </w:r>
      <w:r w:rsidRPr="000B1D70">
        <w:t>构造一个可控性矩阵，通过判断该矩阵的秩是否达到状态维数</w:t>
      </w:r>
      <w:r>
        <w:rPr>
          <w:rFonts w:hint="eastAsia"/>
        </w:rPr>
        <w:t xml:space="preserve"> </w:t>
      </w:r>
      <w:r w:rsidRPr="000B1D70">
        <w:t>来确定系统是否可控。</w:t>
      </w:r>
    </w:p>
    <w:p w14:paraId="24CA7656" w14:textId="46A2A85D" w:rsidR="005849E1" w:rsidRDefault="00D168E6" w:rsidP="005849E1">
      <w:pPr>
        <w:pStyle w:val="2"/>
        <w:spacing w:before="156" w:after="156"/>
      </w:pPr>
      <w:r>
        <w:rPr>
          <w:rFonts w:hint="eastAsia"/>
        </w:rPr>
        <w:t>线性二次规划器</w:t>
      </w:r>
      <w:r w:rsidR="00506EF1">
        <w:rPr>
          <w:rFonts w:hint="eastAsia"/>
        </w:rPr>
        <w:t>平衡</w:t>
      </w:r>
      <w:r w:rsidR="005849E1">
        <w:rPr>
          <w:rFonts w:hint="eastAsia"/>
        </w:rPr>
        <w:t>算法设计</w:t>
      </w:r>
    </w:p>
    <w:p w14:paraId="3ADD19E0" w14:textId="77777777" w:rsidR="00677E2B" w:rsidRPr="00EF3805" w:rsidRDefault="00677E2B" w:rsidP="00677E2B">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通过使用精确的系统模型，能够更加精确地调节系统状态，尤其是在欠驱系统中，能够考虑到系统的复杂性，提供更全面的控制。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0929017F" w14:textId="77777777" w:rsidR="00677E2B" w:rsidRDefault="00677E2B" w:rsidP="00677E2B">
      <w:r>
        <w:rPr>
          <w:rFonts w:hint="eastAsia"/>
        </w:rPr>
        <w:t>对于以及获得了状态空间方程的模型</w:t>
      </w:r>
      <w:r>
        <w:rPr>
          <w:rFonts w:hint="eastAsia"/>
        </w:rPr>
        <w:t>:</w:t>
      </w:r>
    </w:p>
    <w:p w14:paraId="7B5F85FA" w14:textId="77777777" w:rsidR="00677E2B" w:rsidRDefault="00677E2B" w:rsidP="00677E2B">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10</m:t>
            </m:r>
          </m:sup>
        </m:sSup>
      </m:oMath>
      <w:r>
        <w:rPr>
          <w:rFonts w:hint="eastAsia"/>
        </w:rPr>
        <w:t>,</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4</m:t>
            </m:r>
          </m:sup>
        </m:sSup>
      </m:oMath>
      <w:r>
        <w:rPr>
          <w:rFonts w:hint="eastAsia"/>
        </w:rPr>
        <w:t>,</w:t>
      </w:r>
      <w:r>
        <w:rPr>
          <w:rFonts w:hint="eastAsia"/>
        </w:rPr>
        <w:t>需要设计全状态反馈控制器：</w:t>
      </w:r>
    </w:p>
    <w:p w14:paraId="1C21BE0E" w14:textId="66A24C8C" w:rsidR="00677E2B" w:rsidRDefault="00677E2B" w:rsidP="00677E2B">
      <w:r>
        <w:rPr>
          <w:rFonts w:hint="eastAsia"/>
        </w:rPr>
        <w:t>LQR</w:t>
      </w:r>
      <w:r>
        <w:t>的目标是找一组</w:t>
      </w:r>
      <w:r>
        <w:rPr>
          <w:rFonts w:hint="eastAsia"/>
        </w:rPr>
        <w:t>最优控制律</w:t>
      </w:r>
      <m:oMath>
        <m:r>
          <w:rPr>
            <w:rFonts w:ascii="Cambria Math" w:hAnsi="Cambria Math"/>
          </w:rPr>
          <m:t>u</m:t>
        </m:r>
      </m:oMath>
      <w:r>
        <w:rPr>
          <w:rFonts w:hint="eastAsia"/>
        </w:rPr>
        <w:t>，使得系统达到稳定状态，并且对于代价函数：</w:t>
      </w:r>
    </w:p>
    <w:p w14:paraId="2A870670" w14:textId="43367B37" w:rsidR="00677E2B" w:rsidRDefault="00677E2B" w:rsidP="00677E2B">
      <w:r>
        <w:rPr>
          <w:rFonts w:hint="eastAsia"/>
        </w:rPr>
        <w:t>其中，</w:t>
      </w:r>
      <m:oMath>
        <m:r>
          <w:rPr>
            <w:rFonts w:ascii="Cambria Math" w:hAnsi="Cambria Math"/>
          </w:rPr>
          <m:t>Q≥0</m:t>
        </m:r>
      </m:oMath>
      <w:r>
        <w:rPr>
          <w:rFonts w:hint="eastAsia"/>
        </w:rPr>
        <w:t>，是状态权重矩阵，反应了我们对状态</w:t>
      </w:r>
      <w:r w:rsidRPr="00094944">
        <w:t>偏离零的惩罚</w:t>
      </w:r>
      <w:r>
        <w:rPr>
          <w:rFonts w:hint="eastAsia"/>
        </w:rPr>
        <w:t>。</w:t>
      </w:r>
      <w:r w:rsidRPr="00094944">
        <w:rPr>
          <w:rFonts w:hint="eastAsia"/>
          <w:i/>
        </w:rPr>
        <w:t xml:space="preserve"> </w:t>
      </w:r>
      <m:oMath>
        <m:r>
          <w:rPr>
            <w:rFonts w:ascii="Cambria Math" w:hAnsi="Cambria Math"/>
          </w:rPr>
          <m:t>R≥0</m:t>
        </m:r>
      </m:oMath>
      <w:r>
        <w:rPr>
          <w:rFonts w:hint="eastAsia"/>
        </w:rPr>
        <w:t>，</w:t>
      </w:r>
      <w:r w:rsidRPr="00094944">
        <w:t>是控制权重矩阵，反映了我们对使用控制输入的惩罚</w:t>
      </w:r>
      <w:r>
        <w:rPr>
          <w:rFonts w:hint="eastAsia"/>
        </w:rPr>
        <w:t>。为了最小化代价函数</w:t>
      </w:r>
      <m:oMath>
        <m:r>
          <w:rPr>
            <w:rFonts w:ascii="Cambria Math" w:hAnsi="Cambria Math"/>
          </w:rPr>
          <w:lastRenderedPageBreak/>
          <m:t>J</m:t>
        </m:r>
      </m:oMath>
      <w:r>
        <w:rPr>
          <w:rFonts w:hint="eastAsia"/>
        </w:rPr>
        <w:t>，</w:t>
      </w:r>
      <w:r w:rsidRPr="00D2166B">
        <w:t>我们引入动态规划中的</w:t>
      </w:r>
      <w:r w:rsidRPr="00D2166B">
        <w:t xml:space="preserve"> Hamilton-Jacobi-Bellman (HJB) </w:t>
      </w:r>
      <w:r w:rsidRPr="00D2166B">
        <w:t>方程。</w:t>
      </w:r>
      <w:r w:rsidRPr="001510BB">
        <w:t>为了求解反馈增益矩阵</w:t>
      </w:r>
      <m:oMath>
        <m:r>
          <w:rPr>
            <w:rFonts w:ascii="Cambria Math" w:hAnsi="Cambria Math"/>
          </w:rPr>
          <m:t>K</m:t>
        </m:r>
      </m:oMath>
      <w:r w:rsidRPr="001510BB">
        <w:t>，需要求解矩阵</w:t>
      </w:r>
      <m:oMath>
        <m:r>
          <w:rPr>
            <w:rFonts w:ascii="Cambria Math" w:hAnsi="Cambria Math"/>
          </w:rPr>
          <m:t>P</m:t>
        </m:r>
      </m:oMath>
      <w:r w:rsidRPr="001510BB">
        <w:t>。通过将最优控制律代入状态方程和代价函数，可以得到矩阵黎卡提方程（</w:t>
      </w:r>
      <w:r w:rsidRPr="001510BB">
        <w:t xml:space="preserve">ARE, Algebraic </w:t>
      </w:r>
      <w:proofErr w:type="spellStart"/>
      <w:r w:rsidRPr="001510BB">
        <w:t>Riccati</w:t>
      </w:r>
      <w:proofErr w:type="spellEnd"/>
      <w:r w:rsidRPr="001510BB">
        <w:t xml:space="preserve"> Equation</w:t>
      </w:r>
      <w:r>
        <w:rPr>
          <w:rFonts w:hint="eastAsia"/>
        </w:rPr>
        <w:t>）：</w:t>
      </w:r>
    </w:p>
    <w:p w14:paraId="3CB1DD18" w14:textId="2C39C8E9" w:rsidR="00677E2B" w:rsidRDefault="00677E2B" w:rsidP="00677E2B">
      <w:r>
        <w:rPr>
          <w:rFonts w:hint="eastAsia"/>
        </w:rPr>
        <w:t>通过数值方法求解</w:t>
      </w:r>
      <m:oMath>
        <m:r>
          <w:rPr>
            <w:rFonts w:ascii="Cambria Math" w:hAnsi="Cambria Math"/>
          </w:rPr>
          <m:t>P</m:t>
        </m:r>
      </m:oMath>
      <w:r>
        <w:rPr>
          <w:rFonts w:hint="eastAsia"/>
        </w:rPr>
        <w:t>，即可得到最优控制律。</w:t>
      </w:r>
    </w:p>
    <w:p w14:paraId="26C70268" w14:textId="5B726E3A" w:rsidR="00C55C1A" w:rsidRPr="00C55C1A" w:rsidRDefault="00C55C1A" w:rsidP="00C55C1A">
      <w:r>
        <w:rPr>
          <w:rFonts w:hint="eastAsia"/>
        </w:rPr>
        <w:t>在平衡控制中，我们将平衡点设置为机体的</w:t>
      </w:r>
      <w:r>
        <w:rPr>
          <w:rFonts w:hint="eastAsia"/>
        </w:rPr>
        <w:t>Pitch</w:t>
      </w:r>
      <w:r>
        <w:rPr>
          <w:rFonts w:hint="eastAsia"/>
        </w:rPr>
        <w:t>轴倾角</w:t>
      </w:r>
      <m:oMath>
        <m:r>
          <w:rPr>
            <w:rFonts w:ascii="Cambria Math" w:hAnsi="Cambria Math"/>
          </w:rPr>
          <m:t>φ</m:t>
        </m:r>
      </m:oMath>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m:oMath>
        <m:r>
          <w:rPr>
            <w:rFonts w:ascii="Cambria Math" w:hAnsi="Cambria Math"/>
          </w:rPr>
          <m:t>φ</m:t>
        </m:r>
      </m:oMath>
      <w:r>
        <w:rPr>
          <w:rFonts w:hint="eastAsia"/>
        </w:rPr>
        <w:t>的误差权重要大于内轮抬升角，当有速度指令时，内轮会向速度方向抬升，为机器人整体提供方向加速度达到目标速度，而</w:t>
      </w:r>
      <m:oMath>
        <m:r>
          <w:rPr>
            <w:rFonts w:ascii="Cambria Math" w:hAnsi="Cambria Math"/>
          </w:rPr>
          <m:t>φ</m:t>
        </m:r>
      </m:oMath>
      <w:r>
        <w:rPr>
          <w:rFonts w:hint="eastAsia"/>
        </w:rPr>
        <w:t>角在此过程中会始终使机体保持竖直状态。</w:t>
      </w:r>
    </w:p>
    <w:p w14:paraId="54853B11" w14:textId="71FEEB99" w:rsidR="001854E5" w:rsidRPr="001854E5" w:rsidRDefault="001854E5" w:rsidP="001854E5">
      <w:pPr>
        <w:pStyle w:val="2"/>
        <w:spacing w:before="156" w:after="156"/>
      </w:pPr>
      <w:r>
        <w:rPr>
          <w:rFonts w:hint="eastAsia"/>
        </w:rPr>
        <w:t>MATLAB</w:t>
      </w:r>
      <w:r>
        <w:rPr>
          <w:rFonts w:hint="eastAsia"/>
        </w:rPr>
        <w:t>仿真验证</w:t>
      </w:r>
    </w:p>
    <w:p w14:paraId="2CCF6205" w14:textId="10246C9E" w:rsidR="002A056B" w:rsidRDefault="002A056B" w:rsidP="002A056B">
      <w:pPr>
        <w:pStyle w:val="2"/>
        <w:spacing w:before="156" w:after="156"/>
      </w:pPr>
      <w:r>
        <w:rPr>
          <w:rFonts w:hint="eastAsia"/>
        </w:rPr>
        <w:t>倒地恢复控制</w:t>
      </w:r>
    </w:p>
    <w:p w14:paraId="00A11E92" w14:textId="33AA4A3C" w:rsidR="002A056B" w:rsidRDefault="002A056B" w:rsidP="002A056B">
      <w:pPr>
        <w:pStyle w:val="2"/>
        <w:spacing w:before="156" w:after="156"/>
      </w:pPr>
      <w:r>
        <w:rPr>
          <w:rFonts w:hint="eastAsia"/>
        </w:rPr>
        <w:t>站立控制</w:t>
      </w:r>
    </w:p>
    <w:p w14:paraId="22D568AA" w14:textId="2152B5E9" w:rsidR="00864871" w:rsidRPr="00864871" w:rsidRDefault="00864871" w:rsidP="00864871">
      <w:pPr>
        <w:pStyle w:val="2"/>
        <w:spacing w:before="156" w:after="156"/>
      </w:pPr>
      <w:r>
        <w:rPr>
          <w:rFonts w:hint="eastAsia"/>
        </w:rPr>
        <w:t>跳跃控制</w:t>
      </w:r>
    </w:p>
    <w:p w14:paraId="49C984FA" w14:textId="662BF008" w:rsidR="002A7088" w:rsidRDefault="002A7088" w:rsidP="002A7088">
      <w:pPr>
        <w:pStyle w:val="2"/>
        <w:spacing w:before="156" w:after="156"/>
      </w:pPr>
      <w:r>
        <w:rPr>
          <w:rFonts w:hint="eastAsia"/>
        </w:rPr>
        <w:t>打滑恢复控制</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r w:rsidRPr="00122760">
        <w:rPr>
          <w:rFonts w:hint="eastAsia"/>
        </w:rPr>
        <w:t>轮圈腿式平衡机器人的多模态运动特性对驱动系统提出了严苛的功能需求。根据机器人的机械构型与控制目标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5EA49EAD" w14:textId="47093325" w:rsidR="00DC102E" w:rsidRDefault="00122760" w:rsidP="00122760">
      <w:r>
        <w:rPr>
          <w:rFonts w:hint="eastAsia"/>
        </w:rPr>
        <w:t>两个内轮俯仰关节电机</w:t>
      </w:r>
      <w:r w:rsidRPr="00122760">
        <w:t>承担机体姿态调整的核心任务，需在坐姿</w:t>
      </w:r>
      <w:r w:rsidRPr="00122760">
        <w:t>-</w:t>
      </w:r>
      <w:r w:rsidRPr="00122760">
        <w:t>站姿模态</w:t>
      </w:r>
      <w:r w:rsidRPr="00122760">
        <w:lastRenderedPageBreak/>
        <w:t>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4.1Kg</w:t>
      </w:r>
      <w:r w:rsidR="005970F9">
        <w:rPr>
          <w:rFonts w:hint="eastAsia"/>
        </w:rPr>
        <w:t>，根据力矩计算公式可得所需的最大静态力矩为：</w:t>
      </w:r>
    </w:p>
    <w:p w14:paraId="477C70A9" w14:textId="10E35414" w:rsidR="005970F9" w:rsidRDefault="005970F9" w:rsidP="00122760">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r>
        <w:rPr>
          <w:rFonts w:hint="eastAsia"/>
        </w:rPr>
        <w:t>考虑电机动态性能，</w:t>
      </w:r>
    </w:p>
    <w:p w14:paraId="3BE2C31A" w14:textId="77777777" w:rsidR="007032CC" w:rsidRPr="00122760" w:rsidRDefault="007032CC" w:rsidP="00122760"/>
    <w:p w14:paraId="0D36BC23" w14:textId="330C7B62" w:rsidR="005849E1" w:rsidRDefault="005849E1" w:rsidP="005849E1">
      <w:pPr>
        <w:pStyle w:val="2"/>
        <w:spacing w:before="156" w:after="156"/>
      </w:pPr>
      <w:r>
        <w:rPr>
          <w:rFonts w:hint="eastAsia"/>
        </w:rPr>
        <w:lastRenderedPageBreak/>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 w14:paraId="1B33994D" w14:textId="77777777" w:rsidR="00E6142B" w:rsidRPr="00E6142B" w:rsidRDefault="00E6142B" w:rsidP="00E6142B"/>
    <w:sectPr w:rsidR="00E6142B" w:rsidRPr="00E6142B">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BE2E7" w14:textId="77777777" w:rsidR="006B4C90" w:rsidRDefault="006B4C90" w:rsidP="00D42195">
      <w:r>
        <w:separator/>
      </w:r>
    </w:p>
  </w:endnote>
  <w:endnote w:type="continuationSeparator" w:id="0">
    <w:p w14:paraId="585CF495" w14:textId="77777777" w:rsidR="006B4C90" w:rsidRDefault="006B4C90" w:rsidP="00D4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6BE56" w14:textId="77777777" w:rsidR="006B4C90" w:rsidRDefault="006B4C90" w:rsidP="00D42195">
      <w:r>
        <w:separator/>
      </w:r>
    </w:p>
  </w:footnote>
  <w:footnote w:type="continuationSeparator" w:id="0">
    <w:p w14:paraId="3F155B59" w14:textId="77777777" w:rsidR="006B4C90" w:rsidRDefault="006B4C90" w:rsidP="00D42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1247F"/>
    <w:rsid w:val="00031B1D"/>
    <w:rsid w:val="0003642E"/>
    <w:rsid w:val="00047F34"/>
    <w:rsid w:val="00056980"/>
    <w:rsid w:val="000653D6"/>
    <w:rsid w:val="00065AD5"/>
    <w:rsid w:val="00086E9B"/>
    <w:rsid w:val="000B1D70"/>
    <w:rsid w:val="000B27CF"/>
    <w:rsid w:val="000B6231"/>
    <w:rsid w:val="000C16B9"/>
    <w:rsid w:val="000D5D81"/>
    <w:rsid w:val="000E2728"/>
    <w:rsid w:val="000E6EF0"/>
    <w:rsid w:val="000F482A"/>
    <w:rsid w:val="001064FA"/>
    <w:rsid w:val="00121D0C"/>
    <w:rsid w:val="00122760"/>
    <w:rsid w:val="0012540E"/>
    <w:rsid w:val="0014382B"/>
    <w:rsid w:val="001461DB"/>
    <w:rsid w:val="00147924"/>
    <w:rsid w:val="00176445"/>
    <w:rsid w:val="001854E5"/>
    <w:rsid w:val="00190F6F"/>
    <w:rsid w:val="001B6E3A"/>
    <w:rsid w:val="001D0BC2"/>
    <w:rsid w:val="001D5D78"/>
    <w:rsid w:val="001E57FE"/>
    <w:rsid w:val="00202E90"/>
    <w:rsid w:val="00274717"/>
    <w:rsid w:val="002831B4"/>
    <w:rsid w:val="00284557"/>
    <w:rsid w:val="002867A9"/>
    <w:rsid w:val="002A056B"/>
    <w:rsid w:val="002A0DAB"/>
    <w:rsid w:val="002A7088"/>
    <w:rsid w:val="002C0316"/>
    <w:rsid w:val="002C0677"/>
    <w:rsid w:val="002C5FEE"/>
    <w:rsid w:val="002F4239"/>
    <w:rsid w:val="002F46E2"/>
    <w:rsid w:val="00302F80"/>
    <w:rsid w:val="003069BF"/>
    <w:rsid w:val="00307C2E"/>
    <w:rsid w:val="00315E97"/>
    <w:rsid w:val="00342DCA"/>
    <w:rsid w:val="00343D47"/>
    <w:rsid w:val="00353702"/>
    <w:rsid w:val="00361585"/>
    <w:rsid w:val="003724A1"/>
    <w:rsid w:val="00396D94"/>
    <w:rsid w:val="003A6F48"/>
    <w:rsid w:val="003B4D7D"/>
    <w:rsid w:val="003B7D7E"/>
    <w:rsid w:val="003D72E1"/>
    <w:rsid w:val="003F2D28"/>
    <w:rsid w:val="003F44C3"/>
    <w:rsid w:val="00413FBE"/>
    <w:rsid w:val="00434A54"/>
    <w:rsid w:val="004355AA"/>
    <w:rsid w:val="004546D9"/>
    <w:rsid w:val="004549D5"/>
    <w:rsid w:val="004670E9"/>
    <w:rsid w:val="0047065B"/>
    <w:rsid w:val="00473D18"/>
    <w:rsid w:val="004C06D4"/>
    <w:rsid w:val="004D3E42"/>
    <w:rsid w:val="004F4559"/>
    <w:rsid w:val="00506EF1"/>
    <w:rsid w:val="005128FC"/>
    <w:rsid w:val="0052434A"/>
    <w:rsid w:val="005266DC"/>
    <w:rsid w:val="00537F0E"/>
    <w:rsid w:val="0054445D"/>
    <w:rsid w:val="00565BBE"/>
    <w:rsid w:val="005849E1"/>
    <w:rsid w:val="00586468"/>
    <w:rsid w:val="005878C8"/>
    <w:rsid w:val="005963F6"/>
    <w:rsid w:val="005970F9"/>
    <w:rsid w:val="005A1DF3"/>
    <w:rsid w:val="005B59E9"/>
    <w:rsid w:val="005C0DC6"/>
    <w:rsid w:val="005E5DC6"/>
    <w:rsid w:val="005F10E5"/>
    <w:rsid w:val="005F2012"/>
    <w:rsid w:val="00602F1F"/>
    <w:rsid w:val="00604B1F"/>
    <w:rsid w:val="00611AC4"/>
    <w:rsid w:val="006451D9"/>
    <w:rsid w:val="006468AC"/>
    <w:rsid w:val="0065524E"/>
    <w:rsid w:val="006637C5"/>
    <w:rsid w:val="00677E2B"/>
    <w:rsid w:val="00695C4A"/>
    <w:rsid w:val="006A689C"/>
    <w:rsid w:val="006A7B55"/>
    <w:rsid w:val="006B34CE"/>
    <w:rsid w:val="006B4C90"/>
    <w:rsid w:val="006C24A8"/>
    <w:rsid w:val="006C3CD9"/>
    <w:rsid w:val="006C5BC1"/>
    <w:rsid w:val="006C79E3"/>
    <w:rsid w:val="006D6274"/>
    <w:rsid w:val="006E60F4"/>
    <w:rsid w:val="006E732C"/>
    <w:rsid w:val="006F4C2E"/>
    <w:rsid w:val="00700908"/>
    <w:rsid w:val="007032CC"/>
    <w:rsid w:val="00731A1E"/>
    <w:rsid w:val="007346A5"/>
    <w:rsid w:val="0074301F"/>
    <w:rsid w:val="0075499A"/>
    <w:rsid w:val="0075716D"/>
    <w:rsid w:val="00770DB3"/>
    <w:rsid w:val="00783057"/>
    <w:rsid w:val="00786A87"/>
    <w:rsid w:val="00786AB7"/>
    <w:rsid w:val="0078730C"/>
    <w:rsid w:val="007B7A56"/>
    <w:rsid w:val="007C1CF2"/>
    <w:rsid w:val="007E2726"/>
    <w:rsid w:val="007F6122"/>
    <w:rsid w:val="00806E5A"/>
    <w:rsid w:val="00850A8C"/>
    <w:rsid w:val="00864871"/>
    <w:rsid w:val="00892F08"/>
    <w:rsid w:val="008A109E"/>
    <w:rsid w:val="008A7EFB"/>
    <w:rsid w:val="008C3F6E"/>
    <w:rsid w:val="008D6895"/>
    <w:rsid w:val="008F0A8A"/>
    <w:rsid w:val="00912C83"/>
    <w:rsid w:val="00913650"/>
    <w:rsid w:val="0091644F"/>
    <w:rsid w:val="00921DC6"/>
    <w:rsid w:val="009228BD"/>
    <w:rsid w:val="009364E5"/>
    <w:rsid w:val="009377D9"/>
    <w:rsid w:val="00945883"/>
    <w:rsid w:val="0095196F"/>
    <w:rsid w:val="00957752"/>
    <w:rsid w:val="00961D2D"/>
    <w:rsid w:val="0096384A"/>
    <w:rsid w:val="00982923"/>
    <w:rsid w:val="009947A8"/>
    <w:rsid w:val="009C311B"/>
    <w:rsid w:val="009C64E1"/>
    <w:rsid w:val="009D73E5"/>
    <w:rsid w:val="009E24F7"/>
    <w:rsid w:val="009E5757"/>
    <w:rsid w:val="009F142B"/>
    <w:rsid w:val="00A04F96"/>
    <w:rsid w:val="00A11D03"/>
    <w:rsid w:val="00A1301C"/>
    <w:rsid w:val="00A16AF6"/>
    <w:rsid w:val="00A21ADA"/>
    <w:rsid w:val="00A257DE"/>
    <w:rsid w:val="00A26FE2"/>
    <w:rsid w:val="00A40855"/>
    <w:rsid w:val="00A50CFD"/>
    <w:rsid w:val="00A5200C"/>
    <w:rsid w:val="00A535D5"/>
    <w:rsid w:val="00A61F82"/>
    <w:rsid w:val="00A92769"/>
    <w:rsid w:val="00AC404E"/>
    <w:rsid w:val="00AC6AEF"/>
    <w:rsid w:val="00AE59A4"/>
    <w:rsid w:val="00B242F6"/>
    <w:rsid w:val="00B266EE"/>
    <w:rsid w:val="00B31008"/>
    <w:rsid w:val="00B317BF"/>
    <w:rsid w:val="00B33318"/>
    <w:rsid w:val="00B5452D"/>
    <w:rsid w:val="00B609DA"/>
    <w:rsid w:val="00BB6DF3"/>
    <w:rsid w:val="00BC3ECE"/>
    <w:rsid w:val="00BD1101"/>
    <w:rsid w:val="00BD1192"/>
    <w:rsid w:val="00BD43FE"/>
    <w:rsid w:val="00BE247A"/>
    <w:rsid w:val="00BE51C8"/>
    <w:rsid w:val="00BE7D44"/>
    <w:rsid w:val="00BF1078"/>
    <w:rsid w:val="00BF1924"/>
    <w:rsid w:val="00BF3F87"/>
    <w:rsid w:val="00C12C26"/>
    <w:rsid w:val="00C2643B"/>
    <w:rsid w:val="00C44759"/>
    <w:rsid w:val="00C46B18"/>
    <w:rsid w:val="00C531B4"/>
    <w:rsid w:val="00C55C1A"/>
    <w:rsid w:val="00C578B9"/>
    <w:rsid w:val="00C622F0"/>
    <w:rsid w:val="00C643D4"/>
    <w:rsid w:val="00C761D6"/>
    <w:rsid w:val="00C839F1"/>
    <w:rsid w:val="00C85A8B"/>
    <w:rsid w:val="00C868AF"/>
    <w:rsid w:val="00C944E6"/>
    <w:rsid w:val="00CA532B"/>
    <w:rsid w:val="00CA7A0C"/>
    <w:rsid w:val="00CC6B74"/>
    <w:rsid w:val="00CD1A1C"/>
    <w:rsid w:val="00CD3CFA"/>
    <w:rsid w:val="00CD675C"/>
    <w:rsid w:val="00CE193C"/>
    <w:rsid w:val="00CF6743"/>
    <w:rsid w:val="00CF7161"/>
    <w:rsid w:val="00D1022E"/>
    <w:rsid w:val="00D168E6"/>
    <w:rsid w:val="00D244CC"/>
    <w:rsid w:val="00D25D7B"/>
    <w:rsid w:val="00D27B6F"/>
    <w:rsid w:val="00D42195"/>
    <w:rsid w:val="00D457BB"/>
    <w:rsid w:val="00D46E3A"/>
    <w:rsid w:val="00D61C64"/>
    <w:rsid w:val="00D67351"/>
    <w:rsid w:val="00DC102E"/>
    <w:rsid w:val="00DC203D"/>
    <w:rsid w:val="00DC6605"/>
    <w:rsid w:val="00DE462C"/>
    <w:rsid w:val="00DE7B2C"/>
    <w:rsid w:val="00DF3315"/>
    <w:rsid w:val="00DF6099"/>
    <w:rsid w:val="00DF7AF1"/>
    <w:rsid w:val="00E040E9"/>
    <w:rsid w:val="00E12280"/>
    <w:rsid w:val="00E26BE3"/>
    <w:rsid w:val="00E35BAF"/>
    <w:rsid w:val="00E4690F"/>
    <w:rsid w:val="00E50D20"/>
    <w:rsid w:val="00E6142B"/>
    <w:rsid w:val="00E7645C"/>
    <w:rsid w:val="00E85925"/>
    <w:rsid w:val="00E90198"/>
    <w:rsid w:val="00EA23C0"/>
    <w:rsid w:val="00EB1049"/>
    <w:rsid w:val="00EB2064"/>
    <w:rsid w:val="00EC7D72"/>
    <w:rsid w:val="00EE731F"/>
    <w:rsid w:val="00EF36E6"/>
    <w:rsid w:val="00F00823"/>
    <w:rsid w:val="00F10EC9"/>
    <w:rsid w:val="00F14C64"/>
    <w:rsid w:val="00F15211"/>
    <w:rsid w:val="00F22BAD"/>
    <w:rsid w:val="00F27EFE"/>
    <w:rsid w:val="00F306C5"/>
    <w:rsid w:val="00F542F5"/>
    <w:rsid w:val="00F54828"/>
    <w:rsid w:val="00F639A4"/>
    <w:rsid w:val="00F665FF"/>
    <w:rsid w:val="00F810C3"/>
    <w:rsid w:val="00F84970"/>
    <w:rsid w:val="00FB16B7"/>
    <w:rsid w:val="00FC5039"/>
    <w:rsid w:val="00FD2C0C"/>
    <w:rsid w:val="00FD7BE1"/>
    <w:rsid w:val="00FE4CD2"/>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195"/>
    <w:pPr>
      <w:widowControl w:val="0"/>
      <w:spacing w:line="440" w:lineRule="exact"/>
      <w:ind w:firstLineChars="200" w:firstLine="480"/>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ind w:firstLine="200"/>
    </w:pPr>
    <w:rPr>
      <w:rFonts w:cstheme="majorBidi"/>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16</Pages>
  <Words>1905</Words>
  <Characters>10865</Characters>
  <Application>Microsoft Office Word</Application>
  <DocSecurity>0</DocSecurity>
  <Lines>90</Lines>
  <Paragraphs>25</Paragraphs>
  <ScaleCrop>false</ScaleCrop>
  <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205</cp:revision>
  <dcterms:created xsi:type="dcterms:W3CDTF">2025-01-02T07:34:00Z</dcterms:created>
  <dcterms:modified xsi:type="dcterms:W3CDTF">2025-02-11T03:10:00Z</dcterms:modified>
</cp:coreProperties>
</file>