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Protocol v1.0 (for PRISMA)</w:t>
      </w:r>
    </w:p>
    <w:p>
      <w:r>
        <w:rPr>
          <w:b/>
        </w:rPr>
        <w:t>Title: School Principals’ Transformational Leadership and Student Academic Achievement in Chinese Middle Schools: A Systematic Review and Meta-analysis</w:t>
      </w:r>
    </w:p>
    <w:p>
      <w:pPr>
        <w:jc w:val="center"/>
      </w:pPr>
      <w:r>
        <w:t>Author: LUO XI | Affiliation: University of Malaya | Date: July 12, 2025</w:t>
      </w:r>
    </w:p>
    <w:p>
      <w:pPr>
        <w:pStyle w:val="Heading1"/>
      </w:pPr>
      <w:r>
        <w:t>1) Research Questions</w:t>
      </w:r>
    </w:p>
    <w:p>
      <w:r>
        <w:t>RQ1. Is principals’ transformational leadership (TL) positively associated with students’ academic achievement?</w:t>
      </w:r>
    </w:p>
    <w:p>
      <w:r>
        <w:t>RQ2. Is this association moderated by (a) region (east/central/west; urban/rural), (b) measurement instrument (MLQ, TLQ, or other validated scales), (c) publication year, and (d) sample level (student/class/school)?</w:t>
      </w:r>
    </w:p>
    <w:p>
      <w:pPr>
        <w:pStyle w:val="Heading1"/>
      </w:pPr>
      <w:r>
        <w:t>2) PICOS</w:t>
      </w:r>
    </w:p>
    <w:p>
      <w:r>
        <w:t>Population (P). Chinese lower-secondary (junior middle) schools—students, teachers, or school-level data from the compulsory-education stage.</w:t>
      </w:r>
    </w:p>
    <w:p>
      <w:r>
        <w:t>Intervention/Exposure (I/E). Principals’ transformational leadership measured by MLQ, TLQ, or comparable, explicitly defined and quantifiable indicators.</w:t>
      </w:r>
    </w:p>
    <w:p>
      <w:r>
        <w:t>Comparator (C). Lower TL levels, other leadership styles, or no explicit comparator (correlational and regression designs eligible).</w:t>
      </w:r>
    </w:p>
    <w:p>
      <w:r>
        <w:t>Outcomes (O). Academic achievement (standardized test scores, GPA, pass rates, proportions of high achievers/top-tier rates, etc.).</w:t>
      </w:r>
    </w:p>
    <w:p>
      <w:r>
        <w:t>Study design (S). Quantitative empirical studies, including correlational, regression, group comparison, panel/longitudinal, and quasi-experimental designs.</w:t>
      </w:r>
    </w:p>
    <w:p>
      <w:pPr>
        <w:pStyle w:val="Heading1"/>
      </w:pPr>
      <w:r>
        <w:t>3) Eligibility Criteria</w:t>
      </w:r>
    </w:p>
    <w:p>
      <w:r>
        <w:t>Inclusion</w:t>
      </w:r>
    </w:p>
    <w:p>
      <w:r>
        <w:t>1. Target setting: Chinese junior middle schools.</w:t>
      </w:r>
    </w:p>
    <w:p>
      <w:r>
        <w:t>2. Reports a quantitative association between TL and academic achievement, or provides convertible statistics (for example, r, t, F, beta, means/SDs, 2×2 tables).</w:t>
      </w:r>
    </w:p>
    <w:p>
      <w:r>
        <w:t>3. Publication types: journal articles, theses/dissertations, conference papers, and grey literature.</w:t>
      </w:r>
    </w:p>
    <w:p>
      <w:r>
        <w:t>4. Languages: Chinese or English.</w:t>
      </w:r>
    </w:p>
    <w:p>
      <w:r>
        <w:t>5. Time frame: 2000–present.</w:t>
      </w:r>
    </w:p>
    <w:p>
      <w:r>
        <w:t>Exclusion</w:t>
      </w:r>
    </w:p>
    <w:p>
      <w:r>
        <w:t>1. Not set in Chinese junior middle schools.</w:t>
      </w:r>
    </w:p>
    <w:p>
      <w:r>
        <w:t>2. Conceptual/theoretical or purely qualitative studies without convertible effect-size information.</w:t>
      </w:r>
    </w:p>
    <w:p>
      <w:r>
        <w:t>3. Insufficient data for effect-size computation.</w:t>
      </w:r>
    </w:p>
    <w:p>
      <w:r>
        <w:t>4. Duplicate datasets (retain the most complete report).</w:t>
      </w:r>
    </w:p>
    <w:p>
      <w:pPr>
        <w:pStyle w:val="Heading1"/>
      </w:pPr>
      <w:r>
        <w:t>4) Information Sources and Search Strategies</w:t>
      </w:r>
    </w:p>
    <w:p>
      <w:r>
        <w:t>Databases</w:t>
      </w:r>
    </w:p>
    <w:p>
      <w:r>
        <w:t>- International: Web of Science, Scopus, ERIC, Google Scholar.</w:t>
      </w:r>
    </w:p>
    <w:p>
      <w:r>
        <w:t>- Chinese: CNKI, Wanfang, VIP.</w:t>
      </w:r>
    </w:p>
    <w:p>
      <w:r>
        <w:t>- Additional grey-literature sources as feasible.</w:t>
      </w:r>
    </w:p>
    <w:p>
      <w:r>
        <w:t>English search string (example)</w:t>
      </w:r>
    </w:p>
    <w:p>
      <w:r>
        <w:t>("principal*" OR "school leader*" OR headteacher*) AND ("transformational leadership" OR MLQ OR "multifactor leadership questionnaire" OR TLQ) AND ("student achievement" OR "academic achievement" OR "test score*" OR GPA) AND ("middle school" OR "junior high" OR "lower secondary") AND (China OR Chinese)</w:t>
      </w:r>
    </w:p>
    <w:p>
      <w:r>
        <w:t>CNKI advanced query (paste-ready; in Chinese)</w:t>
      </w:r>
    </w:p>
    <w:p>
      <w:r>
        <w:t>SU=(((校长 OR 学校领导 OR 中学校长)) AND ((变革型领导 OR 变革性领导 OR MLQ OR TLQ)) AND ((学业成就 OR 学业成绩 OR 学业表现 OR 考试成绩 OR GPA)) AND ((初中 OR 初级中学 OR 义务教育阶段))) AND NOT SU=(高校 OR 大学 OR 高等教育)</w:t>
      </w:r>
    </w:p>
    <w:p>
      <w:r>
        <w:t>Notes</w:t>
      </w:r>
    </w:p>
    <w:p>
      <w:r>
        <w:t>- Record database, exact strings, dates, and hit counts.</w:t>
      </w:r>
    </w:p>
    <w:p>
      <w:r>
        <w:t>- Apply language and year limits at the database level where permitted.</w:t>
      </w:r>
    </w:p>
    <w:p>
      <w:r>
        <w:t>- Hand-search reference lists and relevant review papers.</w:t>
      </w:r>
    </w:p>
    <w:p>
      <w:pPr>
        <w:pStyle w:val="Heading1"/>
      </w:pPr>
      <w:r>
        <w:t>5) Data Extraction and Risk of Bias</w:t>
      </w:r>
    </w:p>
    <w:p>
      <w:r>
        <w:t>Data extraction (core fields)</w:t>
      </w:r>
    </w:p>
    <w:p>
      <w:r>
        <w:t>- Study identifiers (authors, year), region (east/central/west; urban/rural), setting, sample sizes at each level, measurement instrument (MLQ/TLQ/other), design, outcome operationalization, effect-size statistics (prefer r; retain convertible data), covariates/controls, sample level (student/class/school), and notes.</w:t>
      </w:r>
    </w:p>
    <w:p>
      <w:r>
        <w:t>Risk of bias</w:t>
      </w:r>
    </w:p>
    <w:p>
      <w:r>
        <w:t>- Non-randomized/observational designs: ROBINS-I.</w:t>
      </w:r>
    </w:p>
    <w:p>
      <w:r>
        <w:t>- Cross-sectional designs: JBI checklists.</w:t>
      </w:r>
    </w:p>
    <w:p>
      <w:r>
        <w:t>- Dual independent coding with reconciliation; report inter-rater reliability (Cohen’s kappa).</w:t>
      </w:r>
    </w:p>
    <w:p>
      <w:pPr>
        <w:pStyle w:val="Heading1"/>
      </w:pPr>
      <w:r>
        <w:t>6) Effect Sizes and Meta-analytic Models</w:t>
      </w:r>
    </w:p>
    <w:p>
      <w:r>
        <w:t>Primary effect size</w:t>
      </w:r>
    </w:p>
    <w:p>
      <w:r>
        <w:t>Pearson correlation (r) transformed to Fisher’s z; standard error SE = 1/√(n−3). Convert alternative statistics to r when needed. Use Hedges’ g where only mean/SD group data are available; convert to r for synthesis when appropriate.</w:t>
      </w:r>
    </w:p>
    <w:p>
      <w:r>
        <w:t>Synthesis model</w:t>
      </w:r>
    </w:p>
    <w:p>
      <w:r>
        <w:t>Random-effects meta-analysis (REML preferred; DerSimonian–Laird as sensitivity). Report pooled effect with 95% confidence interval, heterogeneity (I², τ²), Cochran’s Q, and 95% prediction interval.</w:t>
      </w:r>
    </w:p>
    <w:p>
      <w:r>
        <w:t>Dependent effects / multiple effects per study</w:t>
      </w:r>
    </w:p>
    <w:p>
      <w:r>
        <w:t>Address dependence using three-level meta-analysis or robust variance estimation with small-sample adjustments. Select one effect per study for specific sensitivity checks where advisable.</w:t>
      </w:r>
    </w:p>
    <w:p>
      <w:r>
        <w:t>Moderator and subgroup analyses</w:t>
      </w:r>
    </w:p>
    <w:p>
      <w:r>
        <w:t>Region, instrument (MLQ/TLQ/other), publication year (meta-regression), and sample level (student/class/school). Pre-specify coding rules for categories.</w:t>
      </w:r>
    </w:p>
    <w:p>
      <w:r>
        <w:t>Publication bias and small-study effects</w:t>
      </w:r>
    </w:p>
    <w:p>
      <w:r>
        <w:t>Funnel plots, Egger’s regression test, and trim-and-fill procedures.</w:t>
      </w:r>
    </w:p>
    <w:p>
      <w:r>
        <w:t>Sensitivity analyses</w:t>
      </w:r>
    </w:p>
    <w:p>
      <w:r>
        <w:t>Leave-one-out diagnostics; influence analyses (DFBETAS, Cook’s distance where applicable); alternative effect-size specifications (for example, using g versus r, alternative dependence structures).</w:t>
      </w:r>
    </w:p>
    <w:p>
      <w:pPr>
        <w:pStyle w:val="Heading1"/>
      </w:pPr>
      <w:r>
        <w:t>7) Planned Outputs and Transparency</w:t>
      </w:r>
    </w:p>
    <w:p>
      <w:r>
        <w:t>Figures: PRISMA flow diagram; overall forest plot; subgroup forests; funnel plot.</w:t>
      </w:r>
    </w:p>
    <w:p>
      <w:r>
        <w:t>Tables: Search strategy details; eligibility criteria; study characteristics; risk-of-bias assessments (ROBINS-I/JBI); effect-size summary; moderator analyses.</w:t>
      </w:r>
    </w:p>
    <w:p>
      <w:r>
        <w:t>Reproducibility: Deposit data, code, and outputs on OSF; include the PRISMA 2020 checklist. Provide a project README describing directories, software versions, and analysis steps.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