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50B7" w14:textId="796F6639" w:rsidR="0026427B" w:rsidRPr="0026427B" w:rsidRDefault="0034252B" w:rsidP="0026427B">
      <w:pPr>
        <w:spacing w:line="480" w:lineRule="auto"/>
        <w:jc w:val="center"/>
      </w:pPr>
      <w:r>
        <w:rPr>
          <w:sz w:val="24"/>
          <w:szCs w:val="24"/>
        </w:rPr>
        <w:t>Project Two</w:t>
      </w:r>
      <w:r w:rsidR="0026427B" w:rsidRPr="0026427B">
        <w:rPr>
          <w:sz w:val="24"/>
          <w:szCs w:val="24"/>
        </w:rPr>
        <w:t>: Mobile Application Testing</w:t>
      </w:r>
    </w:p>
    <w:p w14:paraId="4A535485" w14:textId="79D0C575" w:rsidR="0026427B" w:rsidRPr="0026427B" w:rsidRDefault="0034252B" w:rsidP="0026427B">
      <w:pPr>
        <w:spacing w:line="480" w:lineRule="auto"/>
        <w:jc w:val="center"/>
      </w:pPr>
      <w:r>
        <w:rPr>
          <w:sz w:val="24"/>
          <w:szCs w:val="24"/>
        </w:rPr>
        <w:t>Carrie</w:t>
      </w:r>
      <w:r w:rsidR="0026427B" w:rsidRPr="0026427B">
        <w:rPr>
          <w:sz w:val="24"/>
          <w:szCs w:val="24"/>
        </w:rPr>
        <w:t xml:space="preserve"> Cummings</w:t>
      </w:r>
    </w:p>
    <w:p w14:paraId="02533B0F" w14:textId="77777777" w:rsidR="0026427B" w:rsidRPr="0026427B" w:rsidRDefault="0026427B" w:rsidP="0026427B">
      <w:pPr>
        <w:spacing w:line="480" w:lineRule="auto"/>
      </w:pPr>
      <w:r w:rsidRPr="0026427B">
        <w:rPr>
          <w:b/>
          <w:bCs/>
          <w:sz w:val="24"/>
          <w:szCs w:val="24"/>
        </w:rPr>
        <w:t>Summary</w:t>
      </w:r>
    </w:p>
    <w:p w14:paraId="4E0D62C0" w14:textId="77777777" w:rsidR="0026427B" w:rsidRPr="0026427B" w:rsidRDefault="0026427B" w:rsidP="0026427B">
      <w:pPr>
        <w:spacing w:line="480" w:lineRule="auto"/>
        <w:ind w:firstLine="720"/>
      </w:pPr>
      <w:r w:rsidRPr="0026427B">
        <w:rPr>
          <w:sz w:val="24"/>
          <w:szCs w:val="24"/>
        </w:rPr>
        <w:t>The unit testing approach for this project was driven entirely by the customer requirements for each of the three services: Contact, Task, and Appointment. Each service was treated as an isolated unit, with tests written to verify both model-level validation constraints and service-level business logic independently, ensuring that a failure in one layer remained diagnosable without interference from the other.</w:t>
      </w:r>
    </w:p>
    <w:p w14:paraId="72923159" w14:textId="11C91BD3" w:rsidR="0026427B" w:rsidRPr="0026427B" w:rsidRDefault="0026427B" w:rsidP="0026427B">
      <w:pPr>
        <w:spacing w:line="480" w:lineRule="auto"/>
        <w:ind w:firstLine="720"/>
      </w:pPr>
      <w:r w:rsidRPr="0026427B">
        <w:rPr>
          <w:sz w:val="24"/>
          <w:szCs w:val="24"/>
        </w:rPr>
        <w:t xml:space="preserve">For the Contact service, every stated requirement was translated directly into a test case. </w:t>
      </w:r>
      <w:proofErr w:type="spellStart"/>
      <w:r w:rsidRPr="0026427B">
        <w:rPr>
          <w:sz w:val="24"/>
          <w:szCs w:val="24"/>
        </w:rPr>
        <w:t>ContactTest</w:t>
      </w:r>
      <w:proofErr w:type="spellEnd"/>
      <w:r w:rsidRPr="0026427B">
        <w:rPr>
          <w:sz w:val="24"/>
          <w:szCs w:val="24"/>
        </w:rPr>
        <w:t xml:space="preserve"> includes </w:t>
      </w:r>
      <w:proofErr w:type="spellStart"/>
      <w:r w:rsidRPr="0026427B">
        <w:rPr>
          <w:sz w:val="24"/>
          <w:szCs w:val="24"/>
        </w:rPr>
        <w:t>testContactId_withNullId_throwsException</w:t>
      </w:r>
      <w:proofErr w:type="spellEnd"/>
      <w:r w:rsidRPr="0026427B">
        <w:rPr>
          <w:sz w:val="24"/>
          <w:szCs w:val="24"/>
        </w:rPr>
        <w:t xml:space="preserve"> and </w:t>
      </w:r>
      <w:proofErr w:type="spellStart"/>
      <w:r w:rsidRPr="0026427B">
        <w:rPr>
          <w:sz w:val="24"/>
          <w:szCs w:val="24"/>
        </w:rPr>
        <w:t>testContactId_withIdTooLong_throwsException</w:t>
      </w:r>
      <w:proofErr w:type="spellEnd"/>
      <w:r w:rsidRPr="0026427B">
        <w:rPr>
          <w:sz w:val="24"/>
          <w:szCs w:val="24"/>
        </w:rPr>
        <w:t xml:space="preserve">, which map directly to the ID constraints, with the same pattern applied across every field including update validations via setter methods. For the Task service, </w:t>
      </w:r>
      <w:proofErr w:type="spellStart"/>
      <w:r w:rsidRPr="0026427B">
        <w:rPr>
          <w:sz w:val="24"/>
          <w:szCs w:val="24"/>
        </w:rPr>
        <w:t>TaskServiceTest</w:t>
      </w:r>
      <w:proofErr w:type="spellEnd"/>
      <w:r w:rsidRPr="0026427B">
        <w:rPr>
          <w:sz w:val="24"/>
          <w:szCs w:val="24"/>
        </w:rPr>
        <w:t xml:space="preserve"> covered the full CRUD lifecycle including </w:t>
      </w:r>
      <w:proofErr w:type="spellStart"/>
      <w:r w:rsidRPr="0026427B">
        <w:rPr>
          <w:sz w:val="24"/>
          <w:szCs w:val="24"/>
        </w:rPr>
        <w:t>updateTask</w:t>
      </w:r>
      <w:proofErr w:type="spellEnd"/>
      <w:r w:rsidRPr="0026427B">
        <w:rPr>
          <w:sz w:val="24"/>
          <w:szCs w:val="24"/>
        </w:rPr>
        <w:t xml:space="preserve">, which was implemented to accept a Task object, keeping service-level logic clean and consistent. For the Appointment service, a key requirement was that dates must not be in the past. Rather than hardcoding a date that would eventually become stale, tests used dynamic Calendar logic in </w:t>
      </w:r>
      <w:proofErr w:type="spellStart"/>
      <w:r w:rsidRPr="0026427B">
        <w:rPr>
          <w:sz w:val="24"/>
          <w:szCs w:val="24"/>
        </w:rPr>
        <w:t>setUp</w:t>
      </w:r>
      <w:proofErr w:type="spellEnd"/>
      <w:r w:rsidRPr="0026427B">
        <w:rPr>
          <w:sz w:val="24"/>
          <w:szCs w:val="24"/>
        </w:rPr>
        <w:t xml:space="preserve">; </w:t>
      </w:r>
      <w:r w:rsidRPr="0026427B">
        <w:rPr>
          <w:sz w:val="24"/>
          <w:szCs w:val="24"/>
        </w:rPr>
        <w:t>computing dates as 30 and 60 days from the current date</w:t>
      </w:r>
      <w:r w:rsidRPr="0026427B">
        <w:rPr>
          <w:sz w:val="24"/>
          <w:szCs w:val="24"/>
        </w:rPr>
        <w:t xml:space="preserve">, </w:t>
      </w:r>
      <w:r w:rsidRPr="0026427B">
        <w:rPr>
          <w:sz w:val="24"/>
          <w:szCs w:val="24"/>
        </w:rPr>
        <w:t>so the suite remains valid indefinitely regardless of when it is run.</w:t>
      </w:r>
    </w:p>
    <w:p w14:paraId="6D7C0CC1" w14:textId="76844F1A" w:rsidR="0026427B" w:rsidRPr="0026427B" w:rsidRDefault="0026427B" w:rsidP="0026427B">
      <w:pPr>
        <w:spacing w:line="480" w:lineRule="auto"/>
        <w:ind w:firstLine="720"/>
      </w:pPr>
      <w:r w:rsidRPr="0026427B">
        <w:rPr>
          <w:sz w:val="24"/>
          <w:szCs w:val="24"/>
        </w:rPr>
        <w:t>The JUnit test suite achieved greater than 80% code coverage, approaching the industry standard of 95-100%. This coverage reflects intentional design rather than incidental execution. Every conditional block</w:t>
      </w:r>
      <w:r w:rsidRPr="0026427B">
        <w:rPr>
          <w:sz w:val="24"/>
          <w:szCs w:val="24"/>
        </w:rPr>
        <w:t xml:space="preserve">; </w:t>
      </w:r>
      <w:r w:rsidRPr="0026427B">
        <w:rPr>
          <w:sz w:val="24"/>
          <w:szCs w:val="24"/>
        </w:rPr>
        <w:t>null checks, length validations, duplicate ID detection, and not-found guards</w:t>
      </w:r>
      <w:r w:rsidRPr="0026427B">
        <w:rPr>
          <w:sz w:val="24"/>
          <w:szCs w:val="24"/>
        </w:rPr>
        <w:t xml:space="preserve">, </w:t>
      </w:r>
      <w:r w:rsidRPr="0026427B">
        <w:rPr>
          <w:sz w:val="24"/>
          <w:szCs w:val="24"/>
        </w:rPr>
        <w:t xml:space="preserve">had a corresponding test for both the exception path and the happy path. </w:t>
      </w:r>
      <w:proofErr w:type="spellStart"/>
      <w:r w:rsidRPr="0026427B">
        <w:rPr>
          <w:sz w:val="24"/>
          <w:szCs w:val="24"/>
        </w:rPr>
        <w:t>ContactServiceTest</w:t>
      </w:r>
      <w:proofErr w:type="spellEnd"/>
      <w:r w:rsidRPr="0026427B">
        <w:rPr>
          <w:sz w:val="24"/>
          <w:szCs w:val="24"/>
        </w:rPr>
        <w:t xml:space="preserve">, for example, includes </w:t>
      </w:r>
      <w:proofErr w:type="spellStart"/>
      <w:r w:rsidRPr="0026427B">
        <w:rPr>
          <w:sz w:val="24"/>
          <w:szCs w:val="24"/>
        </w:rPr>
        <w:lastRenderedPageBreak/>
        <w:t>testUpdateContact_withValidFields_contactReflectsUpdates</w:t>
      </w:r>
      <w:proofErr w:type="spellEnd"/>
      <w:r w:rsidRPr="0026427B">
        <w:rPr>
          <w:sz w:val="24"/>
          <w:szCs w:val="24"/>
        </w:rPr>
        <w:t xml:space="preserve"> paired with individual tests for every invalid update scenario. This positive-and-negative pairing is what drove meaningful coverage rather than just line execution counts.</w:t>
      </w:r>
    </w:p>
    <w:p w14:paraId="4B0237D5" w14:textId="4B6D93E7" w:rsidR="0026427B" w:rsidRPr="0026427B" w:rsidRDefault="0026427B" w:rsidP="0026427B">
      <w:pPr>
        <w:spacing w:line="480" w:lineRule="auto"/>
        <w:ind w:firstLine="720"/>
      </w:pPr>
      <w:r w:rsidRPr="0026427B">
        <w:rPr>
          <w:sz w:val="24"/>
          <w:szCs w:val="24"/>
        </w:rPr>
        <w:t>Technical soundness was achieved through consistent use of JUnit 5 best practices. The @BeforeEach annotation initialized a clean service instance and valid test object before each test, eliminating shared state between tests. Static constants</w:t>
      </w:r>
      <w:r w:rsidRPr="0026427B">
        <w:rPr>
          <w:sz w:val="24"/>
          <w:szCs w:val="24"/>
        </w:rPr>
        <w:t xml:space="preserve">; </w:t>
      </w:r>
      <w:r w:rsidRPr="0026427B">
        <w:rPr>
          <w:sz w:val="24"/>
          <w:szCs w:val="24"/>
        </w:rPr>
        <w:t>VALID_ID, VALID_FIRST, VALID_PHONE, and similar</w:t>
      </w:r>
      <w:r w:rsidRPr="0026427B">
        <w:rPr>
          <w:sz w:val="24"/>
          <w:szCs w:val="24"/>
        </w:rPr>
        <w:t xml:space="preserve">, </w:t>
      </w:r>
      <w:r w:rsidRPr="0026427B">
        <w:rPr>
          <w:sz w:val="24"/>
          <w:szCs w:val="24"/>
        </w:rPr>
        <w:t xml:space="preserve">kept tests readable and reduced the risk of typos across the suite. The </w:t>
      </w:r>
      <w:proofErr w:type="spellStart"/>
      <w:r w:rsidRPr="0026427B">
        <w:rPr>
          <w:sz w:val="24"/>
          <w:szCs w:val="24"/>
        </w:rPr>
        <w:t>assertThrows</w:t>
      </w:r>
      <w:proofErr w:type="spellEnd"/>
      <w:r w:rsidRPr="0026427B">
        <w:rPr>
          <w:sz w:val="24"/>
          <w:szCs w:val="24"/>
        </w:rPr>
        <w:t xml:space="preserve"> pattern was used for all exception testing, which is the correct JUnit 5 mechanism for verifying that invalid inputs trigger </w:t>
      </w:r>
      <w:proofErr w:type="spellStart"/>
      <w:r w:rsidRPr="0026427B">
        <w:rPr>
          <w:sz w:val="24"/>
          <w:szCs w:val="24"/>
        </w:rPr>
        <w:t>IllegalArgumentException</w:t>
      </w:r>
      <w:proofErr w:type="spellEnd"/>
      <w:r w:rsidRPr="0026427B">
        <w:rPr>
          <w:sz w:val="24"/>
          <w:szCs w:val="24"/>
        </w:rPr>
        <w:t xml:space="preserve">. Efficiency was maintained by keeping each test method narrowly scoped to one behavior. For example, </w:t>
      </w:r>
      <w:proofErr w:type="spellStart"/>
      <w:r w:rsidRPr="0026427B">
        <w:rPr>
          <w:sz w:val="24"/>
          <w:szCs w:val="24"/>
        </w:rPr>
        <w:t>testDeleteContact_withValidId_contactIsNull</w:t>
      </w:r>
      <w:proofErr w:type="spellEnd"/>
      <w:r w:rsidRPr="0026427B">
        <w:rPr>
          <w:sz w:val="24"/>
          <w:szCs w:val="24"/>
        </w:rPr>
        <w:t xml:space="preserve"> contains only the delete call and a single </w:t>
      </w:r>
      <w:proofErr w:type="spellStart"/>
      <w:r w:rsidRPr="0026427B">
        <w:rPr>
          <w:sz w:val="24"/>
          <w:szCs w:val="24"/>
        </w:rPr>
        <w:t>assertNull</w:t>
      </w:r>
      <w:proofErr w:type="spellEnd"/>
      <w:r w:rsidRPr="0026427B">
        <w:rPr>
          <w:sz w:val="24"/>
          <w:szCs w:val="24"/>
        </w:rPr>
        <w:t>, making failures immediately self-diagnosing rather than masking one assertion behind another.</w:t>
      </w:r>
    </w:p>
    <w:p w14:paraId="2EF20166" w14:textId="77777777" w:rsidR="0026427B" w:rsidRPr="0026427B" w:rsidRDefault="0026427B" w:rsidP="0026427B">
      <w:pPr>
        <w:spacing w:line="480" w:lineRule="auto"/>
      </w:pPr>
      <w:r w:rsidRPr="0026427B">
        <w:rPr>
          <w:b/>
          <w:bCs/>
          <w:sz w:val="24"/>
          <w:szCs w:val="24"/>
        </w:rPr>
        <w:t>Reflection</w:t>
      </w:r>
    </w:p>
    <w:p w14:paraId="152C6A78" w14:textId="5339E34B" w:rsidR="0026427B" w:rsidRPr="0026427B" w:rsidRDefault="0026427B" w:rsidP="0026427B">
      <w:pPr>
        <w:spacing w:line="480" w:lineRule="auto"/>
        <w:ind w:firstLine="720"/>
      </w:pPr>
      <w:r w:rsidRPr="0026427B">
        <w:rPr>
          <w:sz w:val="24"/>
          <w:szCs w:val="24"/>
        </w:rPr>
        <w:t>The primary testing technique employed in this project was unit testing, with boundary value analysis applied to every length and format constraint. Unit testing verified each class in isolation, which the in-memory HashMap in each service class made natural</w:t>
      </w:r>
      <w:r w:rsidRPr="0026427B">
        <w:rPr>
          <w:sz w:val="24"/>
          <w:szCs w:val="24"/>
        </w:rPr>
        <w:t xml:space="preserve">, </w:t>
      </w:r>
      <w:r w:rsidRPr="0026427B">
        <w:rPr>
          <w:sz w:val="24"/>
          <w:szCs w:val="24"/>
        </w:rPr>
        <w:t>there was no persistence layer to mock or stub. Boundary value analysis targeted the edges of valid ranges rather than arbitrary middle values: contact IDs at exactly 10 characters (valid) and 11 characters (invalid), phone numbers at exactly 10 digits, task names at the 20-character boundary, and appointment dates at the boundary between past and future. This approach is efficient because defects tend to cluster at boundaries rather than in the middle of valid ranges (Hambling et al., 2019).</w:t>
      </w:r>
    </w:p>
    <w:p w14:paraId="63FD2AD9" w14:textId="79F6C022" w:rsidR="0026427B" w:rsidRPr="0026427B" w:rsidRDefault="0026427B" w:rsidP="0026427B">
      <w:pPr>
        <w:spacing w:line="480" w:lineRule="auto"/>
        <w:ind w:firstLine="720"/>
      </w:pPr>
      <w:r w:rsidRPr="0026427B">
        <w:rPr>
          <w:sz w:val="24"/>
          <w:szCs w:val="24"/>
        </w:rPr>
        <w:lastRenderedPageBreak/>
        <w:t>Several other techniques were applicable but not used. Integration testing would verify that the model and service layers interact correctly as a composed system, and would be essential once a real database or external dependency is introduced. Equivalence partitioning would formalize the grouping of inputs into classes of equivalent behavior</w:t>
      </w:r>
      <w:r w:rsidRPr="0026427B">
        <w:rPr>
          <w:sz w:val="24"/>
          <w:szCs w:val="24"/>
        </w:rPr>
        <w:t xml:space="preserve">, </w:t>
      </w:r>
      <w:r w:rsidRPr="0026427B">
        <w:rPr>
          <w:sz w:val="24"/>
          <w:szCs w:val="24"/>
        </w:rPr>
        <w:t xml:space="preserve">for the phone field, valid 10-digit strings form one partition, strings with non-digit characters form another, and strings of incorrect length form a third. Regression testing would re-execute the existing suite after each code change to verify that new work has not broken prior functionality, which is exactly the role this suite would serve in a CI/CD pipeline. Each of these techniques serves a different phase of development: unit testing for early isolated verification, integration testing as components </w:t>
      </w:r>
      <w:proofErr w:type="gramStart"/>
      <w:r w:rsidRPr="0026427B">
        <w:rPr>
          <w:sz w:val="24"/>
          <w:szCs w:val="24"/>
        </w:rPr>
        <w:t>connect</w:t>
      </w:r>
      <w:proofErr w:type="gramEnd"/>
      <w:r w:rsidRPr="0026427B">
        <w:rPr>
          <w:sz w:val="24"/>
          <w:szCs w:val="24"/>
        </w:rPr>
        <w:t>, and regression testing as the system evolves over time.</w:t>
      </w:r>
    </w:p>
    <w:p w14:paraId="0261BBF3" w14:textId="4D6E6098" w:rsidR="0026427B" w:rsidRPr="0026427B" w:rsidRDefault="0026427B" w:rsidP="0026427B">
      <w:pPr>
        <w:spacing w:line="480" w:lineRule="auto"/>
        <w:ind w:firstLine="720"/>
      </w:pPr>
      <w:r w:rsidRPr="0026427B">
        <w:rPr>
          <w:sz w:val="24"/>
          <w:szCs w:val="24"/>
        </w:rPr>
        <w:t xml:space="preserve">Caution was central to the mindset adopted throughout this project. The dynamic date logic in </w:t>
      </w:r>
      <w:proofErr w:type="spellStart"/>
      <w:r w:rsidRPr="0026427B">
        <w:rPr>
          <w:sz w:val="24"/>
          <w:szCs w:val="24"/>
        </w:rPr>
        <w:t>AppointmentTest</w:t>
      </w:r>
      <w:proofErr w:type="spellEnd"/>
      <w:r w:rsidRPr="0026427B">
        <w:rPr>
          <w:sz w:val="24"/>
          <w:szCs w:val="24"/>
        </w:rPr>
        <w:t xml:space="preserve"> reflects forward-thinking care</w:t>
      </w:r>
      <w:r w:rsidRPr="0026427B">
        <w:rPr>
          <w:sz w:val="24"/>
          <w:szCs w:val="24"/>
        </w:rPr>
        <w:t xml:space="preserve">, </w:t>
      </w:r>
      <w:r w:rsidRPr="0026427B">
        <w:rPr>
          <w:sz w:val="24"/>
          <w:szCs w:val="24"/>
        </w:rPr>
        <w:t>a hardcoded date is a time-dependent defect waiting to happen. Caution also meant understanding the interrelationships within the code: because Contact's validation logic is called from both the constructor and the setters, a broken setter would cause failures at both the model and service layers simultaneously. Recognizing this dependency allowed test failures to be traced to the right layer quickly rather than misattributed.</w:t>
      </w:r>
    </w:p>
    <w:p w14:paraId="7A740914" w14:textId="288CD857" w:rsidR="0026427B" w:rsidRPr="0026427B" w:rsidRDefault="0026427B" w:rsidP="0026427B">
      <w:pPr>
        <w:spacing w:line="480" w:lineRule="auto"/>
        <w:ind w:firstLine="720"/>
      </w:pPr>
      <w:r w:rsidRPr="0026427B">
        <w:rPr>
          <w:sz w:val="24"/>
          <w:szCs w:val="24"/>
        </w:rPr>
        <w:t>Limiting bias in self-testing is genuinely difficult. When a developer writes both the production code and the tests, the natural tendency is to test what the code does rather than what the requirements say it should do. To counter this, test cases were derived from the written requirements first, not from the implementation. For the phone number field, the requirement specifies exactly 10 digits</w:t>
      </w:r>
      <w:r w:rsidRPr="0026427B">
        <w:rPr>
          <w:sz w:val="24"/>
          <w:szCs w:val="24"/>
        </w:rPr>
        <w:t xml:space="preserve">, </w:t>
      </w:r>
      <w:r w:rsidRPr="0026427B">
        <w:rPr>
          <w:sz w:val="24"/>
          <w:szCs w:val="24"/>
        </w:rPr>
        <w:t xml:space="preserve">so tests were written for a 9-digit number, an 11-digit number, a number with non-digit characters, and a valid 10-digit number, without reference to the </w:t>
      </w:r>
      <w:r w:rsidRPr="0026427B">
        <w:rPr>
          <w:sz w:val="24"/>
          <w:szCs w:val="24"/>
        </w:rPr>
        <w:lastRenderedPageBreak/>
        <w:t>underlying regex in Contact.java. This requirements-first approach is a concrete strategy for reducing confirmation bias, and it is also why independent QA teams exist in professional settings.</w:t>
      </w:r>
    </w:p>
    <w:p w14:paraId="508D4020" w14:textId="3509CE49" w:rsidR="0026427B" w:rsidRPr="0026427B" w:rsidRDefault="0026427B" w:rsidP="0026427B">
      <w:pPr>
        <w:spacing w:line="480" w:lineRule="auto"/>
        <w:ind w:firstLine="720"/>
      </w:pPr>
      <w:r w:rsidRPr="0026427B">
        <w:rPr>
          <w:sz w:val="24"/>
          <w:szCs w:val="24"/>
        </w:rPr>
        <w:t>Discipline in software quality is a professional obligation, not a preference. The case studies examined in this module make the stakes concrete. The Ariane 5 rocket exploded 40 seconds after launch because a data type conversion was never re-validated for the new system it was reused in (Arnold, 2000). The Chinook ZD576 investigation demonstrated that when software fails without visible evidence, operators</w:t>
      </w:r>
      <w:r w:rsidRPr="0026427B">
        <w:rPr>
          <w:sz w:val="24"/>
          <w:szCs w:val="24"/>
        </w:rPr>
        <w:t xml:space="preserve">, </w:t>
      </w:r>
      <w:r w:rsidRPr="0026427B">
        <w:rPr>
          <w:sz w:val="24"/>
          <w:szCs w:val="24"/>
        </w:rPr>
        <w:t>not software</w:t>
      </w:r>
      <w:r w:rsidRPr="0026427B">
        <w:rPr>
          <w:sz w:val="24"/>
          <w:szCs w:val="24"/>
        </w:rPr>
        <w:t xml:space="preserve">, </w:t>
      </w:r>
      <w:r w:rsidRPr="0026427B">
        <w:rPr>
          <w:sz w:val="24"/>
          <w:szCs w:val="24"/>
        </w:rPr>
        <w:t>become the default scapegoat (Computer Weekly, 2002). In both cases, a disciplined testing process could have changed the outcome. Technical debt is the direct result of cutting corners: skipping a negative test case, leaving a boundary unverified, or accepting a coverage number without understanding what it covers. Going forward, the commitment to avoiding technical debt means writing tests alongside production code, maintaining coverage above 80% as a minimum, and treating any failing test as a blocker. In a field where software controls medical devices, aircraft, and financial systems, discipline in testing is not optional</w:t>
      </w:r>
      <w:r w:rsidRPr="0026427B">
        <w:rPr>
          <w:sz w:val="24"/>
          <w:szCs w:val="24"/>
        </w:rPr>
        <w:t xml:space="preserve">, </w:t>
      </w:r>
      <w:r w:rsidRPr="0026427B">
        <w:rPr>
          <w:sz w:val="24"/>
          <w:szCs w:val="24"/>
        </w:rPr>
        <w:t>it is the foundation of trustworthy engineering.</w:t>
      </w:r>
    </w:p>
    <w:p w14:paraId="55E1DFC5" w14:textId="77777777" w:rsidR="0026427B" w:rsidRPr="0026427B" w:rsidRDefault="0026427B" w:rsidP="0026427B">
      <w:pPr>
        <w:spacing w:line="480" w:lineRule="auto"/>
      </w:pPr>
    </w:p>
    <w:p w14:paraId="1284E3FA" w14:textId="77777777" w:rsidR="0026427B" w:rsidRDefault="0026427B">
      <w:pPr>
        <w:spacing w:after="160" w:line="278" w:lineRule="auto"/>
        <w:rPr>
          <w:b/>
          <w:bCs/>
          <w:sz w:val="24"/>
          <w:szCs w:val="24"/>
        </w:rPr>
      </w:pPr>
      <w:r>
        <w:rPr>
          <w:b/>
          <w:bCs/>
          <w:sz w:val="24"/>
          <w:szCs w:val="24"/>
        </w:rPr>
        <w:br w:type="page"/>
      </w:r>
    </w:p>
    <w:p w14:paraId="555261BB" w14:textId="12B3B073" w:rsidR="0026427B" w:rsidRPr="0026427B" w:rsidRDefault="0026427B" w:rsidP="0026427B">
      <w:pPr>
        <w:spacing w:line="480" w:lineRule="auto"/>
        <w:rPr>
          <w:b/>
          <w:bCs/>
        </w:rPr>
      </w:pPr>
      <w:r w:rsidRPr="0026427B">
        <w:rPr>
          <w:b/>
          <w:bCs/>
          <w:sz w:val="24"/>
          <w:szCs w:val="24"/>
        </w:rPr>
        <w:lastRenderedPageBreak/>
        <w:t>References</w:t>
      </w:r>
    </w:p>
    <w:p w14:paraId="547C229E" w14:textId="4303DBC7" w:rsidR="0026427B" w:rsidRPr="00AE6E15" w:rsidRDefault="0026427B" w:rsidP="0026427B">
      <w:pPr>
        <w:spacing w:line="480" w:lineRule="auto"/>
        <w:ind w:left="720" w:hanging="720"/>
      </w:pPr>
      <w:r w:rsidRPr="0026427B">
        <w:rPr>
          <w:sz w:val="24"/>
          <w:szCs w:val="24"/>
        </w:rPr>
        <w:t xml:space="preserve">Arnold, D. N. (2000). The explosion of the Ariane 5. University of Minnesota. </w:t>
      </w:r>
      <w:hyperlink r:id="rId4" w:history="1">
        <w:r w:rsidR="00AE6E15" w:rsidRPr="00AE6E15">
          <w:rPr>
            <w:rStyle w:val="Hyperlink"/>
            <w:sz w:val="24"/>
            <w:szCs w:val="24"/>
          </w:rPr>
          <w:t>https://www-users.cse.umn.edu/~arnold/disasters/ariane.html</w:t>
        </w:r>
      </w:hyperlink>
      <w:r w:rsidR="00AE6E15" w:rsidRPr="00AE6E15">
        <w:rPr>
          <w:sz w:val="24"/>
          <w:szCs w:val="24"/>
        </w:rPr>
        <w:t xml:space="preserve"> </w:t>
      </w:r>
    </w:p>
    <w:p w14:paraId="3948DF84" w14:textId="73317AF7" w:rsidR="0026427B" w:rsidRPr="0026427B" w:rsidRDefault="0026427B" w:rsidP="0026427B">
      <w:pPr>
        <w:spacing w:line="480" w:lineRule="auto"/>
        <w:ind w:left="720" w:hanging="720"/>
      </w:pPr>
      <w:r w:rsidRPr="0026427B">
        <w:rPr>
          <w:sz w:val="24"/>
          <w:szCs w:val="24"/>
        </w:rPr>
        <w:t xml:space="preserve">Computer Weekly. (2002, February 7). Clear and present danger: </w:t>
      </w:r>
      <w:r w:rsidRPr="00AE6E15">
        <w:rPr>
          <w:i/>
          <w:iCs/>
          <w:sz w:val="24"/>
          <w:szCs w:val="24"/>
        </w:rPr>
        <w:t>Why we refused to give up</w:t>
      </w:r>
      <w:r w:rsidRPr="0026427B">
        <w:rPr>
          <w:sz w:val="24"/>
          <w:szCs w:val="24"/>
        </w:rPr>
        <w:t xml:space="preserve">. TechTarget. </w:t>
      </w:r>
      <w:hyperlink r:id="rId5" w:history="1">
        <w:r w:rsidR="00AE6E15" w:rsidRPr="00AE6E15">
          <w:rPr>
            <w:rStyle w:val="Hyperlink"/>
            <w:sz w:val="24"/>
            <w:szCs w:val="24"/>
          </w:rPr>
          <w:t>https://link.gale.com/apps/doc/A82751984/GBIB</w:t>
        </w:r>
      </w:hyperlink>
      <w:r w:rsidR="00AE6E15">
        <w:rPr>
          <w:i/>
          <w:iCs/>
          <w:sz w:val="24"/>
          <w:szCs w:val="24"/>
        </w:rPr>
        <w:t xml:space="preserve"> </w:t>
      </w:r>
    </w:p>
    <w:p w14:paraId="4A604564" w14:textId="7A6BF5C0" w:rsidR="0026427B" w:rsidRPr="0026427B" w:rsidRDefault="0026427B" w:rsidP="0026427B">
      <w:pPr>
        <w:spacing w:line="480" w:lineRule="auto"/>
        <w:ind w:left="720" w:hanging="720"/>
      </w:pPr>
      <w:r w:rsidRPr="0026427B">
        <w:rPr>
          <w:sz w:val="24"/>
          <w:szCs w:val="24"/>
        </w:rPr>
        <w:t>Hambling, B., Morgan, P., Samaroo, A., Thompson, G., &amp; Williams, P. (2019). Software testing: An ISTQB-BCS certified tester foundation guide (4th ed.). BCS Learning &amp; Development.</w:t>
      </w:r>
    </w:p>
    <w:sectPr w:rsidR="0026427B" w:rsidRPr="002642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27B"/>
    <w:rsid w:val="00135D4B"/>
    <w:rsid w:val="0026427B"/>
    <w:rsid w:val="0034252B"/>
    <w:rsid w:val="00AC6350"/>
    <w:rsid w:val="00AE6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BCE80"/>
  <w15:chartTrackingRefBased/>
  <w15:docId w15:val="{34703EA2-3A82-41B1-A23D-33BB86A6F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27B"/>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2642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42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42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2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2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2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2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2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2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2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42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42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2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2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27B"/>
    <w:rPr>
      <w:rFonts w:eastAsiaTheme="majorEastAsia" w:cstheme="majorBidi"/>
      <w:color w:val="272727" w:themeColor="text1" w:themeTint="D8"/>
    </w:rPr>
  </w:style>
  <w:style w:type="paragraph" w:styleId="Title">
    <w:name w:val="Title"/>
    <w:basedOn w:val="Normal"/>
    <w:next w:val="Normal"/>
    <w:link w:val="TitleChar"/>
    <w:uiPriority w:val="10"/>
    <w:qFormat/>
    <w:rsid w:val="002642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27B"/>
    <w:pPr>
      <w:spacing w:before="160"/>
      <w:jc w:val="center"/>
    </w:pPr>
    <w:rPr>
      <w:i/>
      <w:iCs/>
      <w:color w:val="404040" w:themeColor="text1" w:themeTint="BF"/>
    </w:rPr>
  </w:style>
  <w:style w:type="character" w:customStyle="1" w:styleId="QuoteChar">
    <w:name w:val="Quote Char"/>
    <w:basedOn w:val="DefaultParagraphFont"/>
    <w:link w:val="Quote"/>
    <w:uiPriority w:val="29"/>
    <w:rsid w:val="0026427B"/>
    <w:rPr>
      <w:i/>
      <w:iCs/>
      <w:color w:val="404040" w:themeColor="text1" w:themeTint="BF"/>
    </w:rPr>
  </w:style>
  <w:style w:type="paragraph" w:styleId="ListParagraph">
    <w:name w:val="List Paragraph"/>
    <w:basedOn w:val="Normal"/>
    <w:uiPriority w:val="34"/>
    <w:qFormat/>
    <w:rsid w:val="0026427B"/>
    <w:pPr>
      <w:ind w:left="720"/>
      <w:contextualSpacing/>
    </w:pPr>
  </w:style>
  <w:style w:type="character" w:styleId="IntenseEmphasis">
    <w:name w:val="Intense Emphasis"/>
    <w:basedOn w:val="DefaultParagraphFont"/>
    <w:uiPriority w:val="21"/>
    <w:qFormat/>
    <w:rsid w:val="0026427B"/>
    <w:rPr>
      <w:i/>
      <w:iCs/>
      <w:color w:val="2F5496" w:themeColor="accent1" w:themeShade="BF"/>
    </w:rPr>
  </w:style>
  <w:style w:type="paragraph" w:styleId="IntenseQuote">
    <w:name w:val="Intense Quote"/>
    <w:basedOn w:val="Normal"/>
    <w:next w:val="Normal"/>
    <w:link w:val="IntenseQuoteChar"/>
    <w:uiPriority w:val="30"/>
    <w:qFormat/>
    <w:rsid w:val="002642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27B"/>
    <w:rPr>
      <w:i/>
      <w:iCs/>
      <w:color w:val="2F5496" w:themeColor="accent1" w:themeShade="BF"/>
    </w:rPr>
  </w:style>
  <w:style w:type="character" w:styleId="IntenseReference">
    <w:name w:val="Intense Reference"/>
    <w:basedOn w:val="DefaultParagraphFont"/>
    <w:uiPriority w:val="32"/>
    <w:qFormat/>
    <w:rsid w:val="0026427B"/>
    <w:rPr>
      <w:b/>
      <w:bCs/>
      <w:smallCaps/>
      <w:color w:val="2F5496" w:themeColor="accent1" w:themeShade="BF"/>
      <w:spacing w:val="5"/>
    </w:rPr>
  </w:style>
  <w:style w:type="character" w:styleId="Hyperlink">
    <w:name w:val="Hyperlink"/>
    <w:basedOn w:val="DefaultParagraphFont"/>
    <w:uiPriority w:val="99"/>
    <w:unhideWhenUsed/>
    <w:rsid w:val="00AE6E15"/>
    <w:rPr>
      <w:color w:val="0563C1" w:themeColor="hyperlink"/>
      <w:u w:val="single"/>
    </w:rPr>
  </w:style>
  <w:style w:type="character" w:styleId="UnresolvedMention">
    <w:name w:val="Unresolved Mention"/>
    <w:basedOn w:val="DefaultParagraphFont"/>
    <w:uiPriority w:val="99"/>
    <w:semiHidden/>
    <w:unhideWhenUsed/>
    <w:rsid w:val="00AE6E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link.gale.com/apps/doc/A82751984/GBIB" TargetMode="External"/><Relationship Id="rId4" Type="http://schemas.openxmlformats.org/officeDocument/2006/relationships/hyperlink" Target="https://www-users.cse.umn.edu/~arnold/disasters/arian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1123</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Carrie Cummings</dc:creator>
  <cp:keywords/>
  <dc:description/>
  <cp:lastModifiedBy>Carrie Cummings</cp:lastModifiedBy>
  <cp:revision>3</cp:revision>
  <dcterms:created xsi:type="dcterms:W3CDTF">2026-08-13T21:06:00Z</dcterms:created>
  <dcterms:modified xsi:type="dcterms:W3CDTF">2026-08-13T21:21:00Z</dcterms:modified>
</cp:coreProperties>
</file>