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1716A" w14:textId="48659A20" w:rsidR="00E07F98" w:rsidRDefault="00E80381" w:rsidP="002055F3">
      <w:pPr>
        <w:spacing w:line="276" w:lineRule="auto"/>
        <w:jc w:val="center"/>
        <w:rPr>
          <w:rFonts w:ascii="Arial" w:hAnsi="Arial"/>
          <w:b/>
          <w:sz w:val="20"/>
          <w:szCs w:val="20"/>
        </w:rPr>
      </w:pPr>
      <w:r w:rsidRPr="002055F3">
        <w:rPr>
          <w:rFonts w:ascii="Arial" w:hAnsi="Arial"/>
          <w:b/>
          <w:sz w:val="20"/>
          <w:szCs w:val="20"/>
        </w:rPr>
        <w:t>TRATAMIENTO DE LEUCEMIA LINFOBLASTICA AGUDA</w:t>
      </w:r>
    </w:p>
    <w:p w14:paraId="7CD6A0C0" w14:textId="57A0D269" w:rsidR="00C53043" w:rsidRPr="002055F3" w:rsidRDefault="00C53043" w:rsidP="002055F3">
      <w:pPr>
        <w:spacing w:line="276" w:lineRule="auto"/>
        <w:jc w:val="center"/>
        <w:rPr>
          <w:rFonts w:ascii="Arial" w:hAnsi="Arial"/>
          <w:b/>
          <w:sz w:val="20"/>
          <w:szCs w:val="20"/>
        </w:rPr>
      </w:pPr>
      <w:r>
        <w:rPr>
          <w:rFonts w:ascii="Arial" w:hAnsi="Arial"/>
          <w:b/>
          <w:sz w:val="20"/>
          <w:szCs w:val="20"/>
        </w:rPr>
        <w:t>Curso Virtual de Leucemia Linfoblástica Aguda</w:t>
      </w:r>
    </w:p>
    <w:p w14:paraId="0798DD22" w14:textId="77777777" w:rsidR="007173F0" w:rsidRPr="002055F3" w:rsidRDefault="007173F0" w:rsidP="002055F3">
      <w:pPr>
        <w:spacing w:line="276" w:lineRule="auto"/>
        <w:jc w:val="center"/>
        <w:rPr>
          <w:rFonts w:ascii="Arial" w:hAnsi="Arial"/>
          <w:b/>
          <w:sz w:val="20"/>
          <w:szCs w:val="20"/>
        </w:rPr>
      </w:pPr>
    </w:p>
    <w:p w14:paraId="0E680ADD" w14:textId="77777777" w:rsidR="007173F0" w:rsidRPr="004E4D14" w:rsidRDefault="007173F0" w:rsidP="004E4D14">
      <w:pPr>
        <w:spacing w:line="276" w:lineRule="auto"/>
        <w:rPr>
          <w:rFonts w:ascii="Arial" w:hAnsi="Arial" w:cs="Arial"/>
          <w:i/>
          <w:sz w:val="20"/>
          <w:szCs w:val="20"/>
        </w:rPr>
      </w:pPr>
      <w:r w:rsidRPr="004E4D14">
        <w:rPr>
          <w:rFonts w:ascii="Arial" w:hAnsi="Arial" w:cs="Arial"/>
          <w:i/>
          <w:sz w:val="20"/>
          <w:szCs w:val="20"/>
        </w:rPr>
        <w:t>Dr. Bonell Patiño Escobar</w:t>
      </w:r>
    </w:p>
    <w:p w14:paraId="48758BE3" w14:textId="77777777" w:rsidR="007173F0" w:rsidRPr="004E4D14" w:rsidRDefault="007173F0" w:rsidP="004E4D14">
      <w:pPr>
        <w:spacing w:line="276" w:lineRule="auto"/>
        <w:rPr>
          <w:rFonts w:ascii="Arial" w:hAnsi="Arial" w:cs="Arial"/>
          <w:i/>
          <w:sz w:val="20"/>
          <w:szCs w:val="20"/>
        </w:rPr>
      </w:pPr>
      <w:r w:rsidRPr="004E4D14">
        <w:rPr>
          <w:rFonts w:ascii="Arial" w:hAnsi="Arial" w:cs="Arial"/>
          <w:i/>
          <w:sz w:val="20"/>
          <w:szCs w:val="20"/>
        </w:rPr>
        <w:t xml:space="preserve">Médico especialista en Medicina interna </w:t>
      </w:r>
    </w:p>
    <w:p w14:paraId="608467DE" w14:textId="77777777" w:rsidR="007173F0" w:rsidRPr="004E4D14" w:rsidRDefault="007173F0" w:rsidP="004E4D14">
      <w:pPr>
        <w:spacing w:line="276" w:lineRule="auto"/>
        <w:rPr>
          <w:rFonts w:ascii="Arial" w:hAnsi="Arial" w:cs="Arial"/>
          <w:i/>
          <w:sz w:val="20"/>
          <w:szCs w:val="20"/>
        </w:rPr>
      </w:pPr>
      <w:r w:rsidRPr="004E4D14">
        <w:rPr>
          <w:rFonts w:ascii="Arial" w:hAnsi="Arial" w:cs="Arial"/>
          <w:i/>
          <w:sz w:val="20"/>
          <w:szCs w:val="20"/>
        </w:rPr>
        <w:t xml:space="preserve">Sub-Especialista en Hematología </w:t>
      </w:r>
    </w:p>
    <w:p w14:paraId="529198C6" w14:textId="77777777" w:rsidR="002055F3" w:rsidRPr="004E4D14" w:rsidRDefault="007173F0" w:rsidP="004E4D14">
      <w:pPr>
        <w:spacing w:line="276" w:lineRule="auto"/>
        <w:rPr>
          <w:rFonts w:ascii="Arial" w:hAnsi="Arial" w:cs="Arial"/>
          <w:i/>
          <w:sz w:val="20"/>
          <w:szCs w:val="20"/>
        </w:rPr>
      </w:pPr>
      <w:r w:rsidRPr="004E4D14">
        <w:rPr>
          <w:rFonts w:ascii="Arial" w:hAnsi="Arial" w:cs="Arial"/>
          <w:i/>
          <w:sz w:val="20"/>
          <w:szCs w:val="20"/>
        </w:rPr>
        <w:t xml:space="preserve">Hematólogo Instituto Nacional de Cancerología </w:t>
      </w:r>
      <w:r w:rsidR="002055F3" w:rsidRPr="004E4D14">
        <w:rPr>
          <w:rFonts w:ascii="Arial" w:hAnsi="Arial" w:cs="Arial"/>
          <w:i/>
          <w:sz w:val="20"/>
          <w:szCs w:val="20"/>
        </w:rPr>
        <w:t xml:space="preserve">E.S.E </w:t>
      </w:r>
      <w:r w:rsidRPr="004E4D14">
        <w:rPr>
          <w:rFonts w:ascii="Arial" w:hAnsi="Arial" w:cs="Arial"/>
          <w:i/>
          <w:sz w:val="20"/>
          <w:szCs w:val="20"/>
        </w:rPr>
        <w:t>–</w:t>
      </w:r>
      <w:r w:rsidR="002055F3" w:rsidRPr="004E4D14">
        <w:rPr>
          <w:rFonts w:ascii="Arial" w:hAnsi="Arial" w:cs="Arial"/>
          <w:i/>
          <w:sz w:val="20"/>
          <w:szCs w:val="20"/>
        </w:rPr>
        <w:t xml:space="preserve"> Hospital Universitario Clínica San Rafael</w:t>
      </w:r>
    </w:p>
    <w:p w14:paraId="369EB7B3" w14:textId="77777777" w:rsidR="007173F0" w:rsidRPr="004E4D14" w:rsidRDefault="002055F3" w:rsidP="004E4D14">
      <w:pPr>
        <w:spacing w:line="276" w:lineRule="auto"/>
        <w:rPr>
          <w:rFonts w:ascii="Arial" w:hAnsi="Arial" w:cs="Arial"/>
          <w:i/>
          <w:sz w:val="20"/>
          <w:szCs w:val="20"/>
        </w:rPr>
      </w:pPr>
      <w:r w:rsidRPr="004E4D14">
        <w:rPr>
          <w:rFonts w:ascii="Arial" w:hAnsi="Arial" w:cs="Arial"/>
          <w:i/>
          <w:sz w:val="20"/>
          <w:szCs w:val="20"/>
        </w:rPr>
        <w:t>Miembro del grupo de Leucemias Agudas Instituto Nacional de Cancerología E.S.E.</w:t>
      </w:r>
    </w:p>
    <w:p w14:paraId="01FA2AB8" w14:textId="77777777" w:rsidR="002055F3" w:rsidRPr="004E4D14" w:rsidRDefault="002055F3" w:rsidP="004E4D14">
      <w:pPr>
        <w:spacing w:line="276" w:lineRule="auto"/>
        <w:rPr>
          <w:rFonts w:ascii="Arial" w:hAnsi="Arial" w:cs="Arial"/>
          <w:i/>
          <w:sz w:val="20"/>
          <w:szCs w:val="20"/>
        </w:rPr>
      </w:pPr>
    </w:p>
    <w:p w14:paraId="75457C67" w14:textId="77777777" w:rsidR="002055F3" w:rsidRPr="004E4D14" w:rsidRDefault="002055F3" w:rsidP="004E4D14">
      <w:pPr>
        <w:spacing w:line="276" w:lineRule="auto"/>
        <w:rPr>
          <w:rFonts w:ascii="Arial" w:hAnsi="Arial" w:cs="Arial"/>
          <w:b/>
          <w:sz w:val="20"/>
          <w:szCs w:val="20"/>
        </w:rPr>
      </w:pPr>
      <w:r w:rsidRPr="004E4D14">
        <w:rPr>
          <w:rFonts w:ascii="Arial" w:hAnsi="Arial" w:cs="Arial"/>
          <w:b/>
          <w:sz w:val="20"/>
          <w:szCs w:val="20"/>
        </w:rPr>
        <w:t>OBJETIVOS DEL MÓDULO</w:t>
      </w:r>
    </w:p>
    <w:p w14:paraId="05C27808" w14:textId="77777777" w:rsidR="002055F3" w:rsidRPr="004E4D14" w:rsidRDefault="002055F3" w:rsidP="004E4D14">
      <w:pPr>
        <w:pStyle w:val="Prrafodelista"/>
        <w:numPr>
          <w:ilvl w:val="0"/>
          <w:numId w:val="1"/>
        </w:numPr>
        <w:spacing w:line="276" w:lineRule="auto"/>
        <w:rPr>
          <w:rFonts w:ascii="Arial" w:hAnsi="Arial" w:cs="Arial"/>
          <w:sz w:val="20"/>
          <w:szCs w:val="20"/>
        </w:rPr>
      </w:pPr>
      <w:r w:rsidRPr="004E4D14">
        <w:rPr>
          <w:rFonts w:ascii="Arial" w:hAnsi="Arial" w:cs="Arial"/>
          <w:sz w:val="20"/>
          <w:szCs w:val="20"/>
        </w:rPr>
        <w:t>Identificar los factores de riesgo adversos tanto clínicos como citogenéticos de la leucemia linfoblástica agudas y su implicación terapéutica.</w:t>
      </w:r>
    </w:p>
    <w:p w14:paraId="108371A6" w14:textId="77777777" w:rsidR="002055F3" w:rsidRPr="004E4D14" w:rsidRDefault="002055F3" w:rsidP="004E4D14">
      <w:pPr>
        <w:pStyle w:val="Prrafodelista"/>
        <w:spacing w:line="276" w:lineRule="auto"/>
        <w:rPr>
          <w:rFonts w:ascii="Arial" w:hAnsi="Arial" w:cs="Arial"/>
          <w:sz w:val="20"/>
          <w:szCs w:val="20"/>
        </w:rPr>
      </w:pPr>
    </w:p>
    <w:p w14:paraId="1DAB9D43" w14:textId="77777777" w:rsidR="002055F3" w:rsidRPr="004E4D14" w:rsidRDefault="002055F3" w:rsidP="004E4D14">
      <w:pPr>
        <w:pStyle w:val="Prrafodelista"/>
        <w:numPr>
          <w:ilvl w:val="0"/>
          <w:numId w:val="1"/>
        </w:numPr>
        <w:spacing w:line="276" w:lineRule="auto"/>
        <w:rPr>
          <w:rFonts w:ascii="Arial" w:hAnsi="Arial" w:cs="Arial"/>
          <w:sz w:val="20"/>
          <w:szCs w:val="20"/>
        </w:rPr>
      </w:pPr>
      <w:r w:rsidRPr="004E4D14">
        <w:rPr>
          <w:rFonts w:ascii="Arial" w:hAnsi="Arial" w:cs="Arial"/>
          <w:sz w:val="20"/>
          <w:szCs w:val="20"/>
        </w:rPr>
        <w:t>Reconocer las indicaciones de trasplante alogénico de progenitores hematopoyéticos en pacientes con leucemia linfoblástica aguda.</w:t>
      </w:r>
    </w:p>
    <w:p w14:paraId="5BBCD068" w14:textId="77777777" w:rsidR="002055F3" w:rsidRPr="004E4D14" w:rsidRDefault="002055F3" w:rsidP="004E4D14">
      <w:pPr>
        <w:pStyle w:val="Prrafodelista"/>
        <w:spacing w:line="276" w:lineRule="auto"/>
        <w:rPr>
          <w:rFonts w:ascii="Arial" w:hAnsi="Arial" w:cs="Arial"/>
          <w:sz w:val="20"/>
          <w:szCs w:val="20"/>
        </w:rPr>
      </w:pPr>
    </w:p>
    <w:p w14:paraId="7594010A" w14:textId="77777777" w:rsidR="002055F3" w:rsidRPr="004E4D14" w:rsidRDefault="002055F3" w:rsidP="004E4D14">
      <w:pPr>
        <w:pStyle w:val="Prrafodelista"/>
        <w:numPr>
          <w:ilvl w:val="0"/>
          <w:numId w:val="1"/>
        </w:numPr>
        <w:spacing w:line="276" w:lineRule="auto"/>
        <w:rPr>
          <w:rFonts w:ascii="Arial" w:hAnsi="Arial" w:cs="Arial"/>
          <w:sz w:val="20"/>
          <w:szCs w:val="20"/>
        </w:rPr>
      </w:pPr>
      <w:r w:rsidRPr="004E4D14">
        <w:rPr>
          <w:rFonts w:ascii="Arial" w:hAnsi="Arial" w:cs="Arial"/>
          <w:sz w:val="20"/>
          <w:szCs w:val="20"/>
        </w:rPr>
        <w:t>Reconocer las nuevas estrategias de tratamiento en leucemia linfoblástica actualmente utilizadas alrededor del mundo.</w:t>
      </w:r>
    </w:p>
    <w:p w14:paraId="49F8E5FA" w14:textId="77777777" w:rsidR="00F35879" w:rsidRPr="004E4D14" w:rsidRDefault="00F35879" w:rsidP="004E4D14">
      <w:pPr>
        <w:spacing w:line="276" w:lineRule="auto"/>
        <w:rPr>
          <w:rFonts w:ascii="Arial" w:hAnsi="Arial" w:cs="Arial"/>
          <w:b/>
          <w:sz w:val="20"/>
          <w:szCs w:val="20"/>
        </w:rPr>
      </w:pPr>
    </w:p>
    <w:p w14:paraId="6C9B7FB5" w14:textId="77777777" w:rsidR="00F35879" w:rsidRPr="004E4D14" w:rsidRDefault="00F35879" w:rsidP="004E4D14">
      <w:pPr>
        <w:spacing w:line="276" w:lineRule="auto"/>
        <w:rPr>
          <w:rFonts w:ascii="Arial" w:hAnsi="Arial" w:cs="Arial"/>
          <w:b/>
          <w:sz w:val="20"/>
          <w:szCs w:val="20"/>
        </w:rPr>
      </w:pPr>
      <w:r w:rsidRPr="004E4D14">
        <w:rPr>
          <w:rFonts w:ascii="Arial" w:hAnsi="Arial" w:cs="Arial"/>
          <w:b/>
          <w:sz w:val="20"/>
          <w:szCs w:val="20"/>
        </w:rPr>
        <w:t>INTRODUCCIÓN</w:t>
      </w:r>
    </w:p>
    <w:p w14:paraId="247F456E" w14:textId="77777777" w:rsidR="00D95745" w:rsidRPr="004E4D14" w:rsidRDefault="00D95745"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La leucemia linfoblástica aguda </w:t>
      </w:r>
      <w:r w:rsidR="00C91C9B">
        <w:rPr>
          <w:rFonts w:ascii="Arial" w:hAnsi="Arial" w:cs="Arial"/>
          <w:sz w:val="20"/>
          <w:szCs w:val="20"/>
          <w:lang w:val="es-ES"/>
        </w:rPr>
        <w:t xml:space="preserve">(LLA) </w:t>
      </w:r>
      <w:r w:rsidRPr="004E4D14">
        <w:rPr>
          <w:rFonts w:ascii="Arial" w:hAnsi="Arial" w:cs="Arial"/>
          <w:sz w:val="20"/>
          <w:szCs w:val="20"/>
          <w:lang w:val="es-ES"/>
        </w:rPr>
        <w:t xml:space="preserve">es una transformación </w:t>
      </w:r>
      <w:r w:rsidR="00155F83">
        <w:rPr>
          <w:rFonts w:ascii="Arial" w:hAnsi="Arial" w:cs="Arial"/>
          <w:sz w:val="20"/>
          <w:szCs w:val="20"/>
          <w:lang w:val="es-ES"/>
        </w:rPr>
        <w:t xml:space="preserve">y </w:t>
      </w:r>
      <w:r w:rsidRPr="004E4D14">
        <w:rPr>
          <w:rFonts w:ascii="Arial" w:hAnsi="Arial" w:cs="Arial"/>
          <w:sz w:val="20"/>
          <w:szCs w:val="20"/>
          <w:lang w:val="es-ES"/>
        </w:rPr>
        <w:t xml:space="preserve">proliferación </w:t>
      </w:r>
      <w:r w:rsidR="00155F83">
        <w:rPr>
          <w:rFonts w:ascii="Arial" w:hAnsi="Arial" w:cs="Arial"/>
          <w:sz w:val="20"/>
          <w:szCs w:val="20"/>
          <w:lang w:val="es-ES"/>
        </w:rPr>
        <w:t xml:space="preserve">neoplásica </w:t>
      </w:r>
      <w:r w:rsidRPr="004E4D14">
        <w:rPr>
          <w:rFonts w:ascii="Arial" w:hAnsi="Arial" w:cs="Arial"/>
          <w:sz w:val="20"/>
          <w:szCs w:val="20"/>
          <w:lang w:val="es-ES"/>
        </w:rPr>
        <w:t xml:space="preserve">de las células progenitoras linfoides B, T o NK en la médula ósea, sangre y tejidos extra-medulares. </w:t>
      </w:r>
      <w:r w:rsidR="005B1316" w:rsidRPr="004E4D14">
        <w:rPr>
          <w:rFonts w:ascii="Arial" w:hAnsi="Arial" w:cs="Arial"/>
          <w:sz w:val="20"/>
          <w:szCs w:val="20"/>
          <w:lang w:val="es-ES"/>
        </w:rPr>
        <w:t xml:space="preserve">En adultos, la LLA de células B es la de mayor incidencia siendo la leucemia de células T </w:t>
      </w:r>
      <w:r w:rsidR="00155F83">
        <w:rPr>
          <w:rFonts w:ascii="Arial" w:hAnsi="Arial" w:cs="Arial"/>
          <w:sz w:val="20"/>
          <w:szCs w:val="20"/>
          <w:lang w:val="es-ES"/>
        </w:rPr>
        <w:t xml:space="preserve">solo </w:t>
      </w:r>
      <w:r w:rsidR="005B1316" w:rsidRPr="004E4D14">
        <w:rPr>
          <w:rFonts w:ascii="Arial" w:hAnsi="Arial" w:cs="Arial"/>
          <w:sz w:val="20"/>
          <w:szCs w:val="20"/>
          <w:lang w:val="es-ES"/>
        </w:rPr>
        <w:t>el 25% de los casos presentados.</w:t>
      </w:r>
      <w:r w:rsidRPr="004E4D14">
        <w:rPr>
          <w:rFonts w:ascii="Arial" w:hAnsi="Arial" w:cs="Arial"/>
          <w:sz w:val="20"/>
          <w:szCs w:val="20"/>
          <w:lang w:val="es-ES"/>
        </w:rPr>
        <w:t xml:space="preserve"> Si bien la mayoría de casos de leucemia linfoblástica aguda se da en niños, esta afecta a los adultos con un comportamiento m</w:t>
      </w:r>
      <w:r w:rsidR="00293755">
        <w:rPr>
          <w:rFonts w:ascii="Arial" w:hAnsi="Arial" w:cs="Arial"/>
          <w:sz w:val="20"/>
          <w:szCs w:val="20"/>
          <w:lang w:val="es-ES"/>
        </w:rPr>
        <w:t>á</w:t>
      </w:r>
      <w:r w:rsidRPr="004E4D14">
        <w:rPr>
          <w:rFonts w:ascii="Arial" w:hAnsi="Arial" w:cs="Arial"/>
          <w:sz w:val="20"/>
          <w:szCs w:val="20"/>
          <w:lang w:val="es-ES"/>
        </w:rPr>
        <w:t xml:space="preserve">s agresivo. La incidencia de esta enfermedad </w:t>
      </w:r>
      <w:r w:rsidR="00403F96" w:rsidRPr="004E4D14">
        <w:rPr>
          <w:rFonts w:ascii="Arial" w:hAnsi="Arial" w:cs="Arial"/>
          <w:sz w:val="20"/>
          <w:szCs w:val="20"/>
          <w:lang w:val="es-ES"/>
        </w:rPr>
        <w:t>está</w:t>
      </w:r>
      <w:r w:rsidRPr="004E4D14">
        <w:rPr>
          <w:rFonts w:ascii="Arial" w:hAnsi="Arial" w:cs="Arial"/>
          <w:sz w:val="20"/>
          <w:szCs w:val="20"/>
          <w:lang w:val="es-ES"/>
        </w:rPr>
        <w:t xml:space="preserve"> estimada en 1,6 por 100.000 habitantes en Estados Unidos, con 1400 muertes en 2016 con un estimado de 6590 casos nuevos</w:t>
      </w:r>
      <w:r w:rsidR="00415C49" w:rsidRPr="004E4D14">
        <w:rPr>
          <w:rFonts w:ascii="Arial" w:hAnsi="Arial" w:cs="Arial"/>
          <w:sz w:val="20"/>
          <w:szCs w:val="20"/>
          <w:lang w:val="es-ES"/>
        </w:rPr>
        <w:fldChar w:fldCharType="begin" w:fldLock="1"/>
      </w:r>
      <w:r w:rsidR="00F653BF" w:rsidRPr="004E4D14">
        <w:rPr>
          <w:rFonts w:ascii="Arial" w:hAnsi="Arial" w:cs="Arial"/>
          <w:sz w:val="20"/>
          <w:szCs w:val="20"/>
          <w:lang w:val="es-ES"/>
        </w:rPr>
        <w:instrText>ADDIN CSL_CITATION {"citationItems":[{"id":"ITEM-1","itemData":{"ISBN":"978-92-832-2437-2","abstract":"Version Revisada 2017 - WHO","author":[{"dropping-particle":"","family":"Serdlow","given":"Steven H.","non-dropping-particle":"","parse-names":false,"suffix":""},{"dropping-particle":"","family":"Campo","given":"Elias","non-dropping-particle":"","parse-names":false,"suffix":""},{"dropping-particle":"","family":"Harris","given":"Nancy Lee","non-dropping-particle":"","parse-names":false,"suffix":""},{"dropping-particle":"","family":"Jaffe","given":"Elaine S.","non-dropping-particle":"","parse-names":false,"suffix":""},{"dropping-particle":"","family":"Pileri","given":"Stefano A.","non-dropping-particle":"","parse-names":false,"suffix":""},{"dropping-particle":"","family":"Stein","given":"Harald","non-dropping-particle":"","parse-names":false,"suffix":""},{"dropping-particle":"","family":"Thiele","given":"Jurgen","non-dropping-particle":"","parse-names":false,"suffix":""},{"dropping-particle":"","family":"Arber","given":"Daniel A.","non-dropping-particle":"","parse-names":false,"suffix":""},{"dropping-particle":"","family":"Hasserjianm","given":"Robert P.","non-dropping-particle":"","parse-names":false,"suffix":""},{"dropping-particle":"","family":"Beau","given":"Michelle M.","non-dropping-particle":"Le","parse-names":false,"suffix":""},{"dropping-particle":"","family":"Orazi","given":"Attilio","non-dropping-particle":"","parse-names":false,"suffix":""},{"dropping-particle":"","family":"Siebert","given":"Reiner","non-dropping-particle":"","parse-names":false,"suffix":""}],"id":"ITEM-1","issued":{"date-parts":[["2017"]]},"number-of-pages":"585","title":"World Health Organization Classification of Tumours Haematopoietic and Lymphoid Tissues","type":"book"},"uris":["http://www.mendeley.com/documents/?uuid=cb9f91e7-d5fe-4ffe-bfa2-555a02506a77"]},{"id":"ITEM-2","itemData":{"DOI":"10.1038/bcj.2017.53","ISSN":"20445385","abstract":"Acute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journal","id":"ITEM-2","issue":"6","issued":{"date-parts":[["2017"]]},"page":"e577","title":"Acute lymphoblastic leukemia: a comprehensive review and 2017 update","type":"article-journal","volume":"7"},"uris":["http://www.mendeley.com/documents/?uuid=17337d9b-8837-4c6e-9832-47e254d34ef1"]},{"id":"ITEM-3","itemData":{"DOI":"https://seer.cancer.gov/csr/1975_2014/","ISBN":"0013400215","ISSN":"0003-4967","abstract":"Howlader N, Noone AM, Krapcho M, Miller D, Bishop K, Altekruse SF, Kosary CL, Yu M, Ruhl J, Tatalovich Z, Mariotto A, Lewis DR, Chen HS, Feuer EJ, Cronin KA (eds). SEER Cancer Statistics Review, 1975-2013, National Cancer Institute.","author":[{"dropping-particle":"","family":"Howlader N, Noone AM, Krapcho M, Miller D, Bishop K, Altekruse SF, Kosary CL, Yu M, Ruhl J, Tatalovich Z, Mariotto A, Lewis DR, Chen HS, Feuer EJ","given":"Cronin KA (eds).","non-dropping-particle":"","parse-names":false,"suffix":""}],"container-title":"SEER Cancer Statistics Review, 1975-2013, National Cancer Institute. Bethesda, MD, http://seer.cancer.gov/csr/1975_2013/, based on November 2015 SEER data submission, posted to the SEER web site, April 2016.","id":"ITEM-3","issued":{"date-parts":[["2016"]]},"page":"1992-2013","title":"SEER Cancer Statistics Review 1975-2013 National Cancer Institute SEER Cancer Statistics Review 1975-2013 National Cancer Institute","type":"article-journal"},"uris":["http://www.mendeley.com/documents/?uuid=7640d7ee-a045-4d35-aba4-137821ed211d"]}],"mendeley":{"formattedCitation":"(1–3)","plainTextFormattedCitation":"(1–3)","previouslyFormattedCitation":"(1–3)"},"properties":{"noteIndex":0},"schema":"https://github.com/citation-style-language/schema/raw/master/csl-citation.json"}</w:instrText>
      </w:r>
      <w:r w:rsidR="00415C49" w:rsidRPr="004E4D14">
        <w:rPr>
          <w:rFonts w:ascii="Arial" w:hAnsi="Arial" w:cs="Arial"/>
          <w:sz w:val="20"/>
          <w:szCs w:val="20"/>
          <w:lang w:val="es-ES"/>
        </w:rPr>
        <w:fldChar w:fldCharType="separate"/>
      </w:r>
      <w:r w:rsidR="00F653BF" w:rsidRPr="004E4D14">
        <w:rPr>
          <w:rFonts w:ascii="Arial" w:hAnsi="Arial" w:cs="Arial"/>
          <w:noProof/>
          <w:sz w:val="20"/>
          <w:szCs w:val="20"/>
          <w:lang w:val="es-ES"/>
        </w:rPr>
        <w:t>(1–3)</w:t>
      </w:r>
      <w:r w:rsidR="00415C49" w:rsidRPr="004E4D14">
        <w:rPr>
          <w:rFonts w:ascii="Arial" w:hAnsi="Arial" w:cs="Arial"/>
          <w:sz w:val="20"/>
          <w:szCs w:val="20"/>
          <w:lang w:val="es-ES"/>
        </w:rPr>
        <w:fldChar w:fldCharType="end"/>
      </w:r>
      <w:r w:rsidRPr="004E4D14">
        <w:rPr>
          <w:rFonts w:ascii="Arial" w:hAnsi="Arial" w:cs="Arial"/>
          <w:sz w:val="20"/>
          <w:szCs w:val="20"/>
          <w:lang w:val="es-ES"/>
        </w:rPr>
        <w:t xml:space="preserve">. </w:t>
      </w:r>
    </w:p>
    <w:p w14:paraId="41975E69" w14:textId="77777777" w:rsidR="005B1316" w:rsidRPr="004E4D14" w:rsidRDefault="005B1316"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670DA6A0" w14:textId="77777777" w:rsidR="00D95745" w:rsidRPr="004E4D14" w:rsidRDefault="00D95745"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En Colombia según los datos de la situación del cáncer 2016, la prevalencia de la Leucemia linfoblástica aguda estuvo ubicada en el vigésimo primer lugar de la población total de pacientes con diagnóstico de cáncer, además de ser la cuarta neoplasia hematológica en pacientes mayores de 18 años, afectando principalmente a los pacientes entre 18 y 29 años. </w:t>
      </w:r>
      <w:r w:rsidR="00E4639F" w:rsidRPr="004E4D14">
        <w:rPr>
          <w:rFonts w:ascii="Arial" w:hAnsi="Arial" w:cs="Arial"/>
          <w:sz w:val="20"/>
          <w:szCs w:val="20"/>
          <w:lang w:val="es-ES"/>
        </w:rPr>
        <w:t xml:space="preserve">Aunque esta enfermedad tiene una prevalencia mayor en niños y adultos jóvenes, la incidencia tiene un doble pico, el primero ya mencionado y el segundo alrededor de los 50 años, con un pronóstico muy malo para los pacientes mayores. </w:t>
      </w:r>
      <w:r w:rsidRPr="004E4D14">
        <w:rPr>
          <w:rFonts w:ascii="Arial" w:hAnsi="Arial" w:cs="Arial"/>
          <w:sz w:val="20"/>
          <w:szCs w:val="20"/>
          <w:lang w:val="es-ES"/>
        </w:rPr>
        <w:t xml:space="preserve">Según la cuenta de alto costo, para 2015 la prevalencia de esta enfermedad en mayores de 18 años se situó en 1,8 casos por cada 100.000 habitantes y en 2016 en 2,2 casos por cada 100.000 habitantes. La morbimortalidad en los dos periodos de análisis presentó un aumento en la prevalencia, mientras la mortalidad permaneció estable, sin embargo la mortalidad superó la incidencia para ambos periodos analizados, lo que pone de manifiesto la alta agresividad </w:t>
      </w:r>
      <w:r w:rsidR="00155F83">
        <w:rPr>
          <w:rFonts w:ascii="Arial" w:hAnsi="Arial" w:cs="Arial"/>
          <w:sz w:val="20"/>
          <w:szCs w:val="20"/>
          <w:lang w:val="es-ES"/>
        </w:rPr>
        <w:t>de esta neoplasia</w:t>
      </w:r>
      <w:r w:rsidR="00415C49" w:rsidRPr="004E4D14">
        <w:rPr>
          <w:rFonts w:ascii="Arial" w:hAnsi="Arial" w:cs="Arial"/>
          <w:sz w:val="20"/>
          <w:szCs w:val="20"/>
          <w:lang w:val="es-ES"/>
        </w:rPr>
        <w:fldChar w:fldCharType="begin" w:fldLock="1"/>
      </w:r>
      <w:r w:rsidR="00E4639F" w:rsidRPr="004E4D14">
        <w:rPr>
          <w:rFonts w:ascii="Arial" w:hAnsi="Arial" w:cs="Arial"/>
          <w:sz w:val="20"/>
          <w:szCs w:val="20"/>
          <w:lang w:val="es-ES"/>
        </w:rPr>
        <w:instrText>ADDIN CSL_CITATION {"citationItems":[{"id":"ITEM-1","itemData":{"ISBN":"9789585971080","author":[{"dropping-particle":"","family":"CAC","given":"","non-dropping-particle":"","parse-names":false,"suffix":""}],"id":"ITEM-1","issued":{"date-parts":[["2018"]]},"title":"Indicadores de gestión del riesgo en adultos con leucemia linfoide y leucemia mieloide aguda en Colombia","type":"book"},"uris":["http://www.mendeley.com/documents/?uuid=bc038887-006c-418f-9280-58eac18cb3c6"]},{"id":"ITEM-2","itemData":{"DOI":"10.1038/bcj.2017.53","ISSN":"20445385","abstract":"Acute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journal","id":"ITEM-2","issue":"6","issued":{"date-parts":[["2017"]]},"page":"e577","title":"Acute lymphoblastic leukemia: a comprehensive review and 2017 update","type":"article-journal","volume":"7"},"uris":["http://www.mendeley.com/documents/?uuid=17337d9b-8837-4c6e-9832-47e254d34ef1"]}],"mendeley":{"formattedCitation":"(2,4)","plainTextFormattedCitation":"(2,4)","previouslyFormattedCitation":"(2,4)"},"properties":{"noteIndex":0},"schema":"https://github.com/citation-style-language/schema/raw/master/csl-citation.json"}</w:instrText>
      </w:r>
      <w:r w:rsidR="00415C49" w:rsidRPr="004E4D14">
        <w:rPr>
          <w:rFonts w:ascii="Arial" w:hAnsi="Arial" w:cs="Arial"/>
          <w:sz w:val="20"/>
          <w:szCs w:val="20"/>
          <w:lang w:val="es-ES"/>
        </w:rPr>
        <w:fldChar w:fldCharType="separate"/>
      </w:r>
      <w:r w:rsidR="00E4639F" w:rsidRPr="004E4D14">
        <w:rPr>
          <w:rFonts w:ascii="Arial" w:hAnsi="Arial" w:cs="Arial"/>
          <w:noProof/>
          <w:sz w:val="20"/>
          <w:szCs w:val="20"/>
          <w:lang w:val="es-ES"/>
        </w:rPr>
        <w:t>(2,4)</w:t>
      </w:r>
      <w:r w:rsidR="00415C49" w:rsidRPr="004E4D14">
        <w:rPr>
          <w:rFonts w:ascii="Arial" w:hAnsi="Arial" w:cs="Arial"/>
          <w:sz w:val="20"/>
          <w:szCs w:val="20"/>
          <w:lang w:val="es-ES"/>
        </w:rPr>
        <w:fldChar w:fldCharType="end"/>
      </w:r>
      <w:r w:rsidRPr="004E4D14">
        <w:rPr>
          <w:rFonts w:ascii="Arial" w:hAnsi="Arial" w:cs="Arial"/>
          <w:sz w:val="20"/>
          <w:szCs w:val="20"/>
          <w:lang w:val="es-ES"/>
        </w:rPr>
        <w:t xml:space="preserve">. </w:t>
      </w:r>
    </w:p>
    <w:p w14:paraId="11BE4914" w14:textId="77777777" w:rsidR="00D95745" w:rsidRPr="004E4D14" w:rsidRDefault="00D95745"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4C064EE5" w14:textId="77777777" w:rsidR="00E4639F" w:rsidRPr="004E4D14" w:rsidRDefault="00E4639F"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El pronóstico de la leucemia linfoblástica aguda ha mejorado en las últimas décadas, particularmente para pacientes </w:t>
      </w:r>
      <w:r w:rsidR="00BE15DB" w:rsidRPr="004E4D14">
        <w:rPr>
          <w:rFonts w:ascii="Arial" w:hAnsi="Arial" w:cs="Arial"/>
          <w:sz w:val="20"/>
          <w:szCs w:val="20"/>
          <w:lang w:val="es-ES"/>
        </w:rPr>
        <w:t>pediátricos</w:t>
      </w:r>
      <w:r w:rsidRPr="004E4D14">
        <w:rPr>
          <w:rFonts w:ascii="Arial" w:hAnsi="Arial" w:cs="Arial"/>
          <w:sz w:val="20"/>
          <w:szCs w:val="20"/>
          <w:lang w:val="es-ES"/>
        </w:rPr>
        <w:t xml:space="preserve"> y adultos jóvenes. Actualmente la terapia de alta intensidad basada en </w:t>
      </w:r>
      <w:r w:rsidRPr="004E4D14">
        <w:rPr>
          <w:rFonts w:ascii="Arial" w:hAnsi="Arial" w:cs="Arial"/>
          <w:sz w:val="20"/>
          <w:szCs w:val="20"/>
          <w:lang w:val="es-ES"/>
        </w:rPr>
        <w:lastRenderedPageBreak/>
        <w:t xml:space="preserve">esquemas de quimioterapia con combinación de agentes </w:t>
      </w:r>
      <w:r w:rsidR="00BE15DB" w:rsidRPr="004E4D14">
        <w:rPr>
          <w:rFonts w:ascii="Arial" w:hAnsi="Arial" w:cs="Arial"/>
          <w:sz w:val="20"/>
          <w:szCs w:val="20"/>
          <w:lang w:val="es-ES"/>
        </w:rPr>
        <w:t>citotóxicos</w:t>
      </w:r>
      <w:r w:rsidRPr="004E4D14">
        <w:rPr>
          <w:rFonts w:ascii="Arial" w:hAnsi="Arial" w:cs="Arial"/>
          <w:sz w:val="20"/>
          <w:szCs w:val="20"/>
          <w:lang w:val="es-ES"/>
        </w:rPr>
        <w:t xml:space="preserve"> alcanza tasas de respuesta mayores o iguales al 90%. A pesar de las altas tasas de respuesta a la inducción con quimioterapia, solo un 30 a 40% de pacientes adultos con leucemia linfoblástica aguda alcanzan remisiones a 5 años. Sin embargo la mayoría de pacientes presentan recaídas requiriendo protocolos de rescate con un pronóstico incierto con tasas de respuesta que varían entre un 18 a 45%, siend</w:t>
      </w:r>
      <w:r w:rsidR="00663DA5">
        <w:rPr>
          <w:rFonts w:ascii="Arial" w:hAnsi="Arial" w:cs="Arial"/>
          <w:sz w:val="20"/>
          <w:szCs w:val="20"/>
          <w:lang w:val="es-ES"/>
        </w:rPr>
        <w:t>o este grupo de pacientes (recaí</w:t>
      </w:r>
      <w:r w:rsidRPr="004E4D14">
        <w:rPr>
          <w:rFonts w:ascii="Arial" w:hAnsi="Arial" w:cs="Arial"/>
          <w:sz w:val="20"/>
          <w:szCs w:val="20"/>
          <w:lang w:val="es-ES"/>
        </w:rPr>
        <w:t xml:space="preserve">dos/refractarios) quienes tienen un pronóstico </w:t>
      </w:r>
      <w:r w:rsidR="00403F96" w:rsidRPr="004E4D14">
        <w:rPr>
          <w:rFonts w:ascii="Arial" w:hAnsi="Arial" w:cs="Arial"/>
          <w:sz w:val="20"/>
          <w:szCs w:val="20"/>
          <w:lang w:val="es-ES"/>
        </w:rPr>
        <w:t>más</w:t>
      </w:r>
      <w:r w:rsidRPr="004E4D14">
        <w:rPr>
          <w:rFonts w:ascii="Arial" w:hAnsi="Arial" w:cs="Arial"/>
          <w:sz w:val="20"/>
          <w:szCs w:val="20"/>
          <w:lang w:val="es-ES"/>
        </w:rPr>
        <w:t xml:space="preserve"> adverso, con supervivencia a 5 años de aproximadamente un 10% </w:t>
      </w:r>
      <w:r w:rsidR="00415C49" w:rsidRPr="004E4D14">
        <w:rPr>
          <w:rFonts w:ascii="Arial" w:hAnsi="Arial" w:cs="Arial"/>
          <w:sz w:val="20"/>
          <w:szCs w:val="20"/>
          <w:lang w:val="es-ES"/>
        </w:rPr>
        <w:fldChar w:fldCharType="begin" w:fldLock="1"/>
      </w:r>
      <w:r w:rsidR="00417707" w:rsidRPr="004E4D14">
        <w:rPr>
          <w:rFonts w:ascii="Arial" w:hAnsi="Arial" w:cs="Arial"/>
          <w:sz w:val="20"/>
          <w:szCs w:val="20"/>
          <w:lang w:val="es-ES"/>
        </w:rPr>
        <w:instrText>ADDIN CSL_CITATION {"citationItems":[{"id":"ITEM-1","itemData":{"DOI":"10.1038/bcj.2017.53","ISSN":"20445385","abstract":"Acute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journal","id":"ITEM-1","issue":"6","issued":{"date-parts":[["2017"]]},"page":"e577","title":"Acute lymphoblastic leukemia: a comprehensive review and 2017 update","type":"article-journal","volume":"7"},"uris":["http://www.mendeley.com/documents/?uuid=17337d9b-8837-4c6e-9832-47e254d34ef1"]},{"id":"ITEM-2","itemData":{"DOI":"10.1002/cncr.20668","ISSN":"0008543X","abstract":"BACKGROUND. Modern intensive chemotherapy regimens have improved the prognosis for patients with adult acute lymphocytic leukemia (ALL). With these regimens, the complete response rates are now reported to be &gt; 80%, and the long-term survival rates range from 30% to 45%. The current analysis updated the long-term results with the original hyperfractionated cyclophosphamide, vincristine, doxorubicin, and dexamethasone (Hyper-CVAD) program, with a median follow-up time of 63 months. METHODS. Between 1992 and 2000, 288 patients were treated with Hyper-CVAD. The median age of the patients was 40 years, and 59 patients (20%) were ≥ age 60 years. The incidence of Philadelphia chromosome (Ph)-positive ALL was 17%, and the incidence of of T-cell ALL was 13%. RESULTS. A complete response (CR) was achieved in 92% of patients. The induction mortality rate was 5% (2% if the patient's age was &lt; 60 years, and 15% if the patient's age was ≥ 60 years). With a median follow-up time of 63 months, the 5-year survival rate was 38% and the 5-year CR duration rate was 38%. Multivariate analysis of prognostic factors for CR duration identified the following adverse factors: age ≥ 45 years, leukocytosis ≥ 50 × 109/L, poor performance status (an Eastern Cooperative Oncology Group score of 3-4), Ph-positive disease, French-American-British L2 morphology, &gt; 1 course to achieve CR, and Day 14 bone marrow blasts &gt; 5%. Patients were divided into low-risk (risk score 0-1; 37%), intermediate risk (risk score 2-3; 36%), and poor-risk groups (risk score ≥ 4; 27%) with 5-year CR duration rates of 52%, 37%, and 10%, respectively. CONCLUSIONS. Compared with the previous VAD regimens, Hyper-CVAD was associated with significantly better CR rates, CR duration, and survival. The long-term follow-up results of Hyper-CVAD were favorable. Comparison of Hyper-CVAD with other established adult ALL regimens is warranted. © 2004 American Cancer Society.","author":[{"dropping-particle":"","family":"Kantarjian","given":"Hagop","non-dropping-particle":"","parse-names":false,"suffix":""},{"dropping-particle":"","family":"Thomas","given":"Deborah","non-dropping-particle":"","parse-names":false,"suffix":""},{"dropping-particle":"","family":"O'Brien","given":"Susan","non-dropping-particle":"","parse-names":false,"suffix":""},{"dropping-particle":"","family":"Cortes","given":"Jorge","non-dropping-particle":"","parse-names":false,"suffix":""},{"dropping-particle":"","family":"Giles","given":"Francis","non-dropping-particle":"","parse-names":false,"suffix":""},{"dropping-particle":"","family":"Jeha","given":"Sima","non-dropping-particle":"","parse-names":false,"suffix":""},{"dropping-particle":"","family":"Bueso-Ramos","given":"Carlos E.","non-dropping-particle":"","parse-names":false,"suffix":""},{"dropping-particle":"","family":"Pierce","given":"Sherry","non-dropping-particle":"","parse-names":false,"suffix":""},{"dropping-particle":"","family":"Shan","given":"Jianqin","non-dropping-particle":"","parse-names":false,"suffix":""},{"dropping-particle":"","family":"Koller","given":"Charles","non-dropping-particle":"","parse-names":false,"suffix":""},{"dropping-particle":"","family":"Beran","given":"Miloslav","non-dropping-particle":"","parse-names":false,"suffix":""},{"dropping-particle":"","family":"Keating","given":"Michael","non-dropping-particle":"","parse-names":false,"suffix":""},{"dropping-particle":"","family":"Freireich","given":"Emil J.","non-dropping-particle":"","parse-names":false,"suffix":""}],"container-title":"Cancer","id":"ITEM-2","issue":"12","issued":{"date-parts":[["2004"]]},"page":"2788-2801","title":"Long-term follow-up results of hyperfractionated cyclophosphamide, vincristine, doxorubicin, and dexamethasone (Hyper-CVAD), a dose-intensive regimen, in adult acute lymphocytic leukemia","type":"article-journal","volume":"101"},"uris":["http://www.mendeley.com/documents/?uuid=38f7123f-d91a-4c4d-a09b-560dd5e594cc"]},{"id":"ITEM-3","itemData":{"DOI":"10.1200/JCO.2008.18.6916","ISSN":"0732183X","abstract":"Purpose Retrospective comparisons have suggested that adolescents or teenagers with acute lymphoblastic leukemia (ALL) benefit from pediatric rather than adult chemotherapy regimens. Thus, the aim of the present phase II study was to test a pediatric-inspired treatment, including intensified doses of nonmyelotoxic drugs, such as prednisone, vincristine, or L-asparaginase, in adult patients with ALL up to the age of 60 years. Patients and Methods Between 2003 and 2005, 225 adult patients (median age, 31 years; range, 15 to 60 years) with Philadelphia chromosome-negative ALL were enrolled onto the Group for Research on Adult Acute Lymphoblastic Leukemia 2003 protocol, which included several pediatric options. Some adult options, such as allogeneic stem-cell transplantation for patients with high-risk ALL, were nevertheless retained. Results were retrospectively compared with the historical France-Belgium Group for Lymphoblastic Acute Leukemia in Adults 94 (LALA-94) trial experience in 712 patients age 15 to 55 years. Results Complete remission rate was 93.5%. At 42 months, event-free survival (EFS) and overall survival (OS) rates were 55% (95% CI, 48% to 52%) and 60% (95% CI, 53% to 66%), respectively. Age remained an important bad prognostic factor, with 45 years of age as best cutoff. In older versus younger patients, there was a higher cumulative incidence of chemotherapy-related deaths (23% v 5%, respectively; P  &lt;  .001) and deaths in first CR (22% 5%, respectively; P  &lt;  .001), whereas the incidence of relapse remained stable (30% v 32%, respectively). Complete remission rate (P = .02), EFS (P  &lt;  .001), and OS (P  &lt;  .001) compared favorably with the previous LALA- 94 experience. Conclusion These results suggest that pediatric-inspired therapy markedly improves the outcome of adult patients with ALL, at least until the age of 45 years. © 2009 by American Society of Clinical Oncology.","author":[{"dropping-particle":"","family":"Huguet","given":"Franģoise","non-dropping-particle":"","parse-names":false,"suffix":""},{"dropping-particle":"","family":"Leguay","given":"Thibaut","non-dropping-particle":"","parse-names":false,"suffix":""},{"dropping-particle":"","family":"Raffoux","given":"Emmanuel","non-dropping-particle":"","parse-names":false,"suffix":""},{"dropping-particle":"","family":"Thomas","given":"Xavier","non-dropping-particle":"","parse-names":false,"suffix":""},{"dropping-particle":"","family":"Beldjord","given":"Kheira","non-dropping-particle":"","parse-names":false,"suffix":""},{"dropping-particle":"","family":"Delabesse","given":"Eric","non-dropping-particle":"","parse-names":false,"suffix":""},{"dropping-particle":"","family":"Chevallier","given":"Patrice","non-dropping-particle":"","parse-names":false,"suffix":""},{"dropping-particle":"","family":"Buzyn","given":"Agnes","non-dropping-particle":"","parse-names":false,"suffix":""},{"dropping-particle":"","family":"Delannoy","given":"André","non-dropping-particle":"","parse-names":false,"suffix":""},{"dropping-particle":"","family":"Chalandon","given":"Yves","non-dropping-particle":"","parse-names":false,"suffix":""},{"dropping-particle":"","family":"Vernant","given":"Jean Paul","non-dropping-particle":"","parse-names":false,"suffix":""},{"dropping-particle":"","family":"Lafage-Pochitaloff","given":"Marina","non-dropping-particle":"","parse-names":false,"suffix":""},{"dropping-particle":"","family":"Chassevent","given":"Agnès","non-dropping-particle":"","parse-names":false,"suffix":""},{"dropping-particle":"","family":"Lhéritier","given":"Véronique","non-dropping-particle":"","parse-names":false,"suffix":""},{"dropping-particle":"","family":"Macintyre","given":"Elizabeth","non-dropping-particle":"","parse-names":false,"suffix":""},{"dropping-particle":"","family":"Béné","given":"Marie Christine","non-dropping-particle":"","parse-names":false,"suffix":""},{"dropping-particle":"","family":"Ifrah","given":"Norbert","non-dropping-particle":"","parse-names":false,"suffix":""},{"dropping-particle":"","family":"Dombret","given":"Hervé","non-dropping-particle":"","parse-names":false,"suffix":""}],"container-title":"Journal of Clinical Oncology","id":"ITEM-3","issue":"6","issued":{"date-parts":[["2009"]]},"page":"911-918","title":"Pediatric-inspired therapy in adults with philadelphia chromosome-negative acute lymphoblastic leukemia: The GRAALL-2003 study","type":"article-journal","volume":"27"},"uris":["http://www.mendeley.com/documents/?uuid=dacc5b48-3574-4a07-95ea-dd28ea9f97eb"]},{"id":"ITEM-4","itemData":{"DOI":"10.3324/haematol.2016.144311","ISSN":"15928721","abstract":"© 2016 Ferrata Storti Foundation. Adults with relapsed/refractory acute lymphoblastic leukemia have an unfavourable prognosis, which is influenced by disease and patient characteristics. To further evaluate these characteristics, a retrospective analysis of 1, 706 adult patients with Ph-negative relapsed/refractory B-precursor acute lymphoblastic leukemia diagnosed between 1990-2013 was conducted using data reflecting the standard of care from 11 study groups and large centers in Europe and the United States. Outcomes included complete remission, overall survival, and realization of stem cell transplantation after salvage treatment. The overall complete remission rate after first salvage was 40%, ranging from 35%-41% across disease status categories (primary refractory, relapsed with or without prior transplant), and was lower after second (21%) and third or greater (11%) salvage. The overall complete remission rate was higher for patients diagnosed from 2005 onward (45%, 95% CI: 39%-50%). One-and three-year survival rates after f irst, second, and third or greater salvage were 26% and 11%, 18% and 6%, and 15% and 4%, respectively, and rates were 2%-5% higher among patients diagnosed from 2005. Prognostic factors included younger age, longer duration of first remission, and lower white blood cell counts at primary diagnosis. This large dataset can provide detailed reference outcomes for patients with relapsed/refractory Ph-negative B-precursor acute lymphoblastic leukemia.","author":[{"dropping-particle":"","family":"Gökbuget","given":"Nicola","non-dropping-particle":"","parse-names":false,"suffix":""},{"dropping-particle":"","family":"Dombret","given":"Hervè","non-dropping-particle":"","parse-names":false,"suffix":""},{"dropping-particle":"","family":"Ribera","given":"Jose Maria","non-dropping-particle":"","parse-names":false,"suffix":""},{"dropping-particle":"","family":"Fielding","given":"Adele K.","non-dropping-particle":"","parse-names":false,"suffix":""},{"dropping-particle":"","family":"Advani","given":"Anjali","non-dropping-particle":"","parse-names":false,"suffix":""},{"dropping-particle":"","family":"Bassan","given":"Renato","non-dropping-particle":"","parse-names":false,"suffix":""},{"dropping-particle":"","family":"Chia","given":"Victoria","non-dropping-particle":"","parse-names":false,"suffix":""},{"dropping-particle":"","family":"Doubek","given":"Michael","non-dropping-particle":"","parse-names":false,"suffix":""},{"dropping-particle":"","family":"Giebel","given":"Sebastian","non-dropping-particle":"","parse-names":false,"suffix":""},{"dropping-particle":"","family":"Hoelzer","given":"Dieter","non-dropping-particle":"","parse-names":false,"suffix":""},{"dropping-particle":"","family":"Ifrah","given":"Norbert","non-dropping-particle":"","parse-names":false,"suffix":""},{"dropping-particle":"","family":"Katz","given":"Aaron","non-dropping-particle":"","parse-names":false,"suffix":""},{"dropping-particle":"","family":"Kelsh","given":"Michael","non-dropping-particle":"","parse-names":false,"suffix":""},{"dropping-particle":"","family":"Martinelli","given":"Giovanni","non-dropping-particle":"","parse-names":false,"suffix":""},{"dropping-particle":"","family":"Morgades","given":"Mireia","non-dropping-particle":"","parse-names":false,"suffix":""},{"dropping-particle":"","family":"O’Brien","given":"Susan","non-dropping-particle":"","parse-names":false,"suffix":""},{"dropping-particle":"","family":"Rowe","given":"Jacob M.","non-dropping-particle":"","parse-names":false,"suffix":""},{"dropping-particle":"","family":"Stieglmaier","given":"Julia","non-dropping-particle":"","parse-names":false,"suffix":""},{"dropping-particle":"","family":"Wadleigh","given":"Martha","non-dropping-particle":"","parse-names":false,"suffix":""},{"dropping-particle":"","family":"Kantarjian","given":"Hagop","non-dropping-particle":"","parse-names":false,"suffix":""}],"container-title":"Haematologica","id":"ITEM-4","issue":"12","issued":{"date-parts":[["2016"]]},"page":"1524-1533","title":"International reference analysis of outcomes in adults with B-precursor Ph-negative relapsed/refractor y acute lymphoblastic leukemia","type":"article-journal","volume":"101"},"uris":["http://www.mendeley.com/documents/?uuid=2faaf50c-50ef-46e3-a7b3-c8aca95dd341"]}],"mendeley":{"formattedCitation":"(2,5–7)","plainTextFormattedCitation":"(2,5–7)","previouslyFormattedCitation":"(2,5–7)"},"properties":{"noteIndex":0},"schema":"https://github.com/citation-style-language/schema/raw/master/csl-citation.json"}</w:instrText>
      </w:r>
      <w:r w:rsidR="00415C49" w:rsidRPr="004E4D14">
        <w:rPr>
          <w:rFonts w:ascii="Arial" w:hAnsi="Arial" w:cs="Arial"/>
          <w:sz w:val="20"/>
          <w:szCs w:val="20"/>
          <w:lang w:val="es-ES"/>
        </w:rPr>
        <w:fldChar w:fldCharType="separate"/>
      </w:r>
      <w:r w:rsidRPr="004E4D14">
        <w:rPr>
          <w:rFonts w:ascii="Arial" w:hAnsi="Arial" w:cs="Arial"/>
          <w:noProof/>
          <w:sz w:val="20"/>
          <w:szCs w:val="20"/>
          <w:lang w:val="es-ES"/>
        </w:rPr>
        <w:t>(2,5–7)</w:t>
      </w:r>
      <w:r w:rsidR="00415C49" w:rsidRPr="004E4D14">
        <w:rPr>
          <w:rFonts w:ascii="Arial" w:hAnsi="Arial" w:cs="Arial"/>
          <w:sz w:val="20"/>
          <w:szCs w:val="20"/>
          <w:lang w:val="es-ES"/>
        </w:rPr>
        <w:fldChar w:fldCharType="end"/>
      </w:r>
      <w:r w:rsidRPr="004E4D14">
        <w:rPr>
          <w:rFonts w:ascii="Arial" w:hAnsi="Arial" w:cs="Arial"/>
          <w:sz w:val="20"/>
          <w:szCs w:val="20"/>
          <w:lang w:val="es-ES"/>
        </w:rPr>
        <w:t>.</w:t>
      </w:r>
    </w:p>
    <w:p w14:paraId="290D7DBC" w14:textId="77777777" w:rsidR="007B3C64" w:rsidRPr="004E4D14" w:rsidRDefault="007B3C64"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059D6746" w14:textId="77777777" w:rsidR="007B3C64" w:rsidRPr="004E4D14" w:rsidRDefault="007B3C64"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Es por esto que la leucemia linfoblástica aguda </w:t>
      </w:r>
      <w:r w:rsidR="00403F96" w:rsidRPr="004E4D14">
        <w:rPr>
          <w:rFonts w:ascii="Arial" w:hAnsi="Arial" w:cs="Arial"/>
          <w:sz w:val="20"/>
          <w:szCs w:val="20"/>
          <w:lang w:val="es-ES"/>
        </w:rPr>
        <w:t>continúa</w:t>
      </w:r>
      <w:r w:rsidRPr="004E4D14">
        <w:rPr>
          <w:rFonts w:ascii="Arial" w:hAnsi="Arial" w:cs="Arial"/>
          <w:sz w:val="20"/>
          <w:szCs w:val="20"/>
          <w:lang w:val="es-ES"/>
        </w:rPr>
        <w:t xml:space="preserve"> siendo un reto diagnóstico y terapéutico a pesar de los avances alcanzados en los últimos años. Teniendo en cuenta que el cuadro clínico inicial se deriva de un síndrome de fallo medular como consecuencia de la infiltración de la médula ósea por células tumorales que impiden una adecuada hematopoyesis y génesis de los </w:t>
      </w:r>
      <w:r w:rsidR="00403F96" w:rsidRPr="004E4D14">
        <w:rPr>
          <w:rFonts w:ascii="Arial" w:hAnsi="Arial" w:cs="Arial"/>
          <w:sz w:val="20"/>
          <w:szCs w:val="20"/>
          <w:lang w:val="es-ES"/>
        </w:rPr>
        <w:t>componentes celulares</w:t>
      </w:r>
      <w:r w:rsidRPr="004E4D14">
        <w:rPr>
          <w:rFonts w:ascii="Arial" w:hAnsi="Arial" w:cs="Arial"/>
          <w:sz w:val="20"/>
          <w:szCs w:val="20"/>
          <w:lang w:val="es-ES"/>
        </w:rPr>
        <w:t xml:space="preserve"> normales de la sangre, la hemorragia, infección y anemia severa, requieren de una identificación e intervención urgente para evitar complicaciones y mortalidad </w:t>
      </w:r>
      <w:r w:rsidR="00663DA5">
        <w:rPr>
          <w:rFonts w:ascii="Arial" w:hAnsi="Arial" w:cs="Arial"/>
          <w:sz w:val="20"/>
          <w:szCs w:val="20"/>
          <w:lang w:val="es-ES"/>
        </w:rPr>
        <w:t>temprana</w:t>
      </w:r>
      <w:r w:rsidRPr="004E4D14">
        <w:rPr>
          <w:rFonts w:ascii="Arial" w:hAnsi="Arial" w:cs="Arial"/>
          <w:sz w:val="20"/>
          <w:szCs w:val="20"/>
          <w:lang w:val="es-ES"/>
        </w:rPr>
        <w:t xml:space="preserve">. La agresividad de la enfermedad nos obliga a realizar un adecuado diagnóstico y tratamiento de la mano de los avances diagnósticos y terapéuticos con los nuevos agentes que día a día aparecen de </w:t>
      </w:r>
      <w:r w:rsidR="00A46EE9" w:rsidRPr="004E4D14">
        <w:rPr>
          <w:rFonts w:ascii="Arial" w:hAnsi="Arial" w:cs="Arial"/>
          <w:sz w:val="20"/>
          <w:szCs w:val="20"/>
          <w:lang w:val="es-ES"/>
        </w:rPr>
        <w:t>forma vertiginosa, con lo que</w:t>
      </w:r>
      <w:r w:rsidRPr="004E4D14">
        <w:rPr>
          <w:rFonts w:ascii="Arial" w:hAnsi="Arial" w:cs="Arial"/>
          <w:sz w:val="20"/>
          <w:szCs w:val="20"/>
          <w:lang w:val="es-ES"/>
        </w:rPr>
        <w:t xml:space="preserve"> esperamos </w:t>
      </w:r>
      <w:r w:rsidR="00A46EE9" w:rsidRPr="004E4D14">
        <w:rPr>
          <w:rFonts w:ascii="Arial" w:hAnsi="Arial" w:cs="Arial"/>
          <w:sz w:val="20"/>
          <w:szCs w:val="20"/>
          <w:lang w:val="es-ES"/>
        </w:rPr>
        <w:t>se pueda</w:t>
      </w:r>
      <w:r w:rsidRPr="004E4D14">
        <w:rPr>
          <w:rFonts w:ascii="Arial" w:hAnsi="Arial" w:cs="Arial"/>
          <w:sz w:val="20"/>
          <w:szCs w:val="20"/>
          <w:lang w:val="es-ES"/>
        </w:rPr>
        <w:t xml:space="preserve"> a futuro corto mejorar el pronóstico de este tipo de entidades. </w:t>
      </w:r>
    </w:p>
    <w:p w14:paraId="028F90F8" w14:textId="77777777" w:rsidR="00AD39FA" w:rsidRPr="004E4D14" w:rsidRDefault="00AD39FA"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58B937D5" w14:textId="77777777" w:rsidR="00AD39FA" w:rsidRPr="004E4D14" w:rsidRDefault="00D70730" w:rsidP="004E4D14">
      <w:pPr>
        <w:widowControl w:val="0"/>
        <w:autoSpaceDE w:val="0"/>
        <w:autoSpaceDN w:val="0"/>
        <w:adjustRightInd w:val="0"/>
        <w:spacing w:before="100" w:line="276" w:lineRule="auto"/>
        <w:ind w:right="-198"/>
        <w:rPr>
          <w:rFonts w:ascii="Arial" w:hAnsi="Arial" w:cs="Arial"/>
          <w:b/>
          <w:sz w:val="20"/>
          <w:szCs w:val="20"/>
          <w:lang w:val="es-ES"/>
        </w:rPr>
      </w:pPr>
      <w:r w:rsidRPr="004E4D14">
        <w:rPr>
          <w:rFonts w:ascii="Arial" w:hAnsi="Arial" w:cs="Arial"/>
          <w:b/>
          <w:sz w:val="20"/>
          <w:szCs w:val="20"/>
          <w:lang w:val="es-ES"/>
        </w:rPr>
        <w:t>CLASIFICACIÓN Y FACTORES DE RIESGO</w:t>
      </w:r>
    </w:p>
    <w:p w14:paraId="549FD9FF" w14:textId="336D88ED" w:rsidR="0050133F" w:rsidRDefault="00AD39FA"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La clasificación de la leucemia </w:t>
      </w:r>
      <w:r w:rsidR="00D70730" w:rsidRPr="004E4D14">
        <w:rPr>
          <w:rFonts w:ascii="Arial" w:hAnsi="Arial" w:cs="Arial"/>
          <w:sz w:val="20"/>
          <w:szCs w:val="20"/>
          <w:lang w:val="es-ES"/>
        </w:rPr>
        <w:t>linfoblástica</w:t>
      </w:r>
      <w:r w:rsidRPr="004E4D14">
        <w:rPr>
          <w:rFonts w:ascii="Arial" w:hAnsi="Arial" w:cs="Arial"/>
          <w:sz w:val="20"/>
          <w:szCs w:val="20"/>
          <w:lang w:val="es-ES"/>
        </w:rPr>
        <w:t xml:space="preserve"> aguda (LLA) ha evolucionado en el tiempo: La clasificación inicial, conocida como la clasificación Franco-</w:t>
      </w:r>
      <w:r w:rsidR="009A56EE">
        <w:rPr>
          <w:rFonts w:ascii="Arial" w:hAnsi="Arial" w:cs="Arial"/>
          <w:sz w:val="20"/>
          <w:szCs w:val="20"/>
          <w:lang w:val="es-ES"/>
        </w:rPr>
        <w:t>A</w:t>
      </w:r>
      <w:r w:rsidR="009A56EE" w:rsidRPr="004E4D14">
        <w:rPr>
          <w:rFonts w:ascii="Arial" w:hAnsi="Arial" w:cs="Arial"/>
          <w:sz w:val="20"/>
          <w:szCs w:val="20"/>
          <w:lang w:val="es-ES"/>
        </w:rPr>
        <w:t>mericano</w:t>
      </w:r>
      <w:r w:rsidRPr="004E4D14">
        <w:rPr>
          <w:rFonts w:ascii="Arial" w:hAnsi="Arial" w:cs="Arial"/>
          <w:sz w:val="20"/>
          <w:szCs w:val="20"/>
          <w:lang w:val="es-ES"/>
        </w:rPr>
        <w:t>-</w:t>
      </w:r>
      <w:r w:rsidR="009A56EE">
        <w:rPr>
          <w:rFonts w:ascii="Arial" w:hAnsi="Arial" w:cs="Arial"/>
          <w:sz w:val="20"/>
          <w:szCs w:val="20"/>
          <w:lang w:val="es-ES"/>
        </w:rPr>
        <w:t>B</w:t>
      </w:r>
      <w:r w:rsidR="009A56EE" w:rsidRPr="004E4D14">
        <w:rPr>
          <w:rFonts w:ascii="Arial" w:hAnsi="Arial" w:cs="Arial"/>
          <w:sz w:val="20"/>
          <w:szCs w:val="20"/>
          <w:lang w:val="es-ES"/>
        </w:rPr>
        <w:t>ritánica</w:t>
      </w:r>
      <w:r w:rsidRPr="004E4D14">
        <w:rPr>
          <w:rFonts w:ascii="Arial" w:hAnsi="Arial" w:cs="Arial"/>
          <w:sz w:val="20"/>
          <w:szCs w:val="20"/>
          <w:lang w:val="es-ES"/>
        </w:rPr>
        <w:t xml:space="preserve"> (FAB - French American British), </w:t>
      </w:r>
      <w:r w:rsidR="009C3622" w:rsidRPr="004E4D14">
        <w:rPr>
          <w:rFonts w:ascii="Arial" w:hAnsi="Arial" w:cs="Arial"/>
          <w:sz w:val="20"/>
          <w:szCs w:val="20"/>
          <w:lang w:val="es-ES"/>
        </w:rPr>
        <w:t xml:space="preserve">propuesta en 1976 </w:t>
      </w:r>
      <w:r w:rsidRPr="004E4D14">
        <w:rPr>
          <w:rFonts w:ascii="Arial" w:hAnsi="Arial" w:cs="Arial"/>
          <w:sz w:val="20"/>
          <w:szCs w:val="20"/>
          <w:lang w:val="es-ES"/>
        </w:rPr>
        <w:t xml:space="preserve">estaba basada netamente en la morfología celular, estableciendo el tamaño celular, características del citoplasma, </w:t>
      </w:r>
      <w:r w:rsidR="00D70730" w:rsidRPr="004E4D14">
        <w:rPr>
          <w:rFonts w:ascii="Arial" w:hAnsi="Arial" w:cs="Arial"/>
          <w:sz w:val="20"/>
          <w:szCs w:val="20"/>
          <w:lang w:val="es-ES"/>
        </w:rPr>
        <w:t>nucléolo</w:t>
      </w:r>
      <w:r w:rsidRPr="004E4D14">
        <w:rPr>
          <w:rFonts w:ascii="Arial" w:hAnsi="Arial" w:cs="Arial"/>
          <w:sz w:val="20"/>
          <w:szCs w:val="20"/>
          <w:lang w:val="es-ES"/>
        </w:rPr>
        <w:t>, presencia o no de vacu</w:t>
      </w:r>
      <w:r w:rsidR="00D70730" w:rsidRPr="004E4D14">
        <w:rPr>
          <w:rFonts w:ascii="Arial" w:hAnsi="Arial" w:cs="Arial"/>
          <w:sz w:val="20"/>
          <w:szCs w:val="20"/>
          <w:lang w:val="es-ES"/>
        </w:rPr>
        <w:t>o</w:t>
      </w:r>
      <w:r w:rsidRPr="004E4D14">
        <w:rPr>
          <w:rFonts w:ascii="Arial" w:hAnsi="Arial" w:cs="Arial"/>
          <w:sz w:val="20"/>
          <w:szCs w:val="20"/>
          <w:lang w:val="es-ES"/>
        </w:rPr>
        <w:t>lización y basofilia. De esta manera se clasificaba la leucemia como L1, L2 y L3</w:t>
      </w:r>
      <w:r w:rsidR="00415C49" w:rsidRPr="004E4D14">
        <w:rPr>
          <w:rFonts w:ascii="Arial" w:hAnsi="Arial" w:cs="Arial"/>
          <w:sz w:val="20"/>
          <w:szCs w:val="20"/>
          <w:lang w:val="es-ES"/>
        </w:rPr>
        <w:fldChar w:fldCharType="begin" w:fldLock="1"/>
      </w:r>
      <w:r w:rsidR="00F20B09" w:rsidRPr="004E4D14">
        <w:rPr>
          <w:rFonts w:ascii="Arial" w:hAnsi="Arial" w:cs="Arial"/>
          <w:sz w:val="20"/>
          <w:szCs w:val="20"/>
          <w:lang w:val="es-ES"/>
        </w:rPr>
        <w:instrText>ADDIN CSL_CITATION {"citationItems":[{"id":"ITEM-1","itemData":{"DOI":"10.1111/j.1365-2141.1976.tb03563.x","ISSN":"13652141","abstract":"A uniform system of classification and nomenclature of the acute leukaemias, at present lacking, should permit more accurate recording of the distribution of cases entered into clinical trials, and could provide a reference standard when newly developed cell-surface markers believed to characterize specific cell types are applied to cases of acute leukaemia. Proposals based on conventional morphological and cytochemical methods are offered following the study of peripheral blood and bone-marrow films from some 200 cases of acute leukaemia by a group of seven French, American and British haematologists. The slides were examined first independently, and then by the group working together. Two groups of acute leukaemia, 'lymphoblastic' and myeloid are further subdivided into three and six groups. Dysmyelopoietic syndromes that may be confused with acute myeloid leukaemia are also considered. Photomicrographs of each of the named conditions are presented.","author":[{"dropping-particle":"","family":"Bennett","given":"J. M.","non-dropping-particle":"","parse-names":false,"suffix":""},{"dropping-particle":"","family":"Catovsky","given":"D.","non-dropping-particle":"","parse-names":false,"suffix":""},{"dropping-particle":"","family":"Daniel","given":"Marie</w:instrText>
      </w:r>
      <w:r w:rsidR="00F20B09" w:rsidRPr="004E4D14">
        <w:rPr>
          <w:rFonts w:ascii="Palatino Linotype" w:hAnsi="Palatino Linotype" w:cs="Palatino Linotype"/>
          <w:sz w:val="20"/>
          <w:szCs w:val="20"/>
          <w:lang w:val="es-ES"/>
        </w:rPr>
        <w:instrText>‐</w:instrText>
      </w:r>
      <w:r w:rsidR="00F20B09" w:rsidRPr="004E4D14">
        <w:rPr>
          <w:rFonts w:ascii="Arial" w:hAnsi="Arial" w:cs="Arial"/>
          <w:sz w:val="20"/>
          <w:szCs w:val="20"/>
          <w:lang w:val="es-ES"/>
        </w:rPr>
        <w:instrText xml:space="preserve">Theregse </w:instrText>
      </w:r>
      <w:r w:rsidR="00F20B09" w:rsidRPr="004E4D14">
        <w:rPr>
          <w:rFonts w:ascii="Palatino Linotype" w:hAnsi="Palatino Linotype" w:cs="Palatino Linotype"/>
          <w:sz w:val="20"/>
          <w:szCs w:val="20"/>
          <w:lang w:val="es-ES"/>
        </w:rPr>
        <w:instrText>‐</w:instrText>
      </w:r>
      <w:r w:rsidR="00F20B09" w:rsidRPr="004E4D14">
        <w:rPr>
          <w:rFonts w:ascii="Arial" w:hAnsi="Arial" w:cs="Arial"/>
          <w:sz w:val="20"/>
          <w:szCs w:val="20"/>
          <w:lang w:val="es-ES"/>
        </w:rPr>
        <w:instrText>T","non-dropping-particle":"","parse-names":false,"suffix":""},{"dropping-particle":"","family":"Flandrin","given":"G.","non-dropping-particle":"","parse-names":false,"suffix":""},{"dropping-particle":"","family":"Galton","given":"D. A.G.","non-dropping-particle":"","parse-names":false,"suffix":""},{"dropping-particle":"","family":"Gralnick","given":"H. R.","non-dropping-particle":"","parse-names":false,"suffix":""},{"dropping-particle":"","family":"Sultan","given":"C.","non-dropping-particle":"","parse-names":false,"suffix":""}],"container-title":"British Journal of Haematology","id":"ITEM-1","issue":"4","issued":{"date-parts":[["1976"]]},"page":"451-458","title":"Proposals for the Classification of the Acute Leukaemias French</w:instrText>
      </w:r>
      <w:r w:rsidR="00F20B09" w:rsidRPr="004E4D14">
        <w:rPr>
          <w:rFonts w:ascii="Palatino Linotype" w:hAnsi="Palatino Linotype" w:cs="Palatino Linotype"/>
          <w:sz w:val="20"/>
          <w:szCs w:val="20"/>
          <w:lang w:val="es-ES"/>
        </w:rPr>
        <w:instrText>‐</w:instrText>
      </w:r>
      <w:r w:rsidR="00F20B09" w:rsidRPr="004E4D14">
        <w:rPr>
          <w:rFonts w:ascii="Arial" w:hAnsi="Arial" w:cs="Arial"/>
          <w:sz w:val="20"/>
          <w:szCs w:val="20"/>
          <w:lang w:val="es-ES"/>
        </w:rPr>
        <w:instrText>American</w:instrText>
      </w:r>
      <w:r w:rsidR="00F20B09" w:rsidRPr="004E4D14">
        <w:rPr>
          <w:rFonts w:ascii="Palatino Linotype" w:hAnsi="Palatino Linotype" w:cs="Palatino Linotype"/>
          <w:sz w:val="20"/>
          <w:szCs w:val="20"/>
          <w:lang w:val="es-ES"/>
        </w:rPr>
        <w:instrText>‐</w:instrText>
      </w:r>
      <w:r w:rsidR="00F20B09" w:rsidRPr="004E4D14">
        <w:rPr>
          <w:rFonts w:ascii="Arial" w:hAnsi="Arial" w:cs="Arial"/>
          <w:sz w:val="20"/>
          <w:szCs w:val="20"/>
          <w:lang w:val="es-ES"/>
        </w:rPr>
        <w:instrText>British (FAB) Co</w:instrText>
      </w:r>
      <w:r w:rsidR="00F20B09" w:rsidRPr="004E4D14">
        <w:rPr>
          <w:rFonts w:ascii="Palatino Linotype" w:hAnsi="Palatino Linotype" w:cs="Palatino Linotype"/>
          <w:sz w:val="20"/>
          <w:szCs w:val="20"/>
          <w:lang w:val="es-ES"/>
        </w:rPr>
        <w:instrText>‐</w:instrText>
      </w:r>
      <w:r w:rsidR="00F20B09" w:rsidRPr="004E4D14">
        <w:rPr>
          <w:rFonts w:ascii="Arial" w:hAnsi="Arial" w:cs="Arial"/>
          <w:sz w:val="20"/>
          <w:szCs w:val="20"/>
          <w:lang w:val="es-ES"/>
        </w:rPr>
        <w:instrText>operative Group","type":"article-journal","volume":"33"},"uris":["http://www.mendeley.com/documents/?uuid=5388935e-83dd-4a0b-b26b-6800c3d88945"]}],"mendeley":{"formattedCitation":"(8)","plainTextFormattedCitation":"(8)","previouslyFormattedCitation":"(8)"},"properties":{"noteIndex":0},"schema":"https://github.com/citation-style-language/schema/raw/master/csl-citation.json"}</w:instrText>
      </w:r>
      <w:r w:rsidR="00415C49" w:rsidRPr="004E4D14">
        <w:rPr>
          <w:rFonts w:ascii="Arial" w:hAnsi="Arial" w:cs="Arial"/>
          <w:sz w:val="20"/>
          <w:szCs w:val="20"/>
          <w:lang w:val="es-ES"/>
        </w:rPr>
        <w:fldChar w:fldCharType="separate"/>
      </w:r>
      <w:r w:rsidR="00F20B09" w:rsidRPr="004E4D14">
        <w:rPr>
          <w:rFonts w:ascii="Arial" w:hAnsi="Arial" w:cs="Arial"/>
          <w:noProof/>
          <w:sz w:val="20"/>
          <w:szCs w:val="20"/>
          <w:lang w:val="es-ES"/>
        </w:rPr>
        <w:t>(8)</w:t>
      </w:r>
      <w:r w:rsidR="00415C49" w:rsidRPr="004E4D14">
        <w:rPr>
          <w:rFonts w:ascii="Arial" w:hAnsi="Arial" w:cs="Arial"/>
          <w:sz w:val="20"/>
          <w:szCs w:val="20"/>
          <w:lang w:val="es-ES"/>
        </w:rPr>
        <w:fldChar w:fldCharType="end"/>
      </w:r>
      <w:r w:rsidRPr="004E4D14">
        <w:rPr>
          <w:rFonts w:ascii="Arial" w:hAnsi="Arial" w:cs="Arial"/>
          <w:sz w:val="20"/>
          <w:szCs w:val="20"/>
          <w:lang w:val="es-ES"/>
        </w:rPr>
        <w:t>. Sin embargo</w:t>
      </w:r>
      <w:r w:rsidR="009C3622" w:rsidRPr="004E4D14">
        <w:rPr>
          <w:rFonts w:ascii="Arial" w:hAnsi="Arial" w:cs="Arial"/>
          <w:sz w:val="20"/>
          <w:szCs w:val="20"/>
          <w:lang w:val="es-ES"/>
        </w:rPr>
        <w:t xml:space="preserve"> solo hasta 21 años después,</w:t>
      </w:r>
      <w:r w:rsidRPr="004E4D14">
        <w:rPr>
          <w:rFonts w:ascii="Arial" w:hAnsi="Arial" w:cs="Arial"/>
          <w:sz w:val="20"/>
          <w:szCs w:val="20"/>
          <w:lang w:val="es-ES"/>
        </w:rPr>
        <w:t xml:space="preserve"> en 1997, se hizo la primera propuesta por parte de la Organización mundial de la salud (OMS) de establecer una clasificación basada en la morfología y perfil citogenético de las células tumorales</w:t>
      </w:r>
      <w:r w:rsidR="00415C49" w:rsidRPr="004E4D14">
        <w:rPr>
          <w:rFonts w:ascii="Arial" w:hAnsi="Arial" w:cs="Arial"/>
          <w:sz w:val="20"/>
          <w:szCs w:val="20"/>
          <w:lang w:val="es-ES"/>
        </w:rPr>
        <w:fldChar w:fldCharType="begin" w:fldLock="1"/>
      </w:r>
      <w:r w:rsidR="00F20B09" w:rsidRPr="004E4D14">
        <w:rPr>
          <w:rFonts w:ascii="Arial" w:hAnsi="Arial" w:cs="Arial"/>
          <w:sz w:val="20"/>
          <w:szCs w:val="20"/>
          <w:lang w:val="es-ES"/>
        </w:rPr>
        <w:instrText>ADDIN CSL_CITATION {"citationItems":[{"id":"ITEM-1","itemData":{"DOI":"10.1023/a:1008375931236","ISSN":"0923-7534","abstract":"Introduction: Since 1995, the European Association of Patholo- gists (EAHP) and the Society for Hematopathology (SH) have been developing a new World Health Organization (WHO) Classification of hematologic malignancies. The classification includes lymphoid, myeloid, histiocytic, and mast cell neo- plasms. Design. The WHO project involves 10 committees of path- ologists, who have developed lists and definitions of disease entities. A Clinical Advisory Committee (CAC) ) of interna- tional hematologists and oncologists was formed to ensure that the classification will be useful to clinicians. A meeting was held in November, 1997, to discuss clinical issues related to the classification. Results: The WHO has adopted the 'Revised European- American Classification of Lymphoid Neoplasms' (R.E.A.L.), published in 1994 by the International Lymphoma Study Group (ILSG), as the classification of lymphoid neoplasms. This approach to classification is based on the principle that a classification is a list of 'real' disease entities, which are defined by a combination of morphology, immunophenotype, genetic features, and clinical features. The relative importance of each of these features varies among diseases, and there is no one 'gold standard'. The WHO Classification has applied the principles of the R.E.A.L. Classification to myeloid and histiocytic neo- plasms. The classification of myeloid neoplasms recognizes distinct entities defined by a combination of morphology and cytogenetic abnormalities. The CAC meeting, which was organized around a series of clinical questions, was able to reach a consensus on most of the questions posed. The questions and the consensus are discussed in detail below. Among other things, the CAC concluded that clinical groupings of lymphoid neoplasms were neither neces- sary nor desirable. Patient treatment is determined by the specific type of lymphoma, with the addition of grade within the tumor type, if applicable, and clinical prognostic factors such as the international prognostic index (IPI). Conclusion: The experience of developing the WHO Classi- fication has produced a new and exciting degree of cooperation and communication between oncologists and pathologists from around the world, which should facilitate progress in the understanding and treatment of hematologic malignancies.","author":[{"dropping-particle":"","family":"Harris","given":"N. L.","non-dropping-particle":"","parse-names":false,"suffix":""},{"dropping-particle":"","family":"Jaffe","given":"E. S.","non-dropping-particle":"","parse-names":false,"suffix":""},{"dropping-particle":"","family":"Diebold","given":"J.","non-dropping-particle":"","parse-names":false,"suffix":""},{"dropping-particle":"","family":"Flandrin","given":"G.","non-dropping-particle":"","parse-names":false,"suffix":""},{"dropping-particle":"","family":"Muller-Hermelink","given":"H. K.","non-dropping-particle":"","parse-names":false,"suffix":""},{"dropping-particle":"","family":"Vardiman","given":"J.","non-dropping-particle":"","parse-names":false,"suffix":""},{"dropping-particle":"","family":"Lister","given":"T. A.","non-dropping-particle":"","parse-names":false,"suffix":""},{"dropping-particle":"","family":"Bloomfield","given":"C. D.","non-dropping-particle":"","parse-names":false,"suffix":""}],"container-title":"Annals of Oncology","id":"ITEM-1","issue":"12","issued":{"date-parts":[["2002"]]},"page":"1419-1432","title":"The World Health Organization Classification of Neoplastic Diseases of the Hematopoietic and Lymphoid Tissues","type":"article-journal","volume":"10"},"uris":["http://www.mendeley.com/documents/?uuid=446d6a72-3500-4edf-a1a4-e3ae215d644d"]}],"mendeley":{"formattedCitation":"(9)","plainTextFormattedCitation":"(9)","previouslyFormattedCitation":"(9)"},"properties":{"noteIndex":0},"schema":"https://github.com/citation-style-language/schema/raw/master/csl-citation.json"}</w:instrText>
      </w:r>
      <w:r w:rsidR="00415C49" w:rsidRPr="004E4D14">
        <w:rPr>
          <w:rFonts w:ascii="Arial" w:hAnsi="Arial" w:cs="Arial"/>
          <w:sz w:val="20"/>
          <w:szCs w:val="20"/>
          <w:lang w:val="es-ES"/>
        </w:rPr>
        <w:fldChar w:fldCharType="separate"/>
      </w:r>
      <w:r w:rsidR="00F20B09" w:rsidRPr="004E4D14">
        <w:rPr>
          <w:rFonts w:ascii="Arial" w:hAnsi="Arial" w:cs="Arial"/>
          <w:noProof/>
          <w:sz w:val="20"/>
          <w:szCs w:val="20"/>
          <w:lang w:val="es-ES"/>
        </w:rPr>
        <w:t>(9)</w:t>
      </w:r>
      <w:r w:rsidR="00415C49" w:rsidRPr="004E4D14">
        <w:rPr>
          <w:rFonts w:ascii="Arial" w:hAnsi="Arial" w:cs="Arial"/>
          <w:sz w:val="20"/>
          <w:szCs w:val="20"/>
          <w:lang w:val="es-ES"/>
        </w:rPr>
        <w:fldChar w:fldCharType="end"/>
      </w:r>
      <w:r w:rsidRPr="004E4D14">
        <w:rPr>
          <w:rFonts w:ascii="Arial" w:hAnsi="Arial" w:cs="Arial"/>
          <w:sz w:val="20"/>
          <w:szCs w:val="20"/>
          <w:lang w:val="es-ES"/>
        </w:rPr>
        <w:t xml:space="preserve">. Posteriormente en el 2008, se clasificó la LLA en dos sub tipos grandes: LLA de células B con anormalidades genéticas recurrentes y LLA-B no especificada, </w:t>
      </w:r>
      <w:r w:rsidR="00D70730" w:rsidRPr="004E4D14">
        <w:rPr>
          <w:rFonts w:ascii="Arial" w:hAnsi="Arial" w:cs="Arial"/>
          <w:sz w:val="20"/>
          <w:szCs w:val="20"/>
          <w:lang w:val="es-ES"/>
        </w:rPr>
        <w:t>eliminándose la leucemia de B</w:t>
      </w:r>
      <w:r w:rsidRPr="004E4D14">
        <w:rPr>
          <w:rFonts w:ascii="Arial" w:hAnsi="Arial" w:cs="Arial"/>
          <w:sz w:val="20"/>
          <w:szCs w:val="20"/>
          <w:lang w:val="es-ES"/>
        </w:rPr>
        <w:t>urkitt</w:t>
      </w:r>
      <w:r w:rsidR="009C3622" w:rsidRPr="004E4D14">
        <w:rPr>
          <w:rFonts w:ascii="Arial" w:hAnsi="Arial" w:cs="Arial"/>
          <w:sz w:val="20"/>
          <w:szCs w:val="20"/>
          <w:lang w:val="es-ES"/>
        </w:rPr>
        <w:t xml:space="preserve">, entidad descrita en la clasificación de 1997, </w:t>
      </w:r>
      <w:r w:rsidR="00D70730" w:rsidRPr="004E4D14">
        <w:rPr>
          <w:rFonts w:ascii="Arial" w:hAnsi="Arial" w:cs="Arial"/>
          <w:sz w:val="20"/>
          <w:szCs w:val="20"/>
          <w:lang w:val="es-ES"/>
        </w:rPr>
        <w:t xml:space="preserve">incluyéndose </w:t>
      </w:r>
      <w:r w:rsidR="009C3622" w:rsidRPr="004E4D14">
        <w:rPr>
          <w:rFonts w:ascii="Arial" w:hAnsi="Arial" w:cs="Arial"/>
          <w:sz w:val="20"/>
          <w:szCs w:val="20"/>
          <w:lang w:val="es-ES"/>
        </w:rPr>
        <w:t xml:space="preserve">dentro de </w:t>
      </w:r>
      <w:r w:rsidRPr="004E4D14">
        <w:rPr>
          <w:rFonts w:ascii="Arial" w:hAnsi="Arial" w:cs="Arial"/>
          <w:sz w:val="20"/>
          <w:szCs w:val="20"/>
          <w:lang w:val="es-ES"/>
        </w:rPr>
        <w:t>una misma entidad con</w:t>
      </w:r>
      <w:r w:rsidR="009C3622" w:rsidRPr="004E4D14">
        <w:rPr>
          <w:rFonts w:ascii="Arial" w:hAnsi="Arial" w:cs="Arial"/>
          <w:sz w:val="20"/>
          <w:szCs w:val="20"/>
          <w:lang w:val="es-ES"/>
        </w:rPr>
        <w:t>juntamente con</w:t>
      </w:r>
      <w:r w:rsidRPr="004E4D14">
        <w:rPr>
          <w:rFonts w:ascii="Arial" w:hAnsi="Arial" w:cs="Arial"/>
          <w:sz w:val="20"/>
          <w:szCs w:val="20"/>
          <w:lang w:val="es-ES"/>
        </w:rPr>
        <w:t xml:space="preserve"> el linfoma de Burkitt</w:t>
      </w:r>
      <w:r w:rsidR="00415C49" w:rsidRPr="004E4D14">
        <w:rPr>
          <w:rFonts w:ascii="Arial" w:hAnsi="Arial" w:cs="Arial"/>
          <w:sz w:val="20"/>
          <w:szCs w:val="20"/>
          <w:lang w:val="es-ES"/>
        </w:rPr>
        <w:fldChar w:fldCharType="begin" w:fldLock="1"/>
      </w:r>
      <w:r w:rsidR="00F20B09" w:rsidRPr="004E4D14">
        <w:rPr>
          <w:rFonts w:ascii="Arial" w:hAnsi="Arial" w:cs="Arial"/>
          <w:sz w:val="20"/>
          <w:szCs w:val="20"/>
          <w:lang w:val="es-ES"/>
        </w:rPr>
        <w:instrText>ADDIN CSL_CITATION {"citationItems":[{"id":"ITEM-1","itemData":{"DOI":"10.1182/blood-2009-03-209262","ISSN":"00064971","abstract":"Recently the World Health Organization (WHO), in collaboration with the European Association for Haematopathology and the Society for Hematopathology, published a revised and updated edition of the WHO Classification of Tumors of the Hematopoietic and Lymphoid Tissues. The 4th edition of the WHO classification incorporates new information that has emerged from scientific and clinical studies in the interval since the publication of the 3rd edition in 2001, and includes new criteria for the recognition of some previously described neoplasms as well as clarification and refinement of the defining criteria for others. It also adds entities-some defined principally by genetic features-that have only recently been characterized. In this paper, the classification of myeloid neoplasms and acute leukemia is highlighted with the aim of familiarizing hematologists, clinical scientists, and hematopathologists not only with the major changes in the classification but also with the rationale for those changes.","author":[{"dropping-particle":"","family":"Vardiman","given":"James W.","non-dropping-particle":"","parse-names":false,"suffix":""},{"dropping-particle":"","family":"Thiele","given":"Jüergen","non-dropping-particle":"","parse-names":false,"suffix":""},{"dropping-particle":"","family":"Arber","given":"Daniel A.","non-dropping-particle":"","parse-names":false,"suffix":""},{"dropping-particle":"","family":"Brunning","given":"Richard D.","non-dropping-particle":"","parse-names":false,"suffix":""},{"dropping-particle":"","family":"Borowitz","given":"Michael J.","non-dropping-particle":"","parse-names":false,"suffix":""},{"dropping-particle":"","family":"Porwit","given":"Anna","non-dropping-particle":"","parse-names":false,"suffix":""},{"dropping-particle":"","family":"Harris","given":"Nancy Lee","non-dropping-particle":"","parse-names":false,"suffix":""},{"dropping-particle":"","family":"Beau","given":"Michelle M.","non-dropping-particle":"Le","parse-names":false,"suffix":""},{"dropping-particle":"","family":"Hellström-Lindberg","given":"Eva","non-dropping-particle":"","parse-names":false,"suffix":""},{"dropping-particle":"","family":"Tefferi","given":"Ayalew","non-dropping-particle":"","parse-names":false,"suffix":""},{"dropping-particle":"","family":"Bloomfield","given":"Clara D.","non-dropping-particle":"","parse-names":false,"suffix":""}],"container-title":"Blood","id":"ITEM-1","issue":"5","issued":{"date-parts":[["2009"]]},"page":"937-951","title":"The 2008 revision of the World Health Organization (WHO) classification of myeloid neoplasms and acute leukemia: Rationale and important changes","type":"article-journal","volume":"114"},"uris":["http://www.mendeley.com/documents/?uuid=70729df1-31de-4ee3-b29f-5fdc64cabf5b"]}],"mendeley":{"formattedCitation":"(10)","plainTextFormattedCitation":"(10)","previouslyFormattedCitation":"(10)"},"properties":{"noteIndex":0},"schema":"https://github.com/citation-style-language/schema/raw/master/csl-citation.json"}</w:instrText>
      </w:r>
      <w:r w:rsidR="00415C49" w:rsidRPr="004E4D14">
        <w:rPr>
          <w:rFonts w:ascii="Arial" w:hAnsi="Arial" w:cs="Arial"/>
          <w:sz w:val="20"/>
          <w:szCs w:val="20"/>
          <w:lang w:val="es-ES"/>
        </w:rPr>
        <w:fldChar w:fldCharType="separate"/>
      </w:r>
      <w:r w:rsidR="00F20B09" w:rsidRPr="004E4D14">
        <w:rPr>
          <w:rFonts w:ascii="Arial" w:hAnsi="Arial" w:cs="Arial"/>
          <w:noProof/>
          <w:sz w:val="20"/>
          <w:szCs w:val="20"/>
          <w:lang w:val="es-ES"/>
        </w:rPr>
        <w:t>(10)</w:t>
      </w:r>
      <w:r w:rsidR="00415C49" w:rsidRPr="004E4D14">
        <w:rPr>
          <w:rFonts w:ascii="Arial" w:hAnsi="Arial" w:cs="Arial"/>
          <w:sz w:val="20"/>
          <w:szCs w:val="20"/>
          <w:lang w:val="es-ES"/>
        </w:rPr>
        <w:fldChar w:fldCharType="end"/>
      </w:r>
      <w:r w:rsidRPr="004E4D14">
        <w:rPr>
          <w:rFonts w:ascii="Arial" w:hAnsi="Arial" w:cs="Arial"/>
          <w:sz w:val="20"/>
          <w:szCs w:val="20"/>
          <w:lang w:val="es-ES"/>
        </w:rPr>
        <w:t>. En el 2016, dos entidades provisionales adicionales se enlistaron en la clasificación de la OMS, caracterizadas por hipodiploidia</w:t>
      </w:r>
      <w:r w:rsidR="00D70730" w:rsidRPr="004E4D14">
        <w:rPr>
          <w:rFonts w:ascii="Arial" w:hAnsi="Arial" w:cs="Arial"/>
          <w:sz w:val="20"/>
          <w:szCs w:val="20"/>
          <w:lang w:val="es-ES"/>
        </w:rPr>
        <w:t xml:space="preserve"> o</w:t>
      </w:r>
      <w:r w:rsidRPr="004E4D14">
        <w:rPr>
          <w:rFonts w:ascii="Arial" w:hAnsi="Arial" w:cs="Arial"/>
          <w:sz w:val="20"/>
          <w:szCs w:val="20"/>
          <w:lang w:val="es-ES"/>
        </w:rPr>
        <w:t xml:space="preserve"> hiperdiploidia con mutaciones del TP53</w:t>
      </w:r>
      <w:r w:rsidR="00415C49" w:rsidRPr="004E4D14">
        <w:rPr>
          <w:rFonts w:ascii="Arial" w:hAnsi="Arial" w:cs="Arial"/>
          <w:sz w:val="20"/>
          <w:szCs w:val="20"/>
          <w:lang w:val="es-ES"/>
        </w:rPr>
        <w:fldChar w:fldCharType="begin" w:fldLock="1"/>
      </w:r>
      <w:r w:rsidR="00883FAC" w:rsidRPr="004E4D14">
        <w:rPr>
          <w:rFonts w:ascii="Arial" w:hAnsi="Arial" w:cs="Arial"/>
          <w:sz w:val="20"/>
          <w:szCs w:val="20"/>
          <w:lang w:val="es-ES"/>
        </w:rPr>
        <w:instrText>ADDIN CSL_CITATION {"citationItems":[{"id":"ITEM-1","itemData":{"ISBN":"978-92-832-2437-2","abstract":"Version Revisada 2017 - WHO","author":[{"dropping-particle":"","family":"Serdlow","given":"Steven H.","non-dropping-particle":"","parse-names":false,"suffix":""},{"dropping-particle":"","family":"Campo","given":"Elias","non-dropping-particle":"","parse-names":false,"suffix":""},{"dropping-particle":"","family":"Harris","given":"Nancy Lee","non-dropping-particle":"","parse-names":false,"suffix":""},{"dropping-particle":"","family":"Jaffe","given":"Elaine S.","non-dropping-particle":"","parse-names":false,"suffix":""},{"dropping-particle":"","family":"Pileri","given":"Stefano A.","non-dropping-particle":"","parse-names":false,"suffix":""},{"dropping-particle":"","family":"Stein","given":"Harald","non-dropping-particle":"","parse-names":false,"suffix":""},{"dropping-particle":"","family":"Thiele","given":"Jurgen","non-dropping-particle":"","parse-names":false,"suffix":""},{"dropping-particle":"","family":"Arber","given":"Daniel A.","non-dropping-particle":"","parse-names":false,"suffix":""},{"dropping-particle":"","family":"Hasserjianm","given":"Robert P.","non-dropping-particle":"","parse-names":false,"suffix":""},{"dropping-particle":"","family":"Beau","given":"Michelle M.","non-dropping-particle":"Le","parse-names":false,"suffix":""},{"dropping-particle":"","family":"Orazi","given":"Attilio","non-dropping-particle":"","parse-names":false,"suffix":""},{"dropping-particle":"","family":"Siebert","given":"Reiner","non-dropping-particle":"","parse-names":false,"suffix":""}],"id":"ITEM-1","issued":{"date-parts":[["2017"]]},"number-of-pages":"585","title":"World Health Organization Classification of Tumours Haematopoietic and Lymphoid Tissues","type":"book"},"uris":["http://www.mendeley.com/documents/?uuid=cb9f91e7-d5fe-4ffe-bfa2-555a02506a77"]},{"id":"ITEM-2","itemData":{"DOI":"10.1038/bcj.2017.53","ISSN":"20445385","abstract":"Acute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journal","id":"ITEM-2","issue":"6","issued":{"date-parts":[["2017"]]},"page":"e577","title":"Acute lymphoblastic leukemia: a comprehensive review and 2017 update","type":"article-journal","volume":"7"},"uris":["http://www.mendeley.com/documents/?uuid=17337d9b-8837-4c6e-9832-47e254d34ef1"]},{"id":"ITEM-3","itemData":{"DOI":"10.1182/blood-2016-03-643544.The","ISBN":"2016036435","abstract":"The World Health Organization (WHO) classification of tumors of the hemato-poietic and lymphoid tissues was last updated in 2008. Since then, there have been numerous advances in the identifi-cation of unique biomarkers associated with some myeloid neoplasms and acute leukemias, largely derived from gene ex-pression analysis and next-generation sequencing that can significantly im-prove the diagnostic criteria as well as the prognostic relevance of entities cur-rently included in the WHO classification and that also suggest new entities that should be added. Therefore, there is a clear need for a revision to the current classification. The revisions to the cate-gories of myeloid neoplasms and acute leukemia will be published in a mono-graph in 2016 and reflect a consensus of opinion of hematopathologists, hema-tologists, oncologists, and geneticists. The 2016 edition represents a revision of the prior classification rather than an entirely new classification and at-tempts to incorporate new clinical, prog-nostic, morphologic, immunophenotypic, and genetic data that have emerged since the last edition. The major chan-ges in the classification and their ratio-nale are presented here. (Blood. 2016; 127(20):2391-2405)","author":[{"dropping-particle":"","family":"Vardiman","given":"James W","non-dropping-particle":"","parse-names":false,"suffix":""},{"dropping-particle":"","family":"Arber","given":"Daniel A","non-dropping-particle":"","parse-names":false,"suffix":""},{"dropping-particle":"","family":"Orazi","given":"Attilio","non-dropping-particle":"","parse-names":false,"suffix":""},{"dropping-particle":"","family":"Hasserjian","given":"Robert","non-dropping-particle":"","parse-names":false,"suffix":""},{"dropping-particle":"","family":"Borowitz","given":"Michael J","non-dropping-particle":"","parse-names":false,"suffix":""},{"dropping-particle":"Le","family":"Beau","given":"Michelle M","non-dropping-particle":"","parse-names":false,"suffix":""},{"dropping-particle":"","family":"Bloomfield","given":"Clara D","non-dropping-particle":"","parse-names":false,"suffix":""},{"dropping-particle":"","family":"Cazzola","given":"Mario","non-dropping-particle":"","parse-names":false,"suffix":""}],"container-title":"Blood","id":"ITEM-3","issue":"20","issued":{"date-parts":[["2016"]]},"page":"2391-2406","title":"The 2016 revision to the World Health Organization classi fi cation of myeloid neoplasms and acute leukemia","type":"article-journal","volume":"127"},"uris":["http://www.mendeley.com/documents/?uuid=25a34dfd-0cc0-4e2e-bcea-b4d17ccd2770"]}],"mendeley":{"formattedCitation":"(1,2,11)","plainTextFormattedCitation":"(1,2,11)","previouslyFormattedCitation":"(1,2,11)"},"properties":{"noteIndex":0},"schema":"https://github.com/citation-style-language/schema/raw/master/csl-citation.json"}</w:instrText>
      </w:r>
      <w:r w:rsidR="00415C49" w:rsidRPr="004E4D14">
        <w:rPr>
          <w:rFonts w:ascii="Arial" w:hAnsi="Arial" w:cs="Arial"/>
          <w:sz w:val="20"/>
          <w:szCs w:val="20"/>
          <w:lang w:val="es-ES"/>
        </w:rPr>
        <w:fldChar w:fldCharType="separate"/>
      </w:r>
      <w:r w:rsidR="00F20B09" w:rsidRPr="004E4D14">
        <w:rPr>
          <w:rFonts w:ascii="Arial" w:hAnsi="Arial" w:cs="Arial"/>
          <w:noProof/>
          <w:sz w:val="20"/>
          <w:szCs w:val="20"/>
          <w:lang w:val="es-ES"/>
        </w:rPr>
        <w:t>(1,2,11)</w:t>
      </w:r>
      <w:r w:rsidR="00415C49" w:rsidRPr="004E4D14">
        <w:rPr>
          <w:rFonts w:ascii="Arial" w:hAnsi="Arial" w:cs="Arial"/>
          <w:sz w:val="20"/>
          <w:szCs w:val="20"/>
          <w:lang w:val="es-ES"/>
        </w:rPr>
        <w:fldChar w:fldCharType="end"/>
      </w:r>
      <w:r w:rsidRPr="004E4D14">
        <w:rPr>
          <w:rFonts w:ascii="Arial" w:hAnsi="Arial" w:cs="Arial"/>
          <w:sz w:val="20"/>
          <w:szCs w:val="20"/>
          <w:lang w:val="es-ES"/>
        </w:rPr>
        <w:t>.</w:t>
      </w:r>
      <w:r w:rsidR="00F20B09" w:rsidRPr="004E4D14">
        <w:rPr>
          <w:rFonts w:ascii="Arial" w:hAnsi="Arial" w:cs="Arial"/>
          <w:sz w:val="20"/>
          <w:szCs w:val="20"/>
          <w:lang w:val="es-ES"/>
        </w:rPr>
        <w:t xml:space="preserve"> Tabla 1.</w:t>
      </w:r>
    </w:p>
    <w:p w14:paraId="137AE089" w14:textId="77777777" w:rsidR="00777E62" w:rsidRDefault="00777E62"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010"/>
      </w:tblGrid>
      <w:tr w:rsidR="00F20B09" w14:paraId="069C7EE2" w14:textId="77777777" w:rsidTr="00777E62">
        <w:tc>
          <w:tcPr>
            <w:tcW w:w="9160" w:type="dxa"/>
            <w:shd w:val="clear" w:color="auto" w:fill="CCCCCC"/>
          </w:tcPr>
          <w:p w14:paraId="6C049386" w14:textId="77777777" w:rsidR="00F20B09" w:rsidRPr="00777E62" w:rsidRDefault="00F20B09" w:rsidP="00F20B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i/>
                <w:sz w:val="20"/>
                <w:szCs w:val="20"/>
                <w:lang w:val="es-ES"/>
              </w:rPr>
            </w:pPr>
            <w:r w:rsidRPr="00777E62">
              <w:rPr>
                <w:rFonts w:ascii="Arial" w:hAnsi="Arial" w:cs="Arial"/>
                <w:b/>
                <w:i/>
                <w:sz w:val="20"/>
                <w:szCs w:val="20"/>
                <w:lang w:val="es-ES"/>
              </w:rPr>
              <w:t>Tabla 1.</w:t>
            </w:r>
            <w:r w:rsidRPr="00777E62">
              <w:rPr>
                <w:rFonts w:ascii="Arial" w:hAnsi="Arial" w:cs="Arial"/>
                <w:i/>
                <w:sz w:val="20"/>
                <w:szCs w:val="20"/>
                <w:lang w:val="es-ES"/>
              </w:rPr>
              <w:t xml:space="preserve"> Clasificación de tumores hematopoyéticos y tejidos linfoides - OMS 2016 / Neoplasias de precursores linfoides</w:t>
            </w:r>
            <w:r w:rsidR="00415C49" w:rsidRPr="00777E62">
              <w:rPr>
                <w:rFonts w:ascii="Arial" w:hAnsi="Arial" w:cs="Arial"/>
                <w:i/>
                <w:sz w:val="20"/>
                <w:szCs w:val="20"/>
                <w:lang w:val="es-ES"/>
              </w:rPr>
              <w:fldChar w:fldCharType="begin" w:fldLock="1"/>
            </w:r>
            <w:r w:rsidR="001653F5" w:rsidRPr="00777E62">
              <w:rPr>
                <w:rFonts w:ascii="Arial" w:hAnsi="Arial" w:cs="Arial"/>
                <w:i/>
                <w:sz w:val="20"/>
                <w:szCs w:val="20"/>
                <w:lang w:val="es-ES"/>
              </w:rPr>
              <w:instrText>ADDIN CSL_CITATION {"citationItems":[{"id":"ITEM-1","itemData":{"ISBN":"978-92-832-2437-2","abstract":"Version Revisada 2017 - WHO","author":[{"dropping-particle":"","family":"Serdlow","given":"Steven H.","non-dropping-particle":"","parse-names":false,"suffix":""},{"dropping-particle":"","family":"Campo","given":"Elias","non-dropping-particle":"","parse-names":false,"suffix":""},{"dropping-particle":"","family":"Harris","given":"Nancy Lee","non-dropping-particle":"","parse-names":false,"suffix":""},{"dropping-particle":"","family":"Jaffe","given":"Elaine S.","non-dropping-particle":"","parse-names":false,"suffix":""},{"dropping-particle":"","family":"Pileri","given":"Stefano A.","non-dropping-particle":"","parse-names":false,"suffix":""},{"dropping-particle":"","family":"Stein","given":"Harald","non-dropping-particle":"","parse-names":false,"suffix":""},{"dropping-particle":"","family":"Thiele","given":"Jurgen","non-dropping-particle":"","parse-names":false,"suffix":""},{"dropping-particle":"","family":"Arber","given":"Daniel A.","non-dropping-particle":"","parse-names":false,"suffix":""},{"dropping-particle":"","family":"Hasserjianm","given":"Robert P.","non-dropping-particle":"","parse-names":false,"suffix":""},{"dropping-particle":"","family":"Beau","given":"Michelle M.","non-dropping-particle":"Le","parse-names":false,"suffix":""},{"dropping-particle":"","family":"Orazi","given":"Attilio","non-dropping-particle":"","parse-names":false,"suffix":""},{"dropping-particle":"","family":"Siebert","given":"Reiner","non-dropping-particle":"","parse-names":false,"suffix":""}],"id":"ITEM-1","issued":{"date-parts":[["2017"]]},"number-of-pages":"585","title":"World Health Organization Classification of Tumours Haematopoietic and Lymphoid Tissues","type":"book"},"uris":["http://www.mendeley.com/documents/?uuid=cb9f91e7-d5fe-4ffe-bfa2-555a02506a77"]}],"mendeley":{"formattedCitation":"(1)","plainTextFormattedCitation":"(1)","previouslyFormattedCitation":"(1)"},"properties":{"noteIndex":0},"schema":"https://github.com/citation-style-language/schema/raw/master/csl-citation.json"}</w:instrText>
            </w:r>
            <w:r w:rsidR="00415C49" w:rsidRPr="00777E62">
              <w:rPr>
                <w:rFonts w:ascii="Arial" w:hAnsi="Arial" w:cs="Arial"/>
                <w:i/>
                <w:sz w:val="20"/>
                <w:szCs w:val="20"/>
                <w:lang w:val="es-ES"/>
              </w:rPr>
              <w:fldChar w:fldCharType="separate"/>
            </w:r>
            <w:r w:rsidR="00883FAC" w:rsidRPr="00777E62">
              <w:rPr>
                <w:rFonts w:ascii="Arial" w:hAnsi="Arial" w:cs="Arial"/>
                <w:noProof/>
                <w:sz w:val="20"/>
                <w:szCs w:val="20"/>
                <w:lang w:val="es-ES"/>
              </w:rPr>
              <w:t>(1)</w:t>
            </w:r>
            <w:r w:rsidR="00415C49" w:rsidRPr="00777E62">
              <w:rPr>
                <w:rFonts w:ascii="Arial" w:hAnsi="Arial" w:cs="Arial"/>
                <w:i/>
                <w:sz w:val="20"/>
                <w:szCs w:val="20"/>
                <w:lang w:val="es-ES"/>
              </w:rPr>
              <w:fldChar w:fldCharType="end"/>
            </w:r>
          </w:p>
        </w:tc>
      </w:tr>
      <w:tr w:rsidR="00F20B09" w14:paraId="259B572C" w14:textId="77777777" w:rsidTr="00777E62">
        <w:tc>
          <w:tcPr>
            <w:tcW w:w="9160" w:type="dxa"/>
            <w:shd w:val="clear" w:color="auto" w:fill="F3F3F3"/>
          </w:tcPr>
          <w:p w14:paraId="3CBC59AD" w14:textId="77777777" w:rsidR="001653F5" w:rsidRPr="00777E62" w:rsidRDefault="001653F5"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0"/>
                <w:szCs w:val="20"/>
                <w:lang w:val="es-ES"/>
              </w:rPr>
            </w:pPr>
          </w:p>
          <w:p w14:paraId="20C916D2"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0"/>
                <w:szCs w:val="20"/>
                <w:lang w:val="es-ES"/>
              </w:rPr>
            </w:pPr>
            <w:r w:rsidRPr="00777E62">
              <w:rPr>
                <w:rFonts w:ascii="Arial" w:hAnsi="Arial" w:cs="Arial"/>
                <w:sz w:val="20"/>
                <w:szCs w:val="20"/>
                <w:lang w:val="es-ES"/>
              </w:rPr>
              <w:t>Leucemia / Linfoma Linfoblástico de células B no especificado</w:t>
            </w:r>
          </w:p>
          <w:p w14:paraId="5D7D2904" w14:textId="77777777" w:rsidR="00F8773C" w:rsidRPr="00777E62" w:rsidRDefault="00F8773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0"/>
                <w:szCs w:val="20"/>
                <w:lang w:val="es-ES"/>
              </w:rPr>
            </w:pPr>
          </w:p>
        </w:tc>
      </w:tr>
      <w:tr w:rsidR="00F20B09" w14:paraId="6DD10A66" w14:textId="77777777" w:rsidTr="00777E62">
        <w:tc>
          <w:tcPr>
            <w:tcW w:w="9160" w:type="dxa"/>
            <w:shd w:val="clear" w:color="auto" w:fill="F3F3F3"/>
          </w:tcPr>
          <w:p w14:paraId="536BE8DB"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0"/>
                <w:szCs w:val="20"/>
                <w:lang w:val="es-ES"/>
              </w:rPr>
            </w:pPr>
            <w:r w:rsidRPr="00777E62">
              <w:rPr>
                <w:rFonts w:ascii="Arial" w:hAnsi="Arial" w:cs="Arial"/>
                <w:sz w:val="20"/>
                <w:szCs w:val="20"/>
                <w:lang w:val="es-ES"/>
              </w:rPr>
              <w:t>Leucemia / Linfoma linfoblástico de células B con anormalidades genéticas recurrentes</w:t>
            </w:r>
          </w:p>
        </w:tc>
      </w:tr>
      <w:tr w:rsidR="00F20B09" w14:paraId="2820F278" w14:textId="77777777" w:rsidTr="00777E62">
        <w:tc>
          <w:tcPr>
            <w:tcW w:w="9160" w:type="dxa"/>
            <w:shd w:val="clear" w:color="auto" w:fill="FFFFFF"/>
          </w:tcPr>
          <w:p w14:paraId="0788DA07" w14:textId="77777777" w:rsidR="00F20B09" w:rsidRPr="00777E62" w:rsidRDefault="00883FAC" w:rsidP="00883FAC">
            <w:pPr>
              <w:widowControl w:val="0"/>
              <w:autoSpaceDE w:val="0"/>
              <w:autoSpaceDN w:val="0"/>
              <w:adjustRightInd w:val="0"/>
              <w:spacing w:before="100" w:line="276" w:lineRule="auto"/>
              <w:ind w:right="-198"/>
              <w:rPr>
                <w:rFonts w:ascii="Arial" w:hAnsi="Arial" w:cs="Arial"/>
                <w:i/>
                <w:sz w:val="18"/>
                <w:szCs w:val="18"/>
                <w:lang w:val="es-ES"/>
              </w:rPr>
            </w:pPr>
            <w:r w:rsidRPr="00777E62">
              <w:rPr>
                <w:rFonts w:ascii="Arial" w:hAnsi="Arial" w:cs="Arial"/>
                <w:i/>
                <w:sz w:val="18"/>
                <w:szCs w:val="18"/>
                <w:lang w:val="es-ES"/>
              </w:rPr>
              <w:t xml:space="preserve">     Leucemia / Linfoma linfoblástico de células B con t(9;22)(q34.1;q11.2); BCR-ABL1</w:t>
            </w:r>
          </w:p>
        </w:tc>
      </w:tr>
      <w:tr w:rsidR="00F20B09" w14:paraId="6AC1BF24" w14:textId="77777777" w:rsidTr="00777E62">
        <w:tc>
          <w:tcPr>
            <w:tcW w:w="9160" w:type="dxa"/>
            <w:shd w:val="clear" w:color="auto" w:fill="FFFFFF"/>
          </w:tcPr>
          <w:p w14:paraId="1302BAB7"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 xml:space="preserve">     Leucemia / Linfoma linfoblástico de células B con t(v;11q23.3);re-arreglos de KMT2A</w:t>
            </w:r>
          </w:p>
        </w:tc>
      </w:tr>
      <w:tr w:rsidR="00F20B09" w14:paraId="077EF3FF" w14:textId="77777777" w:rsidTr="00777E62">
        <w:tc>
          <w:tcPr>
            <w:tcW w:w="9160" w:type="dxa"/>
            <w:shd w:val="clear" w:color="auto" w:fill="FFFFFF"/>
          </w:tcPr>
          <w:p w14:paraId="25CEBEEB"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 xml:space="preserve">     Leucemia / Linfoma linfoblástico de células B con t(12;21)(p13.2;q22.1); ETV6-RUNX1</w:t>
            </w:r>
          </w:p>
        </w:tc>
      </w:tr>
      <w:tr w:rsidR="00F20B09" w14:paraId="76C43BA8" w14:textId="77777777" w:rsidTr="00777E62">
        <w:tc>
          <w:tcPr>
            <w:tcW w:w="9160" w:type="dxa"/>
            <w:shd w:val="clear" w:color="auto" w:fill="FFFFFF"/>
          </w:tcPr>
          <w:p w14:paraId="2C634113"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 xml:space="preserve">     Leucemia / Linfoma linfoblástico de células B  con hiperdiploidia</w:t>
            </w:r>
            <w:r w:rsidR="00F25B23" w:rsidRPr="00777E62">
              <w:rPr>
                <w:rFonts w:ascii="Arial" w:hAnsi="Arial" w:cs="Arial"/>
                <w:i/>
                <w:sz w:val="18"/>
                <w:szCs w:val="18"/>
                <w:lang w:val="es-ES"/>
              </w:rPr>
              <w:t xml:space="preserve"> (entidad provisional)</w:t>
            </w:r>
          </w:p>
        </w:tc>
      </w:tr>
      <w:tr w:rsidR="00F20B09" w14:paraId="47E19481" w14:textId="77777777" w:rsidTr="00777E62">
        <w:tc>
          <w:tcPr>
            <w:tcW w:w="9160" w:type="dxa"/>
            <w:shd w:val="clear" w:color="auto" w:fill="FFFFFF"/>
          </w:tcPr>
          <w:p w14:paraId="6131A05A"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 xml:space="preserve">     Leucemia / Linfoma linfoblástico de células B con hipodiploidia</w:t>
            </w:r>
            <w:r w:rsidR="00F25B23" w:rsidRPr="00777E62">
              <w:rPr>
                <w:rFonts w:ascii="Arial" w:hAnsi="Arial" w:cs="Arial"/>
                <w:i/>
                <w:sz w:val="18"/>
                <w:szCs w:val="18"/>
                <w:lang w:val="es-ES"/>
              </w:rPr>
              <w:t xml:space="preserve"> (entidad provisional)</w:t>
            </w:r>
          </w:p>
        </w:tc>
      </w:tr>
      <w:tr w:rsidR="00F20B09" w14:paraId="259A37B5" w14:textId="77777777" w:rsidTr="00777E62">
        <w:tc>
          <w:tcPr>
            <w:tcW w:w="9160" w:type="dxa"/>
            <w:shd w:val="clear" w:color="auto" w:fill="FFFFFF"/>
          </w:tcPr>
          <w:p w14:paraId="340B03B6"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 xml:space="preserve">     Leucemia / Linfoma linfoblástico de células B con t(5;14)(q31.1;q32.1); IGH/IL3</w:t>
            </w:r>
          </w:p>
        </w:tc>
      </w:tr>
      <w:tr w:rsidR="00F20B09" w14:paraId="4F07B725" w14:textId="77777777" w:rsidTr="00777E62">
        <w:tc>
          <w:tcPr>
            <w:tcW w:w="9160" w:type="dxa"/>
            <w:shd w:val="clear" w:color="auto" w:fill="FFFFFF"/>
          </w:tcPr>
          <w:p w14:paraId="2857E562"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 xml:space="preserve">     Leucemia / Linfoma linfoblástico de células B  con t(1;19)(q23;p13.3); TCF3-PBX1</w:t>
            </w:r>
          </w:p>
        </w:tc>
      </w:tr>
      <w:tr w:rsidR="00F20B09" w14:paraId="72C02968" w14:textId="77777777" w:rsidTr="00777E62">
        <w:tc>
          <w:tcPr>
            <w:tcW w:w="9160" w:type="dxa"/>
            <w:shd w:val="clear" w:color="auto" w:fill="FFFFFF"/>
          </w:tcPr>
          <w:p w14:paraId="7609D869"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 xml:space="preserve">     Leucemia / Linfoma linfoblástico de células B, BCR-ABL1-like</w:t>
            </w:r>
            <w:r w:rsidR="00F25B23" w:rsidRPr="00777E62">
              <w:rPr>
                <w:rFonts w:ascii="Arial" w:hAnsi="Arial" w:cs="Arial"/>
                <w:i/>
                <w:sz w:val="18"/>
                <w:szCs w:val="18"/>
                <w:lang w:val="es-ES"/>
              </w:rPr>
              <w:t xml:space="preserve"> (entidad provisional)</w:t>
            </w:r>
          </w:p>
        </w:tc>
      </w:tr>
      <w:tr w:rsidR="00F20B09" w14:paraId="3CA4D7A9" w14:textId="77777777" w:rsidTr="00777E62">
        <w:tc>
          <w:tcPr>
            <w:tcW w:w="9160" w:type="dxa"/>
            <w:shd w:val="clear" w:color="auto" w:fill="FFFFFF"/>
          </w:tcPr>
          <w:p w14:paraId="51015EF6" w14:textId="77777777" w:rsidR="00F8773C"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 xml:space="preserve">     Leucemia / Linfoma linfoblástico de células B  con iAMP21</w:t>
            </w:r>
            <w:r w:rsidR="00F25B23" w:rsidRPr="00777E62">
              <w:rPr>
                <w:rFonts w:ascii="Arial" w:hAnsi="Arial" w:cs="Arial"/>
                <w:i/>
                <w:sz w:val="18"/>
                <w:szCs w:val="18"/>
                <w:lang w:val="es-ES"/>
              </w:rPr>
              <w:t xml:space="preserve"> (entidad provisional)</w:t>
            </w:r>
          </w:p>
        </w:tc>
      </w:tr>
      <w:tr w:rsidR="00F20B09" w14:paraId="5DC6C094" w14:textId="77777777" w:rsidTr="00777E62">
        <w:tc>
          <w:tcPr>
            <w:tcW w:w="9160" w:type="dxa"/>
            <w:tcBorders>
              <w:bottom w:val="nil"/>
            </w:tcBorders>
            <w:shd w:val="clear" w:color="auto" w:fill="F3F3F3"/>
          </w:tcPr>
          <w:p w14:paraId="1AF25580"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0"/>
                <w:szCs w:val="20"/>
                <w:lang w:val="es-ES"/>
              </w:rPr>
            </w:pPr>
            <w:r w:rsidRPr="00777E62">
              <w:rPr>
                <w:rFonts w:ascii="Arial" w:hAnsi="Arial" w:cs="Arial"/>
                <w:sz w:val="20"/>
                <w:szCs w:val="20"/>
                <w:lang w:val="es-ES"/>
              </w:rPr>
              <w:t>Leucemia / Linfoma linfoblástico de células T</w:t>
            </w:r>
          </w:p>
        </w:tc>
      </w:tr>
      <w:tr w:rsidR="00777E62" w14:paraId="468EF8A9" w14:textId="77777777" w:rsidTr="00777E62">
        <w:tc>
          <w:tcPr>
            <w:tcW w:w="9160" w:type="dxa"/>
            <w:tcBorders>
              <w:top w:val="nil"/>
              <w:bottom w:val="nil"/>
            </w:tcBorders>
            <w:shd w:val="clear" w:color="auto" w:fill="FFFFFF"/>
          </w:tcPr>
          <w:p w14:paraId="2CD6C6A2" w14:textId="77777777" w:rsidR="00777E62" w:rsidRPr="00777E62" w:rsidRDefault="00777E62"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i/>
                <w:sz w:val="18"/>
                <w:szCs w:val="18"/>
                <w:lang w:val="es-ES"/>
              </w:rPr>
            </w:pPr>
            <w:r w:rsidRPr="00777E62">
              <w:rPr>
                <w:rFonts w:ascii="Arial" w:hAnsi="Arial" w:cs="Arial"/>
                <w:i/>
                <w:sz w:val="18"/>
                <w:szCs w:val="18"/>
                <w:lang w:val="es-ES"/>
              </w:rPr>
              <w:t>Leucemia linfoblástica de precursores tempranos de células T (entidad provisional)</w:t>
            </w:r>
          </w:p>
        </w:tc>
      </w:tr>
      <w:tr w:rsidR="00F20B09" w14:paraId="203126FE" w14:textId="77777777" w:rsidTr="00777E62">
        <w:tc>
          <w:tcPr>
            <w:tcW w:w="9160" w:type="dxa"/>
            <w:tcBorders>
              <w:top w:val="nil"/>
            </w:tcBorders>
            <w:shd w:val="clear" w:color="auto" w:fill="F3F3F3"/>
          </w:tcPr>
          <w:p w14:paraId="75E653FE" w14:textId="77777777" w:rsidR="00F20B09" w:rsidRPr="00777E62" w:rsidRDefault="00883FAC"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0"/>
                <w:szCs w:val="20"/>
                <w:lang w:val="es-ES"/>
              </w:rPr>
            </w:pPr>
            <w:r w:rsidRPr="00777E62">
              <w:rPr>
                <w:rFonts w:ascii="Arial" w:hAnsi="Arial" w:cs="Arial"/>
                <w:sz w:val="20"/>
                <w:szCs w:val="20"/>
                <w:lang w:val="es-ES"/>
              </w:rPr>
              <w:t>Leucemia / Linfoma linfoblástico de células NK</w:t>
            </w:r>
            <w:r w:rsidR="00F25B23" w:rsidRPr="00777E62">
              <w:rPr>
                <w:rFonts w:ascii="Arial" w:hAnsi="Arial" w:cs="Arial"/>
                <w:sz w:val="20"/>
                <w:szCs w:val="20"/>
                <w:lang w:val="es-ES"/>
              </w:rPr>
              <w:t xml:space="preserve"> (entidad provisional)</w:t>
            </w:r>
          </w:p>
        </w:tc>
      </w:tr>
    </w:tbl>
    <w:p w14:paraId="18B1B186" w14:textId="77777777" w:rsidR="00F20B09" w:rsidRDefault="00F20B09" w:rsidP="00AD3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73F40D96" w14:textId="77777777" w:rsidR="00A568D0" w:rsidRPr="004E4D14" w:rsidRDefault="00A568D0"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lastRenderedPageBreak/>
        <w:t>Tradicionalmente se han tenido en cuenta algunas características clínicas, como factores pronósticos al momento del diagnóstico, como</w:t>
      </w:r>
      <w:r w:rsidR="00DD4E2E">
        <w:rPr>
          <w:rFonts w:ascii="Arial" w:hAnsi="Arial" w:cs="Arial"/>
          <w:sz w:val="20"/>
          <w:szCs w:val="20"/>
          <w:lang w:val="es-ES"/>
        </w:rPr>
        <w:t xml:space="preserve"> son</w:t>
      </w:r>
      <w:r w:rsidRPr="004E4D14">
        <w:rPr>
          <w:rFonts w:ascii="Arial" w:hAnsi="Arial" w:cs="Arial"/>
          <w:sz w:val="20"/>
          <w:szCs w:val="20"/>
          <w:lang w:val="es-ES"/>
        </w:rPr>
        <w:t xml:space="preserve"> la edad y el recuento de leucocitos. El estudio del MRC UKALL XII/ECOG E</w:t>
      </w:r>
      <w:r w:rsidR="00403F96" w:rsidRPr="004E4D14">
        <w:rPr>
          <w:rFonts w:ascii="Arial" w:hAnsi="Arial" w:cs="Arial"/>
          <w:sz w:val="20"/>
          <w:szCs w:val="20"/>
          <w:lang w:val="es-ES"/>
        </w:rPr>
        <w:t>2993 clasificó</w:t>
      </w:r>
      <w:r w:rsidRPr="004E4D14">
        <w:rPr>
          <w:rFonts w:ascii="Arial" w:hAnsi="Arial" w:cs="Arial"/>
          <w:sz w:val="20"/>
          <w:szCs w:val="20"/>
          <w:lang w:val="es-ES"/>
        </w:rPr>
        <w:t xml:space="preserve"> la enfermedad dependiendo de la </w:t>
      </w:r>
      <w:r w:rsidR="009769BF">
        <w:rPr>
          <w:rFonts w:ascii="Arial" w:hAnsi="Arial" w:cs="Arial"/>
          <w:sz w:val="20"/>
          <w:szCs w:val="20"/>
          <w:lang w:val="es-ES"/>
        </w:rPr>
        <w:t xml:space="preserve">presencia </w:t>
      </w:r>
      <w:r w:rsidRPr="004E4D14">
        <w:rPr>
          <w:rFonts w:ascii="Arial" w:hAnsi="Arial" w:cs="Arial"/>
          <w:sz w:val="20"/>
          <w:szCs w:val="20"/>
          <w:lang w:val="es-ES"/>
        </w:rPr>
        <w:t>de los factores adversos al momento del debut de la enfermedad: Edad &gt; 35 años, el recuento de leucocitos &gt; 30 x 10</w:t>
      </w:r>
      <w:r w:rsidRPr="004E4D14">
        <w:rPr>
          <w:rFonts w:ascii="Arial" w:hAnsi="Arial" w:cs="Arial"/>
          <w:sz w:val="20"/>
          <w:szCs w:val="20"/>
          <w:vertAlign w:val="superscript"/>
          <w:lang w:val="es-ES"/>
        </w:rPr>
        <w:t>9</w:t>
      </w:r>
      <w:r w:rsidRPr="004E4D14">
        <w:rPr>
          <w:rFonts w:ascii="Arial" w:hAnsi="Arial" w:cs="Arial"/>
          <w:sz w:val="20"/>
          <w:szCs w:val="20"/>
          <w:lang w:val="es-ES"/>
        </w:rPr>
        <w:t xml:space="preserve"> en LLA-B y &gt; 100 x 10</w:t>
      </w:r>
      <w:r w:rsidRPr="004E4D14">
        <w:rPr>
          <w:rFonts w:ascii="Arial" w:hAnsi="Arial" w:cs="Arial"/>
          <w:sz w:val="20"/>
          <w:szCs w:val="20"/>
          <w:vertAlign w:val="superscript"/>
          <w:lang w:val="es-ES"/>
        </w:rPr>
        <w:t>9</w:t>
      </w:r>
      <w:r w:rsidRPr="004E4D14">
        <w:rPr>
          <w:rFonts w:ascii="Arial" w:hAnsi="Arial" w:cs="Arial"/>
          <w:sz w:val="20"/>
          <w:szCs w:val="20"/>
          <w:lang w:val="es-ES"/>
        </w:rPr>
        <w:t xml:space="preserve"> para LLA-T.  La clasificación se </w:t>
      </w:r>
      <w:r w:rsidR="00403F96" w:rsidRPr="004E4D14">
        <w:rPr>
          <w:rFonts w:ascii="Arial" w:hAnsi="Arial" w:cs="Arial"/>
          <w:sz w:val="20"/>
          <w:szCs w:val="20"/>
          <w:lang w:val="es-ES"/>
        </w:rPr>
        <w:t>hacía</w:t>
      </w:r>
      <w:r w:rsidRPr="004E4D14">
        <w:rPr>
          <w:rFonts w:ascii="Arial" w:hAnsi="Arial" w:cs="Arial"/>
          <w:sz w:val="20"/>
          <w:szCs w:val="20"/>
          <w:lang w:val="es-ES"/>
        </w:rPr>
        <w:t xml:space="preserve"> en tres grupos dependiendo el riesgo: Estándar (sin factores de riesgo), riesgo intermedio (edad &gt; 35 años o recuento de leucocitos elevado) y alto riesgo (edad &gt; 35 años y leucocitos elevados). Además se encontró que estos eran factores independientes para definir la supervivencia libre de enfermedad y global</w:t>
      </w:r>
      <w:r w:rsidR="00415C49" w:rsidRPr="004E4D14">
        <w:rPr>
          <w:rFonts w:ascii="Arial" w:hAnsi="Arial" w:cs="Arial"/>
          <w:sz w:val="20"/>
          <w:szCs w:val="20"/>
          <w:lang w:val="es-ES"/>
        </w:rPr>
        <w:fldChar w:fldCharType="begin" w:fldLock="1"/>
      </w:r>
      <w:r w:rsidR="002637B3" w:rsidRPr="004E4D14">
        <w:rPr>
          <w:rFonts w:ascii="Arial" w:hAnsi="Arial" w:cs="Arial"/>
          <w:sz w:val="20"/>
          <w:szCs w:val="20"/>
          <w:lang w:val="es-ES"/>
        </w:rPr>
        <w:instrText>ADDIN CSL_CITATION {"citationItems":[{"id":"ITEM-1","itemData":{"DOI":"10.1182/blood-2005-04-1623.A","ISBN":"0006-4971 (Print)\\r0006-4971 (Linking)","ISSN":"0006-4971","PMID":"16105981","author":[{"dropping-particle":"","family":"Rowe","given":"Jacob M","non-dropping-particle":"","parse-names":false,"suffix":""},{"dropping-particle":"","family":"Buck","given":"Georgina","non-dropping-particle":"","parse-names":false,"suffix":""},{"dropping-particle":"","family":"Burnett","given":"Alan K","non-dropping-particle":"","parse-names":false,"suffix":""},{"dropping-particle":"","family":"Chopra","given":"Raj","non-dropping-particle":"","parse-names":false,"suffix":""},{"dropping-particle":"","family":"Wiernik","given":"Peter H","non-dropping-particle":"","parse-names":false,"suffix":""},{"dropping-particle":"","family":"Richards","given":"Susan M","non-dropping-particle":"","parse-names":false,"suffix":""},{"dropping-particle":"","family":"Lazarus","given":"Hillard M","non-dropping-particle":"","parse-names":false,"suffix":""},{"dropping-particle":"","family":"Franklin","given":"Ian M","non-dropping-particle":"","parse-names":false,"suffix":""},{"dropping-particle":"","family":"Litzow","given":"Mark R","non-dropping-particle":"","parse-names":false,"suffix":""},{"dropping-particle":"","family":"Ciobanu","given":"Niculae","non-dropping-particle":"","parse-names":false,"suffix":""},{"dropping-particle":"","family":"Prentice","given":"H Grant","non-dropping-particle":"","parse-names":false,"suffix":""},{"dropping-particle":"","family":"Durrant","given":"Jill","non-dropping-particle":"","parse-names":false,"suffix":""},{"dropping-particle":"","family":"Tallman","given":"Martin S","non-dropping-particle":"","parse-names":false,"suffix":""},{"dropping-particle":"","family":"Goldstone","given":"Anthony H","non-dropping-particle":"","parse-names":false,"suffix":""}],"container-title":"Blood","id":"ITEM-1","issue":"12","issued":{"date-parts":[["2005"]]},"page":"3760-3767","title":"Induction therapy for adults ALL_MRC UKALL XII_ECOG E2993","type":"article-journal","volume":"106"},"uris":["http://www.mendeley.com/documents/?uuid=3e95f923-eedd-4cbe-899a-71a0da455f6e"]},{"id":"ITEM-2","itemData":{"DOI":"10.1038/bcj.2017.53","ISSN":"20445385","abstract":"Acute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journal","id":"ITEM-2","issue":"6","issued":{"date-parts":[["2017"]]},"page":"e577","title":"Acute lymphoblastic leukemia: a comprehensive review and 2017 update","type":"article-journal","volume":"7"},"uris":["http://www.mendeley.com/documents/?uuid=17337d9b-8837-4c6e-9832-47e254d34ef1"]}],"mendeley":{"formattedCitation":"(2,12)","plainTextFormattedCitation":"(2,12)","previouslyFormattedCitation":"(2,12)"},"properties":{"noteIndex":0},"schema":"https://github.com/citation-style-language/schema/raw/master/csl-citation.json"}</w:instrText>
      </w:r>
      <w:r w:rsidR="00415C49" w:rsidRPr="004E4D14">
        <w:rPr>
          <w:rFonts w:ascii="Arial" w:hAnsi="Arial" w:cs="Arial"/>
          <w:sz w:val="20"/>
          <w:szCs w:val="20"/>
          <w:lang w:val="es-ES"/>
        </w:rPr>
        <w:fldChar w:fldCharType="separate"/>
      </w:r>
      <w:r w:rsidR="0068052A" w:rsidRPr="004E4D14">
        <w:rPr>
          <w:rFonts w:ascii="Arial" w:hAnsi="Arial" w:cs="Arial"/>
          <w:noProof/>
          <w:sz w:val="20"/>
          <w:szCs w:val="20"/>
          <w:lang w:val="es-ES"/>
        </w:rPr>
        <w:t>(2,12)</w:t>
      </w:r>
      <w:r w:rsidR="00415C49" w:rsidRPr="004E4D14">
        <w:rPr>
          <w:rFonts w:ascii="Arial" w:hAnsi="Arial" w:cs="Arial"/>
          <w:sz w:val="20"/>
          <w:szCs w:val="20"/>
          <w:lang w:val="es-ES"/>
        </w:rPr>
        <w:fldChar w:fldCharType="end"/>
      </w:r>
      <w:r w:rsidRPr="004E4D14">
        <w:rPr>
          <w:rFonts w:ascii="Arial" w:hAnsi="Arial" w:cs="Arial"/>
          <w:sz w:val="20"/>
          <w:szCs w:val="20"/>
          <w:lang w:val="es-ES"/>
        </w:rPr>
        <w:t xml:space="preserve">. </w:t>
      </w:r>
    </w:p>
    <w:p w14:paraId="74BA1E43" w14:textId="77777777" w:rsidR="00A568D0" w:rsidRPr="004E4D14" w:rsidRDefault="00A568D0"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t xml:space="preserve">Aunque estas </w:t>
      </w:r>
      <w:r w:rsidR="002637B3" w:rsidRPr="004E4D14">
        <w:rPr>
          <w:rFonts w:ascii="Arial" w:hAnsi="Arial" w:cs="Arial"/>
          <w:sz w:val="20"/>
          <w:szCs w:val="20"/>
          <w:lang w:val="es-ES"/>
        </w:rPr>
        <w:t>características clínicas juegan</w:t>
      </w:r>
      <w:r w:rsidRPr="004E4D14">
        <w:rPr>
          <w:rFonts w:ascii="Arial" w:hAnsi="Arial" w:cs="Arial"/>
          <w:sz w:val="20"/>
          <w:szCs w:val="20"/>
          <w:lang w:val="es-ES"/>
        </w:rPr>
        <w:t xml:space="preserve"> un </w:t>
      </w:r>
      <w:r w:rsidR="002637B3" w:rsidRPr="004E4D14">
        <w:rPr>
          <w:rFonts w:ascii="Arial" w:hAnsi="Arial" w:cs="Arial"/>
          <w:sz w:val="20"/>
          <w:szCs w:val="20"/>
          <w:lang w:val="es-ES"/>
        </w:rPr>
        <w:t>rol</w:t>
      </w:r>
      <w:r w:rsidRPr="004E4D14">
        <w:rPr>
          <w:rFonts w:ascii="Arial" w:hAnsi="Arial" w:cs="Arial"/>
          <w:sz w:val="20"/>
          <w:szCs w:val="20"/>
          <w:lang w:val="es-ES"/>
        </w:rPr>
        <w:t xml:space="preserve"> importante en </w:t>
      </w:r>
      <w:r w:rsidR="002637B3" w:rsidRPr="004E4D14">
        <w:rPr>
          <w:rFonts w:ascii="Arial" w:hAnsi="Arial" w:cs="Arial"/>
          <w:sz w:val="20"/>
          <w:szCs w:val="20"/>
          <w:lang w:val="es-ES"/>
        </w:rPr>
        <w:t>la definición del pronóstico y guía</w:t>
      </w:r>
      <w:r w:rsidRPr="004E4D14">
        <w:rPr>
          <w:rFonts w:ascii="Arial" w:hAnsi="Arial" w:cs="Arial"/>
          <w:sz w:val="20"/>
          <w:szCs w:val="20"/>
          <w:lang w:val="es-ES"/>
        </w:rPr>
        <w:t xml:space="preserve"> la terapia, la clasificación clínica </w:t>
      </w:r>
      <w:r w:rsidR="002637B3" w:rsidRPr="004E4D14">
        <w:rPr>
          <w:rFonts w:ascii="Arial" w:hAnsi="Arial" w:cs="Arial"/>
          <w:sz w:val="20"/>
          <w:szCs w:val="20"/>
          <w:lang w:val="es-ES"/>
        </w:rPr>
        <w:t xml:space="preserve">dejaba un rango amplio de pacientes por fuera de su </w:t>
      </w:r>
      <w:r w:rsidR="00874871" w:rsidRPr="004E4D14">
        <w:rPr>
          <w:rFonts w:ascii="Arial" w:hAnsi="Arial" w:cs="Arial"/>
          <w:sz w:val="20"/>
          <w:szCs w:val="20"/>
          <w:lang w:val="es-ES"/>
        </w:rPr>
        <w:t>categoría</w:t>
      </w:r>
      <w:r w:rsidRPr="004E4D14">
        <w:rPr>
          <w:rFonts w:ascii="Arial" w:hAnsi="Arial" w:cs="Arial"/>
          <w:sz w:val="20"/>
          <w:szCs w:val="20"/>
          <w:lang w:val="es-ES"/>
        </w:rPr>
        <w:t xml:space="preserve">: un 40 a 50% de pacientes de riesgo estándar presentaban </w:t>
      </w:r>
      <w:r w:rsidR="0068052A" w:rsidRPr="004E4D14">
        <w:rPr>
          <w:rFonts w:ascii="Arial" w:hAnsi="Arial" w:cs="Arial"/>
          <w:sz w:val="20"/>
          <w:szCs w:val="20"/>
          <w:lang w:val="es-ES"/>
        </w:rPr>
        <w:t>recaídas</w:t>
      </w:r>
      <w:r w:rsidRPr="004E4D14">
        <w:rPr>
          <w:rFonts w:ascii="Arial" w:hAnsi="Arial" w:cs="Arial"/>
          <w:sz w:val="20"/>
          <w:szCs w:val="20"/>
          <w:lang w:val="es-ES"/>
        </w:rPr>
        <w:t xml:space="preserve"> tempranas de la enfermedad con una supervivencia global a 5 años del 50% aproximadamente; mientras que en el grupo de pacientes de alto riesgo, entre un 20 - 25% de los pacientes no experimentaban recaídas, por lo que fue necesario establecer formas de clasificación más precisa</w:t>
      </w:r>
      <w:r w:rsidR="009769BF">
        <w:rPr>
          <w:rFonts w:ascii="Arial" w:hAnsi="Arial" w:cs="Arial"/>
          <w:sz w:val="20"/>
          <w:szCs w:val="20"/>
          <w:lang w:val="es-ES"/>
        </w:rPr>
        <w:t>s</w:t>
      </w:r>
      <w:r w:rsidR="00415C49" w:rsidRPr="004E4D14">
        <w:rPr>
          <w:rFonts w:ascii="Arial" w:hAnsi="Arial" w:cs="Arial"/>
          <w:sz w:val="20"/>
          <w:szCs w:val="20"/>
          <w:lang w:val="es-ES"/>
        </w:rPr>
        <w:fldChar w:fldCharType="begin" w:fldLock="1"/>
      </w:r>
      <w:r w:rsidR="002637B3" w:rsidRPr="004E4D14">
        <w:rPr>
          <w:rFonts w:ascii="Arial" w:hAnsi="Arial" w:cs="Arial"/>
          <w:sz w:val="20"/>
          <w:szCs w:val="20"/>
          <w:lang w:val="es-ES"/>
        </w:rPr>
        <w:instrText>ADDIN CSL_CITATION {"citationItems":[{"id":"ITEM-1","itemData":{"DOI":"10.1182/blood-2008-11-185132.The","author":[{"dropping-particle":"","family":"Bassan","given":"R","non-dropping-particle":"","parse-names":false,"suffix":""},{"dropping-particle":"","family":"Spinelli","given":"O","non-dropping-particle":"","parse-names":false,"suffix":""},{"dropping-particle":"","family":"Oldani","given":"E","non-dropping-particle":"","parse-names":false,"suffix":""},{"dropping-particle":"","family":"Intermesoli","given":"T","non-dropping-particle":"","parse-names":false,"suffix":""},{"dropping-particle":"","family":"Tosi","given":"M","non-dropping-particle":"","parse-names":false,"suffix":""},{"dropping-particle":"","family":"Peruta","given":"B","non-dropping-particle":"","parse-names":false,"suffix":""},{"dropping-particle":"","family":"Rossi","given":"G","non-dropping-particle":"","parse-names":false,"suffix":""},{"dropping-particle":"","family":"Borlenghi","given":"E","non-dropping-particle":"","parse-names":false,"suffix":""},{"dropping-particle":"","family":"Pogliani","given":"E M","non-dropping-particle":"","parse-names":false,"suffix":""},{"dropping-particle":"","family":"Terruzzi","given":"E","non-dropping-particle":"","parse-names":false,"suffix":""},{"dropping-particle":"","family":"Fabris","given":"P","non-dropping-particle":"","parse-names":false,"suffix":""},{"dropping-particle":"","family":"Cassibba","given":"V","non-dropping-particle":"","parse-names":false,"suffix":""},{"dropping-particle":"","family":"Lambertenghi-Deliliers","given":"G","non-dropping-particle":"","parse-names":false,"suffix":""},{"dropping-particle":"","family":"Cortelezzi","given":"A","non-dropping-particle":"","parse-names":false,"suffix":""},{"dropping-particle":"","family":"Bosi","given":"A","non-dropping-particle":"","parse-names":false,"suffix":""},{"dropping-particle":"","family":"Gianfaldoni","given":"G","non-dropping-particle":"","parse-names":false,"suffix":""},{"dropping-particle":"","family":"Ciceri","given":"F","non-dropping-particle":"","parse-names":false,"suffix":""},{"dropping-particle":"","family":"Bernardi","given":"M","non-dropping-particle":"","parse-names":false,"suffix":""},{"dropping-particle":"","family":"Gallamini","given":"A","non-dropping-particle":"","parse-names":false,"suffix":""},{"dropping-particle":"","family":"Mattei","given":"D","non-dropping-particle":"","parse-names":false,"suffix":""},{"dropping-particle":"","family":"Bona","given":"E","non-dropping-particle":"Di","parse-names":false,"suffix":""},{"dropping-particle":"","family":"Romani","given":"C","non-dropping-particle":"","parse-names":false,"suffix":""},{"dropping-particle":"","family":"Scattolin","given":"A M","non-dropping-particle":"","parse-names":false,"suffix":""},{"dropping-particle":"","family":"Barbui","given":"T","non-dropping-particle":"","parse-names":false,"suffix":""},{"dropping-particle":"","family":"Rambaldi","given":"A","non-dropping-particle":"","parse-names":false,"suffix":""}],"container-title":"Blood","id":"ITEM-1","issue":"18","issued":{"date-parts":[["2009"]]},"page":"1-11","title":"Improved risk classification for risk-specific therapy based on the molecular study of MRD in adult ALL","type":"article-journal","volume":"113"},"uris":["http://www.mendeley.com/documents/?uuid=2fa3b373-ac78-4a38-88cf-2230227e8749"]}],"mendeley":{"formattedCitation":"(13)","plainTextFormattedCitation":"(13)","previouslyFormattedCitation":"(13)"},"properties":{"noteIndex":0},"schema":"https://github.com/citation-style-language/schema/raw/master/csl-citation.json"}</w:instrText>
      </w:r>
      <w:r w:rsidR="00415C49" w:rsidRPr="004E4D14">
        <w:rPr>
          <w:rFonts w:ascii="Arial" w:hAnsi="Arial" w:cs="Arial"/>
          <w:sz w:val="20"/>
          <w:szCs w:val="20"/>
          <w:lang w:val="es-ES"/>
        </w:rPr>
        <w:fldChar w:fldCharType="separate"/>
      </w:r>
      <w:r w:rsidR="002637B3" w:rsidRPr="004E4D14">
        <w:rPr>
          <w:rFonts w:ascii="Arial" w:hAnsi="Arial" w:cs="Arial"/>
          <w:noProof/>
          <w:sz w:val="20"/>
          <w:szCs w:val="20"/>
          <w:lang w:val="es-ES"/>
        </w:rPr>
        <w:t>(13)</w:t>
      </w:r>
      <w:r w:rsidR="00415C49" w:rsidRPr="004E4D14">
        <w:rPr>
          <w:rFonts w:ascii="Arial" w:hAnsi="Arial" w:cs="Arial"/>
          <w:sz w:val="20"/>
          <w:szCs w:val="20"/>
          <w:lang w:val="es-ES"/>
        </w:rPr>
        <w:fldChar w:fldCharType="end"/>
      </w:r>
      <w:r w:rsidRPr="004E4D14">
        <w:rPr>
          <w:rFonts w:ascii="Arial" w:hAnsi="Arial" w:cs="Arial"/>
          <w:sz w:val="20"/>
          <w:szCs w:val="20"/>
          <w:lang w:val="es-ES"/>
        </w:rPr>
        <w:t xml:space="preserve">. </w:t>
      </w:r>
    </w:p>
    <w:p w14:paraId="2327EA66" w14:textId="77777777" w:rsidR="00A568D0" w:rsidRPr="004E4D14" w:rsidRDefault="002637B3"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t>Por otra parte, l</w:t>
      </w:r>
      <w:r w:rsidR="00A568D0" w:rsidRPr="004E4D14">
        <w:rPr>
          <w:rFonts w:ascii="Arial" w:hAnsi="Arial" w:cs="Arial"/>
          <w:sz w:val="20"/>
          <w:szCs w:val="20"/>
          <w:lang w:val="es-ES"/>
        </w:rPr>
        <w:t>as alteraciones citogenéticas demostraron tener un mayor impacto en pronóstico y tratamiento, sobre todo la pre</w:t>
      </w:r>
      <w:r w:rsidRPr="004E4D14">
        <w:rPr>
          <w:rFonts w:ascii="Arial" w:hAnsi="Arial" w:cs="Arial"/>
          <w:sz w:val="20"/>
          <w:szCs w:val="20"/>
          <w:lang w:val="es-ES"/>
        </w:rPr>
        <w:t xml:space="preserve">sencia de cromosoma filadelfia, </w:t>
      </w:r>
      <w:r w:rsidR="00403F96" w:rsidRPr="004E4D14">
        <w:rPr>
          <w:rFonts w:ascii="Arial" w:hAnsi="Arial" w:cs="Arial"/>
          <w:sz w:val="20"/>
          <w:szCs w:val="20"/>
          <w:lang w:val="es-ES"/>
        </w:rPr>
        <w:t>t (</w:t>
      </w:r>
      <w:r w:rsidR="00A568D0" w:rsidRPr="004E4D14">
        <w:rPr>
          <w:rFonts w:ascii="Arial" w:hAnsi="Arial" w:cs="Arial"/>
          <w:sz w:val="20"/>
          <w:szCs w:val="20"/>
          <w:lang w:val="es-ES"/>
        </w:rPr>
        <w:t>9;</w:t>
      </w:r>
      <w:r w:rsidR="00403F96" w:rsidRPr="004E4D14">
        <w:rPr>
          <w:rFonts w:ascii="Arial" w:hAnsi="Arial" w:cs="Arial"/>
          <w:sz w:val="20"/>
          <w:szCs w:val="20"/>
          <w:lang w:val="es-ES"/>
        </w:rPr>
        <w:t>22)</w:t>
      </w:r>
      <w:r w:rsidR="00403F96">
        <w:rPr>
          <w:rFonts w:ascii="Arial" w:hAnsi="Arial" w:cs="Arial"/>
          <w:sz w:val="20"/>
          <w:szCs w:val="20"/>
          <w:lang w:val="es-ES"/>
        </w:rPr>
        <w:t xml:space="preserve"> (</w:t>
      </w:r>
      <w:r w:rsidR="009769BF">
        <w:rPr>
          <w:rFonts w:ascii="Arial" w:hAnsi="Arial" w:cs="Arial"/>
          <w:sz w:val="20"/>
          <w:szCs w:val="20"/>
          <w:lang w:val="es-ES"/>
        </w:rPr>
        <w:t>q34</w:t>
      </w:r>
      <w:r w:rsidR="00C86C4F">
        <w:rPr>
          <w:rFonts w:ascii="Arial" w:hAnsi="Arial" w:cs="Arial"/>
          <w:sz w:val="20"/>
          <w:szCs w:val="20"/>
          <w:lang w:val="es-ES"/>
        </w:rPr>
        <w:t>,1</w:t>
      </w:r>
      <w:r w:rsidR="009769BF">
        <w:rPr>
          <w:rFonts w:ascii="Arial" w:hAnsi="Arial" w:cs="Arial"/>
          <w:sz w:val="20"/>
          <w:szCs w:val="20"/>
          <w:lang w:val="es-ES"/>
        </w:rPr>
        <w:t>;q11</w:t>
      </w:r>
      <w:r w:rsidR="00C86C4F">
        <w:rPr>
          <w:rFonts w:ascii="Arial" w:hAnsi="Arial" w:cs="Arial"/>
          <w:sz w:val="20"/>
          <w:szCs w:val="20"/>
          <w:lang w:val="es-ES"/>
        </w:rPr>
        <w:t>,2</w:t>
      </w:r>
      <w:r w:rsidR="009769BF">
        <w:rPr>
          <w:rFonts w:ascii="Arial" w:hAnsi="Arial" w:cs="Arial"/>
          <w:sz w:val="20"/>
          <w:szCs w:val="20"/>
          <w:lang w:val="es-ES"/>
        </w:rPr>
        <w:t>)</w:t>
      </w:r>
      <w:r w:rsidR="00A568D0" w:rsidRPr="004E4D14">
        <w:rPr>
          <w:rFonts w:ascii="Arial" w:hAnsi="Arial" w:cs="Arial"/>
          <w:sz w:val="20"/>
          <w:szCs w:val="20"/>
          <w:lang w:val="es-ES"/>
        </w:rPr>
        <w:t xml:space="preserve">. La prevalencia de esta alteración citogenética aberrante </w:t>
      </w:r>
      <w:r w:rsidR="00403F96" w:rsidRPr="004E4D14">
        <w:rPr>
          <w:rFonts w:ascii="Arial" w:hAnsi="Arial" w:cs="Arial"/>
          <w:sz w:val="20"/>
          <w:szCs w:val="20"/>
          <w:lang w:val="es-ES"/>
        </w:rPr>
        <w:t>varía</w:t>
      </w:r>
      <w:r w:rsidR="00A568D0" w:rsidRPr="004E4D14">
        <w:rPr>
          <w:rFonts w:ascii="Arial" w:hAnsi="Arial" w:cs="Arial"/>
          <w:sz w:val="20"/>
          <w:szCs w:val="20"/>
          <w:lang w:val="es-ES"/>
        </w:rPr>
        <w:t xml:space="preserve"> de acuerdo con la edad, incrementándose a medida que la población envejece, documentándose en LLA e</w:t>
      </w:r>
      <w:r w:rsidRPr="004E4D14">
        <w:rPr>
          <w:rFonts w:ascii="Arial" w:hAnsi="Arial" w:cs="Arial"/>
          <w:sz w:val="20"/>
          <w:szCs w:val="20"/>
          <w:lang w:val="es-ES"/>
        </w:rPr>
        <w:t>n</w:t>
      </w:r>
      <w:r w:rsidR="00A568D0" w:rsidRPr="004E4D14">
        <w:rPr>
          <w:rFonts w:ascii="Arial" w:hAnsi="Arial" w:cs="Arial"/>
          <w:sz w:val="20"/>
          <w:szCs w:val="20"/>
          <w:lang w:val="es-ES"/>
        </w:rPr>
        <w:t xml:space="preserve"> un 15-50% de los casos. Si bien, ten</w:t>
      </w:r>
      <w:r w:rsidRPr="004E4D14">
        <w:rPr>
          <w:rFonts w:ascii="Arial" w:hAnsi="Arial" w:cs="Arial"/>
          <w:sz w:val="20"/>
          <w:szCs w:val="20"/>
          <w:lang w:val="es-ES"/>
        </w:rPr>
        <w:t>er cromosoma filadelfia t(9;22</w:t>
      </w:r>
      <w:r w:rsidR="00A568D0" w:rsidRPr="004E4D14">
        <w:rPr>
          <w:rFonts w:ascii="Arial" w:hAnsi="Arial" w:cs="Arial"/>
          <w:sz w:val="20"/>
          <w:szCs w:val="20"/>
          <w:lang w:val="es-ES"/>
        </w:rPr>
        <w:t>) era considerada una mutación de alto riesgo, con sobrevida global a un año del 10%, el desarrollo de inhibidor</w:t>
      </w:r>
      <w:r w:rsidRPr="004E4D14">
        <w:rPr>
          <w:rFonts w:ascii="Arial" w:hAnsi="Arial" w:cs="Arial"/>
          <w:sz w:val="20"/>
          <w:szCs w:val="20"/>
          <w:lang w:val="es-ES"/>
        </w:rPr>
        <w:t>es</w:t>
      </w:r>
      <w:r w:rsidR="00A568D0" w:rsidRPr="004E4D14">
        <w:rPr>
          <w:rFonts w:ascii="Arial" w:hAnsi="Arial" w:cs="Arial"/>
          <w:sz w:val="20"/>
          <w:szCs w:val="20"/>
          <w:lang w:val="es-ES"/>
        </w:rPr>
        <w:t xml:space="preserve"> de tirosina quinasa (ITQ) ha mejorado considerablemente el pronóstico en este grupo de pacientes, por lo que su identificación al momento del diagnóstico tiene un rol vital en definir la adición de ITQ</w:t>
      </w:r>
      <w:r w:rsidRPr="004E4D14">
        <w:rPr>
          <w:rFonts w:ascii="Arial" w:hAnsi="Arial" w:cs="Arial"/>
          <w:sz w:val="20"/>
          <w:szCs w:val="20"/>
          <w:lang w:val="es-ES"/>
        </w:rPr>
        <w:t xml:space="preserve"> como parte de la estrategia de tratamiento </w:t>
      </w:r>
      <w:r w:rsidR="00415C49" w:rsidRPr="004E4D14">
        <w:rPr>
          <w:rFonts w:ascii="Arial" w:hAnsi="Arial" w:cs="Arial"/>
          <w:sz w:val="20"/>
          <w:szCs w:val="20"/>
          <w:lang w:val="es-ES"/>
        </w:rPr>
        <w:fldChar w:fldCharType="begin" w:fldLock="1"/>
      </w:r>
      <w:r w:rsidRPr="004E4D14">
        <w:rPr>
          <w:rFonts w:ascii="Arial" w:hAnsi="Arial" w:cs="Arial"/>
          <w:sz w:val="20"/>
          <w:szCs w:val="20"/>
          <w:lang w:val="es-ES"/>
        </w:rPr>
        <w:instrText>ADDIN CSL_CITATION {"citationItems":[{"id":"ITEM-1","itemData":{"DOI":"10.1002/cncr.11664","ISSN":"0008543X","abstract":"Much progress has been made in understanding the biology of acute lymphoblastic leukemia (ALL). This has translated into the recognition of several subgroups of ALL and the institution of risk-adapted therapies. New therapies are emerging based on the definition of specific cytogenetic-molecular abnormalities.","author":[{"dropping-particle":"","family":"Faderl","given":"Stefan","non-dropping-particle":"","parse-names":false,"suffix":""},{"dropping-particle":"","family":"Jeha","given":"Sima","non-dropping-particle":"","parse-names":false,"suffix":""},{"dropping-particle":"","family":"Kantarjian","given":"Hagop M.","non-dropping-particle":"","parse-names":false,"suffix":""}],"container-title":"Cancer","id":"ITEM-1","issue":"7","issued":{"date-parts":[["2003"]]},"page":"1337-1354","title":"The biology and therapy of adult acute lymphoblastic leukemia","type":"article-journal","volume":"98"},"uris":["http://www.mendeley.com/documents/?uuid=841942eb-b233-450b-a77e-3b38f99cda55"]}],"mendeley":{"formattedCitation":"(14)","plainTextFormattedCitation":"(14)","previouslyFormattedCitation":"(14)"},"properties":{"noteIndex":0},"schema":"https://github.com/citation-style-language/schema/raw/master/csl-citation.json"}</w:instrText>
      </w:r>
      <w:r w:rsidR="00415C49" w:rsidRPr="004E4D14">
        <w:rPr>
          <w:rFonts w:ascii="Arial" w:hAnsi="Arial" w:cs="Arial"/>
          <w:sz w:val="20"/>
          <w:szCs w:val="20"/>
          <w:lang w:val="es-ES"/>
        </w:rPr>
        <w:fldChar w:fldCharType="separate"/>
      </w:r>
      <w:r w:rsidRPr="004E4D14">
        <w:rPr>
          <w:rFonts w:ascii="Arial" w:hAnsi="Arial" w:cs="Arial"/>
          <w:noProof/>
          <w:sz w:val="20"/>
          <w:szCs w:val="20"/>
          <w:lang w:val="es-ES"/>
        </w:rPr>
        <w:t>(14)</w:t>
      </w:r>
      <w:r w:rsidR="00415C49" w:rsidRPr="004E4D14">
        <w:rPr>
          <w:rFonts w:ascii="Arial" w:hAnsi="Arial" w:cs="Arial"/>
          <w:sz w:val="20"/>
          <w:szCs w:val="20"/>
          <w:lang w:val="es-ES"/>
        </w:rPr>
        <w:fldChar w:fldCharType="end"/>
      </w:r>
      <w:r w:rsidR="00A568D0" w:rsidRPr="004E4D14">
        <w:rPr>
          <w:rFonts w:ascii="Arial" w:hAnsi="Arial" w:cs="Arial"/>
          <w:sz w:val="20"/>
          <w:szCs w:val="20"/>
          <w:lang w:val="es-ES"/>
        </w:rPr>
        <w:t>.</w:t>
      </w:r>
    </w:p>
    <w:p w14:paraId="4D5820D9" w14:textId="77777777" w:rsidR="00A568D0" w:rsidRPr="004E4D14" w:rsidRDefault="00A568D0"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t xml:space="preserve">Por lo demás, </w:t>
      </w:r>
      <w:r w:rsidR="002637B3" w:rsidRPr="004E4D14">
        <w:rPr>
          <w:rFonts w:ascii="Arial" w:hAnsi="Arial" w:cs="Arial"/>
          <w:sz w:val="20"/>
          <w:szCs w:val="20"/>
          <w:lang w:val="es-ES"/>
        </w:rPr>
        <w:t xml:space="preserve">el cariotipo, ha demostrado predecir pronóstico cuando documenta </w:t>
      </w:r>
      <w:r w:rsidRPr="004E4D14">
        <w:rPr>
          <w:rFonts w:ascii="Arial" w:hAnsi="Arial" w:cs="Arial"/>
          <w:sz w:val="20"/>
          <w:szCs w:val="20"/>
          <w:lang w:val="es-ES"/>
        </w:rPr>
        <w:t>otras alteraciones citogenéticas recurrentes en LLA filadelfia negativo, que están contempladas en la clasificación de la OMS han demostrado establecer otros subgrupos con resultados adversos, considerándose estas mutaciones como factores de riesgo citogenético de alto riesgo. Está</w:t>
      </w:r>
      <w:r w:rsidR="00134C21">
        <w:rPr>
          <w:rFonts w:ascii="Arial" w:hAnsi="Arial" w:cs="Arial"/>
          <w:sz w:val="20"/>
          <w:szCs w:val="20"/>
          <w:lang w:val="es-ES"/>
        </w:rPr>
        <w:t>s</w:t>
      </w:r>
      <w:r w:rsidRPr="004E4D14">
        <w:rPr>
          <w:rFonts w:ascii="Arial" w:hAnsi="Arial" w:cs="Arial"/>
          <w:sz w:val="20"/>
          <w:szCs w:val="20"/>
          <w:lang w:val="es-ES"/>
        </w:rPr>
        <w:t xml:space="preserve"> comprenden la t(4;11), KMT2A, t(8;14), cario tipo complejo (&gt; 5 anormalidades cromosómicas), hipodiploidia (30-39 cromosomas) / cercanía a la triploidia (60-78 cromosomas)</w:t>
      </w:r>
      <w:r w:rsidR="00415C49" w:rsidRPr="004E4D14">
        <w:rPr>
          <w:rFonts w:ascii="Arial" w:hAnsi="Arial" w:cs="Arial"/>
          <w:sz w:val="20"/>
          <w:szCs w:val="20"/>
          <w:lang w:val="es-ES"/>
        </w:rPr>
        <w:fldChar w:fldCharType="begin" w:fldLock="1"/>
      </w:r>
      <w:r w:rsidR="002637B3" w:rsidRPr="004E4D14">
        <w:rPr>
          <w:rFonts w:ascii="Arial" w:hAnsi="Arial" w:cs="Arial"/>
          <w:sz w:val="20"/>
          <w:szCs w:val="20"/>
          <w:lang w:val="es-ES"/>
        </w:rPr>
        <w:instrText>ADDIN CSL_CITATION {"citationItems":[{"id":"ITEM-1","itemData":{"DOI":"10.1182/blood-2006-10-051912","ISSN":"00064971","abstract":"Pretreatment cytogenetics is a known predictor of outcome in hematologic malignancies. However, its usefulness in adult acute lymphoblastic leukemia (ALL) is generally limited to the presence of the Philadelphia (Ph) chromosome because of the low incidence of other recurrent abnormalities. We present centrally reviewed cytogenetic data from 1522 adult patients enrolled on the Medical Research Council (MRC) UKALLXII/Eastern Cooperative Oncology Group (ECOG) 2993 trial. The incidence and clinical associations for more than 20 specific chromosomal abnormalities are presented. Patients with a Ph chromosome, t(4;11)(q21;q23), t(8;14)(q24.1;q32), complex karyotype (5 or more chromosomal abnormalities), or low hypodiploidy/near triploidy (Ho-Tr) all had inferior rates of event-free and overall survival when compared with other patients. In contrast, patients with high hyperdiploidy or a del(9p) had a significantly improved outcome. Multivariate analysis demonstrated that the prognostic relevance of t(8;14), complex karyotype, and Ho-Tr was independent of sex, age, white cell count, and T-cell status among Ph-negative patients. The observation that Ho-Tr and, for the first time, karyotype complexity confer an increased risk of treatment failure demonstrates that cytogenetic subgroups other than the Ph chromosome can and should be used to risk stratify adults with ALL in future trials.","author":[{"dropping-particle":"V.","family":"Moorman","given":"Anthony","non-dropping-particle":"","parse-names":false,"suffix":""},{"dropping-particle":"","family":"Harrison","given":"Christine J.","non-dropping-particle":"","parse-names":false,"suffix":""},{"dropping-particle":"","family":"Buck","given":"Georgina A.N.","non-dropping-particle":"","parse-names":false,"suffix":""},{"dropping-particle":"","family":"Richards","given":"Sue M.","non-dropping-particle":"","parse-names":false,"suffix":""},{"dropping-particle":"","family":"Secker-Walker","given":"Lorna M.","non-dropping-particle":"","parse-names":false,"suffix":""},{"dropping-particle":"","family":"Martineau","given":"Mary","non-dropping-particle":"","parse-names":false,"suffix":""},{"dropping-particle":"","family":"Vance","given":"Gail H.","non-dropping-particle":"","parse-names":false,"suffix":""},{"dropping-particle":"","family":"Cherry","given":"Athena M.","non-dropping-particle":"","parse-names":false,"suffix":""},{"dropping-particle":"","family":"Higgins","given":"Rodney R.","non-dropping-particle":"","parse-names":false,"suffix":""},{"dropping-particle":"","family":"Fielding","given":"Adele K.","non-dropping-particle":"","parse-names":false,"suffix":""},{"dropping-particle":"","family":"Foroni","given":"Letizia","non-dropping-particle":"","parse-names":false,"suffix":""},{"dropping-particle":"","family":"Paietta","given":"Elisabeth","non-dropping-particle":"","parse-names":false,"suffix":""},{"dropping-particle":"","family":"Tallman","given":"Martin S.","non-dropping-particle":"","parse-names":false,"suffix":""},{"dropping-particle":"","family":"Litzow","given":"Mark R.","non-dropping-particle":"","parse-names":false,"suffix":""},{"dropping-particle":"","family":"Wiernik","given":"Peter H.","non-dropping-particle":"","parse-names":false,"suffix":""},{"dropping-particle":"","family":"Rowe","given":"Jacob M.","non-dropping-particle":"","parse-names":false,"suffix":""},{"dropping-particle":"","family":"Goldstone","given":"Anthony H.","non-dropping-particle":"","parse-names":false,"suffix":""},{"dropping-particle":"","family":"Dewald","given":"Gordon W.","non-dropping-particle":"","parse-names":false,"suffix":""}],"container-title":"Blood","id":"ITEM-1","issue":"8","issued":{"date-parts":[["2007"]]},"page":"3189-3197","title":"Karyotype is an independent prognostic factor in adult acute lymphoblastic leukemia (ALL): Analysis of cytogenetic data from patients treated on the Medical Research Council (MRC) UKALLXII/Eastern Cooperative Oncology Group (ECOG) 2993 trial","type":"article-journal","volume":"109"},"uris":["http://www.mendeley.com/documents/?uuid=f260dac4-a205-4ff2-b360-f761d0d7bc83"]},{"id":"ITEM-2","itemData":{"DOI":"10.1038/bcj.2017.53","ISSN":"20445385","abstract":"Acute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journal","id":"ITEM-2","issue":"6","issued":{"date-parts":[["2017"]]},"page":"e577","title":"Acute lymphoblastic leukemia: a comprehensive review and 2017 update","type":"article-journal","volume":"7"},"uris":["http://www.mendeley.com/documents/?uuid=17337d9b-8837-4c6e-9832-47e254d34ef1"]},{"id":"ITEM-3","itemData":{"DOI":"10.1056/NEJMra023001","ISSN":"0028-4793","abstract":"Acute lymphoblastic leukaemia occurs in both children and adults but its incidence peaks between 2 and 5 years of age. Causation is multifactorial and exogenous or endogenous exposures, genetic susceptibility, and chance have roles. Survival in paediatric acute lymphoblastic leukaemia has improved to roughly 90% in trials with risk stratification by biological features of leukaemic cells and response to treatment, treatment modification based on patients' pharmacodynamics and pharmacogenomics, and improved supportive care. However, innovative approaches are needed to further improve survival while reducing adverse effects. Prognosis remains poor in infants and adults. Genome-wide profiling of germline and leukaemic cell DNA has identified novel submicroscopic structural genetic changes and sequence mutations that contribute to leukaemogenesis, define new disease subtypes, affect responsiveness to treatment, and might provide novel prognostic markers and therapeutic targets for personalised medicine.","author":[{"dropping-particle":"","family":"Pui","given":"Ching-Hon","non-dropping-particle":"","parse-names":false,"suffix":""},{"dropping-particle":"V.","family":"Relling","given":"Mary","non-dropping-particle":"","parse-names":false,"suffix":""},{"dropping-particle":"","family":"Downing","given":"James R.","non-dropping-particle":"","parse-names":false,"suffix":""}],"container-title":"New England Journal of Medicine","id":"ITEM-3","issue":"15","issued":{"date-parts":[["2004","4","8"]]},"page":"1535-1548","title":"Acute Lymphoblastic Leukemia","type":"article-journal","volume":"350"},"uris":["http://www.mendeley.com/documents/?uuid=882eeaf8-6ba0-44ca-b1e1-f51e13855a05"]}],"mendeley":{"formattedCitation":"(2,15,16)","plainTextFormattedCitation":"(2,15,16)","previouslyFormattedCitation":"(2,15,16)"},"properties":{"noteIndex":0},"schema":"https://github.com/citation-style-language/schema/raw/master/csl-citation.json"}</w:instrText>
      </w:r>
      <w:r w:rsidR="00415C49" w:rsidRPr="004E4D14">
        <w:rPr>
          <w:rFonts w:ascii="Arial" w:hAnsi="Arial" w:cs="Arial"/>
          <w:sz w:val="20"/>
          <w:szCs w:val="20"/>
          <w:lang w:val="es-ES"/>
        </w:rPr>
        <w:fldChar w:fldCharType="separate"/>
      </w:r>
      <w:r w:rsidR="002637B3" w:rsidRPr="004E4D14">
        <w:rPr>
          <w:rFonts w:ascii="Arial" w:hAnsi="Arial" w:cs="Arial"/>
          <w:noProof/>
          <w:sz w:val="20"/>
          <w:szCs w:val="20"/>
          <w:lang w:val="es-ES"/>
        </w:rPr>
        <w:t>(2,15,16)</w:t>
      </w:r>
      <w:r w:rsidR="00415C49" w:rsidRPr="004E4D14">
        <w:rPr>
          <w:rFonts w:ascii="Arial" w:hAnsi="Arial" w:cs="Arial"/>
          <w:sz w:val="20"/>
          <w:szCs w:val="20"/>
          <w:lang w:val="es-ES"/>
        </w:rPr>
        <w:fldChar w:fldCharType="end"/>
      </w:r>
      <w:r w:rsidRPr="004E4D14">
        <w:rPr>
          <w:rFonts w:ascii="Arial" w:hAnsi="Arial" w:cs="Arial"/>
          <w:sz w:val="20"/>
          <w:szCs w:val="20"/>
          <w:lang w:val="es-ES"/>
        </w:rPr>
        <w:t>.</w:t>
      </w:r>
    </w:p>
    <w:p w14:paraId="48F0FDD9" w14:textId="77777777" w:rsidR="00A568D0" w:rsidRPr="004E4D14" w:rsidRDefault="00A568D0"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t xml:space="preserve">Por otra parte, pacientes con hiperdiploidia (&gt; 50 cromosomas, pero &lt;60), t(12;21) </w:t>
      </w:r>
      <w:r w:rsidRPr="004E4D14">
        <w:rPr>
          <w:rFonts w:ascii="Arial" w:hAnsi="Arial" w:cs="Arial"/>
          <w:color w:val="292526"/>
          <w:sz w:val="20"/>
          <w:szCs w:val="20"/>
          <w:lang w:val="es-ES"/>
        </w:rPr>
        <w:t>TEL-AML1</w:t>
      </w:r>
      <w:r w:rsidRPr="004E4D14">
        <w:rPr>
          <w:rFonts w:ascii="Arial" w:hAnsi="Arial" w:cs="Arial"/>
          <w:sz w:val="20"/>
          <w:szCs w:val="20"/>
          <w:lang w:val="es-ES"/>
        </w:rPr>
        <w:t xml:space="preserve"> , t(1;19) </w:t>
      </w:r>
      <w:r w:rsidRPr="004E4D14">
        <w:rPr>
          <w:rFonts w:ascii="Arial" w:hAnsi="Arial" w:cs="Arial"/>
          <w:color w:val="292526"/>
          <w:sz w:val="20"/>
          <w:szCs w:val="20"/>
          <w:lang w:val="es-ES"/>
        </w:rPr>
        <w:t xml:space="preserve">E2A-PXB1 </w:t>
      </w:r>
      <w:r w:rsidRPr="004E4D14">
        <w:rPr>
          <w:rFonts w:ascii="Arial" w:hAnsi="Arial" w:cs="Arial"/>
          <w:sz w:val="20"/>
          <w:szCs w:val="20"/>
          <w:lang w:val="es-ES"/>
        </w:rPr>
        <w:t>y del(9p) tienen un pronóstico mucho mejor. Varios grupos han demostrado que tener un perfil citogenético establecido desde el diagnóstico tienen un valor mucho m</w:t>
      </w:r>
      <w:r w:rsidR="00A774C7">
        <w:rPr>
          <w:rFonts w:ascii="Arial" w:hAnsi="Arial" w:cs="Arial"/>
          <w:sz w:val="20"/>
          <w:szCs w:val="20"/>
          <w:lang w:val="es-ES"/>
        </w:rPr>
        <w:t>á</w:t>
      </w:r>
      <w:r w:rsidRPr="004E4D14">
        <w:rPr>
          <w:rFonts w:ascii="Arial" w:hAnsi="Arial" w:cs="Arial"/>
          <w:sz w:val="20"/>
          <w:szCs w:val="20"/>
          <w:lang w:val="es-ES"/>
        </w:rPr>
        <w:t>s relevante que el recuento de leucocitos al diagnóstico</w:t>
      </w:r>
      <w:r w:rsidR="00415C49" w:rsidRPr="004E4D14">
        <w:rPr>
          <w:rFonts w:ascii="Arial" w:hAnsi="Arial" w:cs="Arial"/>
          <w:sz w:val="20"/>
          <w:szCs w:val="20"/>
          <w:lang w:val="es-ES"/>
        </w:rPr>
        <w:fldChar w:fldCharType="begin" w:fldLock="1"/>
      </w:r>
      <w:r w:rsidR="002637B3" w:rsidRPr="004E4D14">
        <w:rPr>
          <w:rFonts w:ascii="Arial" w:hAnsi="Arial" w:cs="Arial"/>
          <w:sz w:val="20"/>
          <w:szCs w:val="20"/>
          <w:lang w:val="es-ES"/>
        </w:rPr>
        <w:instrText>ADDIN CSL_CITATION {"citationItems":[{"id":"ITEM-1","itemData":{"DOI":"10.1182/blood-2006-10-051912","ISSN":"00064971","abstract":"Pretreatment cytogenetics is a known predictor of outcome in hematologic malignancies. However, its usefulness in adult acute lymphoblastic leukemia (ALL) is generally limited to the presence of the Philadelphia (Ph) chromosome because of the low incidence of other recurrent abnormalities. We present centrally reviewed cytogenetic data from 1522 adult patients enrolled on the Medical Research Council (MRC) UKALLXII/Eastern Cooperative Oncology Group (ECOG) 2993 trial. The incidence and clinical associations for more than 20 specific chromosomal abnormalities are presented. Patients with a Ph chromosome, t(4;11)(q21;q23), t(8;14)(q24.1;q32), complex karyotype (5 or more chromosomal abnormalities), or low hypodiploidy/near triploidy (Ho-Tr) all had inferior rates of event-free and overall survival when compared with other patients. In contrast, patients with high hyperdiploidy or a del(9p) had a significantly improved outcome. Multivariate analysis demonstrated that the prognostic relevance of t(8;14), complex karyotype, and Ho-Tr was independent of sex, age, white cell count, and T-cell status among Ph-negative patients. The observation that Ho-Tr and, for the first time, karyotype complexity confer an increased risk of treatment failure demonstrates that cytogenetic subgroups other than the Ph chromosome can and should be used to risk stratify adults with ALL in future trials.","author":[{"dropping-particle":"V.","family":"Moorman","given":"Anthony","non-dropping-particle":"","parse-names":false,"suffix":""},{"dropping-particle":"","family":"Harrison","given":"Christine J.","non-dropping-particle":"","parse-names":false,"suffix":""},{"dropping-particle":"","family":"Buck","given":"Georgina A.N.","non-dropping-particle":"","parse-names":false,"suffix":""},{"dropping-particle":"","family":"Richards","given":"Sue M.","non-dropping-particle":"","parse-names":false,"suffix":""},{"dropping-particle":"","family":"Secker-Walker","given":"Lorna M.","non-dropping-particle":"","parse-names":false,"suffix":""},{"dropping-particle":"","family":"Martineau","given":"Mary","non-dropping-particle":"","parse-names":false,"suffix":""},{"dropping-particle":"","family":"Vance","given":"Gail H.","non-dropping-particle":"","parse-names":false,"suffix":""},{"dropping-particle":"","family":"Cherry","given":"Athena M.","non-dropping-particle":"","parse-names":false,"suffix":""},{"dropping-particle":"","family":"Higgins","given":"Rodney R.","non-dropping-particle":"","parse-names":false,"suffix":""},{"dropping-particle":"","family":"Fielding","given":"Adele K.","non-dropping-particle":"","parse-names":false,"suffix":""},{"dropping-particle":"","family":"Foroni","given":"Letizia","non-dropping-particle":"","parse-names":false,"suffix":""},{"dropping-particle":"","family":"Paietta","given":"Elisabeth","non-dropping-particle":"","parse-names":false,"suffix":""},{"dropping-particle":"","family":"Tallman","given":"Martin S.","non-dropping-particle":"","parse-names":false,"suffix":""},{"dropping-particle":"","family":"Litzow","given":"Mark R.","non-dropping-particle":"","parse-names":false,"suffix":""},{"dropping-particle":"","family":"Wiernik","given":"Peter H.","non-dropping-particle":"","parse-names":false,"suffix":""},{"dropping-particle":"","family":"Rowe","given":"Jacob M.","non-dropping-particle":"","parse-names":false,"suffix":""},{"dropping-particle":"","family":"Goldstone","given":"Anthony H.","non-dropping-particle":"","parse-names":false,"suffix":""},{"dropping-particle":"","family":"Dewald","given":"Gordon W.","non-dropping-particle":"","parse-names":false,"suffix":""}],"container-title":"Blood","id":"ITEM-1","issue":"8","issued":{"date-parts":[["2007"]]},"page":"3189-3197","title":"Karyotype is an independent prognostic factor in adult acute lymphoblastic leukemia (ALL): Analysis of cytogenetic data from patients treated on the Medical Research Council (MRC) UKALLXII/Eastern Cooperative Oncology Group (ECOG) 2993 trial","type":"article-journal","volume":"109"},"uris":["http://www.mendeley.com/documents/?uuid=f260dac4-a205-4ff2-b360-f761d0d7bc83"]},{"id":"ITEM-2","itemData":{"DOI":"10.1056/NEJMra023001","ISSN":"0028-4793","abstract":"Acute lymphoblastic leukaemia occurs in both children and adults but its incidence peaks between 2 and 5 years of age. Causation is multifactorial and exogenous or endogenous exposures, genetic susceptibility, and chance have roles. Survival in paediatric acute lymphoblastic leukaemia has improved to roughly 90% in trials with risk stratification by biological features of leukaemic cells and response to treatment, treatment modification based on patients' pharmacodynamics and pharmacogenomics, and improved supportive care. However, innovative approaches are needed to further improve survival while reducing adverse effects. Prognosis remains poor in infants and adults. Genome-wide profiling of germline and leukaemic cell DNA has identified novel submicroscopic structural genetic changes and sequence mutations that contribute to leukaemogenesis, define new disease subtypes, affect responsiveness to treatment, and might provide novel prognostic markers and therapeutic targets for personalised medicine.","author":[{"dropping-particle":"","family":"Pui","given":"Ching-Hon","non-dropping-particle":"","parse-names":false,"suffix":""},{"dropping-particle":"V.","family":"Relling","given":"Mary","non-dropping-particle":"","parse-names":false,"suffix":""},{"dropping-particle":"","family":"Downing","given":"James R.","non-dropping-particle":"","parse-names":false,"suffix":""}],"container-title":"New England Journal of Medicine","id":"ITEM-2","issue":"15","issued":{"date-parts":[["2004","4","8"]]},"page":"1535-1548","title":"Acute Lymphoblastic Leukemia","type":"article-journal","volume":"350"},"uris":["http://www.mendeley.com/documents/?uuid=882eeaf8-6ba0-44ca-b1e1-f51e13855a05"]},{"id":"ITEM-3","itemData":{"DOI":"10.1182/blood-2007-10-116186","ISSN":"0006-4971","author":[{"dropping-particle":"","family":"Pullarkat","given":"Vinod","non-dropping-particle":"","parse-names":false,"suffix":""},{"dropping-particle":"","family":"Forman","given":"Stephen J","non-dropping-particle":"","parse-names":false,"suffix":""},{"dropping-particle":"","family":"Slovak","given":"Marilyn L","non-dropping-particle":"","parse-names":false,"suffix":""},{"dropping-particle":"","family":"Appelbaum","given":"Frederick R","non-dropping-particle":"","parse-names":false,"suffix":""},{"dropping-particle":"","family":"Kopecky","given":"Kenneth J","non-dropping-particle":"","parse-names":false,"suffix":""}],"container-title":"Blood","id":"ITEM-3","issue":"5","issued":{"date-parts":[["2007"]]},"page":"2563-2572","title":"Impact of cytogenetics on the outcome of adult acute lymphoblastic leukemia: results of Southwest Oncology Group 9400 study","type":"article-journal","volume":"111"},"uris":["http://www.mendeley.com/documents/?uuid=58c8ee90-83a9-47b3-ad8f-8f65ab9e6288"]}],"mendeley":{"formattedCitation":"(15–17)","plainTextFormattedCitation":"(15–17)","previouslyFormattedCitation":"(15–17)"},"properties":{"noteIndex":0},"schema":"https://github.com/citation-style-language/schema/raw/master/csl-citation.json"}</w:instrText>
      </w:r>
      <w:r w:rsidR="00415C49" w:rsidRPr="004E4D14">
        <w:rPr>
          <w:rFonts w:ascii="Arial" w:hAnsi="Arial" w:cs="Arial"/>
          <w:sz w:val="20"/>
          <w:szCs w:val="20"/>
          <w:lang w:val="es-ES"/>
        </w:rPr>
        <w:fldChar w:fldCharType="separate"/>
      </w:r>
      <w:r w:rsidR="002637B3" w:rsidRPr="004E4D14">
        <w:rPr>
          <w:rFonts w:ascii="Arial" w:hAnsi="Arial" w:cs="Arial"/>
          <w:noProof/>
          <w:sz w:val="20"/>
          <w:szCs w:val="20"/>
          <w:lang w:val="es-ES"/>
        </w:rPr>
        <w:t>(15–17)</w:t>
      </w:r>
      <w:r w:rsidR="00415C49" w:rsidRPr="004E4D14">
        <w:rPr>
          <w:rFonts w:ascii="Arial" w:hAnsi="Arial" w:cs="Arial"/>
          <w:sz w:val="20"/>
          <w:szCs w:val="20"/>
          <w:lang w:val="es-ES"/>
        </w:rPr>
        <w:fldChar w:fldCharType="end"/>
      </w:r>
      <w:r w:rsidRPr="004E4D14">
        <w:rPr>
          <w:rFonts w:ascii="Arial" w:hAnsi="Arial" w:cs="Arial"/>
          <w:sz w:val="20"/>
          <w:szCs w:val="20"/>
          <w:lang w:val="es-ES"/>
        </w:rPr>
        <w:t xml:space="preserve">. </w:t>
      </w:r>
    </w:p>
    <w:p w14:paraId="60473F94" w14:textId="77777777" w:rsidR="00A236AD" w:rsidRPr="004E4D14" w:rsidRDefault="00A568D0" w:rsidP="004E4D14">
      <w:pPr>
        <w:widowControl w:val="0"/>
        <w:autoSpaceDE w:val="0"/>
        <w:autoSpaceDN w:val="0"/>
        <w:adjustRightInd w:val="0"/>
        <w:spacing w:before="100" w:line="276" w:lineRule="auto"/>
        <w:ind w:right="-198"/>
        <w:jc w:val="both"/>
        <w:rPr>
          <w:rFonts w:ascii="Arial" w:hAnsi="Arial" w:cs="Arial"/>
          <w:color w:val="000000" w:themeColor="text1"/>
          <w:sz w:val="20"/>
          <w:szCs w:val="20"/>
          <w:lang w:val="es-ES"/>
        </w:rPr>
      </w:pPr>
      <w:r w:rsidRPr="004E4D14">
        <w:rPr>
          <w:rFonts w:ascii="Arial" w:hAnsi="Arial" w:cs="Arial"/>
          <w:sz w:val="20"/>
          <w:szCs w:val="20"/>
          <w:lang w:val="es-ES"/>
        </w:rPr>
        <w:t xml:space="preserve">En lo últimos años, varios grupos han demostrado la presencia de un perfil genético similar a las LLA filadelfia positivas, por lo que han </w:t>
      </w:r>
      <w:r w:rsidR="000A0046" w:rsidRPr="004E4D14">
        <w:rPr>
          <w:rFonts w:ascii="Arial" w:hAnsi="Arial" w:cs="Arial"/>
          <w:sz w:val="20"/>
          <w:szCs w:val="20"/>
          <w:lang w:val="es-ES"/>
        </w:rPr>
        <w:t>sido llamadas LLA filadelfia – L</w:t>
      </w:r>
      <w:r w:rsidRPr="004E4D14">
        <w:rPr>
          <w:rFonts w:ascii="Arial" w:hAnsi="Arial" w:cs="Arial"/>
          <w:sz w:val="20"/>
          <w:szCs w:val="20"/>
          <w:lang w:val="es-ES"/>
        </w:rPr>
        <w:t>ike</w:t>
      </w:r>
      <w:r w:rsidR="000A0046" w:rsidRPr="004E4D14">
        <w:rPr>
          <w:rFonts w:ascii="Arial" w:hAnsi="Arial" w:cs="Arial"/>
          <w:sz w:val="20"/>
          <w:szCs w:val="20"/>
          <w:lang w:val="es-ES"/>
        </w:rPr>
        <w:t xml:space="preserve"> (Ph-Like)</w:t>
      </w:r>
      <w:r w:rsidRPr="004E4D14">
        <w:rPr>
          <w:rFonts w:ascii="Arial" w:hAnsi="Arial" w:cs="Arial"/>
          <w:sz w:val="20"/>
          <w:szCs w:val="20"/>
          <w:lang w:val="es-ES"/>
        </w:rPr>
        <w:t>, y están asociadas a una pobre respuesta a los agentes de quimioterapia, con la documentación de enfermedad mínima residual</w:t>
      </w:r>
      <w:r w:rsidR="004C0EFF">
        <w:rPr>
          <w:rFonts w:ascii="Arial" w:hAnsi="Arial" w:cs="Arial"/>
          <w:sz w:val="20"/>
          <w:szCs w:val="20"/>
          <w:lang w:val="es-ES"/>
        </w:rPr>
        <w:t xml:space="preserve"> (EMR)</w:t>
      </w:r>
      <w:r w:rsidRPr="004E4D14">
        <w:rPr>
          <w:rFonts w:ascii="Arial" w:hAnsi="Arial" w:cs="Arial"/>
          <w:sz w:val="20"/>
          <w:szCs w:val="20"/>
          <w:lang w:val="es-ES"/>
        </w:rPr>
        <w:t xml:space="preserve"> positiva elevada y una pobre supervivencia</w:t>
      </w:r>
      <w:r w:rsidR="00415C49" w:rsidRPr="004E4D14">
        <w:rPr>
          <w:rFonts w:ascii="Arial" w:hAnsi="Arial" w:cs="Arial"/>
          <w:sz w:val="20"/>
          <w:szCs w:val="20"/>
          <w:lang w:val="es-ES"/>
        </w:rPr>
        <w:fldChar w:fldCharType="begin" w:fldLock="1"/>
      </w:r>
      <w:r w:rsidR="000A0046" w:rsidRPr="004E4D14">
        <w:rPr>
          <w:rFonts w:ascii="Arial" w:hAnsi="Arial" w:cs="Arial"/>
          <w:sz w:val="20"/>
          <w:szCs w:val="20"/>
          <w:lang w:val="es-ES"/>
        </w:rPr>
        <w:instrText>ADDIN CSL_CITATION {"citationItems":[{"id":"ITEM-1","itemData":{"DOI":"10.1182/blood-2015-02-580043","ISSN":"15280020","abstract":"Acute lymphoblastic leukemia (ALL) is the commonest childhood tumor and remains a leading cause of cancer death in the young. In the last decade, microarray and sequencing analysis of large ALL cohorts has revolutionized our understanding of the genetic basis of this disease. These studies have identified new ALL subtypes, each characterized by constellations of structural and sequence alterations that perturb key cellular pathways, including lymphoid development, cell-cycle regulation, and tumor suppression; cytokine receptor, kinase, and Ras signaling; and chromatin modifications. Several of these pathways, particularly kinase-activating lesions and epigenetic alterations, are logical targets for new precision medicine therapies. Genomic profiling has also identified important interactions between inherited genetic variants that influence the risk of leukemia development and the somatic genetic alterations that are required to establish the leukemic clone. Moreover, sequential sequencing studies at diagnosis, remission, and relapse have provided important insights into the relationship among genetic variants, clonal heterogeneity, and the risk of relapse. Ongoing studies are extending our understanding of coding and noncoding genetic alterations in B-progenitor and T-lineage ALL and using these insights to inform the development of faithful experimental models to test the efficacy of new treatment approaches.","author":[{"dropping-particle":"","family":"Hunger","given":"Stephen P.","non-dropping-particle":"","parse-names":false,"suffix":""},{"dropping-particle":"","family":"Mullighan","given":"Charles G.","non-dropping-particle":"","parse-names":false,"suffix":""}],"container-title":"Blood","id":"ITEM-1","issue":"26","issued":{"date-parts":[["2015"]]},"page":"3977-3987","title":"Redefining ALL classification: Toward detecting high-risk ALL and implementing precision medicine","type":"article-journal","volume":"125"},"uris":["http://www.mendeley.com/documents/?uuid=5cbd74e3-e2ed-4813-bdd9-4a507643a174"]}],"mendeley":{"formattedCitation":"(18)","plainTextFormattedCitation":"(18)","previouslyFormattedCitation":"(18)"},"properties":{"noteIndex":0},"schema":"https://github.com/citation-style-language/schema/raw/master/csl-citation.json"}</w:instrText>
      </w:r>
      <w:r w:rsidR="00415C49" w:rsidRPr="004E4D14">
        <w:rPr>
          <w:rFonts w:ascii="Arial" w:hAnsi="Arial" w:cs="Arial"/>
          <w:sz w:val="20"/>
          <w:szCs w:val="20"/>
          <w:lang w:val="es-ES"/>
        </w:rPr>
        <w:fldChar w:fldCharType="separate"/>
      </w:r>
      <w:r w:rsidR="002637B3" w:rsidRPr="004E4D14">
        <w:rPr>
          <w:rFonts w:ascii="Arial" w:hAnsi="Arial" w:cs="Arial"/>
          <w:noProof/>
          <w:sz w:val="20"/>
          <w:szCs w:val="20"/>
          <w:lang w:val="es-ES"/>
        </w:rPr>
        <w:t>(18)</w:t>
      </w:r>
      <w:r w:rsidR="00415C49" w:rsidRPr="004E4D14">
        <w:rPr>
          <w:rFonts w:ascii="Arial" w:hAnsi="Arial" w:cs="Arial"/>
          <w:sz w:val="20"/>
          <w:szCs w:val="20"/>
          <w:lang w:val="es-ES"/>
        </w:rPr>
        <w:fldChar w:fldCharType="end"/>
      </w:r>
      <w:r w:rsidRPr="004E4D14">
        <w:rPr>
          <w:rFonts w:ascii="Arial" w:hAnsi="Arial" w:cs="Arial"/>
          <w:sz w:val="20"/>
          <w:szCs w:val="20"/>
          <w:lang w:val="es-ES"/>
        </w:rPr>
        <w:t xml:space="preserve">. </w:t>
      </w:r>
      <w:r w:rsidR="00A236AD" w:rsidRPr="004E4D14">
        <w:rPr>
          <w:rFonts w:ascii="Arial" w:hAnsi="Arial" w:cs="Arial"/>
          <w:color w:val="000000" w:themeColor="text1"/>
          <w:sz w:val="20"/>
          <w:szCs w:val="20"/>
          <w:lang w:val="es-ES"/>
        </w:rPr>
        <w:t>Si bien estos pacientes pueden tener un cario</w:t>
      </w:r>
      <w:r w:rsidR="00EB32F3">
        <w:rPr>
          <w:rFonts w:ascii="Arial" w:hAnsi="Arial" w:cs="Arial"/>
          <w:color w:val="000000" w:themeColor="text1"/>
          <w:sz w:val="20"/>
          <w:szCs w:val="20"/>
          <w:lang w:val="es-ES"/>
        </w:rPr>
        <w:t>tipo normal en el</w:t>
      </w:r>
      <w:r w:rsidR="00A236AD" w:rsidRPr="004E4D14">
        <w:rPr>
          <w:rFonts w:ascii="Arial" w:hAnsi="Arial" w:cs="Arial"/>
          <w:color w:val="000000" w:themeColor="text1"/>
          <w:sz w:val="20"/>
          <w:szCs w:val="20"/>
          <w:lang w:val="es-ES"/>
        </w:rPr>
        <w:t xml:space="preserve"> estudio de citogenética convencional, el comportamiento clínico de l</w:t>
      </w:r>
      <w:r w:rsidR="008665DB">
        <w:rPr>
          <w:rFonts w:ascii="Arial" w:hAnsi="Arial" w:cs="Arial"/>
          <w:color w:val="000000" w:themeColor="text1"/>
          <w:sz w:val="20"/>
          <w:szCs w:val="20"/>
          <w:lang w:val="es-ES"/>
        </w:rPr>
        <w:t>a enfermedad en l</w:t>
      </w:r>
      <w:r w:rsidR="00A236AD" w:rsidRPr="004E4D14">
        <w:rPr>
          <w:rFonts w:ascii="Arial" w:hAnsi="Arial" w:cs="Arial"/>
          <w:color w:val="000000" w:themeColor="text1"/>
          <w:sz w:val="20"/>
          <w:szCs w:val="20"/>
          <w:lang w:val="es-ES"/>
        </w:rPr>
        <w:t xml:space="preserve">os pacientes Ph-Like es </w:t>
      </w:r>
      <w:r w:rsidR="008665DB">
        <w:rPr>
          <w:rFonts w:ascii="Arial" w:hAnsi="Arial" w:cs="Arial"/>
          <w:color w:val="000000" w:themeColor="text1"/>
          <w:sz w:val="20"/>
          <w:szCs w:val="20"/>
          <w:lang w:val="es-ES"/>
        </w:rPr>
        <w:t>s</w:t>
      </w:r>
      <w:r w:rsidR="00A236AD" w:rsidRPr="004E4D14">
        <w:rPr>
          <w:rFonts w:ascii="Arial" w:hAnsi="Arial" w:cs="Arial"/>
          <w:color w:val="000000" w:themeColor="text1"/>
          <w:sz w:val="20"/>
          <w:szCs w:val="20"/>
          <w:lang w:val="es-ES"/>
        </w:rPr>
        <w:t>umamente agre</w:t>
      </w:r>
      <w:r w:rsidR="008665DB">
        <w:rPr>
          <w:rFonts w:ascii="Arial" w:hAnsi="Arial" w:cs="Arial"/>
          <w:color w:val="000000" w:themeColor="text1"/>
          <w:sz w:val="20"/>
          <w:szCs w:val="20"/>
          <w:lang w:val="es-ES"/>
        </w:rPr>
        <w:t>sivo</w:t>
      </w:r>
      <w:r w:rsidR="000A0046" w:rsidRPr="004E4D14">
        <w:rPr>
          <w:rFonts w:ascii="Arial" w:hAnsi="Arial" w:cs="Arial"/>
          <w:color w:val="000000" w:themeColor="text1"/>
          <w:sz w:val="20"/>
          <w:szCs w:val="20"/>
          <w:lang w:val="es-ES"/>
        </w:rPr>
        <w:t>. La incidencia de P</w:t>
      </w:r>
      <w:r w:rsidR="008665DB">
        <w:rPr>
          <w:rFonts w:ascii="Arial" w:hAnsi="Arial" w:cs="Arial"/>
          <w:color w:val="000000" w:themeColor="text1"/>
          <w:sz w:val="20"/>
          <w:szCs w:val="20"/>
          <w:lang w:val="es-ES"/>
        </w:rPr>
        <w:t>h-Like parece</w:t>
      </w:r>
      <w:r w:rsidR="00A236AD" w:rsidRPr="004E4D14">
        <w:rPr>
          <w:rFonts w:ascii="Arial" w:hAnsi="Arial" w:cs="Arial"/>
          <w:color w:val="000000" w:themeColor="text1"/>
          <w:sz w:val="20"/>
          <w:szCs w:val="20"/>
          <w:lang w:val="es-ES"/>
        </w:rPr>
        <w:t xml:space="preserve"> incrementarse con la edad en las dos primeras décadas</w:t>
      </w:r>
      <w:r w:rsidR="00415C49" w:rsidRPr="004E4D14">
        <w:rPr>
          <w:rFonts w:ascii="Arial" w:hAnsi="Arial" w:cs="Arial"/>
          <w:color w:val="000000" w:themeColor="text1"/>
          <w:sz w:val="20"/>
          <w:szCs w:val="20"/>
          <w:lang w:val="es-ES"/>
        </w:rPr>
        <w:fldChar w:fldCharType="begin" w:fldLock="1"/>
      </w:r>
      <w:r w:rsidR="000A0046" w:rsidRPr="004E4D14">
        <w:rPr>
          <w:rFonts w:ascii="Arial" w:hAnsi="Arial" w:cs="Arial"/>
          <w:color w:val="000000" w:themeColor="text1"/>
          <w:sz w:val="20"/>
          <w:szCs w:val="20"/>
          <w:lang w:val="es-ES"/>
        </w:rPr>
        <w:instrText>ADDIN CSL_CITATION {"citationItems":[{"id":"ITEM-1","itemData":{"DOI":"10.1080/10428194.2017.1354372","ISSN":"10292403","abstract":"© 2017 Informa UK Limited, trading as Taylor  &amp;  Francis Group Progress in adult acute lymphoblastic leukemia (ALL) treatment has been met with challenge until recently. A steady improvement in outcomes is being witnessed among adults with ALL, and it will be enhanced further with early referral of newly diagnosed ALL patients to specialized centers, enrolling more ALL adults in clinical trials, adopting pediatric-inspired ALL regimens in younger adults, tailoring treatments according to minimal residual disease response and disease genetics, incorporating novel therapies and tyrosine kinase inhibitors in frontline regimens, early referral to transplant when indicated, expanding the donor pool, and developing more effective salvage therapies for relapsed/refractory ALL. In this review, we will discuss the most significant advances in treating adult ALL observed in the last five years that have the potential to enhance adult ALL treatment and outcome.","author":[{"dropping-particle":"","family":"Aldoss","given":"Ibrahim","non-dropping-particle":"","parse-names":false,"suffix":""},{"dropping-particle":"","family":"Stein","given":"Anthony S.","non-dropping-particle":"","parse-names":false,"suffix":""}],"container-title":"Leukemia and Lymphoma","id":"ITEM-1","issue":"5","issued":{"date-parts":[["2018"]]},"page":"1033-1050","publisher":"Informa Healthcare USA, Inc","title":"Advances in adult acute lymphoblastic leukemia therapy","type":"article-journal","volume":"59"},"uris":["http://www.mendeley.com/documents/?uuid=0fffd2ca-2e89-4d09-a768-4b5fc6552d72"]}],"mendeley":{"formattedCitation":"(19)","plainTextFormattedCitation":"(19)","previouslyFormattedCitation":"(19)"},"properties":{"noteIndex":0},"schema":"https://github.com/citation-style-language/schema/raw/master/csl-citation.json"}</w:instrText>
      </w:r>
      <w:r w:rsidR="00415C49" w:rsidRPr="004E4D14">
        <w:rPr>
          <w:rFonts w:ascii="Arial" w:hAnsi="Arial" w:cs="Arial"/>
          <w:color w:val="000000" w:themeColor="text1"/>
          <w:sz w:val="20"/>
          <w:szCs w:val="20"/>
          <w:lang w:val="es-ES"/>
        </w:rPr>
        <w:fldChar w:fldCharType="separate"/>
      </w:r>
      <w:r w:rsidR="000A0046" w:rsidRPr="004E4D14">
        <w:rPr>
          <w:rFonts w:ascii="Arial" w:hAnsi="Arial" w:cs="Arial"/>
          <w:noProof/>
          <w:color w:val="000000" w:themeColor="text1"/>
          <w:sz w:val="20"/>
          <w:szCs w:val="20"/>
          <w:lang w:val="es-ES"/>
        </w:rPr>
        <w:t>(19)</w:t>
      </w:r>
      <w:r w:rsidR="00415C49" w:rsidRPr="004E4D14">
        <w:rPr>
          <w:rFonts w:ascii="Arial" w:hAnsi="Arial" w:cs="Arial"/>
          <w:color w:val="000000" w:themeColor="text1"/>
          <w:sz w:val="20"/>
          <w:szCs w:val="20"/>
          <w:lang w:val="es-ES"/>
        </w:rPr>
        <w:fldChar w:fldCharType="end"/>
      </w:r>
      <w:r w:rsidR="00A236AD" w:rsidRPr="004E4D14">
        <w:rPr>
          <w:rFonts w:ascii="Arial" w:hAnsi="Arial" w:cs="Arial"/>
          <w:color w:val="000000" w:themeColor="text1"/>
          <w:sz w:val="20"/>
          <w:szCs w:val="20"/>
          <w:lang w:val="es-ES"/>
        </w:rPr>
        <w:t>. Se calcula una incidencia aproximada de Ph-Like entre los pacientes con LLA del 12% entre las edades de 1 a 15 años, 21% entre las edades de 16 a 20 años, y hasta el 27% de las LLA en pacientes de 21 a 39 años, con una frecuencia aparentemente mayor entre los pacientes hispanos, lo que explicaría la alta refractariedad al tratamiento en los pacientes latinoamericano</w:t>
      </w:r>
      <w:r w:rsidR="000A0046" w:rsidRPr="004E4D14">
        <w:rPr>
          <w:rFonts w:ascii="Arial" w:hAnsi="Arial" w:cs="Arial"/>
          <w:color w:val="000000" w:themeColor="text1"/>
          <w:sz w:val="20"/>
          <w:szCs w:val="20"/>
          <w:lang w:val="es-ES"/>
        </w:rPr>
        <w:t xml:space="preserve">s </w:t>
      </w:r>
      <w:r w:rsidR="00415C49" w:rsidRPr="004E4D14">
        <w:rPr>
          <w:rFonts w:ascii="Arial" w:hAnsi="Arial" w:cs="Arial"/>
          <w:color w:val="000000" w:themeColor="text1"/>
          <w:sz w:val="20"/>
          <w:szCs w:val="20"/>
          <w:lang w:val="es-ES"/>
        </w:rPr>
        <w:fldChar w:fldCharType="begin" w:fldLock="1"/>
      </w:r>
      <w:r w:rsidR="0031734B" w:rsidRPr="004E4D14">
        <w:rPr>
          <w:rFonts w:ascii="Arial" w:hAnsi="Arial" w:cs="Arial"/>
          <w:color w:val="000000" w:themeColor="text1"/>
          <w:sz w:val="20"/>
          <w:szCs w:val="20"/>
          <w:lang w:val="es-ES"/>
        </w:rPr>
        <w:instrText>ADDIN CSL_CITATION {"citationItems":[{"id":"ITEM-1","itemData":{"DOI":"10.1182/blood-2016-07-726588","ISSN":"1528-0020","PMID":"27919910","abstract":"Philadelphia chromosome (Ph)-like acute lymphoblastic leukemia (ALL) is a high-risk subtype of ALL in children. There are conflicting data on the incidence and prognosis of Ph-like ALL in adults. Patients with newly diagnosed B-cell ALL (B-ALL) who received frontline chemotherapy at MD Anderson Cancer Center underwent gene expression profiling of leukemic cells. Of 148 patients, 33.1% had Ph-like, 31.1% had Ph+, and 35.8% had other B-ALL subtypes (B-other). Within the Ph-like ALL cohort, 61% had cytokine receptor-like factor 2 (CRLF2) overexpression. Patients with Ph-like ALL had significantly worse overall survival (OS), and event-free survival compared with B-other with a 5-year survival of 23% (vs 59% for B-other, P = .006). Sixty-eight percent of patients with Ph-like ALL were of Hispanic ethnicity. The following were associated with inferior OS on multivariable analysis: age (hazard ratio [HR], 3.299; P &lt; .001), white blood cell count (HR, 1.910; P = .017), platelet count (HR, 7.437; P = .005), and Ph-like ALL (HR, 1.818; P = .03). Next-generation sequencing of the CRLF2+ group identified mutations in the JAK-STAT and Ras pathway in 85% of patients, and 20% had a CRLF2 mutation. Within the CRLF2+ group, JAK2 mutation was associated with inferior outcomes. Our findings show high frequency of Ph-like ALL in adults, an increased frequency of Ph-like ALL in adults of Hispanic ethnicity, significantly inferior outcomes of adult patients with Ph-like ALL, and significantly worse outcomes in the CRLF2+ subset of Ph-like ALL. Novel strategies are needed to improve the outcome of these patients.","author":[{"dropping-particle":"","family":"Jain","given":"Nitin","non-dropping-particle":"","parse-names":false,"suffix":""},{"dropping-particle":"","family":"Roberts","given":"Kathryn G","non-dropping-particle":"","parse-names":false,"suffix":""},{"dropping-particle":"","family":"Jabbour","given":"Elias","non-dropping-particle":"","parse-names":false,"suffix":""},{"dropping-particle":"","family":"Patel","given":"Keyur","non-dropping-particle":"","parse-names":false,"suffix":""},{"dropping-particle":"","family":"Eterovic","given":"Agda Karina","non-dropping-particle":"","parse-names":false,"suffix":""},{"dropping-particle":"","family":"Chen","given":"Ken","non-dropping-particle":"","parse-names":false,"suffix":""},{"dropping-particle":"","family":"Zweidler-McKay","given":"Patrick","non-dropping-particle":"","parse-names":false,"suffix":""},{"dropping-particle":"","family":"Lu","given":"Xinyan","non-dropping-particle":"","parse-names":false,"suffix":""},{"dropping-particle":"","family":"Fawcett","given":"Gloria","non-dropping-particle":"","parse-names":false,"suffix":""},{"dropping-particle":"","family":"Wang","given":"Sa A","non-dropping-particle":"","parse-names":false,"suffix":""},{"dropping-particle":"","family":"Konoplev","given":"Sergej","non-dropping-particle":"","parse-names":false,"suffix":""},{"dropping-particle":"","family":"Harvey","given":"Richard C","non-dropping-particle":"","parse-names":false,"suffix":""},{"dropping-particle":"","family":"Chen","given":"I-Ming","non-dropping-particle":"","parse-names":false,"suffix":""},{"dropping-particle":"","family":"Payne-Turner","given":"Debbie","non-dropping-particle":"","parse-names":false,"suffix":""},{"dropping-particle":"","family":"Valentine","given":"Marcus","non-dropping-particle":"","parse-names":false,"suffix":""},{"dropping-particle":"","family":"Thomas","given":"Deborah","non-dropping-particle":"","parse-names":false,"suffix":""},{"dropping-particle":"","family":"Garcia-Manero","given":"Guillermo","non-dropping-particle":"","parse-names":false,"suffix":""},{"dropping-particle":"","family":"Ravandi","given":"Farhad","non-dropping-particle":"","parse-names":false,"suffix":""},{"dropping-particle":"","family":"Cortes","given":"Jorge","non-dropping-particle":"","parse-names":false,"suffix":""},{"dropping-particle":"","family":"Kornblau","given":"Steven","non-dropping-particle":"","parse-names":false,"suffix":""},{"dropping-particle":"","family":"O'Brien","given":"Susan","non-dropping-particle":"","parse-names":false,"suffix":""},{"dropping-particle":"","family":"Pierce","given":"Sherry","non-dropping-particle":"","parse-names":false,"suffix":""},{"dropping-particle":"","family":"Jorgensen","given":"Jeffrey","non-dropping-particle":"","parse-names":false,"suffix":""},{"dropping-particle":"","family":"Shaw","given":"Kenna R Mills","non-dropping-particle":"","parse-names":false,"suffix":""},{"dropping-particle":"","family":"Willman","given":"Cheryl L","non-dropping-particle":"","parse-names":false,"suffix":""},{"dropping-particle":"","family":"Mullighan","given":"Charles G","non-dropping-particle":"","parse-names":false,"suffix":""},{"dropping-particle":"","family":"Kantarjian","given":"Hagop","non-dropping-particle":"","parse-names":false,"suffix":""},{"dropping-particle":"","family":"Konopleva","given":"Marina","non-dropping-particle":"","parse-names":false,"suffix":""}],"container-title":"Blood","id":"ITEM-1","issue":"5","issued":{"date-parts":[["2017"]]},"page":"572-581","title":"Ph-like acute lymphoblastic leukemia: a high-risk subtype in adults.","type":"article-journal","volume":"129"},"uris":["http://www.mendeley.com/documents/?uuid=1861c2a3-1117-4d6d-aa5d-8acc51d47821"]}],"mendeley":{"formattedCitation":"(20)","plainTextFormattedCitation":"(20)","previouslyFormattedCitation":"(20)"},"properties":{"noteIndex":0},"schema":"https://github.com/citation-style-language/schema/raw/master/csl-citation.json"}</w:instrText>
      </w:r>
      <w:r w:rsidR="00415C49" w:rsidRPr="004E4D14">
        <w:rPr>
          <w:rFonts w:ascii="Arial" w:hAnsi="Arial" w:cs="Arial"/>
          <w:color w:val="000000" w:themeColor="text1"/>
          <w:sz w:val="20"/>
          <w:szCs w:val="20"/>
          <w:lang w:val="es-ES"/>
        </w:rPr>
        <w:fldChar w:fldCharType="separate"/>
      </w:r>
      <w:r w:rsidR="000A0046" w:rsidRPr="004E4D14">
        <w:rPr>
          <w:rFonts w:ascii="Arial" w:hAnsi="Arial" w:cs="Arial"/>
          <w:noProof/>
          <w:color w:val="000000" w:themeColor="text1"/>
          <w:sz w:val="20"/>
          <w:szCs w:val="20"/>
          <w:lang w:val="es-ES"/>
        </w:rPr>
        <w:t>(20)</w:t>
      </w:r>
      <w:r w:rsidR="00415C49" w:rsidRPr="004E4D14">
        <w:rPr>
          <w:rFonts w:ascii="Arial" w:hAnsi="Arial" w:cs="Arial"/>
          <w:color w:val="000000" w:themeColor="text1"/>
          <w:sz w:val="20"/>
          <w:szCs w:val="20"/>
          <w:lang w:val="es-ES"/>
        </w:rPr>
        <w:fldChar w:fldCharType="end"/>
      </w:r>
      <w:r w:rsidR="00A236AD" w:rsidRPr="004E4D14">
        <w:rPr>
          <w:rFonts w:ascii="Arial" w:hAnsi="Arial" w:cs="Arial"/>
          <w:color w:val="000000" w:themeColor="text1"/>
          <w:sz w:val="20"/>
          <w:szCs w:val="20"/>
          <w:lang w:val="es-ES"/>
        </w:rPr>
        <w:t xml:space="preserve">. </w:t>
      </w:r>
    </w:p>
    <w:p w14:paraId="285EF120" w14:textId="77777777" w:rsidR="00A236AD" w:rsidRPr="004E4D14" w:rsidRDefault="00A236AD" w:rsidP="004E4D14">
      <w:pPr>
        <w:widowControl w:val="0"/>
        <w:autoSpaceDE w:val="0"/>
        <w:autoSpaceDN w:val="0"/>
        <w:adjustRightInd w:val="0"/>
        <w:spacing w:before="100" w:line="276" w:lineRule="auto"/>
        <w:ind w:right="-198"/>
        <w:jc w:val="both"/>
        <w:rPr>
          <w:rFonts w:ascii="Arial" w:hAnsi="Arial" w:cs="Arial"/>
          <w:color w:val="000000" w:themeColor="text1"/>
          <w:sz w:val="20"/>
          <w:szCs w:val="20"/>
          <w:lang w:val="es-ES"/>
        </w:rPr>
      </w:pPr>
      <w:r w:rsidRPr="004E4D14">
        <w:rPr>
          <w:rFonts w:ascii="Arial" w:hAnsi="Arial" w:cs="Arial"/>
          <w:color w:val="000000" w:themeColor="text1"/>
          <w:sz w:val="20"/>
          <w:szCs w:val="20"/>
          <w:lang w:val="es-ES"/>
        </w:rPr>
        <w:t>Las alteracio</w:t>
      </w:r>
      <w:r w:rsidR="004B3CE9">
        <w:rPr>
          <w:rFonts w:ascii="Arial" w:hAnsi="Arial" w:cs="Arial"/>
          <w:color w:val="000000" w:themeColor="text1"/>
          <w:sz w:val="20"/>
          <w:szCs w:val="20"/>
          <w:lang w:val="es-ES"/>
        </w:rPr>
        <w:t>nes en la activación de quinasas</w:t>
      </w:r>
      <w:r w:rsidRPr="004E4D14">
        <w:rPr>
          <w:rFonts w:ascii="Arial" w:hAnsi="Arial" w:cs="Arial"/>
          <w:color w:val="000000" w:themeColor="text1"/>
          <w:sz w:val="20"/>
          <w:szCs w:val="20"/>
          <w:lang w:val="es-ES"/>
        </w:rPr>
        <w:t xml:space="preserve"> se han identificado en un</w:t>
      </w:r>
      <w:r w:rsidR="00FC6194" w:rsidRPr="004E4D14">
        <w:rPr>
          <w:rFonts w:ascii="Arial" w:hAnsi="Arial" w:cs="Arial"/>
          <w:color w:val="000000" w:themeColor="text1"/>
          <w:sz w:val="20"/>
          <w:szCs w:val="20"/>
          <w:lang w:val="es-ES"/>
        </w:rPr>
        <w:t xml:space="preserve"> 91% de pacientes con LLA Ph-Li</w:t>
      </w:r>
      <w:r w:rsidRPr="004E4D14">
        <w:rPr>
          <w:rFonts w:ascii="Arial" w:hAnsi="Arial" w:cs="Arial"/>
          <w:color w:val="000000" w:themeColor="text1"/>
          <w:sz w:val="20"/>
          <w:szCs w:val="20"/>
          <w:lang w:val="es-ES"/>
        </w:rPr>
        <w:t xml:space="preserve">ke, con compromiso </w:t>
      </w:r>
      <w:r w:rsidR="00403F96" w:rsidRPr="004E4D14">
        <w:rPr>
          <w:rFonts w:ascii="Arial" w:hAnsi="Arial" w:cs="Arial"/>
          <w:color w:val="000000" w:themeColor="text1"/>
          <w:sz w:val="20"/>
          <w:szCs w:val="20"/>
          <w:lang w:val="es-ES"/>
        </w:rPr>
        <w:t>de ABL</w:t>
      </w:r>
      <w:r w:rsidRPr="004E4D14">
        <w:rPr>
          <w:rFonts w:ascii="Arial" w:hAnsi="Arial" w:cs="Arial"/>
          <w:color w:val="000000" w:themeColor="text1"/>
          <w:sz w:val="20"/>
          <w:szCs w:val="20"/>
          <w:lang w:val="es-ES"/>
        </w:rPr>
        <w:t xml:space="preserve">1, ABL2, CRLF2, CSF1R, EPOR, JAK2, NTRK3, PDGFRB, PTK2B, TSLP o TYK2, Mutación de secuencias de FLT3, IL7R o SH2B3. Las mutaciones de ABL1, ABL2, CSF1R, JAK2 y PDGFRB parecen producir proliferación independiente de citoquinas y activación por vía de fosforilación STAT5. Sin embargo, a la fecha no existe una alternativa terapéutica clara que muestre </w:t>
      </w:r>
      <w:r w:rsidRPr="004E4D14">
        <w:rPr>
          <w:rFonts w:ascii="Arial" w:hAnsi="Arial" w:cs="Arial"/>
          <w:color w:val="000000" w:themeColor="text1"/>
          <w:sz w:val="20"/>
          <w:szCs w:val="20"/>
          <w:lang w:val="es-ES"/>
        </w:rPr>
        <w:lastRenderedPageBreak/>
        <w:t xml:space="preserve">beneficio en este tipo de pacientes. Pacientes con LLA </w:t>
      </w:r>
      <w:r w:rsidR="00FC6194" w:rsidRPr="004E4D14">
        <w:rPr>
          <w:rFonts w:ascii="Arial" w:hAnsi="Arial" w:cs="Arial"/>
          <w:color w:val="000000" w:themeColor="text1"/>
          <w:sz w:val="20"/>
          <w:szCs w:val="20"/>
          <w:lang w:val="es-ES"/>
        </w:rPr>
        <w:t>Ph-Like</w:t>
      </w:r>
      <w:r w:rsidRPr="004E4D14">
        <w:rPr>
          <w:rFonts w:ascii="Arial" w:hAnsi="Arial" w:cs="Arial"/>
          <w:color w:val="000000" w:themeColor="text1"/>
          <w:sz w:val="20"/>
          <w:szCs w:val="20"/>
          <w:lang w:val="es-ES"/>
        </w:rPr>
        <w:t xml:space="preserve"> con mutaciones de ABL1, ABL2, CSF1R y PDGFRB han demostrado sensibilidad in vitro a Dasatinib; mutaciones de EPOR y JAK2 son sen</w:t>
      </w:r>
      <w:r w:rsidR="00FC6194" w:rsidRPr="004E4D14">
        <w:rPr>
          <w:rFonts w:ascii="Arial" w:hAnsi="Arial" w:cs="Arial"/>
          <w:color w:val="000000" w:themeColor="text1"/>
          <w:sz w:val="20"/>
          <w:szCs w:val="20"/>
          <w:lang w:val="es-ES"/>
        </w:rPr>
        <w:t>sibles a inhibidos de JAK como R</w:t>
      </w:r>
      <w:r w:rsidRPr="004E4D14">
        <w:rPr>
          <w:rFonts w:ascii="Arial" w:hAnsi="Arial" w:cs="Arial"/>
          <w:color w:val="000000" w:themeColor="text1"/>
          <w:sz w:val="20"/>
          <w:szCs w:val="20"/>
          <w:lang w:val="es-ES"/>
        </w:rPr>
        <w:t>uxolitinib y mutacione</w:t>
      </w:r>
      <w:r w:rsidR="0031734B" w:rsidRPr="004E4D14">
        <w:rPr>
          <w:rFonts w:ascii="Arial" w:hAnsi="Arial" w:cs="Arial"/>
          <w:color w:val="000000" w:themeColor="text1"/>
          <w:sz w:val="20"/>
          <w:szCs w:val="20"/>
          <w:lang w:val="es-ES"/>
        </w:rPr>
        <w:t>s de ETV6-NTRK3 son sensible a C</w:t>
      </w:r>
      <w:r w:rsidRPr="004E4D14">
        <w:rPr>
          <w:rFonts w:ascii="Arial" w:hAnsi="Arial" w:cs="Arial"/>
          <w:color w:val="000000" w:themeColor="text1"/>
          <w:sz w:val="20"/>
          <w:szCs w:val="20"/>
          <w:lang w:val="es-ES"/>
        </w:rPr>
        <w:t>rizotinib</w:t>
      </w:r>
      <w:r w:rsidR="00415C49" w:rsidRPr="004E4D14">
        <w:rPr>
          <w:rFonts w:ascii="Arial" w:hAnsi="Arial" w:cs="Arial"/>
          <w:color w:val="000000" w:themeColor="text1"/>
          <w:sz w:val="20"/>
          <w:szCs w:val="20"/>
          <w:lang w:val="es-ES"/>
        </w:rPr>
        <w:fldChar w:fldCharType="begin" w:fldLock="1"/>
      </w:r>
      <w:r w:rsidR="00FC6194" w:rsidRPr="004E4D14">
        <w:rPr>
          <w:rFonts w:ascii="Arial" w:hAnsi="Arial" w:cs="Arial"/>
          <w:color w:val="000000" w:themeColor="text1"/>
          <w:sz w:val="20"/>
          <w:szCs w:val="20"/>
          <w:lang w:val="es-ES"/>
        </w:rPr>
        <w:instrText>ADDIN CSL_CITATION {"citationItems":[{"id":"ITEM-1","itemData":{"DOI":"10.1056/nejmoa1403088","ISSN":"0028-4793","abstract":"Background Philadelphia chromosome-like acute lymphoblastic leukemia (Ph-like ALL) is characterized by a gene-expression profile similar to that of BCR-ABL1-positive ALL, alterations of lymphoid transcription factor genes, and a poor outcome. The frequency and spectrum of genetic alterations in Ph-like ALL and its responsiveness to tyrosine kinase inhibition are undefined, especially in adolescents and adults. Methods We performed genomic profiling of 1725 patients with precursor B-cell ALL and detailed genomic analysis of 154 patients with Ph-like ALL. We examined the functional effects of fusion proteins and the efficacy of tyrosine kinase inhibitors in mouse pre-B cells and xenografts of human Ph-like ALL. Results Ph-like ALL increased in frequency from 10% among children with standard-risk ALL to 27% among young adults with ALL and was associated with a poor outcome. Kinase-activating alterations were identified in 91% of patients with Ph-like ALL; rearrangements involving ABL1, ABL2, CRLF2, CSF1R, EPOR, JAK2, NTRK3, PDGFRB, PTK2B, TSLP, or TYK2 and sequence mutations involving FLT3, IL7R, or SH2B3 were most common. Expression of ABL1, ABL2, CSF1R, JAK2, and PDGFRB fusions resulted in cytokine-independent proliferation and activation of phosphorylated STAT5. Cell lines and human leukemic cells expressing ABL1, ABL2, CSF1R, and PDGFRB fusions were sensitive in vitro to dasatinib, EPOR and JAK2 rearrangements were sensitive to ruxolitinib, and the ETV6-NTRK3 fusion was sensitive to crizotinib. Conclusions Ph-like ALL was found to be characterized by a range of genomic alterations that activate a limited number of signaling pathways, all of which may be amenable to inhibition with approved tyrosine kinase inhibitors. Trials identifying Ph-like ALL are needed to assess whether adding tyrosine kinase inhibitors to current therapy will improve the survival of patients with this type of leukemia. (Funded by the American Lebanese Syrian Associated Charities and others.).","author":[{"dropping-particle":"","family":"Roberts","given":"Kathryn G.","non-dropping-particle":"","parse-names":false,"suffix":""},{"dropping-particle":"","family":"Li","given":"Yongjin","non-dropping-particle":"","parse-names":false,"suffix":""},{"dropping-particle":"","family":"Payne-Turner","given":"Debbie","non-dropping-particle":"","parse-names":false,"suffix":""},{"dropping-particle":"","family":"Harvey","given":"Richard C.","non-dropping-particle":"","parse-names":false,"suffix":""},{"dropping-particle":"","family":"Yang","given":"Yung-Li","non-dropping-particle":"","parse-names":false,"suffix":""},{"dropping-particle":"","family":"Pei","given":"Deqing","non-dropping-particle":"","parse-names":false,"suffix":""},{"dropping-particle":"","family":"McCastlain","given":"Kelly","non-dropping-particle":"","parse-names":false,"suffix":""},{"dropping-particle":"","family":"Ding","given":"Li","non-dropping-particle":"","parse-names":false,"suffix":""},{"dropping-particle":"","family":"Lu","given":"Charles","non-dropping-particle":"","parse-names":false,"suffix":""},{"dropping-particle":"","family":"Song","given":"Guangchun","non-dropping-particle":"","parse-names":false,"suffix":""},{"dropping-particle":"","family":"Ma","given":"Jing","non-dropping-particle":"","parse-names":false,"suffix":""},{"dropping-particle":"","family":"Becksfort","given":"Jared","non-dropping-particle":"","parse-names":false,"suffix":""},{"dropping-particle":"","family":"Rusch","given":"Michael","non-dropping-particle":"","parse-names":false,"suffix":""},{"dropping-particle":"","family":"Chen","given":"Shann-Ching","non-dropping-particle":"","parse-names":false,"suffix":""},{"dropping-particle":"","family":"Easton","given":"John","non-dropping-particle":"","parse-names":false,"suffix":""},{"dropping-particle":"","family":"Cheng","given":"Jinjun","non-dropping-particle":"","parse-names":false,"suffix":""},{"dropping-particle":"","family":"Boggs","given":"Kristy","non-dropping-particle":"","parse-names":false,"suffix":""},{"dropping-particle":"","family":"Santiago-Morales","given":"Natalia","non-dropping-particle":"","parse-names":false,"suffix":""},{"dropping-particle":"","family":"Iacobucci","given":"Ilaria","non-dropping-particle":"","parse-names":false,"suffix":""},{"dropping-particle":"","family":"Fulton","given":"Robert S.","non-dropping-particle":"","parse-names":false,"suffix":""},{"dropping-particle":"","family":"Wen","given":"Ji","non-dropping-particle":"","parse-names":false,"suffix":""},{"dropping-particle":"","family":"Valentine","given":"Marcus","non-dropping-particle":"","parse-names":false,"suffix":""},{"dropping-particle":"","family":"Cheng","given":"Cheng","non-dropping-particle":"","parse-names":false,"suffix":""},{"dropping-particle":"","family":"Paugh","given":"Steven W.","non-dropping-particle":"","parse-names":false,"suffix":""},{"dropping-particle":"","family":"Devidas","given":"Meenakshi","non-dropping-particle":"","parse-names":false,"suffix":""},{"dropping-particle":"","family":"Chen","given":"I-Ming","non-dropping-particle":"","parse-names":false,"suffix":""},{"dropping-particle":"","family":"Reshmi","given":"Shalini","non-dropping-particle":"","parse-names":false,"suffix":""},{"dropping-particle":"","family":"Smith","given":"Amy","non-dropping-particle":"","parse-names":false,"suffix":""},{"dropping-particle":"","family":"Hedlund","given":"Erin","non-dropping-particle":"","parse-names":false,"suffix":""},{"dropping-particle":"","family":"Gupta","given":"Pankaj","non-dropping-particle":"","parse-names":false,"suffix":""},{"dropping-particle":"","family":"Nagahawatte","given":"Panduka","non-dropping-particle":"","parse-names":false,"suffix":""},{"dropping-particle":"","family":"Wu","given":"Gang","non-dropping-particle":"","parse-names":false,"suffix":""},{"dropping-particle":"","family":"Chen","given":"Xiang","non-dropping-particle":"","parse-names":false,"suffix":""},{"dropping-particle":"","family":"Yergeau","given":"Donald","non-dropping-particle":"","parse-names":false,"suffix":""},{"dropping-particle":"","family":"Vadodaria","given":"Bhavin","non-dropping-particle":"","parse-names":false,"suffix":""},{"dropping-particle":"","family":"Mulder","given":"Heather","non-dropping-particle":"","parse-names":false,"suffix":""},{"dropping-particle":"","family":"Winick","given":"Naomi J.","non-dropping-particle":"","parse-names":false,"suffix":""},{"dropping-particle":"","family":"Larsen","given":"Eric C.","non-dropping-particle":"","parse-names":false,"suffix":""},{"dropping-particle":"","family":"Carroll","given":"William L.","non-dropping-particle":"","parse-names":false,"suffix":""},{"dropping-particle":"","family":"Heerema","given":"Nyla A.","non-dropping-particle":"","parse-names":false,"suffix":""},{"dropping-particle":"","family":"Carroll","given":"Andrew J.","non-dropping-particle":"","parse-names":false,"suffix":""},{"dropping-particle":"","family":"Grayson","given":"Guy","non-dropping-particle":"","parse-names":false,"suffix":""},{"dropping-particle":"","family":"Tasian","given":"Sarah K.","non-dropping-particle":"","parse-names":false,"suffix":""},{"dropping-particle":"","family":"Moore","given":"Andrew S.","non-dropping-particle":"","parse-names":false,"suffix":""},{"dropping-particle":"","family":"Keller","given":"Frank","non-dropping-particle":"","parse-names":false,"suffix":""},{"dropping-particle":"","family":"Frei-Jones","given":"Melissa","non-dropping-particle":"","parse-names":false,"suffix":""},{"dropping-particle":"","family":"Whitlock","given":"James A.","non-dropping-particle":"","parse-names":false,"suffix":""},{"dropping-particle":"","family":"Raetz","given":"Elizabeth A.","non-dropping-particle":"","parse-names":false,"suffix":""},{"dropping-particle":"","family":"White","given":"Deborah L.","non-dropping-particle":"","parse-names":false,"suffix":""},{"dropping-particle":"","family":"Hughes","given":"Timothy P.","non-dropping-particle":"","parse-names":false,"suffix":""},{"dropping-particle":"","family":"Guidry Auvil","given":"Jaime M.","non-dropping-particle":"","parse-names":false,"suffix":""},{"dropping-particle":"","family":"Smith","given":"Malcolm A.","non-dropping-particle":"","parse-names":false,"suffix":""},{"dropping-particle":"","family":"Marcucci","given":"Guido","non-dropping-particle":"","parse-names":false,"suffix":""},{"dropping-particle":"","family":"Bloomfield","given":"Clara D.","non-dropping-particle":"","parse-names":false,"suffix":""},{"dropping-particle":"","family":"Mrózek","given":"Krzysztof","non-dropping-particle":"","parse-names":false,"suffix":""},{"dropping-particle":"","family":"Kohlschmidt","given":"Jessica","non-dropping-particle":"","parse-names":false,"suffix":""},{"dropping-particle":"","family":"Stock","given":"Wendy","non-dropping-particle":"","parse-names":false,"suffix":""},{"dropping-particle":"","family":"Kornblau","given":"Steven M.","non-dropping-particle":"","parse-names":false,"suffix":""},{"dropping-particle":"","family":"Konopleva","given":"Marina","non-dropping-particle":"","parse-names":false,"suffix":""},{"dropping-particle":"","family":"Paietta","given":"Elisabeth","non-dropping-particle":"","parse-names":false,"suffix":""},{"dropping-particle":"","family":"Pui","given":"Ching-Hon","non-dropping-particle":"","parse-names":false,"suffix":""},{"dropping-particle":"","family":"Jeha","given":"Sima","non-dropping-particle":"","parse-names":false,"suffix":""},{"dropping-particle":"V.","family":"Relling","given":"Mary","non-dropping-particle":"","parse-names":false,"suffix":""},{"dropping-particle":"","family":"Evans","given":"William E.","non-dropping-particle":"","parse-names":false,"suffix":""},{"dropping-particle":"","family":"Gerhard","given":"Daniela S.","non-dropping-particle":"","parse-names":false,"suffix":""},{"dropping-particle":"","family":"Gastier-Foster","given":"Julie M.","non-dropping-particle":"","parse-names":false,"suffix":""},{"dropping-particle":"","family":"Mardis","given":"Elaine","non-dropping-particle":"","parse-names":false,"suffix":""},{"dropping-particle":"","family":"Wilson","given":"Richard K.","non-dropping-particle":"","parse-names":false,"suffix":""},{"dropping-particle":"","family":"Loh","given":"Mignon L.","non-dropping-particle":"","parse-names":false,"suffix":""},{"dropping-particle":"","family":"Downing","given":"James R.","non-dropping-particle":"","parse-names":false,"suffix":""},{"dropping-particle":"","family":"Hunger","given":"Stephen P.","non-dropping-particle":"","parse-names":false,"suffix":""},{"dropping-particle":"","family":"Willman","given":"Cheryl L.","non-dropping-particle":"","parse-names":false,"suffix":""},{"dropping-particle":"","family":"Zhang","given":"Jinghui","non-dropping-particle":"","parse-names":false,"suffix":""},{"dropping-particle":"","family":"Mullighan","given":"Charles G.","non-dropping-particle":"","parse-names":false,"suffix":""}],"container-title":"New England Journal of Medicine","id":"ITEM-1","issue":"11","issued":{"date-parts":[["2015"]]},"page":"1005-1015","title":"Targetable Kinase-Activating Lesions in Ph-like Acute Lymphoblastic Leukemia","type":"article-journal","volume":"371"},"uris":["http://www.mendeley.com/documents/?uuid=eac1e157-3134-4e01-8d58-9fe901ef8c0d"]}],"mendeley":{"formattedCitation":"(21)","plainTextFormattedCitation":"(21)","previouslyFormattedCitation":"(21)"},"properties":{"noteIndex":0},"schema":"https://github.com/citation-style-language/schema/raw/master/csl-citation.json"}</w:instrText>
      </w:r>
      <w:r w:rsidR="00415C49" w:rsidRPr="004E4D14">
        <w:rPr>
          <w:rFonts w:ascii="Arial" w:hAnsi="Arial" w:cs="Arial"/>
          <w:color w:val="000000" w:themeColor="text1"/>
          <w:sz w:val="20"/>
          <w:szCs w:val="20"/>
          <w:lang w:val="es-ES"/>
        </w:rPr>
        <w:fldChar w:fldCharType="separate"/>
      </w:r>
      <w:r w:rsidR="0031734B" w:rsidRPr="004E4D14">
        <w:rPr>
          <w:rFonts w:ascii="Arial" w:hAnsi="Arial" w:cs="Arial"/>
          <w:noProof/>
          <w:color w:val="000000" w:themeColor="text1"/>
          <w:sz w:val="20"/>
          <w:szCs w:val="20"/>
          <w:lang w:val="es-ES"/>
        </w:rPr>
        <w:t>(21)</w:t>
      </w:r>
      <w:r w:rsidR="00415C49" w:rsidRPr="004E4D14">
        <w:rPr>
          <w:rFonts w:ascii="Arial" w:hAnsi="Arial" w:cs="Arial"/>
          <w:color w:val="000000" w:themeColor="text1"/>
          <w:sz w:val="20"/>
          <w:szCs w:val="20"/>
          <w:lang w:val="es-ES"/>
        </w:rPr>
        <w:fldChar w:fldCharType="end"/>
      </w:r>
      <w:r w:rsidRPr="004E4D14">
        <w:rPr>
          <w:rFonts w:ascii="Arial" w:hAnsi="Arial" w:cs="Arial"/>
          <w:color w:val="000000" w:themeColor="text1"/>
          <w:sz w:val="20"/>
          <w:szCs w:val="20"/>
          <w:lang w:val="es-ES"/>
        </w:rPr>
        <w:t>.</w:t>
      </w:r>
    </w:p>
    <w:p w14:paraId="5D5522BA" w14:textId="77777777" w:rsidR="00A568D0" w:rsidRPr="004E4D14" w:rsidRDefault="006250E8"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t>Por otra parte</w:t>
      </w:r>
      <w:r w:rsidR="004B3CE9">
        <w:rPr>
          <w:rFonts w:ascii="Arial" w:hAnsi="Arial" w:cs="Arial"/>
          <w:sz w:val="20"/>
          <w:szCs w:val="20"/>
          <w:lang w:val="es-ES"/>
        </w:rPr>
        <w:t>, también se ha demostrado</w:t>
      </w:r>
      <w:r w:rsidR="00A568D0" w:rsidRPr="004E4D14">
        <w:rPr>
          <w:rFonts w:ascii="Arial" w:hAnsi="Arial" w:cs="Arial"/>
          <w:sz w:val="20"/>
          <w:szCs w:val="20"/>
          <w:lang w:val="es-ES"/>
        </w:rPr>
        <w:t xml:space="preserve"> que la respuesta inicial a la terapia de inducción establece un factor pronóstico importante en la LLA. A lo largo de los años, se ha </w:t>
      </w:r>
      <w:r w:rsidR="004B3CE9">
        <w:rPr>
          <w:rFonts w:ascii="Arial" w:hAnsi="Arial" w:cs="Arial"/>
          <w:sz w:val="20"/>
          <w:szCs w:val="20"/>
          <w:lang w:val="es-ES"/>
        </w:rPr>
        <w:t>determinado</w:t>
      </w:r>
      <w:r w:rsidR="00A568D0" w:rsidRPr="004E4D14">
        <w:rPr>
          <w:rFonts w:ascii="Arial" w:hAnsi="Arial" w:cs="Arial"/>
          <w:sz w:val="20"/>
          <w:szCs w:val="20"/>
          <w:lang w:val="es-ES"/>
        </w:rPr>
        <w:t xml:space="preserve"> la respuesta con </w:t>
      </w:r>
      <w:r w:rsidR="004B3CE9">
        <w:rPr>
          <w:rFonts w:ascii="Arial" w:hAnsi="Arial" w:cs="Arial"/>
          <w:sz w:val="20"/>
          <w:szCs w:val="20"/>
          <w:lang w:val="es-ES"/>
        </w:rPr>
        <w:t xml:space="preserve">la </w:t>
      </w:r>
      <w:r w:rsidR="00A568D0" w:rsidRPr="004E4D14">
        <w:rPr>
          <w:rFonts w:ascii="Arial" w:hAnsi="Arial" w:cs="Arial"/>
          <w:sz w:val="20"/>
          <w:szCs w:val="20"/>
          <w:lang w:val="es-ES"/>
        </w:rPr>
        <w:t>morfología y la identificación de blasto</w:t>
      </w:r>
      <w:r w:rsidRPr="004E4D14">
        <w:rPr>
          <w:rFonts w:ascii="Arial" w:hAnsi="Arial" w:cs="Arial"/>
          <w:sz w:val="20"/>
          <w:szCs w:val="20"/>
          <w:lang w:val="es-ES"/>
        </w:rPr>
        <w:t>s tumorales mediante microscopia</w:t>
      </w:r>
      <w:r w:rsidR="00A568D0" w:rsidRPr="004E4D14">
        <w:rPr>
          <w:rFonts w:ascii="Arial" w:hAnsi="Arial" w:cs="Arial"/>
          <w:sz w:val="20"/>
          <w:szCs w:val="20"/>
          <w:lang w:val="es-ES"/>
        </w:rPr>
        <w:t xml:space="preserve"> de luz, </w:t>
      </w:r>
      <w:r w:rsidRPr="004E4D14">
        <w:rPr>
          <w:rFonts w:ascii="Arial" w:hAnsi="Arial" w:cs="Arial"/>
          <w:sz w:val="20"/>
          <w:szCs w:val="20"/>
          <w:lang w:val="es-ES"/>
        </w:rPr>
        <w:t>considerándose repuesta morfológica la presencia</w:t>
      </w:r>
      <w:r w:rsidR="00A568D0" w:rsidRPr="004E4D14">
        <w:rPr>
          <w:rFonts w:ascii="Arial" w:hAnsi="Arial" w:cs="Arial"/>
          <w:sz w:val="20"/>
          <w:szCs w:val="20"/>
          <w:lang w:val="es-ES"/>
        </w:rPr>
        <w:t xml:space="preserve"> de &lt; 5% de blastos en la médula ósea. En los últ</w:t>
      </w:r>
      <w:r w:rsidRPr="004E4D14">
        <w:rPr>
          <w:rFonts w:ascii="Arial" w:hAnsi="Arial" w:cs="Arial"/>
          <w:sz w:val="20"/>
          <w:szCs w:val="20"/>
          <w:lang w:val="es-ES"/>
        </w:rPr>
        <w:t>imos años se ha vuelto rutinaria</w:t>
      </w:r>
      <w:r w:rsidR="00A568D0" w:rsidRPr="004E4D14">
        <w:rPr>
          <w:rFonts w:ascii="Arial" w:hAnsi="Arial" w:cs="Arial"/>
          <w:sz w:val="20"/>
          <w:szCs w:val="20"/>
          <w:lang w:val="es-ES"/>
        </w:rPr>
        <w:t xml:space="preserve"> la identificación de la </w:t>
      </w:r>
      <w:r w:rsidR="004C0EFF">
        <w:rPr>
          <w:rFonts w:ascii="Arial" w:hAnsi="Arial" w:cs="Arial"/>
          <w:sz w:val="20"/>
          <w:szCs w:val="20"/>
          <w:lang w:val="es-ES"/>
        </w:rPr>
        <w:t>EMR</w:t>
      </w:r>
      <w:r w:rsidR="00A568D0" w:rsidRPr="004E4D14">
        <w:rPr>
          <w:rFonts w:ascii="Arial" w:hAnsi="Arial" w:cs="Arial"/>
          <w:sz w:val="20"/>
          <w:szCs w:val="20"/>
          <w:lang w:val="es-ES"/>
        </w:rPr>
        <w:t xml:space="preserve"> mediante técnicas moleculares o citometría de flujo y/o reacción en cadena de polimerasa (PCR). </w:t>
      </w:r>
      <w:r w:rsidR="006F5185" w:rsidRPr="004E4D14">
        <w:rPr>
          <w:rFonts w:ascii="Arial" w:hAnsi="Arial" w:cs="Arial"/>
          <w:sz w:val="20"/>
          <w:szCs w:val="20"/>
          <w:lang w:val="es-ES"/>
        </w:rPr>
        <w:t>La detección de enfermedad mediante técnicas que permitan una mayor profundidad en la identificación de enfermedad tumoral, ha permitido la introducción del concepto de EMR, la cual</w:t>
      </w:r>
      <w:r w:rsidR="00A568D0" w:rsidRPr="004E4D14">
        <w:rPr>
          <w:rFonts w:ascii="Arial" w:hAnsi="Arial" w:cs="Arial"/>
          <w:sz w:val="20"/>
          <w:szCs w:val="20"/>
          <w:lang w:val="es-ES"/>
        </w:rPr>
        <w:t xml:space="preserve"> se define como la pr</w:t>
      </w:r>
      <w:r w:rsidR="006F5185" w:rsidRPr="004E4D14">
        <w:rPr>
          <w:rFonts w:ascii="Arial" w:hAnsi="Arial" w:cs="Arial"/>
          <w:sz w:val="20"/>
          <w:szCs w:val="20"/>
          <w:lang w:val="es-ES"/>
        </w:rPr>
        <w:t>esencia de enfermedad molecular</w:t>
      </w:r>
      <w:r w:rsidR="00A568D0" w:rsidRPr="004E4D14">
        <w:rPr>
          <w:rFonts w:ascii="Arial" w:hAnsi="Arial" w:cs="Arial"/>
          <w:sz w:val="20"/>
          <w:szCs w:val="20"/>
          <w:lang w:val="es-ES"/>
        </w:rPr>
        <w:t>mente medible, con una técnica que permita identificación de material tumora</w:t>
      </w:r>
      <w:r w:rsidR="006F5185" w:rsidRPr="004E4D14">
        <w:rPr>
          <w:rFonts w:ascii="Arial" w:hAnsi="Arial" w:cs="Arial"/>
          <w:sz w:val="20"/>
          <w:szCs w:val="20"/>
          <w:lang w:val="es-ES"/>
        </w:rPr>
        <w:t>l con una sensibilidad de 1 x10</w:t>
      </w:r>
      <w:r w:rsidR="00A568D0" w:rsidRPr="004E4D14">
        <w:rPr>
          <w:rFonts w:ascii="Arial" w:hAnsi="Arial" w:cs="Arial"/>
          <w:sz w:val="20"/>
          <w:szCs w:val="20"/>
          <w:vertAlign w:val="superscript"/>
          <w:lang w:val="es-ES"/>
        </w:rPr>
        <w:t>-4</w:t>
      </w:r>
      <w:r w:rsidR="00A568D0" w:rsidRPr="004E4D14">
        <w:rPr>
          <w:rFonts w:ascii="Arial" w:hAnsi="Arial" w:cs="Arial"/>
          <w:sz w:val="20"/>
          <w:szCs w:val="20"/>
          <w:lang w:val="es-ES"/>
        </w:rPr>
        <w:t xml:space="preserve">. </w:t>
      </w:r>
    </w:p>
    <w:p w14:paraId="26222C10" w14:textId="5DCD92D1" w:rsidR="00A568D0" w:rsidRPr="004E4D14" w:rsidRDefault="00A568D0"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t xml:space="preserve">La presencia de </w:t>
      </w:r>
      <w:r w:rsidR="004C0EFF">
        <w:rPr>
          <w:rFonts w:ascii="Arial" w:hAnsi="Arial" w:cs="Arial"/>
          <w:sz w:val="20"/>
          <w:szCs w:val="20"/>
          <w:lang w:val="es-ES"/>
        </w:rPr>
        <w:t>EMR</w:t>
      </w:r>
      <w:r w:rsidR="009A56EE">
        <w:rPr>
          <w:rFonts w:ascii="Arial" w:hAnsi="Arial" w:cs="Arial"/>
          <w:sz w:val="20"/>
          <w:szCs w:val="20"/>
          <w:lang w:val="es-ES"/>
        </w:rPr>
        <w:t xml:space="preserve"> </w:t>
      </w:r>
      <w:r w:rsidRPr="004E4D14">
        <w:rPr>
          <w:rFonts w:ascii="Arial" w:hAnsi="Arial" w:cs="Arial"/>
          <w:sz w:val="20"/>
          <w:szCs w:val="20"/>
          <w:lang w:val="es-ES"/>
        </w:rPr>
        <w:t xml:space="preserve">fue el factor de riesgo de mayor importancia para determinar una recaída, </w:t>
      </w:r>
      <w:r w:rsidR="00FC6194" w:rsidRPr="004E4D14">
        <w:rPr>
          <w:rFonts w:ascii="Arial" w:hAnsi="Arial" w:cs="Arial"/>
          <w:sz w:val="20"/>
          <w:szCs w:val="20"/>
          <w:lang w:val="es-ES"/>
        </w:rPr>
        <w:t>independiente</w:t>
      </w:r>
      <w:r w:rsidRPr="004E4D14">
        <w:rPr>
          <w:rFonts w:ascii="Arial" w:hAnsi="Arial" w:cs="Arial"/>
          <w:sz w:val="20"/>
          <w:szCs w:val="20"/>
          <w:lang w:val="es-ES"/>
        </w:rPr>
        <w:t xml:space="preserve"> del riesgo clínico, con un Hazar</w:t>
      </w:r>
      <w:r w:rsidR="00FC6194" w:rsidRPr="004E4D14">
        <w:rPr>
          <w:rFonts w:ascii="Arial" w:hAnsi="Arial" w:cs="Arial"/>
          <w:sz w:val="20"/>
          <w:szCs w:val="20"/>
          <w:lang w:val="es-ES"/>
        </w:rPr>
        <w:t>d</w:t>
      </w:r>
      <w:r w:rsidRPr="004E4D14">
        <w:rPr>
          <w:rFonts w:ascii="Arial" w:hAnsi="Arial" w:cs="Arial"/>
          <w:sz w:val="20"/>
          <w:szCs w:val="20"/>
          <w:lang w:val="es-ES"/>
        </w:rPr>
        <w:t xml:space="preserve"> ratio de 5,22</w:t>
      </w:r>
      <w:r w:rsidR="00415C49" w:rsidRPr="004E4D14">
        <w:rPr>
          <w:rFonts w:ascii="Arial" w:hAnsi="Arial" w:cs="Arial"/>
          <w:sz w:val="20"/>
          <w:szCs w:val="20"/>
          <w:lang w:val="es-ES"/>
        </w:rPr>
        <w:fldChar w:fldCharType="begin" w:fldLock="1"/>
      </w:r>
      <w:r w:rsidR="0052606C" w:rsidRPr="004E4D14">
        <w:rPr>
          <w:rFonts w:ascii="Arial" w:hAnsi="Arial" w:cs="Arial"/>
          <w:sz w:val="20"/>
          <w:szCs w:val="20"/>
          <w:lang w:val="es-ES"/>
        </w:rPr>
        <w:instrText>ADDIN CSL_CITATION {"citationItems":[{"id":"ITEM-1","itemData":{"DOI":"10.1182/blood-2008-11-185132.The","author":[{"dropping-particle":"","family":"Bassan","given":"R","non-dropping-particle":"","parse-names":false,"suffix":""},{"dropping-particle":"","family":"Spinelli","given":"O","non-dropping-particle":"","parse-names":false,"suffix":""},{"dropping-particle":"","family":"Oldani","given":"E","non-dropping-particle":"","parse-names":false,"suffix":""},{"dropping-particle":"","family":"Intermesoli","given":"T","non-dropping-particle":"","parse-names":false,"suffix":""},{"dropping-particle":"","family":"Tosi","given":"M","non-dropping-particle":"","parse-names":false,"suffix":""},{"dropping-particle":"","family":"Peruta","given":"B","non-dropping-particle":"","parse-names":false,"suffix":""},{"dropping-particle":"","family":"Rossi","given":"G","non-dropping-particle":"","parse-names":false,"suffix":""},{"dropping-particle":"","family":"Borlenghi","given":"E","non-dropping-particle":"","parse-names":false,"suffix":""},{"dropping-particle":"","family":"Pogliani","given":"E M","non-dropping-particle":"","parse-names":false,"suffix":""},{"dropping-particle":"","family":"Terruzzi","given":"E","non-dropping-particle":"","parse-names":false,"suffix":""},{"dropping-particle":"","family":"Fabris","given":"P","non-dropping-particle":"","parse-names":false,"suffix":""},{"dropping-particle":"","family":"Cassibba","given":"V","non-dropping-particle":"","parse-names":false,"suffix":""},{"dropping-particle":"","family":"Lambertenghi-Deliliers","given":"G","non-dropping-particle":"","parse-names":false,"suffix":""},{"dropping-particle":"","family":"Cortelezzi","given":"A","non-dropping-particle":"","parse-names":false,"suffix":""},{"dropping-particle":"","family":"Bosi","given":"A","non-dropping-particle":"","parse-names":false,"suffix":""},{"dropping-particle":"","family":"Gianfaldoni","given":"G","non-dropping-particle":"","parse-names":false,"suffix":""},{"dropping-particle":"","family":"Ciceri","given":"F","non-dropping-particle":"","parse-names":false,"suffix":""},{"dropping-particle":"","family":"Bernardi","given":"M","non-dropping-particle":"","parse-names":false,"suffix":""},{"dropping-particle":"","family":"Gallamini","given":"A","non-dropping-particle":"","parse-names":false,"suffix":""},{"dropping-particle":"","family":"Mattei","given":"D","non-dropping-particle":"","parse-names":false,"suffix":""},{"dropping-particle":"","family":"Bona","given":"E","non-dropping-particle":"Di","parse-names":false,"suffix":""},{"dropping-particle":"","family":"Romani","given":"C","non-dropping-particle":"","parse-names":false,"suffix":""},{"dropping-particle":"","family":"Scattolin","given":"A M","non-dropping-particle":"","parse-names":false,"suffix":""},{"dropping-particle":"","family":"Barbui","given":"T","non-dropping-particle":"","parse-names":false,"suffix":""},{"dropping-particle":"","family":"Rambaldi","given":"A","non-dropping-particle":"","parse-names":false,"suffix":""}],"container-title":"Blood","id":"ITEM-1","issue":"18","issued":{"date-parts":[["2009"]]},"page":"1-11","title":"Improved risk classification for risk-specific therapy based on the molecular study of MRD in adult ALL","type":"article-journal","volume":"113"},"uris":["http://www.mendeley.com/documents/?uuid=2fa3b373-ac78-4a38-88cf-2230227e8749"]}],"mendeley":{"formattedCitation":"(13)","plainTextFormattedCitation":"(13)","previouslyFormattedCitation":"(13)"},"properties":{"noteIndex":0},"schema":"https://github.com/citation-style-language/schema/raw/master/csl-citation.json"}</w:instrText>
      </w:r>
      <w:r w:rsidR="00415C49" w:rsidRPr="004E4D14">
        <w:rPr>
          <w:rFonts w:ascii="Arial" w:hAnsi="Arial" w:cs="Arial"/>
          <w:sz w:val="20"/>
          <w:szCs w:val="20"/>
          <w:lang w:val="es-ES"/>
        </w:rPr>
        <w:fldChar w:fldCharType="separate"/>
      </w:r>
      <w:r w:rsidR="00FC6194" w:rsidRPr="004E4D14">
        <w:rPr>
          <w:rFonts w:ascii="Arial" w:hAnsi="Arial" w:cs="Arial"/>
          <w:noProof/>
          <w:sz w:val="20"/>
          <w:szCs w:val="20"/>
          <w:lang w:val="es-ES"/>
        </w:rPr>
        <w:t>(13)</w:t>
      </w:r>
      <w:r w:rsidR="00415C49" w:rsidRPr="004E4D14">
        <w:rPr>
          <w:rFonts w:ascii="Arial" w:hAnsi="Arial" w:cs="Arial"/>
          <w:sz w:val="20"/>
          <w:szCs w:val="20"/>
          <w:lang w:val="es-ES"/>
        </w:rPr>
        <w:fldChar w:fldCharType="end"/>
      </w:r>
      <w:r w:rsidR="0050029B" w:rsidRPr="004E4D14">
        <w:rPr>
          <w:rFonts w:ascii="Arial" w:hAnsi="Arial" w:cs="Arial"/>
          <w:sz w:val="20"/>
          <w:szCs w:val="20"/>
          <w:lang w:val="es-ES"/>
        </w:rPr>
        <w:t xml:space="preserve">. Un meta-análisis publicado recientemente demostró el efecto pronóstico importante de la detección de la EMR. Un total de 23 artículos fueron incluidos para el análisis, de trabajos publicados entre 2012 y 2016, que incluían los datos de 5979 pacientes con datos disponibles sobre el estado de la EMR. El análisis primario revelo mejoría </w:t>
      </w:r>
      <w:r w:rsidR="00A774C7">
        <w:rPr>
          <w:rFonts w:ascii="Arial" w:hAnsi="Arial" w:cs="Arial"/>
          <w:sz w:val="20"/>
          <w:szCs w:val="20"/>
          <w:lang w:val="es-ES"/>
        </w:rPr>
        <w:t xml:space="preserve">en la </w:t>
      </w:r>
      <w:r w:rsidR="0050029B" w:rsidRPr="004E4D14">
        <w:rPr>
          <w:rFonts w:ascii="Arial" w:hAnsi="Arial" w:cs="Arial"/>
          <w:sz w:val="20"/>
          <w:szCs w:val="20"/>
          <w:lang w:val="es-ES"/>
        </w:rPr>
        <w:t xml:space="preserve">sobrevida libre de </w:t>
      </w:r>
      <w:r w:rsidR="00854125" w:rsidRPr="004E4D14">
        <w:rPr>
          <w:rFonts w:ascii="Arial" w:hAnsi="Arial" w:cs="Arial"/>
          <w:sz w:val="20"/>
          <w:szCs w:val="20"/>
          <w:lang w:val="es-ES"/>
        </w:rPr>
        <w:t>recaída</w:t>
      </w:r>
      <w:r w:rsidR="0050029B" w:rsidRPr="004E4D14">
        <w:rPr>
          <w:rFonts w:ascii="Arial" w:hAnsi="Arial" w:cs="Arial"/>
          <w:sz w:val="20"/>
          <w:szCs w:val="20"/>
          <w:lang w:val="es-ES"/>
        </w:rPr>
        <w:t xml:space="preserve"> a través de todos los estudios para pacientes que alcanzaron EMR negativa (Hazard ratio, 2,34; IC 95% 1,91-2,86). </w:t>
      </w:r>
      <w:r w:rsidR="007121A3">
        <w:rPr>
          <w:rFonts w:ascii="Arial" w:hAnsi="Arial" w:cs="Arial"/>
          <w:sz w:val="20"/>
          <w:szCs w:val="20"/>
          <w:lang w:val="es-ES"/>
        </w:rPr>
        <w:t>También se observó m</w:t>
      </w:r>
      <w:r w:rsidR="0050029B" w:rsidRPr="004E4D14">
        <w:rPr>
          <w:rFonts w:ascii="Arial" w:hAnsi="Arial" w:cs="Arial"/>
          <w:sz w:val="20"/>
          <w:szCs w:val="20"/>
          <w:lang w:val="es-ES"/>
        </w:rPr>
        <w:t xml:space="preserve">ejoría en la sobrevida global para pacientes que alcanzaron EMR negativa (Hazard ratio 2,19; IC 95% 1,63 – 2,94). No se </w:t>
      </w:r>
      <w:r w:rsidR="00403F96" w:rsidRPr="004E4D14">
        <w:rPr>
          <w:rFonts w:ascii="Arial" w:hAnsi="Arial" w:cs="Arial"/>
          <w:sz w:val="20"/>
          <w:szCs w:val="20"/>
          <w:lang w:val="es-ES"/>
        </w:rPr>
        <w:t>observó</w:t>
      </w:r>
      <w:r w:rsidR="0050029B" w:rsidRPr="004E4D14">
        <w:rPr>
          <w:rFonts w:ascii="Arial" w:hAnsi="Arial" w:cs="Arial"/>
          <w:sz w:val="20"/>
          <w:szCs w:val="20"/>
          <w:lang w:val="es-ES"/>
        </w:rPr>
        <w:t xml:space="preserve"> diferencia en el impacto del estado de </w:t>
      </w:r>
      <w:r w:rsidR="004C0EFF">
        <w:rPr>
          <w:rFonts w:ascii="Arial" w:hAnsi="Arial" w:cs="Arial"/>
          <w:sz w:val="20"/>
          <w:szCs w:val="20"/>
          <w:lang w:val="es-ES"/>
        </w:rPr>
        <w:t>EMR</w:t>
      </w:r>
      <w:r w:rsidR="009A56EE">
        <w:rPr>
          <w:rFonts w:ascii="Arial" w:hAnsi="Arial" w:cs="Arial"/>
          <w:sz w:val="20"/>
          <w:szCs w:val="20"/>
          <w:lang w:val="es-ES"/>
        </w:rPr>
        <w:t xml:space="preserve"> </w:t>
      </w:r>
      <w:r w:rsidR="0050029B" w:rsidRPr="004E4D14">
        <w:rPr>
          <w:rFonts w:ascii="Arial" w:hAnsi="Arial" w:cs="Arial"/>
          <w:sz w:val="20"/>
          <w:szCs w:val="20"/>
          <w:lang w:val="es-ES"/>
        </w:rPr>
        <w:t>en subgrupos basado en el estad</w:t>
      </w:r>
      <w:r w:rsidR="00A774C7">
        <w:rPr>
          <w:rFonts w:ascii="Arial" w:hAnsi="Arial" w:cs="Arial"/>
          <w:sz w:val="20"/>
          <w:szCs w:val="20"/>
          <w:lang w:val="es-ES"/>
        </w:rPr>
        <w:t>í</w:t>
      </w:r>
      <w:r w:rsidR="0050029B" w:rsidRPr="004E4D14">
        <w:rPr>
          <w:rFonts w:ascii="Arial" w:hAnsi="Arial" w:cs="Arial"/>
          <w:sz w:val="20"/>
          <w:szCs w:val="20"/>
          <w:lang w:val="es-ES"/>
        </w:rPr>
        <w:t xml:space="preserve">o de la enfermedad, sensibilidad de la técnica utilizada para la detección de la EMR, umbral de detección de EMR, presencia o no de cromosoma Filadelfia, fenotipo histológico, grupo de riesgo, locación donde fue realizado el análisis de la EMR (laboratorio local o central), momento de análisis de EMR después de la inducción, método utilizado para la detección de EMR. A pesar de la heterogeneidad de los diseños de los estudios analizados, estos datos proveen un argumento de peso para establecer el estado de la EMR como una herramienta sumamente importante para determinar pronóstico y guiar la toma de decisiones terapéuticas en pacientes con LLA-B </w:t>
      </w:r>
      <w:r w:rsidR="00415C49" w:rsidRPr="004E4D14">
        <w:rPr>
          <w:rFonts w:ascii="Arial" w:hAnsi="Arial" w:cs="Arial"/>
          <w:sz w:val="20"/>
          <w:szCs w:val="20"/>
          <w:lang w:val="es-ES"/>
        </w:rPr>
        <w:fldChar w:fldCharType="begin" w:fldLock="1"/>
      </w:r>
      <w:r w:rsidR="002D5BD7" w:rsidRPr="004E4D14">
        <w:rPr>
          <w:rFonts w:ascii="Arial" w:hAnsi="Arial" w:cs="Arial"/>
          <w:sz w:val="20"/>
          <w:szCs w:val="20"/>
          <w:lang w:val="es-ES"/>
        </w:rPr>
        <w:instrText>ADDIN CSL_CITATION {"citationItems":[{"id":"ITEM-1","itemData":{"DOI":"10.3324/haematol.2018.201053","ISSN":"0390-6078","abstract":"Minimal (or measurable) residual disease in acute lymphoblastic leukemia appears to be a prognostic indicator, with potential value in informing individualized treatment decisions. Complete understanding of the strength of the association between minimal residual disease and long-term outcomes is, however, lacking. A systematic literature review and meta-analysis was performed to elucidate the clinical significance of minimal residual disease with respect to relapse-free survival and overall survival in precursor B-cell acute lymphoblastic leukemia. A total of 23 articles and abstracts mostly published between 2012 and 2016 were identified for inclusion in the primary meta-analysis. Typically, patients were in their first complete remission at the time of minimal residual disease assessment; in 2 studies, all patients were in their second, or later, complete remission. The primary analysis revealed improved relapse-free survival across all studies for patients who achieved minimal residual disease negativity (random effects hazard ratio, 2.34; 95% confidence interval, 1.91-2.86). Improved overall survival for patients who achieved minimal residual disease negativity was also observed (hazard ratio, 2.19; 95% confidence interval, 1.63-;2.94). There was no observed difference in the impact of minimal residual disease status in subgroups based on disease stage, minimal residual disease sensitivity threshold level, Philadelphia chromosome status, histological phenotype, risk group, minimal residual disease testing location, minimal residual disease timing after induction, or minimal residual disease detection method. Despite heterogeneity in study design and patient populations between the contributing studies, these data provide a compelling argument for minimal residual disease as a clinical tool for assessing prognosis and guiding treatment decisions in B-precursor acute lymphoblastic leukemia.","author":[{"dropping-particle":"","family":"Bassan","given":"Renato","non-dropping-particle":"","parse-names":false,"suffix":""},{"dropping-particle":"","family":"Brüggemann","given":"Monika","non-dropping-particle":"","parse-names":false,"suffix":""},{"dropping-particle":"","family":"Radcliffe","given":"Hoi-Shen","non-dropping-particle":"","parse-names":false,"suffix":""},{"dropping-particle":"","family":"Hartfield","given":"Elizabeth","non-dropping-particle":"","parse-names":false,"suffix":""},{"dropping-particle":"","family":"Kreuzbauer","given":"Georg","non-dropping-particle":"","parse-names":false,"suffix":""},{"dropping-particle":"","family":"Wetten","given":"Sally","non-dropping-particle":"","parse-names":false,"suffix":""}],"container-title":"Haematologica","id":"ITEM-1","issued":{"date-parts":[["2019"]]},"page":"haematol.2018.201053","title":"A systematic literature review and meta-analysis of minimal residual disease as a prognostic indicator in adult B-cell acute lymphoblastic leukemia","type":"article-journal"},"uris":["http://www.mendeley.com/documents/?uuid=1d0c54b0-39e9-42c7-950a-9139dc5ef055"]}],"mendeley":{"formattedCitation":"(22)","plainTextFormattedCitation":"(22)","previouslyFormattedCitation":"(22)"},"properties":{"noteIndex":0},"schema":"https://github.com/citation-style-language/schema/raw/master/csl-citation.json"}</w:instrText>
      </w:r>
      <w:r w:rsidR="00415C49" w:rsidRPr="004E4D14">
        <w:rPr>
          <w:rFonts w:ascii="Arial" w:hAnsi="Arial" w:cs="Arial"/>
          <w:sz w:val="20"/>
          <w:szCs w:val="20"/>
          <w:lang w:val="es-ES"/>
        </w:rPr>
        <w:fldChar w:fldCharType="separate"/>
      </w:r>
      <w:r w:rsidR="0052606C" w:rsidRPr="004E4D14">
        <w:rPr>
          <w:rFonts w:ascii="Arial" w:hAnsi="Arial" w:cs="Arial"/>
          <w:noProof/>
          <w:sz w:val="20"/>
          <w:szCs w:val="20"/>
          <w:lang w:val="es-ES"/>
        </w:rPr>
        <w:t>(22)</w:t>
      </w:r>
      <w:r w:rsidR="00415C49" w:rsidRPr="004E4D14">
        <w:rPr>
          <w:rFonts w:ascii="Arial" w:hAnsi="Arial" w:cs="Arial"/>
          <w:sz w:val="20"/>
          <w:szCs w:val="20"/>
          <w:lang w:val="es-ES"/>
        </w:rPr>
        <w:fldChar w:fldCharType="end"/>
      </w:r>
      <w:r w:rsidR="0050029B" w:rsidRPr="004E4D14">
        <w:rPr>
          <w:rFonts w:ascii="Arial" w:hAnsi="Arial" w:cs="Arial"/>
          <w:sz w:val="20"/>
          <w:szCs w:val="20"/>
          <w:lang w:val="es-ES"/>
        </w:rPr>
        <w:t>.</w:t>
      </w:r>
    </w:p>
    <w:p w14:paraId="08012A46" w14:textId="77777777" w:rsidR="00560F43" w:rsidRPr="004E4D14" w:rsidRDefault="00854125"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t xml:space="preserve">Teniendo claro estos factores de riesgo y pronósticos, que son útiles en la toma de decisiones de tratamiento en LLA, es necesario aclarar el enfoque terapéutico de esta enfermedad en adultos y entender porque es diferente al de los niños. </w:t>
      </w:r>
      <w:r w:rsidR="00560F43" w:rsidRPr="004E4D14">
        <w:rPr>
          <w:rFonts w:ascii="Arial" w:hAnsi="Arial" w:cs="Arial"/>
          <w:sz w:val="20"/>
          <w:szCs w:val="20"/>
          <w:lang w:val="es-ES"/>
        </w:rPr>
        <w:t xml:space="preserve">El tratamiento de la LLA en población </w:t>
      </w:r>
      <w:r w:rsidR="00C3322E" w:rsidRPr="004E4D14">
        <w:rPr>
          <w:rFonts w:ascii="Arial" w:hAnsi="Arial" w:cs="Arial"/>
          <w:sz w:val="20"/>
          <w:szCs w:val="20"/>
          <w:lang w:val="es-ES"/>
        </w:rPr>
        <w:t>pediátrica</w:t>
      </w:r>
      <w:r w:rsidR="00560F43" w:rsidRPr="004E4D14">
        <w:rPr>
          <w:rFonts w:ascii="Arial" w:hAnsi="Arial" w:cs="Arial"/>
          <w:sz w:val="20"/>
          <w:szCs w:val="20"/>
          <w:lang w:val="es-ES"/>
        </w:rPr>
        <w:t xml:space="preserve"> tiene tasas de cura mayores al 90%, con una diferencia significativamente menor en recaídas comparada a la población adulta. Si bien las tasas de respuesta a la inducción con quimioterapia en población adulta pueden alcanzar el 90%, es </w:t>
      </w:r>
      <w:r w:rsidRPr="004E4D14">
        <w:rPr>
          <w:rFonts w:ascii="Arial" w:hAnsi="Arial" w:cs="Arial"/>
          <w:sz w:val="20"/>
          <w:szCs w:val="20"/>
          <w:lang w:val="es-ES"/>
        </w:rPr>
        <w:t>pertinente</w:t>
      </w:r>
      <w:r w:rsidR="00560F43" w:rsidRPr="004E4D14">
        <w:rPr>
          <w:rFonts w:ascii="Arial" w:hAnsi="Arial" w:cs="Arial"/>
          <w:sz w:val="20"/>
          <w:szCs w:val="20"/>
          <w:lang w:val="es-ES"/>
        </w:rPr>
        <w:t xml:space="preserve"> aclarar el concepto de “cura” en el cual no existe evidencia de enfermedad activa, ni recaídas, con periodos prolongados libres de enfermedad. Remisión en este caso hace referencia a alcanzar un grado de respuesta con tratamiento, en el que se identifican menos de 5% de población tumoral (bastos) en médula ósea</w:t>
      </w:r>
      <w:r w:rsidR="00415C49" w:rsidRPr="004E4D14">
        <w:rPr>
          <w:rFonts w:ascii="Arial" w:hAnsi="Arial" w:cs="Arial"/>
          <w:sz w:val="20"/>
          <w:szCs w:val="20"/>
          <w:lang w:val="es-ES"/>
        </w:rPr>
        <w:fldChar w:fldCharType="begin" w:fldLock="1"/>
      </w:r>
      <w:r w:rsidR="000A0046" w:rsidRPr="004E4D14">
        <w:rPr>
          <w:rFonts w:ascii="Arial" w:hAnsi="Arial" w:cs="Arial"/>
          <w:sz w:val="20"/>
          <w:szCs w:val="20"/>
          <w:lang w:val="es-ES"/>
        </w:rPr>
        <w:instrText>ADDIN CSL_CITATION {"citationItems":[{"id":"ITEM-1","itemData":{"DOI":"10.1080/10428194.2017.1354372","ISSN":"10292403","abstract":"© 2017 Informa UK Limited, trading as Taylor  &amp;  Francis Group Progress in adult acute lymphoblastic leukemia (ALL) treatment has been met with challenge until recently. A steady improvement in outcomes is being witnessed among adults with ALL, and it will be enhanced further with early referral of newly diagnosed ALL patients to specialized centers, enrolling more ALL adults in clinical trials, adopting pediatric-inspired ALL regimens in younger adults, tailoring treatments according to minimal residual disease response and disease genetics, incorporating novel therapies and tyrosine kinase inhibitors in frontline regimens, early referral to transplant when indicated, expanding the donor pool, and developing more effective salvage therapies for relapsed/refractory ALL. In this review, we will discuss the most significant advances in treating adult ALL observed in the last five years that have the potential to enhance adult ALL treatment and outcome.","author":[{"dropping-particle":"","family":"Aldoss","given":"Ibrahim","non-dropping-particle":"","parse-names":false,"suffix":""},{"dropping-particle":"","family":"Stein","given":"Anthony S.","non-dropping-particle":"","parse-names":false,"suffix":""}],"container-title":"Leukemia and Lymphoma","id":"ITEM-1","issue":"5","issued":{"date-parts":[["2018"]]},"page":"1033-1050","publisher":"Informa Healthcare USA, Inc","title":"Advances in adult acute lymphoblastic leukemia therapy","type":"article-journal","volume":"59"},"uris":["http://www.mendeley.com/documents/?uuid=0fffd2ca-2e89-4d09-a768-4b5fc6552d72"]}],"mendeley":{"formattedCitation":"(19)","plainTextFormattedCitation":"(19)","previouslyFormattedCitation":"(19)"},"properties":{"noteIndex":0},"schema":"https://github.com/citation-style-language/schema/raw/master/csl-citation.json"}</w:instrText>
      </w:r>
      <w:r w:rsidR="00415C49" w:rsidRPr="004E4D14">
        <w:rPr>
          <w:rFonts w:ascii="Arial" w:hAnsi="Arial" w:cs="Arial"/>
          <w:sz w:val="20"/>
          <w:szCs w:val="20"/>
          <w:lang w:val="es-ES"/>
        </w:rPr>
        <w:fldChar w:fldCharType="separate"/>
      </w:r>
      <w:r w:rsidR="002637B3" w:rsidRPr="004E4D14">
        <w:rPr>
          <w:rFonts w:ascii="Arial" w:hAnsi="Arial" w:cs="Arial"/>
          <w:noProof/>
          <w:sz w:val="20"/>
          <w:szCs w:val="20"/>
          <w:lang w:val="es-ES"/>
        </w:rPr>
        <w:t>(19)</w:t>
      </w:r>
      <w:r w:rsidR="00415C49" w:rsidRPr="004E4D14">
        <w:rPr>
          <w:rFonts w:ascii="Arial" w:hAnsi="Arial" w:cs="Arial"/>
          <w:sz w:val="20"/>
          <w:szCs w:val="20"/>
          <w:lang w:val="es-ES"/>
        </w:rPr>
        <w:fldChar w:fldCharType="end"/>
      </w:r>
      <w:r w:rsidR="00560F43" w:rsidRPr="004E4D14">
        <w:rPr>
          <w:rFonts w:ascii="Arial" w:hAnsi="Arial" w:cs="Arial"/>
          <w:sz w:val="20"/>
          <w:szCs w:val="20"/>
          <w:lang w:val="es-ES"/>
        </w:rPr>
        <w:t xml:space="preserve">. </w:t>
      </w:r>
    </w:p>
    <w:p w14:paraId="2FBF6558" w14:textId="77777777" w:rsidR="00560F43" w:rsidRPr="004E4D14" w:rsidRDefault="00560F43" w:rsidP="004E4D14">
      <w:pPr>
        <w:widowControl w:val="0"/>
        <w:autoSpaceDE w:val="0"/>
        <w:autoSpaceDN w:val="0"/>
        <w:adjustRightInd w:val="0"/>
        <w:spacing w:before="100" w:line="276" w:lineRule="auto"/>
        <w:ind w:right="-198"/>
        <w:jc w:val="both"/>
        <w:rPr>
          <w:rFonts w:ascii="Arial" w:hAnsi="Arial" w:cs="Arial"/>
          <w:sz w:val="20"/>
          <w:szCs w:val="20"/>
          <w:lang w:val="es-ES"/>
        </w:rPr>
      </w:pPr>
      <w:r w:rsidRPr="004E4D14">
        <w:rPr>
          <w:rFonts w:ascii="Arial" w:hAnsi="Arial" w:cs="Arial"/>
          <w:sz w:val="20"/>
          <w:szCs w:val="20"/>
          <w:lang w:val="es-ES"/>
        </w:rPr>
        <w:t xml:space="preserve">Algunos de los elementos que se han identificado que justifican una peor respuesta en los adultos pueden incluir una mayor incidencia de genética de alto riesgo, tratamientos con una menor tasa de respuesta, incumplimiento con el tratamiento, intolerancia a tratamiento, poca estandarización de regímenes entre adultos, </w:t>
      </w:r>
      <w:r w:rsidR="00C3322E" w:rsidRPr="004E4D14">
        <w:rPr>
          <w:rFonts w:ascii="Arial" w:hAnsi="Arial" w:cs="Arial"/>
          <w:sz w:val="20"/>
          <w:szCs w:val="20"/>
          <w:lang w:val="es-ES"/>
        </w:rPr>
        <w:t>inclusión</w:t>
      </w:r>
      <w:r w:rsidRPr="004E4D14">
        <w:rPr>
          <w:rFonts w:ascii="Arial" w:hAnsi="Arial" w:cs="Arial"/>
          <w:sz w:val="20"/>
          <w:szCs w:val="20"/>
          <w:lang w:val="es-ES"/>
        </w:rPr>
        <w:t xml:space="preserve"> de una poca proporción de adultos diagnosticados con LLA en ensayos clínicos a diferencia de los pacientes </w:t>
      </w:r>
      <w:r w:rsidR="00C3322E" w:rsidRPr="004E4D14">
        <w:rPr>
          <w:rFonts w:ascii="Arial" w:hAnsi="Arial" w:cs="Arial"/>
          <w:sz w:val="20"/>
          <w:szCs w:val="20"/>
          <w:lang w:val="es-ES"/>
        </w:rPr>
        <w:t>pediátricos</w:t>
      </w:r>
      <w:r w:rsidRPr="004E4D14">
        <w:rPr>
          <w:rFonts w:ascii="Arial" w:hAnsi="Arial" w:cs="Arial"/>
          <w:sz w:val="20"/>
          <w:szCs w:val="20"/>
          <w:lang w:val="es-ES"/>
        </w:rPr>
        <w:t>, en quienes un mayor ingreso a ensayos clínicos ha permitido obtener datos valiosos que han mejorado progresivamente el enfoque y tratamiento de pacie</w:t>
      </w:r>
      <w:r w:rsidR="00C3322E" w:rsidRPr="004E4D14">
        <w:rPr>
          <w:rFonts w:ascii="Arial" w:hAnsi="Arial" w:cs="Arial"/>
          <w:sz w:val="20"/>
          <w:szCs w:val="20"/>
          <w:lang w:val="es-ES"/>
        </w:rPr>
        <w:t>ntes con LLA en este grupo etari</w:t>
      </w:r>
      <w:r w:rsidRPr="004E4D14">
        <w:rPr>
          <w:rFonts w:ascii="Arial" w:hAnsi="Arial" w:cs="Arial"/>
          <w:sz w:val="20"/>
          <w:szCs w:val="20"/>
          <w:lang w:val="es-ES"/>
        </w:rPr>
        <w:t>o</w:t>
      </w:r>
      <w:r w:rsidR="00415C49" w:rsidRPr="004E4D14">
        <w:rPr>
          <w:rFonts w:ascii="Arial" w:hAnsi="Arial" w:cs="Arial"/>
          <w:sz w:val="20"/>
          <w:szCs w:val="20"/>
          <w:lang w:val="es-ES"/>
        </w:rPr>
        <w:fldChar w:fldCharType="begin" w:fldLock="1"/>
      </w:r>
      <w:r w:rsidR="000A0046" w:rsidRPr="004E4D14">
        <w:rPr>
          <w:rFonts w:ascii="Arial" w:hAnsi="Arial" w:cs="Arial"/>
          <w:sz w:val="20"/>
          <w:szCs w:val="20"/>
          <w:lang w:val="es-ES"/>
        </w:rPr>
        <w:instrText>ADDIN CSL_CITATION {"citationItems":[{"id":"ITEM-1","itemData":{"DOI":"10.1080/10428194.2017.1354372","ISSN":"10292403","abstract":"© 2017 Informa UK Limited, trading as Taylor  &amp;  Francis Group Progress in adult acute lymphoblastic leukemia (ALL) treatment has been met with challenge until recently. A steady improvement in outcomes is being witnessed among adults with ALL, and it will be enhanced further with early referral of newly diagnosed ALL patients to specialized centers, enrolling more ALL adults in clinical trials, adopting pediatric-inspired ALL regimens in younger adults, tailoring treatments according to minimal residual disease response and disease genetics, incorporating novel therapies and tyrosine kinase inhibitors in frontline regimens, early referral to transplant when indicated, expanding the donor pool, and developing more effective salvage therapies for relapsed/refractory ALL. In this review, we will discuss the most significant advances in treating adult ALL observed in the last five years that have the potential to enhance adult ALL treatment and outcome.","author":[{"dropping-particle":"","family":"Aldoss","given":"Ibrahim","non-dropping-particle":"","parse-names":false,"suffix":""},{"dropping-particle":"","family":"Stein","given":"Anthony S.","non-dropping-particle":"","parse-names":false,"suffix":""}],"container-title":"Leukemia and Lymphoma","id":"ITEM-1","issue":"5","issued":{"date-parts":[["2018"]]},"page":"1033-1050","publisher":"Informa Healthcare USA, Inc","title":"Advances in adult acute lymphoblastic leukemia therapy","type":"article-journal","volume":"59"},"uris":["http://www.mendeley.com/documents/?uuid=0fffd2ca-2e89-4d09-a768-4b5fc6552d72"]},{"id":"ITEM-2","itemData":{"DOI":"10.1056/NEJMra023001","ISSN":"0028-4793","abstract":"Acute lymphoblastic leukaemia occurs in both children and adults but its incidence peaks between 2 and 5 years of age. Causation is multifactorial and exogenous or endogenous exposures, genetic susceptibility, and chance have roles. Survival in paediatric acute lymphoblastic leukaemia has improved to roughly 90% in trials with risk stratification by biological features of leukaemic cells and response to treatment, treatment modification based on patients' pharmacodynamics and pharmacogenomics, and improved supportive care. However, innovative approaches are needed to further improve survival while reducing adverse effects. Prognosis remains poor in infants and adults. Genome-wide profiling of germline and leukaemic cell DNA has identified novel submicroscopic structural genetic changes and sequence mutations that contribute to leukaemogenesis, define new disease subtypes, affect responsiveness to treatment, and might provide novel prognostic markers and therapeutic targets for personalised medicine.","author":[{"dropping-particle":"","family":"Pui","given":"Ching-Hon","non-dropping-particle":"","parse-names":false,"suffix":""},{"dropping-particle":"V.","family":"Relling","given":"Mary","non-dropping-particle":"","parse-names":false,"suffix":""},{"dropping-particle":"","family":"Downing","given":"James R.","non-dropping-particle":"","parse-names":false,"suffix":""}],"container-title":"New England Journal of Medicine","id":"ITEM-2","issue":"15","issued":{"date-parts":[["2004","4","8"]]},"page":"1535-1548","title":"Acute Lymphoblastic Leukemia","type":"article-journal","volume":"350"},"uris":["http://www.mendeley.com/documents/?uuid=882eeaf8-6ba0-44ca-b1e1-f51e13855a05"]}],"mendeley":{"formattedCitation":"(16,19)","plainTextFormattedCitation":"(16,19)","previouslyFormattedCitation":"(16,19)"},"properties":{"noteIndex":0},"schema":"https://github.com/citation-style-language/schema/raw/master/csl-citation.json"}</w:instrText>
      </w:r>
      <w:r w:rsidR="00415C49" w:rsidRPr="004E4D14">
        <w:rPr>
          <w:rFonts w:ascii="Arial" w:hAnsi="Arial" w:cs="Arial"/>
          <w:sz w:val="20"/>
          <w:szCs w:val="20"/>
          <w:lang w:val="es-ES"/>
        </w:rPr>
        <w:fldChar w:fldCharType="separate"/>
      </w:r>
      <w:r w:rsidR="002637B3" w:rsidRPr="004E4D14">
        <w:rPr>
          <w:rFonts w:ascii="Arial" w:hAnsi="Arial" w:cs="Arial"/>
          <w:noProof/>
          <w:sz w:val="20"/>
          <w:szCs w:val="20"/>
          <w:lang w:val="es-ES"/>
        </w:rPr>
        <w:t>(16,19)</w:t>
      </w:r>
      <w:r w:rsidR="00415C49" w:rsidRPr="004E4D14">
        <w:rPr>
          <w:rFonts w:ascii="Arial" w:hAnsi="Arial" w:cs="Arial"/>
          <w:sz w:val="20"/>
          <w:szCs w:val="20"/>
          <w:lang w:val="es-ES"/>
        </w:rPr>
        <w:fldChar w:fldCharType="end"/>
      </w:r>
      <w:r w:rsidRPr="004E4D14">
        <w:rPr>
          <w:rFonts w:ascii="Arial" w:hAnsi="Arial" w:cs="Arial"/>
          <w:sz w:val="20"/>
          <w:szCs w:val="20"/>
          <w:lang w:val="es-ES"/>
        </w:rPr>
        <w:t xml:space="preserve">. </w:t>
      </w:r>
    </w:p>
    <w:p w14:paraId="5C9FB75C" w14:textId="77777777" w:rsidR="00E13526" w:rsidRPr="004E4D14" w:rsidRDefault="00E13526"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bCs/>
          <w:color w:val="000000"/>
          <w:sz w:val="20"/>
          <w:szCs w:val="20"/>
          <w:lang w:val="es-ES"/>
        </w:rPr>
      </w:pPr>
      <w:r w:rsidRPr="004E4D14">
        <w:rPr>
          <w:rFonts w:ascii="Arial" w:hAnsi="Arial" w:cs="Arial"/>
          <w:bCs/>
          <w:color w:val="000000"/>
          <w:sz w:val="20"/>
          <w:szCs w:val="20"/>
          <w:lang w:val="es-ES"/>
        </w:rPr>
        <w:t xml:space="preserve">Además, se ha documentado de forma clara, que el mejor pronóstico de la LLA en niños va de la mano con una mayor identificación en factores de buen pronóstico dentro de la población pediátrica como la Hiperdiploidia, t(12;21) TEL-AML1; a diferencia de los adultos que presentan de forma </w:t>
      </w:r>
      <w:r w:rsidR="00403F96" w:rsidRPr="004E4D14">
        <w:rPr>
          <w:rFonts w:ascii="Arial" w:hAnsi="Arial" w:cs="Arial"/>
          <w:bCs/>
          <w:color w:val="000000"/>
          <w:sz w:val="20"/>
          <w:szCs w:val="20"/>
          <w:lang w:val="es-ES"/>
        </w:rPr>
        <w:t>más</w:t>
      </w:r>
      <w:r w:rsidRPr="004E4D14">
        <w:rPr>
          <w:rFonts w:ascii="Arial" w:hAnsi="Arial" w:cs="Arial"/>
          <w:bCs/>
          <w:color w:val="000000"/>
          <w:sz w:val="20"/>
          <w:szCs w:val="20"/>
          <w:lang w:val="es-ES"/>
        </w:rPr>
        <w:t xml:space="preserve"> frecuente mutaciones de alto riesgo, como re-arreglos del gen MLL</w:t>
      </w:r>
      <w:r w:rsidR="00134824" w:rsidRPr="004E4D14">
        <w:rPr>
          <w:rFonts w:ascii="Arial" w:hAnsi="Arial" w:cs="Arial"/>
          <w:bCs/>
          <w:color w:val="000000"/>
          <w:sz w:val="20"/>
          <w:szCs w:val="20"/>
          <w:lang w:val="es-ES"/>
        </w:rPr>
        <w:t>:</w:t>
      </w:r>
      <w:r w:rsidRPr="004E4D14">
        <w:rPr>
          <w:rFonts w:ascii="Arial" w:hAnsi="Arial" w:cs="Arial"/>
          <w:bCs/>
          <w:color w:val="000000"/>
          <w:sz w:val="20"/>
          <w:szCs w:val="20"/>
          <w:lang w:val="es-ES"/>
        </w:rPr>
        <w:t xml:space="preserve"> t(</w:t>
      </w:r>
      <w:r w:rsidR="00134824" w:rsidRPr="004E4D14">
        <w:rPr>
          <w:rFonts w:ascii="Arial" w:hAnsi="Arial" w:cs="Arial"/>
          <w:bCs/>
          <w:color w:val="000000"/>
          <w:sz w:val="20"/>
          <w:szCs w:val="20"/>
          <w:lang w:val="es-ES"/>
        </w:rPr>
        <w:t>4;11), t(11;19), t(9;11), t(9;11</w:t>
      </w:r>
      <w:r w:rsidR="00480E99">
        <w:rPr>
          <w:rFonts w:ascii="Arial" w:hAnsi="Arial" w:cs="Arial"/>
          <w:bCs/>
          <w:color w:val="000000"/>
          <w:sz w:val="20"/>
          <w:szCs w:val="20"/>
          <w:lang w:val="es-ES"/>
        </w:rPr>
        <w:t xml:space="preserve">) </w:t>
      </w:r>
      <w:r w:rsidR="00415C49" w:rsidRPr="004E4D14">
        <w:rPr>
          <w:rFonts w:ascii="Arial" w:hAnsi="Arial" w:cs="Arial"/>
          <w:bCs/>
          <w:color w:val="000000"/>
          <w:sz w:val="20"/>
          <w:szCs w:val="20"/>
          <w:lang w:val="es-ES"/>
        </w:rPr>
        <w:fldChar w:fldCharType="begin" w:fldLock="1"/>
      </w:r>
      <w:r w:rsidR="002637B3" w:rsidRPr="004E4D14">
        <w:rPr>
          <w:rFonts w:ascii="Arial" w:hAnsi="Arial" w:cs="Arial"/>
          <w:bCs/>
          <w:color w:val="000000"/>
          <w:sz w:val="20"/>
          <w:szCs w:val="20"/>
          <w:lang w:val="es-ES"/>
        </w:rPr>
        <w:instrText>ADDIN CSL_CITATION {"citationItems":[{"id":"ITEM-1","itemData":{"DOI":"10.1056/NEJMra023001","ISSN":"0028-4793","abstract":"Acute lymphoblastic leukaemia occurs in both children and adults but its incidence peaks between 2 and 5 years of age. Causation is multifactorial and exogenous or endogenous exposures, genetic susceptibility, and chance have roles. Survival in paediatric acute lymphoblastic leukaemia has improved to roughly 90% in trials with risk stratification by biological features of leukaemic cells and response to treatment, treatment modification based on patients' pharmacodynamics and pharmacogenomics, and improved supportive care. However, innovative approaches are needed to further improve survival while reducing adverse effects. Prognosis remains poor in infants and adults. Genome-wide profiling of germline and leukaemic cell DNA has identified novel submicroscopic structural genetic changes and sequence mutations that contribute to leukaemogenesis, define new disease subtypes, affect responsiveness to treatment, and might provide novel prognostic markers and therapeutic targets for personalised medicine.","author":[{"dropping-particle":"","family":"Pui","given":"Ching-Hon","non-dropping-particle":"","parse-names":false,"suffix":""},{"dropping-particle":"V.","family":"Relling","given":"Mary","non-dropping-particle":"","parse-names":false,"suffix":""},{"dropping-particle":"","family":"Downing","given":"James R.","non-dropping-particle":"","parse-names":false,"suffix":""}],"container-title":"New England Journal of Medicine","id":"ITEM-1","issue":"15","issued":{"date-parts":[["2004","4","8"]]},"page":"1535-1548","title":"Acute Lymphoblastic Leukemia","type":"article-journal","volume":"350"},"uris":["http://www.mendeley.com/documents/?uuid=882eeaf8-6ba0-44ca-b1e1-f51e13855a05"]}],"mendeley":{"formattedCitation":"(16)","plainTextFormattedCitation":"(16)","previouslyFormattedCitation":"(16)"},"properties":{"noteIndex":0},"schema":"https://github.com/citation-style-language/schema/raw/master/csl-citation.json"}</w:instrText>
      </w:r>
      <w:r w:rsidR="00415C49" w:rsidRPr="004E4D14">
        <w:rPr>
          <w:rFonts w:ascii="Arial" w:hAnsi="Arial" w:cs="Arial"/>
          <w:bCs/>
          <w:color w:val="000000"/>
          <w:sz w:val="20"/>
          <w:szCs w:val="20"/>
          <w:lang w:val="es-ES"/>
        </w:rPr>
        <w:fldChar w:fldCharType="separate"/>
      </w:r>
      <w:r w:rsidR="002637B3" w:rsidRPr="004E4D14">
        <w:rPr>
          <w:rFonts w:ascii="Arial" w:hAnsi="Arial" w:cs="Arial"/>
          <w:bCs/>
          <w:noProof/>
          <w:color w:val="000000"/>
          <w:sz w:val="20"/>
          <w:szCs w:val="20"/>
          <w:lang w:val="es-ES"/>
        </w:rPr>
        <w:t>(16)</w:t>
      </w:r>
      <w:r w:rsidR="00415C49" w:rsidRPr="004E4D14">
        <w:rPr>
          <w:rFonts w:ascii="Arial" w:hAnsi="Arial" w:cs="Arial"/>
          <w:bCs/>
          <w:color w:val="000000"/>
          <w:sz w:val="20"/>
          <w:szCs w:val="20"/>
          <w:lang w:val="es-ES"/>
        </w:rPr>
        <w:fldChar w:fldCharType="end"/>
      </w:r>
      <w:r w:rsidRPr="004E4D14">
        <w:rPr>
          <w:rFonts w:ascii="Arial" w:hAnsi="Arial" w:cs="Arial"/>
          <w:bCs/>
          <w:color w:val="000000"/>
          <w:sz w:val="20"/>
          <w:szCs w:val="20"/>
          <w:lang w:val="es-ES"/>
        </w:rPr>
        <w:t xml:space="preserve"> . </w:t>
      </w:r>
      <w:r w:rsidR="00134824" w:rsidRPr="004E4D14">
        <w:rPr>
          <w:rFonts w:ascii="Arial" w:hAnsi="Arial" w:cs="Arial"/>
          <w:bCs/>
          <w:color w:val="000000"/>
          <w:sz w:val="20"/>
          <w:szCs w:val="20"/>
          <w:lang w:val="es-ES"/>
        </w:rPr>
        <w:t xml:space="preserve"> Figura 1.</w:t>
      </w:r>
    </w:p>
    <w:p w14:paraId="764A2ED1" w14:textId="77777777" w:rsidR="002D5BD7" w:rsidRDefault="002D5BD7" w:rsidP="00E13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bCs/>
          <w:color w:val="000000"/>
          <w:sz w:val="20"/>
          <w:szCs w:val="20"/>
          <w:lang w:val="es-ES"/>
        </w:rPr>
      </w:pPr>
    </w:p>
    <w:p w14:paraId="16F3056F" w14:textId="77777777" w:rsidR="00134824" w:rsidRDefault="00287278" w:rsidP="00E13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bCs/>
          <w:color w:val="000000"/>
          <w:sz w:val="20"/>
          <w:szCs w:val="20"/>
          <w:lang w:val="es-ES"/>
        </w:rPr>
      </w:pPr>
      <w:r>
        <w:rPr>
          <w:noProof/>
          <w:lang w:val="es-CO" w:eastAsia="es-CO"/>
        </w:rPr>
        <w:drawing>
          <wp:inline distT="0" distB="0" distL="0" distR="0" wp14:anchorId="7BF5BC56" wp14:editId="1D4718AB">
            <wp:extent cx="5612130" cy="2894330"/>
            <wp:effectExtent l="0" t="0" r="26670" b="2667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243065" w14:textId="77777777" w:rsidR="002D5BD7" w:rsidRPr="00134824" w:rsidRDefault="00134824" w:rsidP="00134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center"/>
        <w:rPr>
          <w:rFonts w:ascii="Arial" w:hAnsi="Arial" w:cs="Arial"/>
          <w:bCs/>
          <w:i/>
          <w:color w:val="000000"/>
          <w:sz w:val="18"/>
          <w:szCs w:val="18"/>
          <w:lang w:val="es-ES"/>
        </w:rPr>
      </w:pPr>
      <w:r w:rsidRPr="00134824">
        <w:rPr>
          <w:rFonts w:ascii="Arial" w:hAnsi="Arial" w:cs="Arial"/>
          <w:b/>
          <w:bCs/>
          <w:i/>
          <w:color w:val="000000"/>
          <w:sz w:val="18"/>
          <w:szCs w:val="18"/>
          <w:lang w:val="es-ES"/>
        </w:rPr>
        <w:t>Figura 1.</w:t>
      </w:r>
      <w:r w:rsidRPr="00134824">
        <w:rPr>
          <w:rFonts w:ascii="Arial" w:hAnsi="Arial" w:cs="Arial"/>
          <w:bCs/>
          <w:i/>
          <w:color w:val="000000"/>
          <w:sz w:val="18"/>
          <w:szCs w:val="18"/>
          <w:lang w:val="es-ES"/>
        </w:rPr>
        <w:t xml:space="preserve"> Porcentajes de frecuencia de alteraciones citogenéticas recurrentes de riesgo adverso y favorable entre niños y adultos con LLA-B</w:t>
      </w:r>
      <w:r w:rsidR="00415C49">
        <w:rPr>
          <w:rFonts w:ascii="Arial" w:hAnsi="Arial" w:cs="Arial"/>
          <w:bCs/>
          <w:i/>
          <w:color w:val="000000"/>
          <w:sz w:val="18"/>
          <w:szCs w:val="18"/>
          <w:lang w:val="es-ES"/>
        </w:rPr>
        <w:fldChar w:fldCharType="begin" w:fldLock="1"/>
      </w:r>
      <w:r w:rsidR="003B54E2">
        <w:rPr>
          <w:rFonts w:ascii="Arial" w:hAnsi="Arial" w:cs="Arial"/>
          <w:bCs/>
          <w:i/>
          <w:color w:val="000000"/>
          <w:sz w:val="18"/>
          <w:szCs w:val="18"/>
          <w:lang w:val="es-ES"/>
        </w:rPr>
        <w:instrText>ADDIN CSL_CITATION {"citationItems":[{"id":"ITEM-1","itemData":{"DOI":"10.1056/NEJMra023001","ISSN":"0028-4793","abstract":"Acute lymphoblastic leukaemia occurs in both children and adults but its incidence peaks between 2 and 5 years of age. Causation is multifactorial and exogenous or endogenous exposures, genetic susceptibility, and chance have roles. Survival in paediatric acute lymphoblastic leukaemia has improved to roughly 90% in trials with risk stratification by biological features of leukaemic cells and response to treatment, treatment modification based on patients' pharmacodynamics and pharmacogenomics, and improved supportive care. However, innovative approaches are needed to further improve survival while reducing adverse effects. Prognosis remains poor in infants and adults. Genome-wide profiling of germline and leukaemic cell DNA has identified novel submicroscopic structural genetic changes and sequence mutations that contribute to leukaemogenesis, define new disease subtypes, affect responsiveness to treatment, and might provide novel prognostic markers and therapeutic targets for personalised medicine.","author":[{"dropping-particle":"","family":"Pui","given":"Ching-Hon","non-dropping-particle":"","parse-names":false,"suffix":""},{"dropping-particle":"V.","family":"Relling","given":"Mary","non-dropping-particle":"","parse-names":false,"suffix":""},{"dropping-particle":"","family":"Downing","given":"James R.","non-dropping-particle":"","parse-names":false,"suffix":""}],"container-title":"New England Journal of Medicine","id":"ITEM-1","issue":"15","issued":{"date-parts":[["2004","4","8"]]},"page":"1535-1548","title":"Acute Lymphoblastic Leukemia","type":"article-journal","volume":"350"},"uris":["http://www.mendeley.com/documents/?uuid=882eeaf8-6ba0-44ca-b1e1-f51e13855a05"]}],"mendeley":{"formattedCitation":"(16)","plainTextFormattedCitation":"(16)","previouslyFormattedCitation":"(16)"},"properties":{"noteIndex":0},"schema":"https://github.com/citation-style-language/schema/raw/master/csl-citation.json"}</w:instrText>
      </w:r>
      <w:r w:rsidR="00415C49">
        <w:rPr>
          <w:rFonts w:ascii="Arial" w:hAnsi="Arial" w:cs="Arial"/>
          <w:bCs/>
          <w:i/>
          <w:color w:val="000000"/>
          <w:sz w:val="18"/>
          <w:szCs w:val="18"/>
          <w:lang w:val="es-ES"/>
        </w:rPr>
        <w:fldChar w:fldCharType="separate"/>
      </w:r>
      <w:r w:rsidR="00F440BB" w:rsidRPr="00F440BB">
        <w:rPr>
          <w:rFonts w:ascii="Arial" w:hAnsi="Arial" w:cs="Arial"/>
          <w:bCs/>
          <w:noProof/>
          <w:color w:val="000000"/>
          <w:sz w:val="18"/>
          <w:szCs w:val="18"/>
          <w:lang w:val="es-ES"/>
        </w:rPr>
        <w:t>(16)</w:t>
      </w:r>
      <w:r w:rsidR="00415C49">
        <w:rPr>
          <w:rFonts w:ascii="Arial" w:hAnsi="Arial" w:cs="Arial"/>
          <w:bCs/>
          <w:i/>
          <w:color w:val="000000"/>
          <w:sz w:val="18"/>
          <w:szCs w:val="18"/>
          <w:lang w:val="es-ES"/>
        </w:rPr>
        <w:fldChar w:fldCharType="end"/>
      </w:r>
      <w:r w:rsidRPr="00134824">
        <w:rPr>
          <w:rFonts w:ascii="Arial" w:hAnsi="Arial" w:cs="Arial"/>
          <w:bCs/>
          <w:i/>
          <w:color w:val="000000"/>
          <w:sz w:val="18"/>
          <w:szCs w:val="18"/>
          <w:lang w:val="es-ES"/>
        </w:rPr>
        <w:t>.</w:t>
      </w:r>
    </w:p>
    <w:p w14:paraId="7B614796" w14:textId="77777777" w:rsidR="00E13526" w:rsidRPr="006D162B" w:rsidRDefault="00E13526" w:rsidP="00C33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imes Roman" w:hAnsi="Times Roman" w:cs="Times Roman"/>
          <w:b/>
          <w:bCs/>
          <w:color w:val="000000"/>
          <w:sz w:val="20"/>
          <w:szCs w:val="20"/>
          <w:lang w:val="es-ES"/>
        </w:rPr>
      </w:pPr>
    </w:p>
    <w:p w14:paraId="5E044ED6" w14:textId="3286516A" w:rsidR="00D70730" w:rsidRPr="004E4D14" w:rsidRDefault="00560F43"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Sin embargo, la mejoría progresiva del pronóstico de los pacientes adultos con LLA se ha observado entre otros, con la adaptación de regímenes de quimioterapia inspirados en protocolos </w:t>
      </w:r>
      <w:r w:rsidR="00C3322E" w:rsidRPr="004E4D14">
        <w:rPr>
          <w:rFonts w:ascii="Arial" w:hAnsi="Arial" w:cs="Arial"/>
          <w:sz w:val="20"/>
          <w:szCs w:val="20"/>
          <w:lang w:val="es-ES"/>
        </w:rPr>
        <w:t>pediátricos</w:t>
      </w:r>
      <w:r w:rsidRPr="004E4D14">
        <w:rPr>
          <w:rFonts w:ascii="Arial" w:hAnsi="Arial" w:cs="Arial"/>
          <w:sz w:val="20"/>
          <w:szCs w:val="20"/>
          <w:lang w:val="es-ES"/>
        </w:rPr>
        <w:t xml:space="preserve">, mejor selección e identificación de los casos de alto riesgo citogenético lo que ha permitido una remisión temprana de estos pacientes para trasplante alogénico de progenitores hemapoyéticos como estrategia de consolidación, aumento en la disponibilidad de donantes disponibles, identificación y análisis de </w:t>
      </w:r>
      <w:r w:rsidR="004C0EFF">
        <w:rPr>
          <w:rFonts w:ascii="Arial" w:hAnsi="Arial" w:cs="Arial"/>
          <w:sz w:val="20"/>
          <w:szCs w:val="20"/>
          <w:lang w:val="es-ES"/>
        </w:rPr>
        <w:t>EMR</w:t>
      </w:r>
      <w:r w:rsidR="009A56EE">
        <w:rPr>
          <w:rFonts w:ascii="Arial" w:hAnsi="Arial" w:cs="Arial"/>
          <w:sz w:val="20"/>
          <w:szCs w:val="20"/>
          <w:lang w:val="es-ES"/>
        </w:rPr>
        <w:t xml:space="preserve"> </w:t>
      </w:r>
      <w:r w:rsidRPr="004E4D14">
        <w:rPr>
          <w:rFonts w:ascii="Arial" w:hAnsi="Arial" w:cs="Arial"/>
          <w:sz w:val="20"/>
          <w:szCs w:val="20"/>
          <w:lang w:val="es-ES"/>
        </w:rPr>
        <w:t>en la toma de decisiones terapéuticas en este grupo de pacientes</w:t>
      </w:r>
      <w:r w:rsidR="00415C49" w:rsidRPr="004E4D14">
        <w:rPr>
          <w:rFonts w:ascii="Arial" w:hAnsi="Arial" w:cs="Arial"/>
          <w:sz w:val="20"/>
          <w:szCs w:val="20"/>
          <w:lang w:val="es-ES"/>
        </w:rPr>
        <w:fldChar w:fldCharType="begin" w:fldLock="1"/>
      </w:r>
      <w:r w:rsidR="000A0046" w:rsidRPr="004E4D14">
        <w:rPr>
          <w:rFonts w:ascii="Arial" w:hAnsi="Arial" w:cs="Arial"/>
          <w:sz w:val="20"/>
          <w:szCs w:val="20"/>
          <w:lang w:val="es-ES"/>
        </w:rPr>
        <w:instrText>ADDIN CSL_CITATION {"citationItems":[{"id":"ITEM-1","itemData":{"DOI":"10.1080/10428194.2017.1354372","ISSN":"10292403","abstract":"© 2017 Informa UK Limited, trading as Taylor  &amp;  Francis Group Progress in adult acute lymphoblastic leukemia (ALL) treatment has been met with challenge until recently. A steady improvement in outcomes is being witnessed among adults with ALL, and it will be enhanced further with early referral of newly diagnosed ALL patients to specialized centers, enrolling more ALL adults in clinical trials, adopting pediatric-inspired ALL regimens in younger adults, tailoring treatments according to minimal residual disease response and disease genetics, incorporating novel therapies and tyrosine kinase inhibitors in frontline regimens, early referral to transplant when indicated, expanding the donor pool, and developing more effective salvage therapies for relapsed/refractory ALL. In this review, we will discuss the most significant advances in treating adult ALL observed in the last five years that have the potential to enhance adult ALL treatment and outcome.","author":[{"dropping-particle":"","family":"Aldoss","given":"Ibrahim","non-dropping-particle":"","parse-names":false,"suffix":""},{"dropping-particle":"","family":"Stein","given":"Anthony S.","non-dropping-particle":"","parse-names":false,"suffix":""}],"container-title":"Leukemia and Lymphoma","id":"ITEM-1","issue":"5","issued":{"date-parts":[["2018"]]},"page":"1033-1050","publisher":"Informa Healthcare USA, Inc","title":"Advances in adult acute lymphoblastic leukemia therapy","type":"article-journal","volume":"59"},"uris":["http://www.mendeley.com/documents/?uuid=0fffd2ca-2e89-4d09-a768-4b5fc6552d72"]},{"id":"ITEM-2","itemData":{"DOI":"10.1056/NEJMra023001","ISSN":"0028-4793","abstract":"Acute lymphoblastic leukaemia occurs in both children and adults but its incidence peaks between 2 and 5 years of age. Causation is multifactorial and exogenous or endogenous exposures, genetic susceptibility, and chance have roles. Survival in paediatric acute lymphoblastic leukaemia has improved to roughly 90% in trials with risk stratification by biological features of leukaemic cells and response to treatment, treatment modification based on patients' pharmacodynamics and pharmacogenomics, and improved supportive care. However, innovative approaches are needed to further improve survival while reducing adverse effects. Prognosis remains poor in infants and adults. Genome-wide profiling of germline and leukaemic cell DNA has identified novel submicroscopic structural genetic changes and sequence mutations that contribute to leukaemogenesis, define new disease subtypes, affect responsiveness to treatment, and might provide novel prognostic markers and therapeutic targets for personalised medicine.","author":[{"dropping-particle":"","family":"Pui","given":"Ching-Hon","non-dropping-particle":"","parse-names":false,"suffix":""},{"dropping-particle":"V.","family":"Relling","given":"Mary","non-dropping-particle":"","parse-names":false,"suffix":""},{"dropping-particle":"","family":"Downing","given":"James R.","non-dropping-particle":"","parse-names":false,"suffix":""}],"container-title":"New England Journal of Medicine","id":"ITEM-2","issue":"15","issued":{"date-parts":[["2004","4","8"]]},"page":"1535-1548","title":"Acute Lymphoblastic Leukemia","type":"article-journal","volume":"350"},"uris":["http://www.mendeley.com/documents/?uuid=882eeaf8-6ba0-44ca-b1e1-f51e13855a05"]}],"mendeley":{"formattedCitation":"(16,19)","plainTextFormattedCitation":"(16,19)","previouslyFormattedCitation":"(16,19)"},"properties":{"noteIndex":0},"schema":"https://github.com/citation-style-language/schema/raw/master/csl-citation.json"}</w:instrText>
      </w:r>
      <w:r w:rsidR="00415C49" w:rsidRPr="004E4D14">
        <w:rPr>
          <w:rFonts w:ascii="Arial" w:hAnsi="Arial" w:cs="Arial"/>
          <w:sz w:val="20"/>
          <w:szCs w:val="20"/>
          <w:lang w:val="es-ES"/>
        </w:rPr>
        <w:fldChar w:fldCharType="separate"/>
      </w:r>
      <w:r w:rsidR="002637B3" w:rsidRPr="004E4D14">
        <w:rPr>
          <w:rFonts w:ascii="Arial" w:hAnsi="Arial" w:cs="Arial"/>
          <w:noProof/>
          <w:sz w:val="20"/>
          <w:szCs w:val="20"/>
          <w:lang w:val="es-ES"/>
        </w:rPr>
        <w:t>(16,19)</w:t>
      </w:r>
      <w:r w:rsidR="00415C49" w:rsidRPr="004E4D14">
        <w:rPr>
          <w:rFonts w:ascii="Arial" w:hAnsi="Arial" w:cs="Arial"/>
          <w:sz w:val="20"/>
          <w:szCs w:val="20"/>
          <w:lang w:val="es-ES"/>
        </w:rPr>
        <w:fldChar w:fldCharType="end"/>
      </w:r>
      <w:r w:rsidRPr="004E4D14">
        <w:rPr>
          <w:rFonts w:ascii="Arial" w:hAnsi="Arial" w:cs="Arial"/>
          <w:sz w:val="20"/>
          <w:szCs w:val="20"/>
          <w:lang w:val="es-ES"/>
        </w:rPr>
        <w:t>.</w:t>
      </w:r>
    </w:p>
    <w:p w14:paraId="66513FA2" w14:textId="77777777" w:rsidR="009E6FE5" w:rsidRPr="004E4D14" w:rsidRDefault="009E6FE5"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b/>
          <w:sz w:val="20"/>
          <w:szCs w:val="20"/>
          <w:lang w:val="es-ES"/>
        </w:rPr>
      </w:pPr>
    </w:p>
    <w:p w14:paraId="5603062A" w14:textId="77777777" w:rsidR="0097166E" w:rsidRPr="004E4D14" w:rsidRDefault="0097166E" w:rsidP="004E4D14">
      <w:pPr>
        <w:widowControl w:val="0"/>
        <w:autoSpaceDE w:val="0"/>
        <w:autoSpaceDN w:val="0"/>
        <w:adjustRightInd w:val="0"/>
        <w:spacing w:after="0" w:line="276" w:lineRule="auto"/>
        <w:rPr>
          <w:rFonts w:ascii="Arial" w:hAnsi="Arial" w:cs="Arial"/>
          <w:b/>
          <w:sz w:val="20"/>
          <w:szCs w:val="20"/>
          <w:lang w:val="es-ES"/>
        </w:rPr>
      </w:pPr>
    </w:p>
    <w:p w14:paraId="4D104AB4" w14:textId="77777777" w:rsidR="009E6FE5" w:rsidRPr="004E4D14" w:rsidRDefault="009E6FE5" w:rsidP="004E4D14">
      <w:pPr>
        <w:widowControl w:val="0"/>
        <w:autoSpaceDE w:val="0"/>
        <w:autoSpaceDN w:val="0"/>
        <w:adjustRightInd w:val="0"/>
        <w:spacing w:after="0" w:line="276" w:lineRule="auto"/>
        <w:rPr>
          <w:rFonts w:ascii="Arial" w:hAnsi="Arial" w:cs="Arial"/>
          <w:b/>
          <w:sz w:val="20"/>
          <w:szCs w:val="20"/>
          <w:lang w:val="es-ES"/>
        </w:rPr>
      </w:pPr>
      <w:r w:rsidRPr="004E4D14">
        <w:rPr>
          <w:rFonts w:ascii="Arial" w:hAnsi="Arial" w:cs="Arial"/>
          <w:b/>
          <w:sz w:val="20"/>
          <w:szCs w:val="20"/>
          <w:lang w:val="es-ES"/>
        </w:rPr>
        <w:t>TRATAMIENTO DE LLA-B FILADELFIA NEGATIVO</w:t>
      </w:r>
    </w:p>
    <w:p w14:paraId="050EC63E" w14:textId="77777777" w:rsidR="009E6FE5" w:rsidRPr="004E4D14" w:rsidRDefault="009E6FE5" w:rsidP="004E4D14">
      <w:pPr>
        <w:widowControl w:val="0"/>
        <w:autoSpaceDE w:val="0"/>
        <w:autoSpaceDN w:val="0"/>
        <w:adjustRightInd w:val="0"/>
        <w:spacing w:after="0" w:line="276" w:lineRule="auto"/>
        <w:rPr>
          <w:rFonts w:ascii="Arial" w:hAnsi="Arial" w:cs="Arial"/>
          <w:sz w:val="20"/>
          <w:szCs w:val="20"/>
          <w:lang w:val="es-ES"/>
        </w:rPr>
      </w:pPr>
    </w:p>
    <w:p w14:paraId="22D7ECC0" w14:textId="77777777" w:rsidR="0097166E" w:rsidRPr="004E4D14" w:rsidRDefault="0097166E"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El tratamiento de </w:t>
      </w:r>
      <w:r w:rsidR="00A774C7">
        <w:rPr>
          <w:rFonts w:ascii="Arial" w:hAnsi="Arial" w:cs="Arial"/>
          <w:sz w:val="20"/>
          <w:szCs w:val="20"/>
          <w:lang w:val="es-ES"/>
        </w:rPr>
        <w:t xml:space="preserve">la </w:t>
      </w:r>
      <w:r w:rsidRPr="004E4D14">
        <w:rPr>
          <w:rFonts w:ascii="Arial" w:hAnsi="Arial" w:cs="Arial"/>
          <w:sz w:val="20"/>
          <w:szCs w:val="20"/>
          <w:lang w:val="es-ES"/>
        </w:rPr>
        <w:t xml:space="preserve">LLA sigue siendo un reto terapéutico para la población adulta. Si bien, la gran mayoría de publicaciones e investigaciones concernientes a LLA </w:t>
      </w:r>
      <w:r w:rsidR="00403F96" w:rsidRPr="004E4D14">
        <w:rPr>
          <w:rFonts w:ascii="Arial" w:hAnsi="Arial" w:cs="Arial"/>
          <w:sz w:val="20"/>
          <w:szCs w:val="20"/>
          <w:lang w:val="es-ES"/>
        </w:rPr>
        <w:t>está</w:t>
      </w:r>
      <w:r w:rsidRPr="004E4D14">
        <w:rPr>
          <w:rFonts w:ascii="Arial" w:hAnsi="Arial" w:cs="Arial"/>
          <w:sz w:val="20"/>
          <w:szCs w:val="20"/>
          <w:lang w:val="es-ES"/>
        </w:rPr>
        <w:t xml:space="preserve"> enfocada a la población pediátrica con tasas de cura muy altas, desafortunadamente no sucede lo mismo en los adultos. Cerca del 40% de los pacientes afectados con LLA tienen m</w:t>
      </w:r>
      <w:r w:rsidR="00A774C7">
        <w:rPr>
          <w:rFonts w:ascii="Arial" w:hAnsi="Arial" w:cs="Arial"/>
          <w:sz w:val="20"/>
          <w:szCs w:val="20"/>
          <w:lang w:val="es-ES"/>
        </w:rPr>
        <w:t>á</w:t>
      </w:r>
      <w:r w:rsidRPr="004E4D14">
        <w:rPr>
          <w:rFonts w:ascii="Arial" w:hAnsi="Arial" w:cs="Arial"/>
          <w:sz w:val="20"/>
          <w:szCs w:val="20"/>
          <w:lang w:val="es-ES"/>
        </w:rPr>
        <w:t xml:space="preserve">s de 20 años. Es por esto, que múltiples esfuerzos tratando de adaptar las terapias pediátricas a la población adulta se han realizado, sin embargo, las dosis de quimioterapia multi-agente infantil utilizada en adultos puede resultar muy tóxica. Varios análisis retrospectivos han procurado comparar los resultados entre los adolescentes y adultos jóvenes (AYA por las siglas en inglés de </w:t>
      </w:r>
      <w:r w:rsidR="00415C49" w:rsidRPr="00403F96">
        <w:rPr>
          <w:rFonts w:ascii="Arial" w:hAnsi="Arial" w:cs="Arial"/>
          <w:sz w:val="20"/>
          <w:szCs w:val="20"/>
          <w:lang w:val="es-CO"/>
        </w:rPr>
        <w:t xml:space="preserve">Adolescent and </w:t>
      </w:r>
      <w:r w:rsidR="00A774C7">
        <w:rPr>
          <w:rFonts w:ascii="Arial" w:hAnsi="Arial" w:cs="Arial"/>
          <w:sz w:val="20"/>
          <w:szCs w:val="20"/>
          <w:lang w:val="es-CO"/>
        </w:rPr>
        <w:t>Y</w:t>
      </w:r>
      <w:r w:rsidR="00415C49" w:rsidRPr="00403F96">
        <w:rPr>
          <w:rFonts w:ascii="Arial" w:hAnsi="Arial" w:cs="Arial"/>
          <w:sz w:val="20"/>
          <w:szCs w:val="20"/>
          <w:lang w:val="es-CO"/>
        </w:rPr>
        <w:t xml:space="preserve">oung </w:t>
      </w:r>
      <w:r w:rsidR="00A774C7">
        <w:rPr>
          <w:rFonts w:ascii="Arial" w:hAnsi="Arial" w:cs="Arial"/>
          <w:sz w:val="20"/>
          <w:szCs w:val="20"/>
          <w:lang w:val="es-CO"/>
        </w:rPr>
        <w:t>A</w:t>
      </w:r>
      <w:r w:rsidR="00415C49" w:rsidRPr="00403F96">
        <w:rPr>
          <w:rFonts w:ascii="Arial" w:hAnsi="Arial" w:cs="Arial"/>
          <w:sz w:val="20"/>
          <w:szCs w:val="20"/>
          <w:lang w:val="es-CO"/>
        </w:rPr>
        <w:t>dults</w:t>
      </w:r>
      <w:r w:rsidRPr="004E4D14">
        <w:rPr>
          <w:rFonts w:ascii="Arial" w:hAnsi="Arial" w:cs="Arial"/>
          <w:sz w:val="20"/>
          <w:szCs w:val="20"/>
          <w:lang w:val="es-ES"/>
        </w:rPr>
        <w:t>) con LLA tratados con regímenes inspirados en protocolos pediátricos demostrando una clara superioridad de los esquemas de niños entre los AYA a diferencia de los regímenes de adultos.</w:t>
      </w:r>
    </w:p>
    <w:p w14:paraId="50A24C61" w14:textId="77777777" w:rsidR="0097166E" w:rsidRPr="004E4D14" w:rsidRDefault="0097166E"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7D58FBC7" w14:textId="77777777" w:rsidR="009E6FE5" w:rsidRPr="004E4D14" w:rsidRDefault="009E6FE5"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El tratamiento con quimioterapia multi-agente en pacientes adultos con LLA </w:t>
      </w:r>
      <w:r w:rsidR="00403F96" w:rsidRPr="004E4D14">
        <w:rPr>
          <w:rFonts w:ascii="Arial" w:hAnsi="Arial" w:cs="Arial"/>
          <w:sz w:val="20"/>
          <w:szCs w:val="20"/>
          <w:lang w:val="es-ES"/>
        </w:rPr>
        <w:t>está</w:t>
      </w:r>
      <w:r w:rsidRPr="004E4D14">
        <w:rPr>
          <w:rFonts w:ascii="Arial" w:hAnsi="Arial" w:cs="Arial"/>
          <w:sz w:val="20"/>
          <w:szCs w:val="20"/>
          <w:lang w:val="es-ES"/>
        </w:rPr>
        <w:t xml:space="preserve"> basado </w:t>
      </w:r>
      <w:r w:rsidR="0097166E" w:rsidRPr="004E4D14">
        <w:rPr>
          <w:rFonts w:ascii="Arial" w:hAnsi="Arial" w:cs="Arial"/>
          <w:sz w:val="20"/>
          <w:szCs w:val="20"/>
          <w:lang w:val="es-ES"/>
        </w:rPr>
        <w:t xml:space="preserve">tradicionalmente </w:t>
      </w:r>
      <w:r w:rsidRPr="004E4D14">
        <w:rPr>
          <w:rFonts w:ascii="Arial" w:hAnsi="Arial" w:cs="Arial"/>
          <w:sz w:val="20"/>
          <w:szCs w:val="20"/>
          <w:lang w:val="es-ES"/>
        </w:rPr>
        <w:t>en una inducción, consolidación, mantenimiento, con profilaxis de sistema nervioso central</w:t>
      </w:r>
      <w:r w:rsidR="00A15078" w:rsidRPr="004E4D14">
        <w:rPr>
          <w:rFonts w:ascii="Arial" w:hAnsi="Arial" w:cs="Arial"/>
          <w:sz w:val="20"/>
          <w:szCs w:val="20"/>
          <w:lang w:val="es-ES"/>
        </w:rPr>
        <w:t xml:space="preserve"> en intervalos durante la duración del tratamiento</w:t>
      </w:r>
      <w:r w:rsidRPr="004E4D14">
        <w:rPr>
          <w:rFonts w:ascii="Arial" w:hAnsi="Arial" w:cs="Arial"/>
          <w:sz w:val="20"/>
          <w:szCs w:val="20"/>
          <w:lang w:val="es-ES"/>
        </w:rPr>
        <w:t xml:space="preserve">. La meta del tratamiento de inducción es restablecer la hematopoyesis normal, reduciendo de forma suficiente la infiltración tumoral y permitiendo a las células precursoras reiniciar la génesis de células hematopoyéticas. El eje principal del tratamiento de </w:t>
      </w:r>
      <w:r w:rsidR="00A15078" w:rsidRPr="004E4D14">
        <w:rPr>
          <w:rFonts w:ascii="Arial" w:hAnsi="Arial" w:cs="Arial"/>
          <w:sz w:val="20"/>
          <w:szCs w:val="20"/>
          <w:lang w:val="es-ES"/>
        </w:rPr>
        <w:t xml:space="preserve">estas </w:t>
      </w:r>
      <w:r w:rsidRPr="004E4D14">
        <w:rPr>
          <w:rFonts w:ascii="Arial" w:hAnsi="Arial" w:cs="Arial"/>
          <w:sz w:val="20"/>
          <w:szCs w:val="20"/>
          <w:lang w:val="es-ES"/>
        </w:rPr>
        <w:t>quimioterapia</w:t>
      </w:r>
      <w:r w:rsidR="00A15078" w:rsidRPr="004E4D14">
        <w:rPr>
          <w:rFonts w:ascii="Arial" w:hAnsi="Arial" w:cs="Arial"/>
          <w:sz w:val="20"/>
          <w:szCs w:val="20"/>
          <w:lang w:val="es-ES"/>
        </w:rPr>
        <w:t>s multi-agente están</w:t>
      </w:r>
      <w:r w:rsidRPr="004E4D14">
        <w:rPr>
          <w:rFonts w:ascii="Arial" w:hAnsi="Arial" w:cs="Arial"/>
          <w:sz w:val="20"/>
          <w:szCs w:val="20"/>
          <w:lang w:val="es-ES"/>
        </w:rPr>
        <w:t xml:space="preserve"> basada</w:t>
      </w:r>
      <w:r w:rsidR="00A15078" w:rsidRPr="004E4D14">
        <w:rPr>
          <w:rFonts w:ascii="Arial" w:hAnsi="Arial" w:cs="Arial"/>
          <w:sz w:val="20"/>
          <w:szCs w:val="20"/>
          <w:lang w:val="es-ES"/>
        </w:rPr>
        <w:t>s</w:t>
      </w:r>
      <w:r w:rsidRPr="004E4D14">
        <w:rPr>
          <w:rFonts w:ascii="Arial" w:hAnsi="Arial" w:cs="Arial"/>
          <w:sz w:val="20"/>
          <w:szCs w:val="20"/>
          <w:lang w:val="es-ES"/>
        </w:rPr>
        <w:t xml:space="preserve"> en vincristina, corticosteroides y antraciclinas. La adición de </w:t>
      </w:r>
      <w:r w:rsidR="00A15078" w:rsidRPr="004E4D14">
        <w:rPr>
          <w:rFonts w:ascii="Arial" w:hAnsi="Arial" w:cs="Arial"/>
          <w:sz w:val="20"/>
          <w:szCs w:val="20"/>
          <w:lang w:val="es-ES"/>
        </w:rPr>
        <w:t>agentes alquilantes</w:t>
      </w:r>
      <w:r w:rsidRPr="004E4D14">
        <w:rPr>
          <w:rFonts w:ascii="Arial" w:hAnsi="Arial" w:cs="Arial"/>
          <w:sz w:val="20"/>
          <w:szCs w:val="20"/>
          <w:lang w:val="es-ES"/>
        </w:rPr>
        <w:t xml:space="preserve"> como ciclofosfamida también ha sido pilar de algunos regímenes de quimioterapia con tasas de respuesta superiores  </w:t>
      </w:r>
      <w:r w:rsidR="00415C49" w:rsidRPr="004E4D14">
        <w:rPr>
          <w:rFonts w:ascii="Arial" w:hAnsi="Arial" w:cs="Arial"/>
          <w:sz w:val="20"/>
          <w:szCs w:val="20"/>
          <w:lang w:val="es-ES"/>
        </w:rPr>
        <w:fldChar w:fldCharType="begin" w:fldLock="1"/>
      </w:r>
      <w:r w:rsidR="00E509D6" w:rsidRPr="004E4D14">
        <w:rPr>
          <w:rFonts w:ascii="Arial" w:hAnsi="Arial" w:cs="Arial"/>
          <w:sz w:val="20"/>
          <w:szCs w:val="20"/>
          <w:lang w:val="es-ES"/>
        </w:rPr>
        <w:instrText>ADDIN CSL_CITATION {"citationItems":[{"id":"ITEM-1","itemData":{"DOI":"10.1038/bcj.2017.53","ISSN":"20445385","abstract":"Acute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journal","id":"ITEM-1","issue":"6","issued":{"date-parts":[["2017"]]},"page":"e577","title":"Acute lymphoblastic leukemia: a comprehensive review and 2017 update","type":"article-journal","volume":"7"},"uris":["http://www.mendeley.com/documents/?uuid=17337d9b-8837-4c6e-9832-47e254d34ef1"]},{"id":"ITEM-2","itemData":{"DOI":"10.1002/cncr.20668","ISSN":"0008543X","abstract":"BACKGROUND. Modern intensive chemotherapy regimens have improved the prognosis for patients with adult acute lymphocytic leukemia (ALL). With these regimens, the complete response rates are now reported to be &gt; 80%, and the long-term survival rates range from 30% to 45%. The current analysis updated the long-term results with the original hyperfractionated cyclophosphamide, vincristine, doxorubicin, and dexamethasone (Hyper-CVAD) program, with a median follow-up time of 63 months. METHODS. Between 1992 and 2000, 288 patients were treated with Hyper-CVAD. The median age of the patients was 40 years, and 59 patients (20%) were ≥ age 60 years. The incidence of Philadelphia chromosome (Ph)-positive ALL was 17%, and the incidence of of T-cell ALL was 13%. RESULTS. A complete response (CR) was achieved in 92% of patients. The induction mortality rate was 5% (2% if the patient's age was &lt; 60 years, and 15% if the patient's age was ≥ 60 years). With a median follow-up time of 63 months, the 5-year survival rate was 38% and the 5-year CR duration rate was 38%. Multivariate analysis of prognostic factors for CR duration identified the following adverse factors: age ≥ 45 years, leukocytosis ≥ 50 × 109/L, poor performance status (an Eastern Cooperative Oncology Group score of 3-4), Ph-positive disease, French-American-British L2 morphology, &gt; 1 course to achieve CR, and Day 14 bone marrow blasts &gt; 5%. Patients were divided into low-risk (risk score 0-1; 37%), intermediate risk (risk score 2-3; 36%), and poor-risk groups (risk score ≥ 4; 27%) with 5-year CR duration rates of 52%, 37%, and 10%, respectively. CONCLUSIONS. Compared with the previous VAD regimens, Hyper-CVAD was associated with significantly better CR rates, CR duration, and survival. The long-term follow-up results of Hyper-CVAD were favorable. Comparison of Hyper-CVAD with other established adult ALL regimens is warranted. © 2004 American Cancer Society.","author":[{"dropping-particle":"","family":"Kantarjian","given":"Hagop","non-dropping-particle":"","parse-names":false,"suffix":""},{"dropping-particle":"","family":"Thomas","given":"Deborah","non-dropping-particle":"","parse-names":false,"suffix":""},{"dropping-particle":"","family":"O'Brien","given":"Susan","non-dropping-particle":"","parse-names":false,"suffix":""},{"dropping-particle":"","family":"Cortes","given":"Jorge","non-dropping-particle":"","parse-names":false,"suffix":""},{"dropping-particle":"","family":"Giles","given":"Francis","non-dropping-particle":"","parse-names":false,"suffix":""},{"dropping-particle":"","family":"Jeha","given":"Sima","non-dropping-particle":"","parse-names":false,"suffix":""},{"dropping-particle":"","family":"Bueso-Ramos","given":"Carlos E.","non-dropping-particle":"","parse-names":false,"suffix":""},{"dropping-particle":"","family":"Pierce","given":"Sherry","non-dropping-particle":"","parse-names":false,"suffix":""},{"dropping-particle":"","family":"Shan","given":"Jianqin","non-dropping-particle":"","parse-names":false,"suffix":""},{"dropping-particle":"","family":"Koller","given":"Charles","non-dropping-particle":"","parse-names":false,"suffix":""},{"dropping-particle":"","family":"Beran","given":"Miloslav","non-dropping-particle":"","parse-names":false,"suffix":""},{"dropping-particle":"","family":"Keating","given":"Michael","non-dropping-particle":"","parse-names":false,"suffix":""},{"dropping-particle":"","family":"Freireich","given":"Emil J.","non-dropping-particle":"","parse-names":false,"suffix":""}],"container-title":"Cancer","id":"ITEM-2","issue":"12","issued":{"date-parts":[["2004"]]},"page":"2788-2801","title":"Long-term follow-up results of hyperfractionated cyclophosphamide, vincristine, doxorubicin, and dexamethasone (Hyper-CVAD), a dose-intensive regimen, in adult acute lymphocytic leukemia","type":"article-journal","volume":"101"},"uris":["http://www.mendeley.com/documents/?uuid=38f7123f-d91a-4c4d-a09b-560dd5e594cc"]},{"id":"ITEM-3","itemData":{"ISSN":"0006-4971","PMID":"6375760","abstract":"The efficacy of the addition of intensive therapy with daunorubicin (45 mg/m2 IV on days 1, 2, 3) to an otherwise identical induction program consisting of vincristine, prednisone, and L-asparaginase was assessed in 177 previously untreated adults (greater than or equal to 20 years of age) with acute lymphocytic leukemia (ALL). In the prospectively randomized phase of the investigation, 46 patients received daunorubicin in induction, whereas 53 did not. The two groups were otherwise comparable for pretreatment variables. A complete response was observed in 38/46 patients (83%) treated with daunorubicin, compared to 25/53 (47%) induced with vincristine, prednisone, and L-asparaginase alone (P = .003). The high response rate attributable to the use of the anthracycline was confirmed by the nonrandomized treatment of 78 subsequent patients, in whom a complete response rate of 76% was attained. A common program for central nervous system therapy and for maintenance therapy was employed in 103 patients achieving complete response. Maintenance consisted of cycles of 6-mercaptopurine (6-MP) and methotrexate with periodic reinforcement with vincristine and prednisone. Maintenance therapy proved to be minimally toxic. The average duration of complete response was 15 months and was not affected by the induction program employed. Approximately 25% of responders are projected to remain in continuing complete response for 36 months. The failure of the daunorubicin-containing programs to produce a higher percentage of long-term survivors, despite the higher complete response rates achieved, was thought to be due to the use of a maintenance program that was weak in intensity and dependent on reinforcement with vincristine and prednisone. These data clearly establish the increased effectiveness of vincristine, prednisone, L-asparaginase, and daunorubicin, as compared to this combination without daunorubicin, in the induction of complete response in adults with ALL. The results support the concept of an intensive, rather than a conservative, chemotherapeutic approach as the most appropriate strategy for the treatment of adult ALL.","author":[{"dropping-particle":"","family":"Gottlieb","given":"A J","non-dropping-particle":"","parse-names":false,"suffix":""},{"dropping-particle":"","family":"Weinberg","given":"V","non-dropping-particle":"","parse-names":false,"suffix":""},{"dropping-particle":"","family":"Ellison","given":"R R","non-dropping-particle":"","parse-names":false,"suffix":""},{"dropping-particle":"","family":"Henderson","given":"E S","non-dropping-particle":"","parse-names":false,"suffix":""},{"dropping-particle":"","family":"Terebelo","given":"H","non-dropping-particle":"","parse-names":false,"suffix":""},{"dropping-particle":"","family":"Rafla","given":"S","non-dropping-particle":"","parse-names":false,"suffix":""},{"dropping-particle":"","family":"Cuttner","given":"J","non-dropping-particle":"","parse-names":false,"suffix":""},{"dropping-particle":"","family":"Silver","given":"Richard T","non-dropping-particle":"","parse-names":false,"suffix":""},{"dropping-particle":"","family":"Carey","given":"Robert W","non-dropping-particle":"","parse-names":false,"suffix":""},{"dropping-particle":"","family":"Levy","given":"Robert N","non-dropping-particle":"","parse-names":false,"suffix":""}],"container-title":"Blood","id":"ITEM-3","issue":"1","issued":{"date-parts":[["1984","7"]]},"page":"267-74","title":"Efficacy of daunorubicin in the therapy of adult acute lymphocytic leukemia: a prospective randomized trial by cancer and leukemia group B.","type":"article-journal","volume":"64"},"uris":["http://www.mendeley.com/documents/?uuid=71602721-aec2-4379-b8c1-6644bc74dd6b"]}],"mendeley":{"formattedCitation":"(2,5,23)","plainTextFormattedCitation":"(2,5,23)","previouslyFormattedCitation":"(2,5,23)"},"properties":{"noteIndex":0},"schema":"https://github.com/citation-style-language/schema/raw/master/csl-citation.json"}</w:instrText>
      </w:r>
      <w:r w:rsidR="00415C49" w:rsidRPr="004E4D14">
        <w:rPr>
          <w:rFonts w:ascii="Arial" w:hAnsi="Arial" w:cs="Arial"/>
          <w:sz w:val="20"/>
          <w:szCs w:val="20"/>
          <w:lang w:val="es-ES"/>
        </w:rPr>
        <w:fldChar w:fldCharType="separate"/>
      </w:r>
      <w:r w:rsidR="005F08B3" w:rsidRPr="004E4D14">
        <w:rPr>
          <w:rFonts w:ascii="Arial" w:hAnsi="Arial" w:cs="Arial"/>
          <w:noProof/>
          <w:sz w:val="20"/>
          <w:szCs w:val="20"/>
          <w:lang w:val="es-ES"/>
        </w:rPr>
        <w:t>(2,5,23)</w:t>
      </w:r>
      <w:r w:rsidR="00415C49" w:rsidRPr="004E4D14">
        <w:rPr>
          <w:rFonts w:ascii="Arial" w:hAnsi="Arial" w:cs="Arial"/>
          <w:sz w:val="20"/>
          <w:szCs w:val="20"/>
          <w:lang w:val="es-ES"/>
        </w:rPr>
        <w:fldChar w:fldCharType="end"/>
      </w:r>
      <w:r w:rsidRPr="004E4D14">
        <w:rPr>
          <w:rFonts w:ascii="Arial" w:hAnsi="Arial" w:cs="Arial"/>
          <w:sz w:val="20"/>
          <w:szCs w:val="20"/>
          <w:lang w:val="es-ES"/>
        </w:rPr>
        <w:t>.</w:t>
      </w:r>
    </w:p>
    <w:p w14:paraId="59BFF9A0" w14:textId="77777777" w:rsidR="00606671" w:rsidRPr="004E4D14" w:rsidRDefault="00606671"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34D8648A" w14:textId="77777777" w:rsidR="00606671" w:rsidRPr="004E4D14" w:rsidRDefault="00606671"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Actualmente, los regímenes modernos de LLA inspirados en protocolos pediátricos están casi todos </w:t>
      </w:r>
      <w:r w:rsidRPr="004E4D14">
        <w:rPr>
          <w:rFonts w:ascii="Arial" w:hAnsi="Arial" w:cs="Arial"/>
          <w:sz w:val="20"/>
          <w:szCs w:val="20"/>
          <w:lang w:val="es-ES"/>
        </w:rPr>
        <w:lastRenderedPageBreak/>
        <w:t>basados en Asparaginasa. El objetivo primario de estos regímenes están enfocados en mantener una depleción de asparagina por tiempos prolongados durante la terapia, enfocándose en la administración concomitante de o</w:t>
      </w:r>
      <w:r w:rsidR="00B017C3">
        <w:rPr>
          <w:rFonts w:ascii="Arial" w:hAnsi="Arial" w:cs="Arial"/>
          <w:sz w:val="20"/>
          <w:szCs w:val="20"/>
          <w:lang w:val="es-ES"/>
        </w:rPr>
        <w:t>tros medicamentos no aplasiantes</w:t>
      </w:r>
      <w:r w:rsidRPr="004E4D14">
        <w:rPr>
          <w:rFonts w:ascii="Arial" w:hAnsi="Arial" w:cs="Arial"/>
          <w:sz w:val="20"/>
          <w:szCs w:val="20"/>
          <w:lang w:val="es-ES"/>
        </w:rPr>
        <w:t xml:space="preserve"> como los esteroides o la vincristina, además de la profilaxis continua de sistema nervioso central con dosis escaladas de metotrexate y administración de quimioterapia intratecal, evitando la utilización de regímenes mieloablativos frecuentemente utilizada en regímenes de adultos</w:t>
      </w:r>
      <w:r w:rsidR="00415C49" w:rsidRPr="004E4D14">
        <w:rPr>
          <w:rFonts w:ascii="Arial" w:hAnsi="Arial" w:cs="Arial"/>
          <w:sz w:val="20"/>
          <w:szCs w:val="20"/>
          <w:lang w:val="es-ES"/>
        </w:rPr>
        <w:fldChar w:fldCharType="begin" w:fldLock="1"/>
      </w:r>
      <w:r w:rsidR="008529C9" w:rsidRPr="004E4D14">
        <w:rPr>
          <w:rFonts w:ascii="Arial" w:hAnsi="Arial" w:cs="Arial"/>
          <w:sz w:val="20"/>
          <w:szCs w:val="20"/>
          <w:lang w:val="es-ES"/>
        </w:rPr>
        <w:instrText>ADDIN CSL_CITATION {"citationItems":[{"id":"ITEM-1","itemData":{"DOI":"10.1038/leu.2011.141","ISSN":"14765551","abstract":"Event-free survival (EFS) at 5 years in pediatric acute lymphoblastic leukemia (ALL) is &gt;80%. Outcome in adult ALL is still unsatisfactory, which is due to less cumulative dosing of chemotherapy and less strict adherence to timing of successive cycles. In the present phase II trial, we evaluated a pediatric regimen in adult patients with ALL under the age of 40. Treatment was according to the pediatric FRALLE approach for high-risk ALL patients and characterized by increased dosages of asparaginase, steroids, methotrexate and vincristin. However, allogeneic stem cell transplantation was offered to standard risk patients with a sibling donor and to all high-risk patients in contrast to the pediatric protocol. Feasibility was defined by achieving complete remission (CR) and completion of treatment within a strict timeframe in at least 60% of patients. In all, 54 patients were included with a median age of 26. CR was achieved in 49 patients (91%), of whom 33 completed treatment as scheduled (61%). Side effects primarily consisted of infections and occurred in 40% of patients. With a median follow-up of 32 months, EFS estimated 66% at 24 months and overall survival 72%. These data show that a dose-intensive pediatric regimen is feasible in adult ALL patients up to the age of 40.","author":[{"dropping-particle":"","family":"Rijneveld","given":"A. W.","non-dropping-particle":"","parse-names":false,"suffix":""},{"dropping-particle":"","family":"Holt","given":"B.","non-dropping-particle":"Van Der","parse-names":false,"suffix":""},{"dropping-particle":"","family":"Daenen","given":"S. M.G.J.","non-dropping-particle":"","parse-names":false,"suffix":""},{"dropping-particle":"","family":"Biemond","given":"B. J.","non-dropping-particle":"","parse-names":false,"suffix":""},{"dropping-particle":"","family":"Weerdt","given":"O.","non-dropping-particle":"De","parse-names":false,"suffix":""},{"dropping-particle":"","family":"Muus","given":"P.","non-dropping-particle":"","parse-names":false,"suffix":""},{"dropping-particle":"","family":"Maertens","given":"J.","non-dropping-particle":"","parse-names":false,"suffix":""},{"dropping-particle":"","family":"Mattijssen","given":"V.","non-dropping-particle":"","parse-names":false,"suffix":""},{"dropping-particle":"","family":"Demuynck","given":"H.","non-dropping-particle":"","parse-names":false,"suffix":""},{"dropping-particle":"","family":"Legdeur","given":"M. C.J.C.","non-dropping-particle":"","parse-names":false,"suffix":""},{"dropping-particle":"","family":"Wijermans","given":"P. W.","non-dropping-particle":"","parse-names":false,"suffix":""},{"dropping-particle":"","family":"Wittebol","given":"S.","non-dropping-particle":"","parse-names":false,"suffix":""},{"dropping-particle":"","family":"Spoelstra","given":"F. M.","non-dropping-particle":"","parse-names":false,"suffix":""},{"dropping-particle":"","family":"Dekker","given":"A. W.","non-dropping-particle":"","parse-names":false,"suffix":""},{"dropping-particle":"","family":"Ossenkoppele","given":"G. J.","non-dropping-particle":"","parse-names":false,"suffix":""},{"dropping-particle":"","family":"Willemze","given":"R.","non-dropping-particle":"","parse-names":false,"suffix":""},{"dropping-particle":"","family":"Cornelissen","given":"J. J.","non-dropping-particle":"","parse-names":false,"suffix":""}],"container-title":"Leukemia","id":"ITEM-1","issue":"11","issued":{"date-parts":[["2011"]]},"page":"1697-1703","publisher":"Nature Publishing Group","title":"Intensified chemotherapy inspired by a pediatric regimen combined with allogeneic transplantation in adult patients with acute lymphoblastic leukemia up to the age of 40","type":"article-journal","volume":"25"},"uris":["http://www.mendeley.com/documents/?uuid=edc3999d-9172-4f8c-89b2-3d48c8a68017"]},{"id":"ITEM-2","itemData":{"DOI":"10.1038/leu.2014.229","ISSN":"14765551","abstract":"On the basis of the data suggesting that adolescents and young adult patients with acute lymphoblastic leukemia (ALL) have improved outcomes when treated on pediatric protocols, we assessed the feasibility of treating adult patients aged 18-50 years with ALL with the DFCI Pediatric ALL Consortium regimen utilizing a 30-week course of pharmacokinetically dose-adjusted E. coli L-asparaginase during consolidation. Between 2002 and 2008, 92 eligible patients aged 18-50 years were enrolled at 13 participating centers. Seventy-eight patients (85%) achieved a complete remission (CR) after 1 month of intensive induction therapy. With a median follow-up of 4.5 years, the 4-year disease-free survival (DFS) for the patients achieving a CR was 69% (95% confidence interval (CI) 56-78%) and the 4-year overall survival (OS) for all eligible patients was 67% (95% CI 56-76%). The 4-year DFS for the 64 patients who achieved a CR and were Philadelphia chromosome negative (Ph-) was 71% (95% CI 58-81%), and for all 74 Ph- patients the 4-year OS was 70% (95% CI 58-79%). We conclude that a pediatric-like treatment strategy for young adults with de novo ALL is feasible, associated with tolerable toxicity, and results in improved outcomes compared with historical regimens in young adult patients with ALL.","author":[{"dropping-particle":"","family":"DeAngelo","given":"D. J.","non-dropping-particle":"","parse-names":false,"suffix":""},{"dropping-particle":"","family":"Stevenson","given":"K. E.","non-dropping-particle":"","parse-names":false,"suffix":""},{"dropping-particle":"","family":"Dahlberg","given":"S. E.","non-dropping-particle":"","parse-names":false,"suffix":""},{"dropping-particle":"","family":"Silverman","given":"L. B.","non-dropping-particle":"","parse-names":false,"suffix":""},{"dropping-particle":"","family":"Couban","given":"S.","non-dropping-particle":"","parse-names":false,"suffix":""},{"dropping-particle":"","family":"Supko","given":"J. G.","non-dropping-particle":"","parse-names":false,"suffix":""},{"dropping-particle":"","family":"Amrein","given":"P. C.","non-dropping-particle":"","parse-names":false,"suffix":""},{"dropping-particle":"","family":"Ballen","given":"K. K.","non-dropping-particle":"","parse-names":false,"suffix":""},{"dropping-particle":"","family":"Seftel","given":"M. D.","non-dropping-particle":"","parse-names":false,"suffix":""},{"dropping-particle":"","family":"Turner","given":"A. R.","non-dropping-particle":"","parse-names":false,"suffix":""},{"dropping-particle":"","family":"Leber","given":"B.","non-dropping-particle":"","parse-names":false,"suffix":""},{"dropping-particle":"","family":"Howson-Jan","given":"K.","non-dropping-particle":"","parse-names":false,"suffix":""},{"dropping-particle":"","family":"Kelly","given":"K.","non-dropping-particle":"","parse-names":false,"suffix":""},{"dropping-particle":"","family":"Cohen","given":"S.","non-dropping-particle":"","parse-names":false,"suffix":""},{"dropping-particle":"","family":"Matthews","given":"J. H.","non-dropping-particle":"","parse-names":false,"suffix":""},{"dropping-particle":"","family":"Savoie","given":"L.","non-dropping-particle":"","parse-names":false,"suffix":""},{"dropping-particle":"","family":"Wadleigh","given":"M.","non-dropping-particle":"","parse-names":false,"suffix":""},{"dropping-particle":"","family":"Sirulnik","given":"L. A.","non-dropping-particle":"","parse-names":false,"suffix":""},{"dropping-particle":"","family":"Galinsky","given":"I.","non-dropping-particle":"","parse-names":false,"suffix":""},{"dropping-particle":"","family":"Neuberg","given":"D. S.","non-dropping-particle":"","parse-names":false,"suffix":""},{"dropping-particle":"","family":"Sallan","given":"S. E.","non-dropping-particle":"","parse-names":false,"suffix":""},{"dropping-particle":"","family":"Stone","given":"R. M.","non-dropping-particle":"","parse-names":false,"suffix":""}],"container-title":"Leukemia","id":"ITEM-2","issue":"3","issued":{"date-parts":[["2015"]]},"page":"526-534","publisher":"Nature Publishing Group","title":"Long-term outcome of a pediatric-inspired regimen used for adults aged 18-50 years with newly diagnosed acute lymphoblastic leukemia","type":"article-journal","volume":"29"},"uris":["http://www.mendeley.com/documents/?uuid=6f09686e-eb82-4642-bf4c-9626e4b660fd"]},{"id":"ITEM-3","itemData":{"DOI":"10.1200/JCO.2008.18.6916","ISSN":"0732183X","abstract":"Purpose Retrospective comparisons have suggested that adolescents or teenagers with acute lymphoblastic leukemia (ALL) benefit from pediatric rather than adult chemotherapy regimens. Thus, the aim of the present phase II study was to test a pediatric-inspired treatment, including intensified doses of nonmyelotoxic drugs, such as prednisone, vincristine, or L-asparaginase, in adult patients with ALL up to the age of 60 years. Patients and Methods Between 2003 and 2005, 225 adult patients (median age, 31 years; range, 15 to 60 years) with Philadelphia chromosome-negative ALL were enrolled onto the Group for Research on Adult Acute Lymphoblastic Leukemia 2003 protocol, which included several pediatric options. Some adult options, such as allogeneic stem-cell transplantation for patients with high-risk ALL, were nevertheless retained. Results were retrospectively compared with the historical France-Belgium Group for Lymphoblastic Acute Leukemia in Adults 94 (LALA-94) trial experience in 712 patients age 15 to 55 years. Results Complete remission rate was 93.5%. At 42 months, event-free survival (EFS) and overall survival (OS) rates were 55% (95% CI, 48% to 52%) and 60% (95% CI, 53% to 66%), respectively. Age remained an important bad prognostic factor, with 45 years of age as best cutoff. In older versus younger patients, there was a higher cumulative incidence of chemotherapy-related deaths (23% v 5%, respectively; P  &lt;  .001) and deaths in first CR (22% 5%, respectively; P  &lt;  .001), whereas the incidence of relapse remained stable (30% v 32%, respectively). Complete remission rate (P = .02), EFS (P  &lt;  .001), and OS (P  &lt;  .001) compared favorably with the previous LALA- 94 experience. Conclusion These results suggest that pediatric-inspired therapy markedly improves the outcome of adult patients with ALL, at least until the age of 45 years. © 2009 by American Society of Clinical Oncology.","author":[{"dropping-particle":"","family":"Huguet","given":"Franģoise","non-dropping-particle":"","parse-names":false,"suffix":""},{"dropping-particle":"","family":"Leguay","given":"Thibaut","non-dropping-particle":"","parse-names":false,"suffix":""},{"dropping-particle":"","family":"Raffoux","given":"Emmanuel","non-dropping-particle":"","parse-names":false,"suffix":""},{"dropping-particle":"","family":"Thomas","given":"Xavier","non-dropping-particle":"","parse-names":false,"suffix":""},{"dropping-particle":"","family":"Beldjord","given":"Kheira","non-dropping-particle":"","parse-names":false,"suffix":""},{"dropping-particle":"","family":"Delabesse","given":"Eric","non-dropping-particle":"","parse-names":false,"suffix":""},{"dropping-particle":"","family":"Chevallier","given":"Patrice","non-dropping-particle":"","parse-names":false,"suffix":""},{"dropping-particle":"","family":"Buzyn","given":"Agnes","non-dropping-particle":"","parse-names":false,"suffix":""},{"dropping-particle":"","family":"Delannoy","given":"André","non-dropping-particle":"","parse-names":false,"suffix":""},{"dropping-particle":"","family":"Chalandon","given":"Yves","non-dropping-particle":"","parse-names":false,"suffix":""},{"dropping-particle":"","family":"Vernant","given":"Jean Paul","non-dropping-particle":"","parse-names":false,"suffix":""},{"dropping-particle":"","family":"Lafage-Pochitaloff","given":"Marina","non-dropping-particle":"","parse-names":false,"suffix":""},{"dropping-particle":"","family":"Chassevent","given":"Agnès","non-dropping-particle":"","parse-names":false,"suffix":""},{"dropping-particle":"","family":"Lhéritier","given":"Véronique","non-dropping-particle":"","parse-names":false,"suffix":""},{"dropping-particle":"","family":"Macintyre","given":"Elizabeth","non-dropping-particle":"","parse-names":false,"suffix":""},{"dropping-particle":"","family":"Béné","given":"Marie Christine","non-dropping-particle":"","parse-names":false,"suffix":""},{"dropping-particle":"","family":"Ifrah","given":"Norbert","non-dropping-particle":"","parse-names":false,"suffix":""},{"dropping-particle":"","family":"Dombret","given":"Hervé","non-dropping-particle":"","parse-names":false,"suffix":""}],"container-title":"Journal of Clinical Oncology","id":"ITEM-3","issue":"6","issued":{"date-parts":[["2009"]]},"page":"911-918","title":"Pediatric-inspired therapy in adults with philadelphia chromosome-negative acute lymphoblastic leukemia: The GRAALL-2003 study","type":"article-journal","volume":"27"},"uris":["http://www.mendeley.com/documents/?uuid=dacc5b48-3574-4a07-95ea-dd28ea9f97eb"]},{"id":"ITEM-4","itemData":{"DOI":"10.1182/blood-2008-01-130237.The","author":[{"dropping-particle":"","family":"Stock","given":"Wendy","non-dropping-particle":"","parse-names":false,"suffix":""},{"dropping-particle":"","family":"La","given":"Mei","non-dropping-particle":"","parse-names":false,"suffix":""},{"dropping-particle":"","family":"Sanford","given":"Ben","non-dropping-particle":"","parse-names":false,"suffix":""},{"dropping-particle":"","family":"Bloomfield","given":"Clara D","non-dropping-particle":"","parse-names":false,"suffix":""},{"dropping-particle":"","family":"Vardiman","given":"James W","non-dropping-particle":"","parse-names":false,"suffix":""},{"dropping-particle":"","family":"Gaynon","given":"Paul","non-dropping-particle":"","parse-names":false,"suffix":""},{"dropping-particle":"","family":"Larson","given":"Richard a","non-dropping-particle":"","parse-names":false,"suffix":""},{"dropping-particle":"","family":"Nachman","given":"James","non-dropping-particle":"","parse-names":false,"suffix":""},{"dropping-particle":"","family":"Ayas","given":"C C G","non-dropping-particle":"","parse-names":false,"suffix":""}],"container-title":"Young","id":"ITEM-4","issue":"5","issued":{"date-parts":[["2008"]]},"page":"1646-1654","title":"AYA ALL - CCG vs CALGB","type":"article-journal","volume":"112"},"uris":["http://www.mendeley.com/documents/?uuid=403d5d18-0fe0-4963-b6d2-50696cb527ef"]},{"id":"ITEM-5","itemData":{"DOI":"10.1200/JCO.2013.50.2708","ISSN":"15277755","abstract":"PURPOSE: Asparaginase treatment is standard in all pediatric acute lymphoblastic leukemia (ALL) regimens, whereas in adults, it is either excluded or administered for a shorter duration. Several adult ALL protocols are adapting pediatric regimens, but the optimal implementation of asparaginase is not well studied, considering its potential higher toxicity. We studied a pegaspargase dosing strategy based on its pharmacokinetic characteristics in adults.\\n\\nPATIENTS AND METHODS: Between 2004 and 2009, 51 adults age 18 to 57 years with newly diagnosed ALL were treated with a regimen adapted from a pediatric trial that included six doses of intravenous pegaspargase at 2,000 IU/m(2) per dose. Intervals between doses were longer than 4 weeks and rationally synchronized with other chemotherapy drugs to prevent overlapping toxicities. Pegaspargase was administered with steroids to reduce hypersensitivity. Asparaginase-related toxicities were monitored after 173 pegaspargase doses.\\n\\nRESULTS: The most common grade 3/4 asparaginase-related toxicities were lengthy hyperbilirubinemia and transaminitis, occasionally resulting in subsequent treatment delays. All toxicities resolved spontaneously. Forty-five percent of patients were able to receive all six doses of pegaspargase, and 61% received ≥ three doses. In only 20% of patients, the drug was discontinued after pegaspargase-related serious toxicity. Ninety-six percent achieved complete remission, almost all within 4 weeks, and a low induction death rate was seen. Seven-year disease-free and overall survival were 58% and 51%, respectively.\\n\\nCONCLUSION: Our dose and schedule of pegaspargase, based on its pharmacokinetics, and our detailed toxicity profile could be applied for safer adaptation of pediatric ALL protocols in adults.","author":[{"dropping-particle":"","family":"Douer","given":"Dan","non-dropping-particle":"","parse-names":false,"suffix":""},{"dropping-particle":"","family":"Aldoss","given":"Ibrahim","non-dropping-particle":"","parse-names":false,"suffix":""},{"dropping-particle":"","family":"Lunning","given":"Matthew A.","non-dropping-particle":"","parse-names":false,"suffix":""},{"dropping-particle":"","family":"Burke","given":"Patrick W.","non-dropping-particle":"","parse-names":false,"suffix":""},{"dropping-particle":"","family":"Ramezani","given":"Laleh","non-dropping-particle":"","parse-names":false,"suffix":""},{"dropping-particle":"","family":"Mark","given":"Lisa","non-dropping-particle":"","parse-names":false,"suffix":""},{"dropping-particle":"","family":"Vrona","given":"Janice","non-dropping-particle":"","parse-names":false,"suffix":""},{"dropping-particle":"","family":"Park","given":"Jae H.","non-dropping-particle":"","parse-names":false,"suffix":""},{"dropping-particle":"","family":"Tallman","given":"Martin S.","non-dropping-particle":"","parse-names":false,"suffix":""},{"dropping-particle":"","family":"Avramis","given":"Vassilios I.","non-dropping-particle":"","parse-names":false,"suffix":""},{"dropping-particle":"","family":"Pullarkat","given":"Vinod","non-dropping-particle":"","parse-names":false,"suffix":""},{"dropping-particle":"","family":"Mohrbacher","given":"Ann M.","non-dropping-particle":"","parse-names":false,"suffix":""}],"container-title":"Journal of Clinical Oncology","id":"ITEM-5","issue":"9","issued":{"date-parts":[["2014"]]},"page":"905-911","title":"Pharmacokinetics-based integration of multiple doses of intravenous pegaspargase in a pediatric regimen for adults with newly diagnosed acute lymphoblastic leukemia","type":"article-journal","volume":"32"},"uris":["http://www.mendeley.com/documents/?uuid=eb28f6c3-cb24-47e6-b0f3-da78c80aec5c"]}],"mendeley":{"formattedCitation":"(6,24–27)","plainTextFormattedCitation":"(6,24–27)","previouslyFormattedCitation":"(6,24–27)"},"properties":{"noteIndex":0},"schema":"https://github.com/citation-style-language/schema/raw/master/csl-citation.json"}</w:instrText>
      </w:r>
      <w:r w:rsidR="00415C49" w:rsidRPr="004E4D14">
        <w:rPr>
          <w:rFonts w:ascii="Arial" w:hAnsi="Arial" w:cs="Arial"/>
          <w:sz w:val="20"/>
          <w:szCs w:val="20"/>
          <w:lang w:val="es-ES"/>
        </w:rPr>
        <w:fldChar w:fldCharType="separate"/>
      </w:r>
      <w:r w:rsidR="00E509D6" w:rsidRPr="004E4D14">
        <w:rPr>
          <w:rFonts w:ascii="Arial" w:hAnsi="Arial" w:cs="Arial"/>
          <w:noProof/>
          <w:sz w:val="20"/>
          <w:szCs w:val="20"/>
          <w:lang w:val="es-ES"/>
        </w:rPr>
        <w:t>(6,24–27)</w:t>
      </w:r>
      <w:r w:rsidR="00415C49" w:rsidRPr="004E4D14">
        <w:rPr>
          <w:rFonts w:ascii="Arial" w:hAnsi="Arial" w:cs="Arial"/>
          <w:sz w:val="20"/>
          <w:szCs w:val="20"/>
          <w:lang w:val="es-ES"/>
        </w:rPr>
        <w:fldChar w:fldCharType="end"/>
      </w:r>
      <w:r w:rsidRPr="004E4D14">
        <w:rPr>
          <w:rFonts w:ascii="Arial" w:hAnsi="Arial" w:cs="Arial"/>
          <w:sz w:val="20"/>
          <w:szCs w:val="20"/>
          <w:lang w:val="es-ES"/>
        </w:rPr>
        <w:t>.</w:t>
      </w:r>
    </w:p>
    <w:p w14:paraId="6C95CDCF" w14:textId="77777777" w:rsidR="0026653B" w:rsidRPr="004E4D14" w:rsidRDefault="0026653B"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4A056992" w14:textId="7BA1196A" w:rsidR="008529C9" w:rsidRPr="004E4D14" w:rsidRDefault="0026653B"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Si bien, las guías del </w:t>
      </w:r>
      <w:r w:rsidR="00415C49" w:rsidRPr="00403F96">
        <w:rPr>
          <w:rFonts w:ascii="Arial" w:hAnsi="Arial" w:cs="Arial"/>
          <w:sz w:val="20"/>
          <w:szCs w:val="20"/>
          <w:lang w:val="es-CO"/>
        </w:rPr>
        <w:t>National</w:t>
      </w:r>
      <w:r w:rsidR="009A56EE">
        <w:rPr>
          <w:rFonts w:ascii="Arial" w:hAnsi="Arial" w:cs="Arial"/>
          <w:sz w:val="20"/>
          <w:szCs w:val="20"/>
          <w:lang w:val="es-CO"/>
        </w:rPr>
        <w:t xml:space="preserve"> </w:t>
      </w:r>
      <w:r w:rsidR="00415C49" w:rsidRPr="00403F96">
        <w:rPr>
          <w:rFonts w:ascii="Arial" w:hAnsi="Arial" w:cs="Arial"/>
          <w:sz w:val="20"/>
          <w:szCs w:val="20"/>
          <w:lang w:val="es-CO"/>
        </w:rPr>
        <w:t>Comprehensive</w:t>
      </w:r>
      <w:r w:rsidR="009A56EE">
        <w:rPr>
          <w:rFonts w:ascii="Arial" w:hAnsi="Arial" w:cs="Arial"/>
          <w:sz w:val="20"/>
          <w:szCs w:val="20"/>
          <w:lang w:val="es-CO"/>
        </w:rPr>
        <w:t xml:space="preserve"> </w:t>
      </w:r>
      <w:r w:rsidR="00415C49" w:rsidRPr="00403F96">
        <w:rPr>
          <w:rFonts w:ascii="Arial" w:hAnsi="Arial" w:cs="Arial"/>
          <w:sz w:val="20"/>
          <w:szCs w:val="20"/>
          <w:lang w:val="es-CO"/>
        </w:rPr>
        <w:t>Cancer Network</w:t>
      </w:r>
      <w:r w:rsidRPr="004E4D14">
        <w:rPr>
          <w:rFonts w:ascii="Arial" w:hAnsi="Arial" w:cs="Arial"/>
          <w:sz w:val="20"/>
          <w:szCs w:val="20"/>
          <w:lang w:val="es-ES"/>
        </w:rPr>
        <w:t xml:space="preserve"> (NCCN), que son las </w:t>
      </w:r>
      <w:r w:rsidR="00337A88" w:rsidRPr="004E4D14">
        <w:rPr>
          <w:rFonts w:ascii="Arial" w:hAnsi="Arial" w:cs="Arial"/>
          <w:sz w:val="20"/>
          <w:szCs w:val="20"/>
          <w:lang w:val="es-ES"/>
        </w:rPr>
        <w:t>más</w:t>
      </w:r>
      <w:r w:rsidRPr="004E4D14">
        <w:rPr>
          <w:rFonts w:ascii="Arial" w:hAnsi="Arial" w:cs="Arial"/>
          <w:sz w:val="20"/>
          <w:szCs w:val="20"/>
          <w:lang w:val="es-ES"/>
        </w:rPr>
        <w:t xml:space="preserve"> ampliamente utilizadas alrededor del mundo, recomiendan enfocar la terapia para LLA basado en el grupo de edad (AYA Vs Adulto), continúan haciendo la recomendación del protocolo de quimioterapia multi-agente con la que cada institución esté </w:t>
      </w:r>
      <w:r w:rsidR="00337A88" w:rsidRPr="004E4D14">
        <w:rPr>
          <w:rFonts w:ascii="Arial" w:hAnsi="Arial" w:cs="Arial"/>
          <w:sz w:val="20"/>
          <w:szCs w:val="20"/>
          <w:lang w:val="es-ES"/>
        </w:rPr>
        <w:t>más</w:t>
      </w:r>
      <w:r w:rsidRPr="004E4D14">
        <w:rPr>
          <w:rFonts w:ascii="Arial" w:hAnsi="Arial" w:cs="Arial"/>
          <w:sz w:val="20"/>
          <w:szCs w:val="20"/>
          <w:lang w:val="es-ES"/>
        </w:rPr>
        <w:t xml:space="preserve"> familiarizada </w:t>
      </w:r>
      <w:r w:rsidR="00415C49" w:rsidRPr="004E4D14">
        <w:rPr>
          <w:rFonts w:ascii="Arial" w:hAnsi="Arial" w:cs="Arial"/>
          <w:sz w:val="20"/>
          <w:szCs w:val="20"/>
          <w:lang w:val="es-ES"/>
        </w:rPr>
        <w:fldChar w:fldCharType="begin" w:fldLock="1"/>
      </w:r>
      <w:r w:rsidR="006D1032" w:rsidRPr="004E4D14">
        <w:rPr>
          <w:rFonts w:ascii="Arial" w:hAnsi="Arial" w:cs="Arial"/>
          <w:sz w:val="20"/>
          <w:szCs w:val="20"/>
          <w:lang w:val="es-ES"/>
        </w:rPr>
        <w:instrText>ADDIN CSL_CITATION {"citationItems":[{"id":"ITEM-1","itemData":{"container-title":"National Comprehensive Cancer Network. NCCN Clinical Practice Guidelines in Oncology (NCCN Guidelines)","id":"ITEM-1","issue":"May 15","issued":{"date-parts":[["2019"]]},"page":"1-115","title":"Acute Lymphoblastic Leukemia","type":"article-journal","volume":"2"},"uris":["http://www.mendeley.com/documents/?uuid=c1b4b128-0fac-4ec8-8fa5-38da53fe8565"]}],"mendeley":{"formattedCitation":"(28)","plainTextFormattedCitation":"(28)","previouslyFormattedCitation":"(28)"},"properties":{"noteIndex":0},"schema":"https://github.com/citation-style-language/schema/raw/master/csl-citation.json"}</w:instrText>
      </w:r>
      <w:r w:rsidR="00415C49" w:rsidRPr="004E4D14">
        <w:rPr>
          <w:rFonts w:ascii="Arial" w:hAnsi="Arial" w:cs="Arial"/>
          <w:sz w:val="20"/>
          <w:szCs w:val="20"/>
          <w:lang w:val="es-ES"/>
        </w:rPr>
        <w:fldChar w:fldCharType="separate"/>
      </w:r>
      <w:r w:rsidR="008529C9" w:rsidRPr="004E4D14">
        <w:rPr>
          <w:rFonts w:ascii="Arial" w:hAnsi="Arial" w:cs="Arial"/>
          <w:noProof/>
          <w:sz w:val="20"/>
          <w:szCs w:val="20"/>
          <w:lang w:val="es-ES"/>
        </w:rPr>
        <w:t>(28)</w:t>
      </w:r>
      <w:r w:rsidR="00415C49" w:rsidRPr="004E4D14">
        <w:rPr>
          <w:rFonts w:ascii="Arial" w:hAnsi="Arial" w:cs="Arial"/>
          <w:sz w:val="20"/>
          <w:szCs w:val="20"/>
          <w:lang w:val="es-ES"/>
        </w:rPr>
        <w:fldChar w:fldCharType="end"/>
      </w:r>
      <w:r w:rsidR="008529C9" w:rsidRPr="004E4D14">
        <w:rPr>
          <w:rFonts w:ascii="Arial" w:hAnsi="Arial" w:cs="Arial"/>
          <w:sz w:val="20"/>
          <w:szCs w:val="20"/>
          <w:lang w:val="es-ES"/>
        </w:rPr>
        <w:t xml:space="preserve">.  </w:t>
      </w:r>
      <w:r w:rsidR="00D14684" w:rsidRPr="004E4D14">
        <w:rPr>
          <w:rFonts w:ascii="Arial" w:hAnsi="Arial" w:cs="Arial"/>
          <w:sz w:val="20"/>
          <w:szCs w:val="20"/>
          <w:lang w:val="es-ES"/>
        </w:rPr>
        <w:t xml:space="preserve">Sin embargo, definir un punto de corte para establecer a que edad un paciente debe considerarse AYA o adulto ha sido complicada. Algunos estudios han propuesto una definición de AYA como adultos mayores de 18 años, hasta los 30, algunos hasta los 40, 45, e incluso otros autores han ido hasta edades de 50 y 60 años </w:t>
      </w:r>
      <w:r w:rsidR="00415C49" w:rsidRPr="004E4D14">
        <w:rPr>
          <w:rFonts w:ascii="Arial" w:hAnsi="Arial" w:cs="Arial"/>
          <w:sz w:val="20"/>
          <w:szCs w:val="20"/>
          <w:lang w:val="es-ES"/>
        </w:rPr>
        <w:fldChar w:fldCharType="begin" w:fldLock="1"/>
      </w:r>
      <w:r w:rsidR="006D1032" w:rsidRPr="004E4D14">
        <w:rPr>
          <w:rFonts w:ascii="Arial" w:hAnsi="Arial" w:cs="Arial"/>
          <w:sz w:val="20"/>
          <w:szCs w:val="20"/>
          <w:lang w:val="es-ES"/>
        </w:rPr>
        <w:instrText>ADDIN CSL_CITATION {"citationItems":[{"id":"ITEM-1","itemData":{"DOI":"10.1038/leu.2011.141","ISSN":"14765551","abstract":"Event-free survival (EFS) at 5 years in pediatric acute lymphoblastic leukemia (ALL) is &gt;80%. Outcome in adult ALL is still unsatisfactory, which is due to less cumulative dosing of chemotherapy and less strict adherence to timing of successive cycles. In the present phase II trial, we evaluated a pediatric regimen in adult patients with ALL under the age of 40. Treatment was according to the pediatric FRALLE approach for high-risk ALL patients and characterized by increased dosages of asparaginase, steroids, methotrexate and vincristin. However, allogeneic stem cell transplantation was offered to standard risk patients with a sibling donor and to all high-risk patients in contrast to the pediatric protocol. Feasibility was defined by achieving complete remission (CR) and completion of treatment within a strict timeframe in at least 60% of patients. In all, 54 patients were included with a median age of 26. CR was achieved in 49 patients (91%), of whom 33 completed treatment as scheduled (61%). Side effects primarily consisted of infections and occurred in 40% of patients. With a median follow-up of 32 months, EFS estimated 66% at 24 months and overall survival 72%. These data show that a dose-intensive pediatric regimen is feasible in adult ALL patients up to the age of 40.","author":[{"dropping-particle":"","family":"Rijneveld","given":"A. W.","non-dropping-particle":"","parse-names":false,"suffix":""},{"dropping-particle":"","family":"Holt","given":"B.","non-dropping-particle":"Van Der","parse-names":false,"suffix":""},{"dropping-particle":"","family":"Daenen","given":"S. M.G.J.","non-dropping-particle":"","parse-names":false,"suffix":""},{"dropping-particle":"","family":"Biemond","given":"B. J.","non-dropping-particle":"","parse-names":false,"suffix":""},{"dropping-particle":"","family":"Weerdt","given":"O.","non-dropping-particle":"De","parse-names":false,"suffix":""},{"dropping-particle":"","family":"Muus","given":"P.","non-dropping-particle":"","parse-names":false,"suffix":""},{"dropping-particle":"","family":"Maertens","given":"J.","non-dropping-particle":"","parse-names":false,"suffix":""},{"dropping-particle":"","family":"Mattijssen","given":"V.","non-dropping-particle":"","parse-names":false,"suffix":""},{"dropping-particle":"","family":"Demuynck","given":"H.","non-dropping-particle":"","parse-names":false,"suffix":""},{"dropping-particle":"","family":"Legdeur","given":"M. C.J.C.","non-dropping-particle":"","parse-names":false,"suffix":""},{"dropping-particle":"","family":"Wijermans","given":"P. W.","non-dropping-particle":"","parse-names":false,"suffix":""},{"dropping-particle":"","family":"Wittebol","given":"S.","non-dropping-particle":"","parse-names":false,"suffix":""},{"dropping-particle":"","family":"Spoelstra","given":"F. M.","non-dropping-particle":"","parse-names":false,"suffix":""},{"dropping-particle":"","family":"Dekker","given":"A. W.","non-dropping-particle":"","parse-names":false,"suffix":""},{"dropping-particle":"","family":"Ossenkoppele","given":"G. J.","non-dropping-particle":"","parse-names":false,"suffix":""},{"dropping-particle":"","family":"Willemze","given":"R.","non-dropping-particle":"","parse-names":false,"suffix":""},{"dropping-particle":"","family":"Cornelissen","given":"J. J.","non-dropping-particle":"","parse-names":false,"suffix":""}],"container-title":"Leukemia","id":"ITEM-1","issue":"11","issued":{"date-parts":[["2011"]]},"page":"1697-1703","publisher":"Nature Publishing Group","title":"Intensified chemotherapy inspired by a pediatric regimen combined with allogeneic transplantation in adult patients with acute lymphoblastic leukemia up to the age of 40","type":"article-journal","volume":"25"},"uris":["http://www.mendeley.com/documents/?uuid=edc3999d-9172-4f8c-89b2-3d48c8a68017"]},{"id":"ITEM-2","itemData":{"DOI":"10.1038/leu.2014.229","ISSN":"14765551","abstract":"On the basis of the data suggesting that adolescents and young adult patients with acute lymphoblastic leukemia (ALL) have improved outcomes when treated on pediatric protocols, we assessed the feasibility of treating adult patients aged 18-50 years with ALL with the DFCI Pediatric ALL Consortium regimen utilizing a 30-week course of pharmacokinetically dose-adjusted E. coli L-asparaginase during consolidation. Between 2002 and 2008, 92 eligible patients aged 18-50 years were enrolled at 13 participating centers. Seventy-eight patients (85%) achieved a complete remission (CR) after 1 month of intensive induction therapy. With a median follow-up of 4.5 years, the 4-year disease-free survival (DFS) for the patients achieving a CR was 69% (95% confidence interval (CI) 56-78%) and the 4-year overall survival (OS) for all eligible patients was 67% (95% CI 56-76%). The 4-year DFS for the 64 patients who achieved a CR and were Philadelphia chromosome negative (Ph-) was 71% (95% CI 58-81%), and for all 74 Ph- patients the 4-year OS was 70% (95% CI 58-79%). We conclude that a pediatric-like treatment strategy for young adults with de novo ALL is feasible, associated with tolerable toxicity, and results in improved outcomes compared with historical regimens in young adult patients with ALL.","author":[{"dropping-particle":"","family":"DeAngelo","given":"D. J.","non-dropping-particle":"","parse-names":false,"suffix":""},{"dropping-particle":"","family":"Stevenson","given":"K. E.","non-dropping-particle":"","parse-names":false,"suffix":""},{"dropping-particle":"","family":"Dahlberg","given":"S. E.","non-dropping-particle":"","parse-names":false,"suffix":""},{"dropping-particle":"","family":"Silverman","given":"L. B.","non-dropping-particle":"","parse-names":false,"suffix":""},{"dropping-particle":"","family":"Couban","given":"S.","non-dropping-particle":"","parse-names":false,"suffix":""},{"dropping-particle":"","family":"Supko","given":"J. G.","non-dropping-particle":"","parse-names":false,"suffix":""},{"dropping-particle":"","family":"Amrein","given":"P. C.","non-dropping-particle":"","parse-names":false,"suffix":""},{"dropping-particle":"","family":"Ballen","given":"K. K.","non-dropping-particle":"","parse-names":false,"suffix":""},{"dropping-particle":"","family":"Seftel","given":"M. D.","non-dropping-particle":"","parse-names":false,"suffix":""},{"dropping-particle":"","family":"Turner","given":"A. R.","non-dropping-particle":"","parse-names":false,"suffix":""},{"dropping-particle":"","family":"Leber","given":"B.","non-dropping-particle":"","parse-names":false,"suffix":""},{"dropping-particle":"","family":"Howson-Jan","given":"K.","non-dropping-particle":"","parse-names":false,"suffix":""},{"dropping-particle":"","family":"Kelly","given":"K.","non-dropping-particle":"","parse-names":false,"suffix":""},{"dropping-particle":"","family":"Cohen","given":"S.","non-dropping-particle":"","parse-names":false,"suffix":""},{"dropping-particle":"","family":"Matthews","given":"J. H.","non-dropping-particle":"","parse-names":false,"suffix":""},{"dropping-particle":"","family":"Savoie","given":"L.","non-dropping-particle":"","parse-names":false,"suffix":""},{"dropping-particle":"","family":"Wadleigh","given":"M.","non-dropping-particle":"","parse-names":false,"suffix":""},{"dropping-particle":"","family":"Sirulnik","given":"L. A.","non-dropping-particle":"","parse-names":false,"suffix":""},{"dropping-particle":"","family":"Galinsky","given":"I.","non-dropping-particle":"","parse-names":false,"suffix":""},{"dropping-particle":"","family":"Neuberg","given":"D. S.","non-dropping-particle":"","parse-names":false,"suffix":""},{"dropping-particle":"","family":"Sallan","given":"S. E.","non-dropping-particle":"","parse-names":false,"suffix":""},{"dropping-particle":"","family":"Stone","given":"R. M.","non-dropping-particle":"","parse-names":false,"suffix":""}],"container-title":"Leukemia","id":"ITEM-2","issue":"3","issued":{"date-parts":[["2015"]]},"page":"526-534","publisher":"Nature Publishing Group","title":"Long-term outcome of a pediatric-inspired regimen used for adults aged 18-50 years with newly diagnosed acute lymphoblastic leukemia","type":"article-journal","volume":"29"},"uris":["http://www.mendeley.com/documents/?uuid=6f09686e-eb82-4642-bf4c-9626e4b660fd"]},{"id":"ITEM-3","itemData":{"DOI":"10.1182/blood-2008-01-130237.The","author":[{"dropping-particle":"","family":"Stock","given":"Wendy","non-dropping-particle":"","parse-names":false,"suffix":""},{"dropping-particle":"","family":"La","given":"Mei","non-dropping-particle":"","parse-names":false,"suffix":""},{"dropping-particle":"","family":"Sanford","given":"Ben","non-dropping-particle":"","parse-names":false,"suffix":""},{"dropping-particle":"","family":"Bloomfield","given":"Clara D","non-dropping-particle":"","parse-names":false,"suffix":""},{"dropping-particle":"","family":"Vardiman","given":"James W","non-dropping-particle":"","parse-names":false,"suffix":""},{"dropping-particle":"","family":"Gaynon","given":"Paul","non-dropping-particle":"","parse-names":false,"suffix":""},{"dropping-particle":"","family":"Larson","given":"Richard a","non-dropping-particle":"","parse-names":false,"suffix":""},{"dropping-particle":"","family":"Nachman","given":"James","non-dropping-particle":"","parse-names":false,"suffix":""},{"dropping-particle":"","family":"Ayas","given":"C C G","non-dropping-particle":"","parse-names":false,"suffix":""}],"container-title":"Young","id":"ITEM-3","issue":"5","issued":{"date-parts":[["2008"]]},"page":"1646-1654","title":"AYA ALL - CCG vs CALGB","type":"article-journal","volume":"112"},"uris":["http://www.mendeley.com/documents/?uuid=403d5d18-0fe0-4963-b6d2-50696cb527ef"]},{"id":"ITEM-4","itemData":{"DOI":"10.1200/JCO.2013.50.2708","ISSN":"15277755","abstract":"PURPOSE: Asparaginase treatment is standard in all pediatric acute lymphoblastic leukemia (ALL) regimens, whereas in adults, it is either excluded or administered for a shorter duration. Several adult ALL protocols are adapting pediatric regimens, but the optimal implementation of asparaginase is not well studied, considering its potential higher toxicity. We studied a pegaspargase dosing strategy based on its pharmacokinetic characteristics in adults.\\n\\nPATIENTS AND METHODS: Between 2004 and 2009, 51 adults age 18 to 57 years with newly diagnosed ALL were treated with a regimen adapted from a pediatric trial that included six doses of intravenous pegaspargase at 2,000 IU/m(2) per dose. Intervals between doses were longer than 4 weeks and rationally synchronized with other chemotherapy drugs to prevent overlapping toxicities. Pegaspargase was administered with steroids to reduce hypersensitivity. Asparaginase-related toxicities were monitored after 173 pegaspargase doses.\\n\\nRESULTS: The most common grade 3/4 asparaginase-related toxicities were lengthy hyperbilirubinemia and transaminitis, occasionally resulting in subsequent treatment delays. All toxicities resolved spontaneously. Forty-five percent of patients were able to receive all six doses of pegaspargase, and 61% received ≥ three doses. In only 20% of patients, the drug was discontinued after pegaspargase-related serious toxicity. Ninety-six percent achieved complete remission, almost all within 4 weeks, and a low induction death rate was seen. Seven-year disease-free and overall survival were 58% and 51%, respectively.\\n\\nCONCLUSION: Our dose and schedule of pegaspargase, based on its pharmacokinetics, and our detailed toxicity profile could be applied for safer adaptation of pediatric ALL protocols in adults.","author":[{"dropping-particle":"","family":"Douer","given":"Dan","non-dropping-particle":"","parse-names":false,"suffix":""},{"dropping-particle":"","family":"Aldoss","given":"Ibrahim","non-dropping-particle":"","parse-names":false,"suffix":""},{"dropping-particle":"","family":"Lunning","given":"Matthew A.","non-dropping-particle":"","parse-names":false,"suffix":""},{"dropping-particle":"","family":"Burke","given":"Patrick W.","non-dropping-particle":"","parse-names":false,"suffix":""},{"dropping-particle":"","family":"Ramezani","given":"Laleh","non-dropping-particle":"","parse-names":false,"suffix":""},{"dropping-particle":"","family":"Mark","given":"Lisa","non-dropping-particle":"","parse-names":false,"suffix":""},{"dropping-particle":"","family":"Vrona","given":"Janice","non-dropping-particle":"","parse-names":false,"suffix":""},{"dropping-particle":"","family":"Park","given":"Jae H.","non-dropping-particle":"","parse-names":false,"suffix":""},{"dropping-particle":"","family":"Tallman","given":"Martin S.","non-dropping-particle":"","parse-names":false,"suffix":""},{"dropping-particle":"","family":"Avramis","given":"Vassilios I.","non-dropping-particle":"","parse-names":false,"suffix":""},{"dropping-particle":"","family":"Pullarkat","given":"Vinod","non-dropping-particle":"","parse-names":false,"suffix":""},{"dropping-particle":"","family":"Mohrbacher","given":"Ann M.","non-dropping-particle":"","parse-names":false,"suffix":""}],"container-title":"Journal of Clinical Oncology","id":"ITEM-4","issue":"9","issued":{"date-parts":[["2014"]]},"page":"905-911","title":"Pharmacokinetics-based integration of multiple doses of intravenous pegaspargase in a pediatric regimen for adults with newly diagnosed acute lymphoblastic leukemia","type":"article-journal","volume":"32"},"uris":["http://www.mendeley.com/documents/?uuid=eb28f6c3-cb24-47e6-b0f3-da78c80aec5c"]},{"id":"ITEM-5","itemData":{"container-title":"National Comprehensive Cancer Network. NCCN Clinical Practice Guidelines in Oncology (NCCN Guidelines)","id":"ITEM-5","issue":"May 15","issued":{"date-parts":[["2019"]]},"page":"1-115","title":"Acute Lymphoblastic Leukemia","type":"article-journal","volume":"2"},"uris":["http://www.mendeley.com/documents/?uuid=c1b4b128-0fac-4ec8-8fa5-38da53fe8565"]},{"id":"ITEM-6","itemData":{"DOI":"10.1200/JCO.2008.18.6916","ISSN":"0732183X","abstract":"Purpose Retrospective comparisons have suggested that adolescents or teenagers with acute lymphoblastic leukemia (ALL) benefit from pediatric rather than adult chemotherapy regimens. Thus, the aim of the present phase II study was to test a pediatric-inspired treatment, including intensified doses of nonmyelotoxic drugs, such as prednisone, vincristine, or L-asparaginase, in adult patients with ALL up to the age of 60 years. Patients and Methods Between 2003 and 2005, 225 adult patients (median age, 31 years; range, 15 to 60 years) with Philadelphia chromosome-negative ALL were enrolled onto the Group for Research on Adult Acute Lymphoblastic Leukemia 2003 protocol, which included several pediatric options. Some adult options, such as allogeneic stem-cell transplantation for patients with high-risk ALL, were nevertheless retained. Results were retrospectively compared with the historical France-Belgium Group for Lymphoblastic Acute Leukemia in Adults 94 (LALA-94) trial experience in 712 patients age 15 to 55 years. Results Complete remission rate was 93.5%. At 42 months, event-free survival (EFS) and overall survival (OS) rates were 55% (95% CI, 48% to 52%) and 60% (95% CI, 53% to 66%), respectively. Age remained an important bad prognostic factor, with 45 years of age as best cutoff. In older versus younger patients, there was a higher cumulative incidence of chemotherapy-related deaths (23% v 5%, respectively; P  &lt;  .001) and deaths in first CR (22% 5%, respectively; P  &lt;  .001), whereas the incidence of relapse remained stable (30% v 32%, respectively). Complete remission rate (P = .02), EFS (P  &lt;  .001), and OS (P  &lt;  .001) compared favorably with the previous LALA- 94 experience. Conclusion These results suggest that pediatric-inspired therapy markedly improves the outcome of adult patients with ALL, at least until the age of 45 years. © 2009 by American Society of Clinical Oncology.","author":[{"dropping-particle":"","family":"Huguet","given":"Franģoise","non-dropping-particle":"","parse-names":false,"suffix":""},{"dropping-particle":"","family":"Leguay","given":"Thibaut","non-dropping-particle":"","parse-names":false,"suffix":""},{"dropping-particle":"","family":"Raffoux","given":"Emmanuel","non-dropping-particle":"","parse-names":false,"suffix":""},{"dropping-particle":"","family":"Thomas","given":"Xavier","non-dropping-particle":"","parse-names":false,"suffix":""},{"dropping-particle":"","family":"Beldjord","given":"Kheira","non-dropping-particle":"","parse-names":false,"suffix":""},{"dropping-particle":"","family":"Delabesse","given":"Eric","non-dropping-particle":"","parse-names":false,"suffix":""},{"dropping-particle":"","family":"Chevallier","given":"Patrice","non-dropping-particle":"","parse-names":false,"suffix":""},{"dropping-particle":"","family":"Buzyn","given":"Agnes","non-dropping-particle":"","parse-names":false,"suffix":""},{"dropping-particle":"","family":"Delannoy","given":"André","non-dropping-particle":"","parse-names":false,"suffix":""},{"dropping-particle":"","family":"Chalandon","given":"Yves","non-dropping-particle":"","parse-names":false,"suffix":""},{"dropping-particle":"","family":"Vernant","given":"Jean Paul","non-dropping-particle":"","parse-names":false,"suffix":""},{"dropping-particle":"","family":"Lafage-Pochitaloff","given":"Marina","non-dropping-particle":"","parse-names":false,"suffix":""},{"dropping-particle":"","family":"Chassevent","given":"Agnès","non-dropping-particle":"","parse-names":false,"suffix":""},{"dropping-particle":"","family":"Lhéritier","given":"Véronique","non-dropping-particle":"","parse-names":false,"suffix":""},{"dropping-particle":"","family":"Macintyre","given":"Elizabeth","non-dropping-particle":"","parse-names":false,"suffix":""},{"dropping-particle":"","family":"Béné","given":"Marie Christine","non-dropping-particle":"","parse-names":false,"suffix":""},{"dropping-particle":"","family":"Ifrah","given":"Norbert","non-dropping-particle":"","parse-names":false,"suffix":""},{"dropping-particle":"","family":"Dombret","given":"Hervé","non-dropping-particle":"","parse-names":false,"suffix":""}],"container-title":"Journal of Clinical Oncology","id":"ITEM-6","issue":"6","issued":{"date-parts":[["2009"]]},"page":"911-918","title":"Pediatric-inspired therapy in adults with philadelphia chromosome-negative acute lymphoblastic leukemia: The GRAALL-2003 study","type":"article-journal","volume":"27"},"uris":["http://www.mendeley.com/documents/?uuid=dacc5b48-3574-4a07-95ea-dd28ea9f97eb"]}],"mendeley":{"formattedCitation":"(6,24–28)","plainTextFormattedCitation":"(6,24–28)","previouslyFormattedCitation":"(6,24–28)"},"properties":{"noteIndex":0},"schema":"https://github.com/citation-style-language/schema/raw/master/csl-citation.json"}</w:instrText>
      </w:r>
      <w:r w:rsidR="00415C49" w:rsidRPr="004E4D14">
        <w:rPr>
          <w:rFonts w:ascii="Arial" w:hAnsi="Arial" w:cs="Arial"/>
          <w:sz w:val="20"/>
          <w:szCs w:val="20"/>
          <w:lang w:val="es-ES"/>
        </w:rPr>
        <w:fldChar w:fldCharType="separate"/>
      </w:r>
      <w:r w:rsidR="00D14684" w:rsidRPr="004E4D14">
        <w:rPr>
          <w:rFonts w:ascii="Arial" w:hAnsi="Arial" w:cs="Arial"/>
          <w:noProof/>
          <w:sz w:val="20"/>
          <w:szCs w:val="20"/>
          <w:lang w:val="es-ES"/>
        </w:rPr>
        <w:t>(6,24–28)</w:t>
      </w:r>
      <w:r w:rsidR="00415C49" w:rsidRPr="004E4D14">
        <w:rPr>
          <w:rFonts w:ascii="Arial" w:hAnsi="Arial" w:cs="Arial"/>
          <w:sz w:val="20"/>
          <w:szCs w:val="20"/>
          <w:lang w:val="es-ES"/>
        </w:rPr>
        <w:fldChar w:fldCharType="end"/>
      </w:r>
      <w:r w:rsidR="00D14684" w:rsidRPr="004E4D14">
        <w:rPr>
          <w:rFonts w:ascii="Arial" w:hAnsi="Arial" w:cs="Arial"/>
          <w:sz w:val="20"/>
          <w:szCs w:val="20"/>
          <w:lang w:val="es-ES"/>
        </w:rPr>
        <w:t xml:space="preserve">. </w:t>
      </w:r>
    </w:p>
    <w:p w14:paraId="4CAFEB1E" w14:textId="77777777" w:rsidR="00D14684" w:rsidRPr="004E4D14" w:rsidRDefault="00D14684"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13DBB904" w14:textId="6E59033F" w:rsidR="006D1032" w:rsidRPr="004E4D14" w:rsidRDefault="00D14684"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Sin embargo, estudios como el GRAALL2003, han demostrado que los pacientes con edad mayor a 45 años pueden exponerse a una toxicidad mayor de los agentes de quimioterapia, en particular la Asparaginasa</w:t>
      </w:r>
      <w:r w:rsidR="00415C49" w:rsidRPr="004E4D14">
        <w:rPr>
          <w:rFonts w:ascii="Arial" w:hAnsi="Arial" w:cs="Arial"/>
          <w:sz w:val="20"/>
          <w:szCs w:val="20"/>
          <w:lang w:val="es-ES"/>
        </w:rPr>
        <w:fldChar w:fldCharType="begin" w:fldLock="1"/>
      </w:r>
      <w:r w:rsidR="006D1032" w:rsidRPr="004E4D14">
        <w:rPr>
          <w:rFonts w:ascii="Arial" w:hAnsi="Arial" w:cs="Arial"/>
          <w:sz w:val="20"/>
          <w:szCs w:val="20"/>
          <w:lang w:val="es-ES"/>
        </w:rPr>
        <w:instrText>ADDIN CSL_CITATION {"citationItems":[{"id":"ITEM-1","itemData":{"DOI":"10.1200/JCO.2008.18.6916","ISSN":"0732183X","abstract":"Purpose Retrospective comparisons have suggested that adolescents or teenagers with acute lymphoblastic leukemia (ALL) benefit from pediatric rather than adult chemotherapy regimens. Thus, the aim of the present phase II study was to test a pediatric-inspired treatment, including intensified doses of nonmyelotoxic drugs, such as prednisone, vincristine, or L-asparaginase, in adult patients with ALL up to the age of 60 years. Patients and Methods Between 2003 and 2005, 225 adult patients (median age, 31 years; range, 15 to 60 years) with Philadelphia chromosome-negative ALL were enrolled onto the Group for Research on Adult Acute Lymphoblastic Leukemia 2003 protocol, which included several pediatric options. Some adult options, such as allogeneic stem-cell transplantation for patients with high-risk ALL, were nevertheless retained. Results were retrospectively compared with the historical France-Belgium Group for Lymphoblastic Acute Leukemia in Adults 94 (LALA-94) trial experience in 712 patients age 15 to 55 years. Results Complete remission rate was 93.5%. At 42 months, event-free survival (EFS) and overall survival (OS) rates were 55% (95% CI, 48% to 52%) and 60% (95% CI, 53% to 66%), respectively. Age remained an important bad prognostic factor, with 45 years of age as best cutoff. In older versus younger patients, there was a higher cumulative incidence of chemotherapy-related deaths (23% v 5%, respectively; P  &lt;  .001) and deaths in first CR (22% 5%, respectively; P  &lt;  .001), whereas the incidence of relapse remained stable (30% v 32%, respectively). Complete remission rate (P = .02), EFS (P  &lt;  .001), and OS (P  &lt;  .001) compared favorably with the previous LALA- 94 experience. Conclusion These results suggest that pediatric-inspired therapy markedly improves the outcome of adult patients with ALL, at least until the age of 45 years. © 2009 by American Society of Clinical Oncology.","author":[{"dropping-particle":"","family":"Huguet","given":"Franģoise","non-dropping-particle":"","parse-names":false,"suffix":""},{"dropping-particle":"","family":"Leguay","given":"Thibaut","non-dropping-particle":"","parse-names":false,"suffix":""},{"dropping-particle":"","family":"Raffoux","given":"Emmanuel","non-dropping-particle":"","parse-names":false,"suffix":""},{"dropping-particle":"","family":"Thomas","given":"Xavier","non-dropping-particle":"","parse-names":false,"suffix":""},{"dropping-particle":"","family":"Beldjord","given":"Kheira","non-dropping-particle":"","parse-names":false,"suffix":""},{"dropping-particle":"","family":"Delabesse","given":"Eric","non-dropping-particle":"","parse-names":false,"suffix":""},{"dropping-particle":"","family":"Chevallier","given":"Patrice","non-dropping-particle":"","parse-names":false,"suffix":""},{"dropping-particle":"","family":"Buzyn","given":"Agnes","non-dropping-particle":"","parse-names":false,"suffix":""},{"dropping-particle":"","family":"Delannoy","given":"André","non-dropping-particle":"","parse-names":false,"suffix":""},{"dropping-particle":"","family":"Chalandon","given":"Yves","non-dropping-particle":"","parse-names":false,"suffix":""},{"dropping-particle":"","family":"Vernant","given":"Jean Paul","non-dropping-particle":"","parse-names":false,"suffix":""},{"dropping-particle":"","family":"Lafage-Pochitaloff","given":"Marina","non-dropping-particle":"","parse-names":false,"suffix":""},{"dropping-particle":"","family":"Chassevent","given":"Agnès","non-dropping-particle":"","parse-names":false,"suffix":""},{"dropping-particle":"","family":"Lhéritier","given":"Véronique","non-dropping-particle":"","parse-names":false,"suffix":""},{"dropping-particle":"","family":"Macintyre","given":"Elizabeth","non-dropping-particle":"","parse-names":false,"suffix":""},{"dropping-particle":"","family":"Béné","given":"Marie Christine","non-dropping-particle":"","parse-names":false,"suffix":""},{"dropping-particle":"","family":"Ifrah","given":"Norbert","non-dropping-particle":"","parse-names":false,"suffix":""},{"dropping-particle":"","family":"Dombret","given":"Hervé","non-dropping-particle":"","parse-names":false,"suffix":""}],"container-title":"Journal of Clinical Oncology","id":"ITEM-1","issue":"6","issued":{"date-parts":[["2009"]]},"page":"911-918","title":"Pediatric-inspired therapy in adults with philadelphia chromosome-negative acute lymphoblastic leukemia: The GRAALL-2003 study","type":"article-journal","volume":"27"},"uris":["http://www.mendeley.com/documents/?uuid=dacc5b48-3574-4a07-95ea-dd28ea9f97eb"]},{"id":"ITEM-2","itemData":{"container-title":"National Comprehensive Cancer Network. NCCN Clinical Practice Guidelines in Oncology (NCCN Guidelines)","id":"ITEM-2","issue":"May 15","issued":{"date-parts":[["2019"]]},"page":"1-115","title":"Acute Lymphoblastic Leukemia","type":"article-journal","volume":"2"},"uris":["http://www.mendeley.com/documents/?uuid=c1b4b128-0fac-4ec8-8fa5-38da53fe8565"]}],"mendeley":{"formattedCitation":"(6,28)","plainTextFormattedCitation":"(6,28)","previouslyFormattedCitation":"(6,28)"},"properties":{"noteIndex":0},"schema":"https://github.com/citation-style-language/schema/raw/master/csl-citation.json"}</w:instrText>
      </w:r>
      <w:r w:rsidR="00415C49" w:rsidRPr="004E4D14">
        <w:rPr>
          <w:rFonts w:ascii="Arial" w:hAnsi="Arial" w:cs="Arial"/>
          <w:sz w:val="20"/>
          <w:szCs w:val="20"/>
          <w:lang w:val="es-ES"/>
        </w:rPr>
        <w:fldChar w:fldCharType="separate"/>
      </w:r>
      <w:r w:rsidR="006D1032" w:rsidRPr="004E4D14">
        <w:rPr>
          <w:rFonts w:ascii="Arial" w:hAnsi="Arial" w:cs="Arial"/>
          <w:noProof/>
          <w:sz w:val="20"/>
          <w:szCs w:val="20"/>
          <w:lang w:val="es-ES"/>
        </w:rPr>
        <w:t>(6,28)</w:t>
      </w:r>
      <w:r w:rsidR="00415C49" w:rsidRPr="004E4D14">
        <w:rPr>
          <w:rFonts w:ascii="Arial" w:hAnsi="Arial" w:cs="Arial"/>
          <w:sz w:val="20"/>
          <w:szCs w:val="20"/>
          <w:lang w:val="es-ES"/>
        </w:rPr>
        <w:fldChar w:fldCharType="end"/>
      </w:r>
      <w:r w:rsidRPr="004E4D14">
        <w:rPr>
          <w:rFonts w:ascii="Arial" w:hAnsi="Arial" w:cs="Arial"/>
          <w:sz w:val="20"/>
          <w:szCs w:val="20"/>
          <w:lang w:val="es-ES"/>
        </w:rPr>
        <w:t>.</w:t>
      </w:r>
      <w:r w:rsidR="006D1032" w:rsidRPr="004E4D14">
        <w:rPr>
          <w:rFonts w:ascii="Arial" w:hAnsi="Arial" w:cs="Arial"/>
          <w:sz w:val="20"/>
          <w:szCs w:val="20"/>
          <w:lang w:val="es-ES"/>
        </w:rPr>
        <w:t xml:space="preserve"> Para eliminar esta barrera, en el año 2006, el centro nacional de cáncer de los Estados Unidos (NCI – National</w:t>
      </w:r>
      <w:r w:rsidR="009A56EE">
        <w:rPr>
          <w:rFonts w:ascii="Arial" w:hAnsi="Arial" w:cs="Arial"/>
          <w:sz w:val="20"/>
          <w:szCs w:val="20"/>
          <w:lang w:val="es-ES"/>
        </w:rPr>
        <w:t xml:space="preserve"> </w:t>
      </w:r>
      <w:r w:rsidR="006D1032" w:rsidRPr="004E4D14">
        <w:rPr>
          <w:rFonts w:ascii="Arial" w:hAnsi="Arial" w:cs="Arial"/>
          <w:sz w:val="20"/>
          <w:szCs w:val="20"/>
          <w:lang w:val="es-ES"/>
        </w:rPr>
        <w:t xml:space="preserve">CancerInstitute) y la fundación Lance Armstrong (Lance Armstrong Fundation), condujeron un grupo y programa de revisión sobre los problemas de cáncer en los AYA, con el ánimo de clarificar recomendaciones, enfocadas a establecer programas de prevención / control, epidemiología, riesgo, biología, acceso, seguridad en salud, modelos de cuidado médico, ensayos clínicos, investigación entre otros, en las que se definió como AYA los pacientes hasta los 40 años, definición adoptada de la misma forma por las guías de NCCN y por supuesto por el NCI. </w:t>
      </w:r>
      <w:r w:rsidR="00415C49" w:rsidRPr="004E4D14">
        <w:rPr>
          <w:rFonts w:ascii="Arial" w:hAnsi="Arial" w:cs="Arial"/>
          <w:sz w:val="20"/>
          <w:szCs w:val="20"/>
          <w:lang w:val="es-ES"/>
        </w:rPr>
        <w:fldChar w:fldCharType="begin" w:fldLock="1"/>
      </w:r>
      <w:r w:rsidR="0066743E" w:rsidRPr="004E4D14">
        <w:rPr>
          <w:rFonts w:ascii="Arial" w:hAnsi="Arial" w:cs="Arial"/>
          <w:sz w:val="20"/>
          <w:szCs w:val="20"/>
          <w:lang w:val="es-ES"/>
        </w:rPr>
        <w:instrText>ADDIN CSL_CITATION {"citationItems":[{"id":"ITEM-1","itemData":{"DOI":"10.1080/08880010701316850","ISSN":"08880018","abstract":"Whereas adolescents with cancer as a group used to have a better prognosis than children with malignant disease, trends suggest that the overall survival of 15- to 19-year-olds is now worse than in younger patients. Also, the incidence of cancer is higher in 15- to 19-year age span than during the first 15 years of life. In 2006, the U.S. National Cancer Institute (NCI) and the Lance Armstrong Foundation conducted a Program Review Group (PRG) of the Adolescent and young Adult (AYA) problem. Recommendations covered awareness, prevention/cancer control/epidemiology/risk, biology, access, health insurance, clinical care models, clinical trials/research, special populations, psychosocial/behavioral factors, health-related quality of life, and long-term effects. This Commentary reviews each of the primary executive recommendations of the PRG report with respect to their adolescent oncology perspective and application. Primary implementation of the recommendations is responsibility of a new consortium of organizations devoted to assisting adolescents and yound adults with cancer, the LiveStrongTM Yound Adult Alliance, a program of the Lance Armstrong Foundation. Prior programs included the Children's Oncology Group AYA Committee and two disease-specific initiatives: the Intergroup Consortium Against Sarcoma and a clinical trial in young adults with acute lymphoblastic leukemia that will be conducted by Cancer and Leukemia Group B, the Southwest Oncology Group, and Eastern Cooperative Oncology Group. Preliminary evidence indicates that these efforts have already had measurable success. Copyright © Informa Healthcare.","author":[{"dropping-particle":"","family":"Bleyer","given":"Archie","non-dropping-particle":"","parse-names":false,"suffix":""}],"container-title":"Pediatric Hematology and Oncology","id":"ITEM-1","issue":"5","issued":{"date-parts":[["2007"]]},"page":"325-336","title":"Adolescent and young Adult (AYA) oncology: The first A","type":"article-journal","volume":"24"},"uris":["http://www.mendeley.com/documents/?uuid=4bab42d0-549f-4503-8d54-9c96aa52816a"]},{"id":"ITEM-2","itemData":{"container-title":"National Comprehensive Cancer Network. NCCN Clinical Practice Guidelines in Oncology (NCCN Guidelines)","id":"ITEM-2","issue":"May 15","issued":{"date-parts":[["2019"]]},"page":"1-115","title":"Acute Lymphoblastic Leukemia","type":"article-journal","volume":"2"},"uris":["http://www.mendeley.com/documents/?uuid=c1b4b128-0fac-4ec8-8fa5-38da53fe8565"]}],"mendeley":{"formattedCitation":"(28,29)","plainTextFormattedCitation":"(28,29)","previouslyFormattedCitation":"(28,29)"},"properties":{"noteIndex":0},"schema":"https://github.com/citation-style-language/schema/raw/master/csl-citation.json"}</w:instrText>
      </w:r>
      <w:r w:rsidR="00415C49" w:rsidRPr="004E4D14">
        <w:rPr>
          <w:rFonts w:ascii="Arial" w:hAnsi="Arial" w:cs="Arial"/>
          <w:sz w:val="20"/>
          <w:szCs w:val="20"/>
          <w:lang w:val="es-ES"/>
        </w:rPr>
        <w:fldChar w:fldCharType="separate"/>
      </w:r>
      <w:r w:rsidR="006D1032" w:rsidRPr="004E4D14">
        <w:rPr>
          <w:rFonts w:ascii="Arial" w:hAnsi="Arial" w:cs="Arial"/>
          <w:noProof/>
          <w:sz w:val="20"/>
          <w:szCs w:val="20"/>
          <w:lang w:val="es-ES"/>
        </w:rPr>
        <w:t>(28,29)</w:t>
      </w:r>
      <w:r w:rsidR="00415C49" w:rsidRPr="004E4D14">
        <w:rPr>
          <w:rFonts w:ascii="Arial" w:hAnsi="Arial" w:cs="Arial"/>
          <w:sz w:val="20"/>
          <w:szCs w:val="20"/>
          <w:lang w:val="es-ES"/>
        </w:rPr>
        <w:fldChar w:fldCharType="end"/>
      </w:r>
      <w:r w:rsidR="006D1032" w:rsidRPr="004E4D14">
        <w:rPr>
          <w:rFonts w:ascii="Arial" w:hAnsi="Arial" w:cs="Arial"/>
          <w:sz w:val="20"/>
          <w:szCs w:val="20"/>
          <w:lang w:val="es-ES"/>
        </w:rPr>
        <w:t xml:space="preserve">. </w:t>
      </w:r>
    </w:p>
    <w:p w14:paraId="6F557D22" w14:textId="77777777" w:rsidR="008529C9" w:rsidRPr="004E4D14" w:rsidRDefault="008529C9"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3DAE6169" w14:textId="77777777" w:rsidR="0026653B" w:rsidRPr="004E4D14" w:rsidRDefault="0026653B" w:rsidP="004E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4E4D14">
        <w:rPr>
          <w:rFonts w:ascii="Arial" w:hAnsi="Arial" w:cs="Arial"/>
          <w:sz w:val="20"/>
          <w:szCs w:val="20"/>
          <w:lang w:val="es-ES"/>
        </w:rPr>
        <w:t xml:space="preserve">Una comunicación oral de </w:t>
      </w:r>
      <w:r w:rsidR="00337A88">
        <w:rPr>
          <w:rFonts w:ascii="Arial" w:hAnsi="Arial" w:cs="Arial"/>
          <w:sz w:val="20"/>
          <w:szCs w:val="20"/>
          <w:lang w:val="es-ES"/>
        </w:rPr>
        <w:t xml:space="preserve">la </w:t>
      </w:r>
      <w:r w:rsidRPr="004E4D14">
        <w:rPr>
          <w:rFonts w:ascii="Arial" w:hAnsi="Arial" w:cs="Arial"/>
          <w:sz w:val="20"/>
          <w:szCs w:val="20"/>
          <w:lang w:val="es-ES"/>
        </w:rPr>
        <w:t>Asociación Colombiana de Hemato-Oncología</w:t>
      </w:r>
      <w:r w:rsidR="00061B17" w:rsidRPr="004E4D14">
        <w:rPr>
          <w:rFonts w:ascii="Arial" w:hAnsi="Arial" w:cs="Arial"/>
          <w:sz w:val="20"/>
          <w:szCs w:val="20"/>
          <w:lang w:val="es-ES"/>
        </w:rPr>
        <w:t xml:space="preserve"> (ACHO)</w:t>
      </w:r>
      <w:r w:rsidR="004E4D14">
        <w:rPr>
          <w:rFonts w:ascii="Arial" w:hAnsi="Arial" w:cs="Arial"/>
          <w:sz w:val="20"/>
          <w:szCs w:val="20"/>
          <w:lang w:val="es-ES"/>
        </w:rPr>
        <w:t xml:space="preserve"> en 2019</w:t>
      </w:r>
      <w:r w:rsidRPr="004E4D14">
        <w:rPr>
          <w:rFonts w:ascii="Arial" w:hAnsi="Arial" w:cs="Arial"/>
          <w:sz w:val="20"/>
          <w:szCs w:val="20"/>
          <w:lang w:val="es-ES"/>
        </w:rPr>
        <w:t xml:space="preserve">, indica que los protocolos de quimioterapia </w:t>
      </w:r>
      <w:r w:rsidR="00403F96" w:rsidRPr="004E4D14">
        <w:rPr>
          <w:rFonts w:ascii="Arial" w:hAnsi="Arial" w:cs="Arial"/>
          <w:sz w:val="20"/>
          <w:szCs w:val="20"/>
          <w:lang w:val="es-ES"/>
        </w:rPr>
        <w:t>más</w:t>
      </w:r>
      <w:r w:rsidRPr="004E4D14">
        <w:rPr>
          <w:rFonts w:ascii="Arial" w:hAnsi="Arial" w:cs="Arial"/>
          <w:sz w:val="20"/>
          <w:szCs w:val="20"/>
          <w:lang w:val="es-ES"/>
        </w:rPr>
        <w:t xml:space="preserve"> ampliamente utilizados en Colombia para tratamiento de LLA en adultos son: HyperCVAD, GRAALL 2003, PETHEMA ALL.</w:t>
      </w:r>
      <w:r w:rsidR="00CE536F" w:rsidRPr="004E4D14">
        <w:rPr>
          <w:rFonts w:ascii="Arial" w:hAnsi="Arial" w:cs="Arial"/>
          <w:sz w:val="20"/>
          <w:szCs w:val="20"/>
          <w:lang w:val="es-ES"/>
        </w:rPr>
        <w:t xml:space="preserve"> Tabla 2</w:t>
      </w:r>
      <w:r w:rsidR="000F2F91" w:rsidRPr="004E4D14">
        <w:rPr>
          <w:rFonts w:ascii="Arial" w:hAnsi="Arial" w:cs="Arial"/>
          <w:sz w:val="20"/>
          <w:szCs w:val="20"/>
          <w:lang w:val="es-ES"/>
        </w:rPr>
        <w:t>.</w:t>
      </w:r>
    </w:p>
    <w:p w14:paraId="65DBCDE3" w14:textId="77777777" w:rsidR="00CE536F" w:rsidRDefault="00CE536F"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Helvetica" w:hAnsi="Helvetica" w:cs="Helvetica"/>
          <w:sz w:val="22"/>
          <w:szCs w:val="22"/>
          <w:lang w:val="es-ES"/>
        </w:rPr>
      </w:pPr>
    </w:p>
    <w:tbl>
      <w:tblPr>
        <w:tblStyle w:val="Tablaconcuadrcula"/>
        <w:tblW w:w="0" w:type="auto"/>
        <w:tblBorders>
          <w:insideH w:val="none" w:sz="0" w:space="0" w:color="auto"/>
          <w:insideV w:val="none" w:sz="0" w:space="0" w:color="auto"/>
        </w:tblBorders>
        <w:tblLayout w:type="fixed"/>
        <w:tblLook w:val="04A0" w:firstRow="1" w:lastRow="0" w:firstColumn="1" w:lastColumn="0" w:noHBand="0" w:noVBand="1"/>
      </w:tblPr>
      <w:tblGrid>
        <w:gridCol w:w="2376"/>
        <w:gridCol w:w="1134"/>
        <w:gridCol w:w="1276"/>
        <w:gridCol w:w="1418"/>
        <w:gridCol w:w="1417"/>
        <w:gridCol w:w="1585"/>
      </w:tblGrid>
      <w:tr w:rsidR="00CE536F" w14:paraId="2581202C" w14:textId="77777777" w:rsidTr="004A2746">
        <w:tc>
          <w:tcPr>
            <w:tcW w:w="9206" w:type="dxa"/>
            <w:gridSpan w:val="6"/>
            <w:shd w:val="clear" w:color="auto" w:fill="CCCCCC"/>
          </w:tcPr>
          <w:p w14:paraId="3C766803" w14:textId="77777777" w:rsidR="00CE536F" w:rsidRPr="0066743E" w:rsidRDefault="00CE536F" w:rsidP="00D91B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Helvetica" w:hAnsi="Helvetica" w:cs="Helvetica"/>
                <w:i/>
                <w:lang w:val="es-ES"/>
              </w:rPr>
            </w:pPr>
            <w:r w:rsidRPr="0066743E">
              <w:rPr>
                <w:rFonts w:ascii="Helvetica" w:hAnsi="Helvetica" w:cs="Helvetica"/>
                <w:b/>
                <w:i/>
                <w:lang w:val="es-ES"/>
              </w:rPr>
              <w:t>Tabla 2.</w:t>
            </w:r>
            <w:r w:rsidR="00D91B64">
              <w:rPr>
                <w:rFonts w:ascii="Arial" w:hAnsi="Arial" w:cs="Arial"/>
                <w:b/>
                <w:i/>
                <w:sz w:val="22"/>
                <w:szCs w:val="22"/>
                <w:lang w:val="es-ES"/>
              </w:rPr>
              <w:t>Protocolos</w:t>
            </w:r>
            <w:r w:rsidRPr="00D91B64">
              <w:rPr>
                <w:rFonts w:ascii="Arial" w:hAnsi="Arial" w:cs="Arial"/>
                <w:b/>
                <w:i/>
                <w:sz w:val="22"/>
                <w:szCs w:val="22"/>
                <w:lang w:val="es-ES"/>
              </w:rPr>
              <w:t xml:space="preserve"> de quimioterapia </w:t>
            </w:r>
            <w:r w:rsidR="00403F96" w:rsidRPr="00D91B64">
              <w:rPr>
                <w:rFonts w:ascii="Arial" w:hAnsi="Arial" w:cs="Arial"/>
                <w:b/>
                <w:i/>
                <w:sz w:val="22"/>
                <w:szCs w:val="22"/>
                <w:lang w:val="es-ES"/>
              </w:rPr>
              <w:t>más</w:t>
            </w:r>
            <w:r w:rsidRPr="00D91B64">
              <w:rPr>
                <w:rFonts w:ascii="Arial" w:hAnsi="Arial" w:cs="Arial"/>
                <w:b/>
                <w:i/>
                <w:sz w:val="22"/>
                <w:szCs w:val="22"/>
                <w:lang w:val="es-ES"/>
              </w:rPr>
              <w:t xml:space="preserve"> frecuentemente utilizados en Colombia</w:t>
            </w:r>
          </w:p>
        </w:tc>
      </w:tr>
      <w:tr w:rsidR="0066743E" w14:paraId="59CA099E" w14:textId="77777777" w:rsidTr="004A2746">
        <w:tc>
          <w:tcPr>
            <w:tcW w:w="2376" w:type="dxa"/>
            <w:shd w:val="clear" w:color="auto" w:fill="E0E0E0"/>
          </w:tcPr>
          <w:p w14:paraId="65BBECBB" w14:textId="77777777" w:rsidR="00CE536F" w:rsidRPr="000F2F91" w:rsidRDefault="00CE536F" w:rsidP="006674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b/>
                <w:sz w:val="18"/>
                <w:szCs w:val="18"/>
                <w:lang w:val="es-ES"/>
              </w:rPr>
            </w:pPr>
            <w:r w:rsidRPr="000F2F91">
              <w:rPr>
                <w:rFonts w:ascii="Arial" w:hAnsi="Arial" w:cs="Arial"/>
                <w:b/>
                <w:sz w:val="18"/>
                <w:szCs w:val="18"/>
                <w:lang w:val="es-ES"/>
              </w:rPr>
              <w:t>Régimen</w:t>
            </w:r>
          </w:p>
        </w:tc>
        <w:tc>
          <w:tcPr>
            <w:tcW w:w="1134" w:type="dxa"/>
            <w:shd w:val="clear" w:color="auto" w:fill="E0E0E0"/>
          </w:tcPr>
          <w:p w14:paraId="7575BD56" w14:textId="77777777" w:rsidR="00CE536F" w:rsidRPr="000F2F91" w:rsidRDefault="00DC7377" w:rsidP="006674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b/>
                <w:sz w:val="18"/>
                <w:szCs w:val="18"/>
                <w:lang w:val="es-ES"/>
              </w:rPr>
            </w:pPr>
            <w:r>
              <w:rPr>
                <w:rFonts w:ascii="Arial" w:hAnsi="Arial" w:cs="Arial"/>
                <w:b/>
                <w:sz w:val="18"/>
                <w:szCs w:val="18"/>
                <w:lang w:val="es-ES"/>
              </w:rPr>
              <w:t xml:space="preserve">Nº </w:t>
            </w:r>
            <w:r w:rsidR="00CE536F" w:rsidRPr="000F2F91">
              <w:rPr>
                <w:rFonts w:ascii="Arial" w:hAnsi="Arial" w:cs="Arial"/>
                <w:b/>
                <w:sz w:val="18"/>
                <w:szCs w:val="18"/>
                <w:lang w:val="es-ES"/>
              </w:rPr>
              <w:t>pacientes</w:t>
            </w:r>
          </w:p>
        </w:tc>
        <w:tc>
          <w:tcPr>
            <w:tcW w:w="1276" w:type="dxa"/>
            <w:shd w:val="clear" w:color="auto" w:fill="E0E0E0"/>
          </w:tcPr>
          <w:p w14:paraId="40ED92AA" w14:textId="77777777" w:rsidR="00CE536F" w:rsidRPr="000F2F91" w:rsidRDefault="00CE536F" w:rsidP="006674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b/>
                <w:sz w:val="18"/>
                <w:szCs w:val="18"/>
                <w:lang w:val="es-ES"/>
              </w:rPr>
            </w:pPr>
            <w:r w:rsidRPr="000F2F91">
              <w:rPr>
                <w:rFonts w:ascii="Arial" w:hAnsi="Arial" w:cs="Arial"/>
                <w:b/>
                <w:sz w:val="18"/>
                <w:szCs w:val="18"/>
                <w:lang w:val="es-ES"/>
              </w:rPr>
              <w:t>Edad</w:t>
            </w:r>
          </w:p>
        </w:tc>
        <w:tc>
          <w:tcPr>
            <w:tcW w:w="1418" w:type="dxa"/>
            <w:shd w:val="clear" w:color="auto" w:fill="E0E0E0"/>
          </w:tcPr>
          <w:p w14:paraId="75205880" w14:textId="77777777" w:rsidR="00CE536F" w:rsidRPr="000F2F91" w:rsidRDefault="00CE536F" w:rsidP="006674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b/>
                <w:sz w:val="18"/>
                <w:szCs w:val="18"/>
                <w:lang w:val="es-ES"/>
              </w:rPr>
            </w:pPr>
            <w:r w:rsidRPr="000F2F91">
              <w:rPr>
                <w:rFonts w:ascii="Arial" w:hAnsi="Arial" w:cs="Arial"/>
                <w:b/>
                <w:sz w:val="18"/>
                <w:szCs w:val="18"/>
                <w:lang w:val="es-ES"/>
              </w:rPr>
              <w:t>% Respuestas</w:t>
            </w:r>
          </w:p>
        </w:tc>
        <w:tc>
          <w:tcPr>
            <w:tcW w:w="1417" w:type="dxa"/>
            <w:shd w:val="clear" w:color="auto" w:fill="E0E0E0"/>
          </w:tcPr>
          <w:p w14:paraId="74F0110C" w14:textId="77777777" w:rsidR="00CE536F" w:rsidRPr="000F2F91" w:rsidRDefault="00CE536F" w:rsidP="006674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b/>
                <w:sz w:val="18"/>
                <w:szCs w:val="18"/>
                <w:lang w:val="es-ES"/>
              </w:rPr>
            </w:pPr>
            <w:r w:rsidRPr="000F2F91">
              <w:rPr>
                <w:rFonts w:ascii="Arial" w:hAnsi="Arial" w:cs="Arial"/>
                <w:b/>
                <w:sz w:val="18"/>
                <w:szCs w:val="18"/>
                <w:lang w:val="es-ES"/>
              </w:rPr>
              <w:t>Mortalidad a la inducción</w:t>
            </w:r>
          </w:p>
        </w:tc>
        <w:tc>
          <w:tcPr>
            <w:tcW w:w="1585" w:type="dxa"/>
            <w:shd w:val="clear" w:color="auto" w:fill="E0E0E0"/>
          </w:tcPr>
          <w:p w14:paraId="38CADE97" w14:textId="77777777" w:rsidR="00CE536F" w:rsidRPr="000F2F91" w:rsidRDefault="00CE536F" w:rsidP="006674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b/>
                <w:sz w:val="18"/>
                <w:szCs w:val="18"/>
                <w:lang w:val="es-ES"/>
              </w:rPr>
            </w:pPr>
            <w:r w:rsidRPr="000F2F91">
              <w:rPr>
                <w:rFonts w:ascii="Arial" w:hAnsi="Arial" w:cs="Arial"/>
                <w:b/>
                <w:sz w:val="18"/>
                <w:szCs w:val="18"/>
                <w:lang w:val="es-ES"/>
              </w:rPr>
              <w:t>Supervivencia</w:t>
            </w:r>
            <w:r w:rsidR="0066743E" w:rsidRPr="000F2F91">
              <w:rPr>
                <w:rFonts w:ascii="Arial" w:hAnsi="Arial" w:cs="Arial"/>
                <w:b/>
                <w:sz w:val="18"/>
                <w:szCs w:val="18"/>
                <w:lang w:val="es-ES"/>
              </w:rPr>
              <w:t xml:space="preserve"> global</w:t>
            </w:r>
          </w:p>
        </w:tc>
      </w:tr>
      <w:tr w:rsidR="0066743E" w14:paraId="23BFBDB2" w14:textId="77777777" w:rsidTr="004A2746">
        <w:tc>
          <w:tcPr>
            <w:tcW w:w="2376" w:type="dxa"/>
            <w:shd w:val="clear" w:color="auto" w:fill="F3F3F3"/>
          </w:tcPr>
          <w:p w14:paraId="36DFC62B" w14:textId="77777777" w:rsidR="00CE536F" w:rsidRPr="004A2746" w:rsidRDefault="0066743E"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 xml:space="preserve">HyperCVAD </w:t>
            </w:r>
            <w:r w:rsidR="00415C49" w:rsidRPr="004A2746">
              <w:rPr>
                <w:rFonts w:ascii="Arial" w:hAnsi="Arial" w:cs="Arial"/>
                <w:sz w:val="18"/>
                <w:szCs w:val="18"/>
                <w:lang w:val="es-ES"/>
              </w:rPr>
              <w:fldChar w:fldCharType="begin" w:fldLock="1"/>
            </w:r>
            <w:r w:rsidR="000F2F91" w:rsidRPr="004A2746">
              <w:rPr>
                <w:rFonts w:ascii="Arial" w:hAnsi="Arial" w:cs="Arial"/>
                <w:sz w:val="18"/>
                <w:szCs w:val="18"/>
                <w:lang w:val="es-ES"/>
              </w:rPr>
              <w:instrText>ADDIN CSL_CITATION {"citationItems":[{"id":"ITEM-1","itemData":{"DOI":"10.1002/cncr.20668","ISSN":"0008543X","abstract":"BACKGROUND. Modern intensive chemotherapy regimens have improved the prognosis for patients with adult acute lymphocytic leukemia (ALL). With these regimens, the complete response rates are now reported to be &gt; 80%, and the long-term survival rates range from 30% to 45%. The current analysis updated the long-term results with the original hyperfractionated cyclophosphamide, vincristine, doxorubicin, and dexamethasone (Hyper-CVAD) program, with a median follow-up time of 63 months. METHODS. Between 1992 and 2000, 288 patients were treated with Hyper-CVAD. The median age of the patients was 40 years, and 59 patients (20%) were ≥ age 60 years. The incidence of Philadelphia chromosome (Ph)-positive ALL was 17%, and the incidence of of T-cell ALL was 13%. RESULTS. A complete response (CR) was achieved in 92% of patients. The induction mortality rate was 5% (2% if the patient's age was &lt; 60 years, and 15% if the patient's age was ≥ 60 years). With a median follow-up time of 63 months, the 5-year survival rate was 38% and the 5-year CR duration rate was 38%. Multivariate analysis of prognostic factors for CR duration identified the following adverse factors: age ≥ 45 years, leukocytosis ≥ 50 × 109/L, poor performance status (an Eastern Cooperative Oncology Group score of 3-4), Ph-positive disease, French-American-British L2 morphology, &gt; 1 course to achieve CR, and Day 14 bone marrow blasts &gt; 5%. Patients were divided into low-risk (risk score 0-1; 37%), intermediate risk (risk score 2-3; 36%), and poor-risk groups (risk score ≥ 4; 27%) with 5-year CR duration rates of 52%, 37%, and 10%, respectively. CONCLUSIONS. Compared with the previous VAD regimens, Hyper-CVAD was associated with significantly better CR rates, CR duration, and survival. The long-term follow-up results of Hyper-CVAD were favorable. Comparison of Hyper-CVAD with other established adult ALL regimens is warranted. © 2004 American Cancer Society.","author":[{"dropping-particle":"","family":"Kantarjian","given":"Hagop","non-dropping-particle":"","parse-names":false,"suffix":""},{"dropping-particle":"","family":"Thomas","given":"Deborah","non-dropping-particle":"","parse-names":false,"suffix":""},{"dropping-particle":"","family":"O'Brien","given":"Susan","non-dropping-particle":"","parse-names":false,"suffix":""},{"dropping-particle":"","family":"Cortes","given":"Jorge","non-dropping-particle":"","parse-names":false,"suffix":""},{"dropping-particle":"","family":"Giles","given":"Francis","non-dropping-particle":"","parse-names":false,"suffix":""},{"dropping-particle":"","family":"Jeha","given":"Sima","non-dropping-particle":"","parse-names":false,"suffix":""},{"dropping-particle":"","family":"Bueso-Ramos","given":"Carlos E.","non-dropping-particle":"","parse-names":false,"suffix":""},{"dropping-particle":"","family":"Pierce","given":"Sherry","non-dropping-particle":"","parse-names":false,"suffix":""},{"dropping-particle":"","family":"Shan","given":"Jianqin","non-dropping-particle":"","parse-names":false,"suffix":""},{"dropping-particle":"","family":"Koller","given":"Charles","non-dropping-particle":"","parse-names":false,"suffix":""},{"dropping-particle":"","family":"Beran","given":"Miloslav","non-dropping-particle":"","parse-names":false,"suffix":""},{"dropping-particle":"","family":"Keating","given":"Michael","non-dropping-particle":"","parse-names":false,"suffix":""},{"dropping-particle":"","family":"Freireich","given":"Emil J.","non-dropping-particle":"","parse-names":false,"suffix":""}],"container-title":"Cancer","id":"ITEM-1","issue":"12","issued":{"date-parts":[["2004"]]},"page":"2788-2801","title":"Long-term follow-up results of hyperfractionated cyclophosphamide, vincristine, doxorubicin, and dexamethasone (Hyper-CVAD), a dose-intensive regimen, in adult acute lymphocytic leukemia","type":"article-journal","volume":"101"},"uris":["http://www.mendeley.com/documents/?uuid=38f7123f-d91a-4c4d-a09b-560dd5e594cc"]}],"mendeley":{"formattedCitation":"(5)","plainTextFormattedCitation":"(5)","previouslyFormattedCitation":"(5)"},"properties":{"noteIndex":0},"schema":"https://github.com/citation-style-language/schema/raw/master/csl-citation.json"}</w:instrText>
            </w:r>
            <w:r w:rsidR="00415C49" w:rsidRPr="004A2746">
              <w:rPr>
                <w:rFonts w:ascii="Arial" w:hAnsi="Arial" w:cs="Arial"/>
                <w:sz w:val="18"/>
                <w:szCs w:val="18"/>
                <w:lang w:val="es-ES"/>
              </w:rPr>
              <w:fldChar w:fldCharType="separate"/>
            </w:r>
            <w:r w:rsidRPr="004A2746">
              <w:rPr>
                <w:rFonts w:ascii="Arial" w:hAnsi="Arial" w:cs="Arial"/>
                <w:noProof/>
                <w:sz w:val="18"/>
                <w:szCs w:val="18"/>
                <w:lang w:val="es-ES"/>
              </w:rPr>
              <w:t>(5)</w:t>
            </w:r>
            <w:r w:rsidR="00415C49" w:rsidRPr="004A2746">
              <w:rPr>
                <w:rFonts w:ascii="Arial" w:hAnsi="Arial" w:cs="Arial"/>
                <w:sz w:val="18"/>
                <w:szCs w:val="18"/>
                <w:lang w:val="es-ES"/>
              </w:rPr>
              <w:fldChar w:fldCharType="end"/>
            </w:r>
          </w:p>
        </w:tc>
        <w:tc>
          <w:tcPr>
            <w:tcW w:w="1134" w:type="dxa"/>
            <w:shd w:val="clear" w:color="auto" w:fill="F3F3F3"/>
          </w:tcPr>
          <w:p w14:paraId="41C23C4F"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288</w:t>
            </w:r>
          </w:p>
        </w:tc>
        <w:tc>
          <w:tcPr>
            <w:tcW w:w="1276" w:type="dxa"/>
            <w:shd w:val="clear" w:color="auto" w:fill="F3F3F3"/>
          </w:tcPr>
          <w:p w14:paraId="539070A0"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Helvetica" w:hAnsi="Helvetica" w:cs="Helvetica"/>
                <w:sz w:val="18"/>
                <w:szCs w:val="18"/>
                <w:lang w:val="es-ES"/>
              </w:rPr>
              <w:t>40 (15-92)</w:t>
            </w:r>
          </w:p>
        </w:tc>
        <w:tc>
          <w:tcPr>
            <w:tcW w:w="1418" w:type="dxa"/>
            <w:shd w:val="clear" w:color="auto" w:fill="F3F3F3"/>
          </w:tcPr>
          <w:p w14:paraId="673D805E"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92%</w:t>
            </w:r>
          </w:p>
        </w:tc>
        <w:tc>
          <w:tcPr>
            <w:tcW w:w="1417" w:type="dxa"/>
            <w:shd w:val="clear" w:color="auto" w:fill="F3F3F3"/>
          </w:tcPr>
          <w:p w14:paraId="3D72729C"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5%</w:t>
            </w:r>
          </w:p>
        </w:tc>
        <w:tc>
          <w:tcPr>
            <w:tcW w:w="1585" w:type="dxa"/>
            <w:shd w:val="clear" w:color="auto" w:fill="F3F3F3"/>
          </w:tcPr>
          <w:p w14:paraId="6AA3AA0E" w14:textId="77777777" w:rsidR="00CE536F" w:rsidRPr="004A2746" w:rsidRDefault="0066743E"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38% a 5 años</w:t>
            </w:r>
          </w:p>
        </w:tc>
      </w:tr>
      <w:tr w:rsidR="0066743E" w14:paraId="2E758021" w14:textId="77777777" w:rsidTr="004A2746">
        <w:tc>
          <w:tcPr>
            <w:tcW w:w="2376" w:type="dxa"/>
            <w:shd w:val="clear" w:color="auto" w:fill="E6E6E6"/>
          </w:tcPr>
          <w:p w14:paraId="0DDD0AA4" w14:textId="77777777" w:rsidR="00CE536F" w:rsidRPr="004A2746" w:rsidRDefault="008466D3" w:rsidP="000F2F91">
            <w:pPr>
              <w:widowControl w:val="0"/>
              <w:autoSpaceDE w:val="0"/>
              <w:autoSpaceDN w:val="0"/>
              <w:adjustRightInd w:val="0"/>
              <w:ind w:left="640" w:hanging="640"/>
              <w:rPr>
                <w:rFonts w:ascii="Arial" w:hAnsi="Arial" w:cs="Arial"/>
                <w:sz w:val="18"/>
                <w:szCs w:val="18"/>
                <w:lang w:val="es-ES"/>
              </w:rPr>
            </w:pPr>
            <w:r w:rsidRPr="004A2746">
              <w:rPr>
                <w:rFonts w:ascii="Helvetica" w:hAnsi="Helvetica" w:cs="Helvetica"/>
                <w:sz w:val="18"/>
                <w:szCs w:val="18"/>
                <w:lang w:val="es-ES"/>
              </w:rPr>
              <w:t xml:space="preserve">PETHEMA </w:t>
            </w:r>
            <w:r w:rsidR="0066743E" w:rsidRPr="004A2746">
              <w:rPr>
                <w:rFonts w:ascii="Helvetica" w:hAnsi="Helvetica" w:cs="Helvetica"/>
                <w:sz w:val="18"/>
                <w:szCs w:val="18"/>
                <w:lang w:val="es-ES"/>
              </w:rPr>
              <w:t>ALL-93</w:t>
            </w:r>
            <w:r w:rsidR="00415C49" w:rsidRPr="004A2746">
              <w:rPr>
                <w:rFonts w:ascii="Helvetica" w:hAnsi="Helvetica" w:cs="Helvetica"/>
                <w:sz w:val="18"/>
                <w:szCs w:val="18"/>
                <w:lang w:val="es-ES"/>
              </w:rPr>
              <w:fldChar w:fldCharType="begin" w:fldLock="1"/>
            </w:r>
            <w:r w:rsidR="000F2F91" w:rsidRPr="004A2746">
              <w:rPr>
                <w:rFonts w:ascii="Helvetica" w:hAnsi="Helvetica" w:cs="Helvetica"/>
                <w:sz w:val="18"/>
                <w:szCs w:val="18"/>
                <w:lang w:val="es-ES"/>
              </w:rPr>
              <w:instrText>ADDIN CSL_CITATION {"citationItems":[{"id":"ITEM-1","itemData":{"DOI":"10.1200/JCO.2007.13.7265","ISSN":"0732183X","abstract":"Purpose: Retrospective studies have shown that adolescents and young adults with acute lymphoblastic leukemia (ALL) treated with pediatric protocols have better outcomes than similarly aged patients treated with adult protocols, but prospective studies comparing adolescents and young adults using pediatric schedules are scarce. The ALL-96 protocol was addressed to compare the toxicity and results of a pediatric-based protocol in adolescents (age 15-18 years) and young adults (age 19-30 years) with standard-risk (SR) ALL. Patients and Methods: Adolescents (n = 35) and young adults (n = 46) received a standard five-drug/5-week induction course followed by two cycles of early consolidation, maintenance with monthly reinforcement cycles up to 1 year in continuous complete remission (CR) and 1 year with standard maintenance chemotherapy up to 2 years in CR. Results: Adolescents and young adults were comparable in the main pretreatment ALL characteristics. The CR rate was 98% and. after a median follow-up of 4.2 years, 6-year event-free survival (EFS) and overall survival (OS) were 61% (95% CI, 51% to 72%) and 69% (95% CI, 59% to 79%), respectively, with no differences between adolescents and young adults. The hematologic toxicity in consolidation and reinforcement cycles was higher in young adults than in adolescents. Slow response to induction therapy was the only parameter associated with poor EFS (34% v 67%) and OS (40% v 76%). Conclusion: The response to the pediatric ALL-96 protocol was identical in adolescents and young adults despite a slight increase in hematologic toxicity observed in adults. This justifies the age-unrestricted use of pediatric regimens to treat patients with SR ALL. © 2008 by American Society of Clinical Oncology.","author":[{"dropping-particle":"","family":"Ribera","given":"Josep Maŕa","non-dropping-particle":"","parse-names":false,"suffix":""},{"dropping-particle":"","family":"Oriol","given":"Albert","non-dropping-particle":"","parse-names":false,"suffix":""},{"dropping-particle":"","family":"Sanz","given":"Miguel Angel","non-dropping-particle":"","parse-names":false,"suffix":""},{"dropping-particle":"","family":"Tormo","given":"Mar","non-dropping-particle":"","parse-names":false,"suffix":""},{"dropping-particle":"","family":"Fernández-Abellán","given":"Pascual","non-dropping-particle":"","parse-names":false,"suffix":""},{"dropping-particle":"","family":"Potro","given":"Eloy","non-dropping-particle":"Del","parse-names":false,"suffix":""},{"dropping-particle":"","family":"Abella","given":"Eugenia","non-dropping-particle":"","parse-names":false,"suffix":""},{"dropping-particle":"","family":"Bueno","given":"Javier","non-dropping-particle":"","parse-names":false,"suffix":""},{"dropping-particle":"","family":"Parody","given":"Ricardo","non-dropping-particle":"","parse-names":false,"suffix":""},{"dropping-particle":"","family":"Bastida","given":"Pilar","non-dropping-particle":"","parse-names":false,"suffix":""},{"dropping-particle":"","family":"Grande","given":"Carlos","non-dropping-particle":"","parse-names":false,"suffix":""},{"dropping-particle":"","family":"Heras","given":"Inmaculada","non-dropping-particle":"","parse-names":false,"suffix":""},{"dropping-particle":"","family":"Bethencourt","given":"Concepción","non-dropping-particle":"","parse-names":false,"suffix":""},{"dropping-particle":"","family":"Feliu","given":"Evarist","non-dropping-particle":"","parse-names":false,"suffix":""},{"dropping-particle":"","family":"Ortega","given":"Juan José","non-dropping-particle":"","parse-names":false,"suffix":""}],"container-title":"Journal of Clinical Oncology","id":"ITEM-1","issue":"11","issued":{"date-parts":[["2008"]]},"page":"1843-1849","title":"Comparison of the results of the treatment of adolescents and young adults with standard-risk acute lymphoblastic leukemia with the programa Español de tratamiento en hematología pediatric-based protocol ALL-96","type":"article-journal","volume":"26"},"uris":["http://www.mendeley.com/documents/?uuid=4353ac4e-4260-4504-9569-e011e26349a7"]}],"mendeley":{"formattedCitation":"(30)","plainTextFormattedCitation":"(30)","previouslyFormattedCitation":"(30)"},"properties":{"noteIndex":0},"schema":"https://github.com/citation-style-language/schema/raw/master/csl-citation.json"}</w:instrText>
            </w:r>
            <w:r w:rsidR="00415C49" w:rsidRPr="004A2746">
              <w:rPr>
                <w:rFonts w:ascii="Helvetica" w:hAnsi="Helvetica" w:cs="Helvetica"/>
                <w:sz w:val="18"/>
                <w:szCs w:val="18"/>
                <w:lang w:val="es-ES"/>
              </w:rPr>
              <w:fldChar w:fldCharType="separate"/>
            </w:r>
            <w:r w:rsidR="000F2F91" w:rsidRPr="004A2746">
              <w:rPr>
                <w:rFonts w:ascii="Helvetica" w:hAnsi="Helvetica" w:cs="Helvetica"/>
                <w:noProof/>
                <w:sz w:val="18"/>
                <w:szCs w:val="18"/>
                <w:lang w:val="es-ES"/>
              </w:rPr>
              <w:t>(30)</w:t>
            </w:r>
            <w:r w:rsidR="00415C49" w:rsidRPr="004A2746">
              <w:rPr>
                <w:rFonts w:ascii="Helvetica" w:hAnsi="Helvetica" w:cs="Helvetica"/>
                <w:sz w:val="18"/>
                <w:szCs w:val="18"/>
                <w:lang w:val="es-ES"/>
              </w:rPr>
              <w:fldChar w:fldCharType="end"/>
            </w:r>
          </w:p>
        </w:tc>
        <w:tc>
          <w:tcPr>
            <w:tcW w:w="1134" w:type="dxa"/>
            <w:shd w:val="clear" w:color="auto" w:fill="E6E6E6"/>
          </w:tcPr>
          <w:p w14:paraId="73EDF929"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222</w:t>
            </w:r>
          </w:p>
        </w:tc>
        <w:tc>
          <w:tcPr>
            <w:tcW w:w="1276" w:type="dxa"/>
            <w:shd w:val="clear" w:color="auto" w:fill="E6E6E6"/>
          </w:tcPr>
          <w:p w14:paraId="0B7C93F5"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27 (15-50)</w:t>
            </w:r>
          </w:p>
        </w:tc>
        <w:tc>
          <w:tcPr>
            <w:tcW w:w="1418" w:type="dxa"/>
            <w:shd w:val="clear" w:color="auto" w:fill="E6E6E6"/>
          </w:tcPr>
          <w:p w14:paraId="4544CD6F"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82%</w:t>
            </w:r>
          </w:p>
        </w:tc>
        <w:tc>
          <w:tcPr>
            <w:tcW w:w="1417" w:type="dxa"/>
            <w:shd w:val="clear" w:color="auto" w:fill="E6E6E6"/>
          </w:tcPr>
          <w:p w14:paraId="7B89F456"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6%</w:t>
            </w:r>
          </w:p>
        </w:tc>
        <w:tc>
          <w:tcPr>
            <w:tcW w:w="1585" w:type="dxa"/>
            <w:shd w:val="clear" w:color="auto" w:fill="E6E6E6"/>
          </w:tcPr>
          <w:p w14:paraId="766F7F59" w14:textId="77777777" w:rsidR="00CE536F" w:rsidRPr="004A2746" w:rsidRDefault="0066743E"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34% a 5 años</w:t>
            </w:r>
          </w:p>
        </w:tc>
      </w:tr>
      <w:tr w:rsidR="0066743E" w14:paraId="754E4CC4" w14:textId="77777777" w:rsidTr="004A2746">
        <w:tc>
          <w:tcPr>
            <w:tcW w:w="2376" w:type="dxa"/>
            <w:shd w:val="clear" w:color="auto" w:fill="F3F3F3"/>
          </w:tcPr>
          <w:p w14:paraId="6CC14322" w14:textId="77777777" w:rsidR="00CE536F" w:rsidRPr="004A2746" w:rsidRDefault="0066743E"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GRALL20</w:t>
            </w:r>
            <w:r w:rsidR="005F4F41" w:rsidRPr="004A2746">
              <w:rPr>
                <w:rFonts w:ascii="Arial" w:hAnsi="Arial" w:cs="Arial"/>
                <w:sz w:val="18"/>
                <w:szCs w:val="18"/>
                <w:lang w:val="es-ES"/>
              </w:rPr>
              <w:t>0</w:t>
            </w:r>
            <w:r w:rsidRPr="004A2746">
              <w:rPr>
                <w:rFonts w:ascii="Arial" w:hAnsi="Arial" w:cs="Arial"/>
                <w:sz w:val="18"/>
                <w:szCs w:val="18"/>
                <w:lang w:val="es-ES"/>
              </w:rPr>
              <w:t>3</w:t>
            </w:r>
            <w:r w:rsidR="00415C49" w:rsidRPr="004A2746">
              <w:rPr>
                <w:rFonts w:ascii="Arial" w:hAnsi="Arial" w:cs="Arial"/>
                <w:sz w:val="18"/>
                <w:szCs w:val="18"/>
                <w:lang w:val="es-ES"/>
              </w:rPr>
              <w:fldChar w:fldCharType="begin" w:fldLock="1"/>
            </w:r>
            <w:r w:rsidR="000F2F91" w:rsidRPr="004A2746">
              <w:rPr>
                <w:rFonts w:ascii="Arial" w:hAnsi="Arial" w:cs="Arial"/>
                <w:sz w:val="18"/>
                <w:szCs w:val="18"/>
                <w:lang w:val="es-ES"/>
              </w:rPr>
              <w:instrText>ADDIN CSL_CITATION {"citationItems":[{"id":"ITEM-1","itemData":{"DOI":"10.1200/JCO.2008.18.6916","ISSN":"0732183X","abstract":"Purpose Retrospective comparisons have suggested that adolescents or teenagers with acute lymphoblastic leukemia (ALL) benefit from pediatric rather than adult chemotherapy regimens. Thus, the aim of the present phase II study was to test a pediatric-inspired treatment, including intensified doses of nonmyelotoxic drugs, such as prednisone, vincristine, or L-asparaginase, in adult patients with ALL up to the age of 60 years. Patients and Methods Between 2003 and 2005, 225 adult patients (median age, 31 years; range, 15 to 60 years) with Philadelphia chromosome-negative ALL were enrolled onto the Group for Research on Adult Acute Lymphoblastic Leukemia 2003 protocol, which included several pediatric options. Some adult options, such as allogeneic stem-cell transplantation for patients with high-risk ALL, were nevertheless retained. Results were retrospectively compared with the historical France-Belgium Group for Lymphoblastic Acute Leukemia in Adults 94 (LALA-94) trial experience in 712 patients age 15 to 55 years. Results Complete remission rate was 93.5%. At 42 months, event-free survival (EFS) and overall survival (OS) rates were 55% (95% CI, 48% to 52%) and 60% (95% CI, 53% to 66%), respectively. Age remained an important bad prognostic factor, with 45 years of age as best cutoff. In older versus younger patients, there was a higher cumulative incidence of chemotherapy-related deaths (23% v 5%, respectively; P  &lt;  .001) and deaths in first CR (22% 5%, respectively; P  &lt;  .001), whereas the incidence of relapse remained stable (30% v 32%, respectively). Complete remission rate (P = .02), EFS (P  &lt;  .001), and OS (P  &lt;  .001) compared favorably with the previous LALA- 94 experience. Conclusion These results suggest that pediatric-inspired therapy markedly improves the outcome of adult patients with ALL, at least until the age of 45 years. © 2009 by American Society of Clinical Oncology.","author":[{"dropping-particle":"","family":"Huguet","given":"Franģoise","non-dropping-particle":"","parse-names":false,"suffix":""},{"dropping-particle":"","family":"Leguay","given":"Thibaut","non-dropping-particle":"","parse-names":false,"suffix":""},{"dropping-particle":"","family":"Raffoux","given":"Emmanuel","non-dropping-particle":"","parse-names":false,"suffix":""},{"dropping-particle":"","family":"Thomas","given":"Xavier","non-dropping-particle":"","parse-names":false,"suffix":""},{"dropping-particle":"","family":"Beldjord","given":"Kheira","non-dropping-particle":"","parse-names":false,"suffix":""},{"dropping-particle":"","family":"Delabesse","given":"Eric","non-dropping-particle":"","parse-names":false,"suffix":""},{"dropping-particle":"","family":"Chevallier","given":"Patrice","non-dropping-particle":"","parse-names":false,"suffix":""},{"dropping-particle":"","family":"Buzyn","given":"Agnes","non-dropping-particle":"","parse-names":false,"suffix":""},{"dropping-particle":"","family":"Delannoy","given":"André","non-dropping-particle":"","parse-names":false,"suffix":""},{"dropping-particle":"","family":"Chalandon","given":"Yves","non-dropping-particle":"","parse-names":false,"suffix":""},{"dropping-particle":"","family":"Vernant","given":"Jean Paul","non-dropping-particle":"","parse-names":false,"suffix":""},{"dropping-particle":"","family":"Lafage-Pochitaloff","given":"Marina","non-dropping-particle":"","parse-names":false,"suffix":""},{"dropping-particle":"","family":"Chassevent","given":"Agnès","non-dropping-particle":"","parse-names":false,"suffix":""},{"dropping-particle":"","family":"Lhéritier","given":"Véronique","non-dropping-particle":"","parse-names":false,"suffix":""},{"dropping-particle":"","family":"Macintyre","given":"Elizabeth","non-dropping-particle":"","parse-names":false,"suffix":""},{"dropping-particle":"","family":"Béné","given":"Marie Christine","non-dropping-particle":"","parse-names":false,"suffix":""},{"dropping-particle":"","family":"Ifrah","given":"Norbert","non-dropping-particle":"","parse-names":false,"suffix":""},{"dropping-particle":"","family":"Dombret","given":"Hervé","non-dropping-particle":"","parse-names":false,"suffix":""}],"container-title":"Journal of Clinical Oncology","id":"ITEM-1","issue":"6","issued":{"date-parts":[["2009"]]},"page":"911-918","title":"Pediatric-inspired therapy in adults with philadelphia chromosome-negative acute lymphoblastic leukemia: The GRAALL-2003 study","type":"article-journal","volume":"27"},"uris":["http://www.mendeley.com/documents/?uuid=dacc5b48-3574-4a07-95ea-dd28ea9f97eb"]}],"mendeley":{"formattedCitation":"(6)","plainTextFormattedCitation":"(6)","previouslyFormattedCitation":"(6)"},"properties":{"noteIndex":0},"schema":"https://github.com/citation-style-language/schema/raw/master/csl-citation.json"}</w:instrText>
            </w:r>
            <w:r w:rsidR="00415C49" w:rsidRPr="004A2746">
              <w:rPr>
                <w:rFonts w:ascii="Arial" w:hAnsi="Arial" w:cs="Arial"/>
                <w:sz w:val="18"/>
                <w:szCs w:val="18"/>
                <w:lang w:val="es-ES"/>
              </w:rPr>
              <w:fldChar w:fldCharType="separate"/>
            </w:r>
            <w:r w:rsidR="000F2F91" w:rsidRPr="004A2746">
              <w:rPr>
                <w:rFonts w:ascii="Arial" w:hAnsi="Arial" w:cs="Arial"/>
                <w:noProof/>
                <w:sz w:val="18"/>
                <w:szCs w:val="18"/>
                <w:lang w:val="es-ES"/>
              </w:rPr>
              <w:t>(6)</w:t>
            </w:r>
            <w:r w:rsidR="00415C49" w:rsidRPr="004A2746">
              <w:rPr>
                <w:rFonts w:ascii="Arial" w:hAnsi="Arial" w:cs="Arial"/>
                <w:sz w:val="18"/>
                <w:szCs w:val="18"/>
                <w:lang w:val="es-ES"/>
              </w:rPr>
              <w:fldChar w:fldCharType="end"/>
            </w:r>
          </w:p>
        </w:tc>
        <w:tc>
          <w:tcPr>
            <w:tcW w:w="1134" w:type="dxa"/>
            <w:shd w:val="clear" w:color="auto" w:fill="F3F3F3"/>
          </w:tcPr>
          <w:p w14:paraId="4D3964B0" w14:textId="77777777" w:rsidR="00CE536F" w:rsidRPr="004A2746" w:rsidRDefault="009269C1"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225</w:t>
            </w:r>
          </w:p>
        </w:tc>
        <w:tc>
          <w:tcPr>
            <w:tcW w:w="1276" w:type="dxa"/>
            <w:shd w:val="clear" w:color="auto" w:fill="F3F3F3"/>
          </w:tcPr>
          <w:p w14:paraId="2DD89F29" w14:textId="77777777" w:rsidR="00CE536F" w:rsidRPr="004A2746" w:rsidRDefault="009269C1"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31 (15-60)</w:t>
            </w:r>
          </w:p>
        </w:tc>
        <w:tc>
          <w:tcPr>
            <w:tcW w:w="1418" w:type="dxa"/>
            <w:shd w:val="clear" w:color="auto" w:fill="F3F3F3"/>
          </w:tcPr>
          <w:p w14:paraId="6A5EBEF5" w14:textId="77777777" w:rsidR="00CE536F" w:rsidRPr="004A2746" w:rsidRDefault="009269C1"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93%</w:t>
            </w:r>
          </w:p>
        </w:tc>
        <w:tc>
          <w:tcPr>
            <w:tcW w:w="1417" w:type="dxa"/>
            <w:shd w:val="clear" w:color="auto" w:fill="F3F3F3"/>
          </w:tcPr>
          <w:p w14:paraId="4FD0BFC1" w14:textId="77777777" w:rsidR="00CE536F" w:rsidRPr="004A2746" w:rsidRDefault="009269C1"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6%</w:t>
            </w:r>
          </w:p>
        </w:tc>
        <w:tc>
          <w:tcPr>
            <w:tcW w:w="1585" w:type="dxa"/>
            <w:shd w:val="clear" w:color="auto" w:fill="F3F3F3"/>
          </w:tcPr>
          <w:p w14:paraId="16592788" w14:textId="77777777" w:rsidR="00CE536F" w:rsidRPr="004A2746" w:rsidRDefault="009269C1"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60% a 42 meses</w:t>
            </w:r>
          </w:p>
        </w:tc>
      </w:tr>
      <w:tr w:rsidR="0066743E" w14:paraId="4166DD88" w14:textId="77777777" w:rsidTr="004A2746">
        <w:tc>
          <w:tcPr>
            <w:tcW w:w="2376" w:type="dxa"/>
            <w:shd w:val="clear" w:color="auto" w:fill="E6E6E6"/>
          </w:tcPr>
          <w:p w14:paraId="57E3FC87" w14:textId="77777777" w:rsidR="00CE536F" w:rsidRPr="004A2746" w:rsidRDefault="0066743E"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BFM Aumentado</w:t>
            </w:r>
            <w:r w:rsidR="00415C49" w:rsidRPr="004A2746">
              <w:rPr>
                <w:rFonts w:ascii="Arial" w:hAnsi="Arial" w:cs="Arial"/>
                <w:sz w:val="18"/>
                <w:szCs w:val="18"/>
                <w:lang w:val="es-ES"/>
              </w:rPr>
              <w:fldChar w:fldCharType="begin" w:fldLock="1"/>
            </w:r>
            <w:r w:rsidR="000F2F91" w:rsidRPr="004A2746">
              <w:rPr>
                <w:rFonts w:ascii="Arial" w:hAnsi="Arial" w:cs="Arial"/>
                <w:sz w:val="18"/>
                <w:szCs w:val="18"/>
                <w:lang w:val="es-ES"/>
              </w:rPr>
              <w:instrText>ADDIN CSL_CITATION {"citationItems":[{"id":"ITEM-1","itemData":{"DOI":"10.1002/cncr.28930","ISSN":"10970142","abstract":"© 2014 American Cancer Society. BACKGROUND: Various trials have reported improved outcomes for adolescents and young adults (AYAs) with acute lymphoblastic leukemia (ALL) who received treatment with pediatric-based regimens. Those reports prompted the current investigation of the pediatric augmented Berlin-Frankfurt-Munster (ABFM) regimen in AYA patients. The results were compared with those from a similar population that received the hyperfractionated cyclophosphamide, vincristine, doxorubicin, and dexamethasone (hyper-CVAD) regimen. METHODS: Eighty-five patients ages 12 to 40 years who had Philadelphia chromosome (Ph)-negative ALL received the ABFM regimen from October 2006 through April 2012. Their outcome was compared with outcomes in 71 historic AYA patients who received hyper-CVAD from the authors' institution. Patient and disease characteristics, as well as minimal residual disease status, were analyzed for their impact on outcomes. RESULTS: The complete response rate with ABFM was 94%. The 3-year complete remission duration (CRD) and overall survival (OS) rates were 70% and 74%, respectively. For patients aged ≤21 years, the 3-year CRD and OS rates were 72% and 85%, respectively; and, for patients ages 21 to 40 years, the respective rates were 69% and 60%. The initial white blood cell count was an independent predictive factor of OS and CRD. The minimal residual disease status on days 29 and 84 of therapy also were predictive of long-term outcomes. Severe regimen toxicities included transient hepatotoxicity in 35% to 39% of patients, pancreatitis in 11% of patients, osteonecrosis in 11% of patients, and thrombosis in 22% of patients. The 3-year OS rate was 74% in the ABFM group versus 71% in the hyper-CVAD group, and the corresponding 3-year CRD rate was 70% versus 66%, respectively. CONCLUSIONS: ABFM was tolerable in AYA patients with ALL but was not associated with significant improvements in CRD and OS compared with hyper-CVAD.","author":[{"dropping-particle":"","family":"Rytting","given":"Michael E.","non-dropping-particle":"","parse-names":false,"suffix":""},{"dropping-particle":"","family":"Thomas","given":"Deborah A.","non-dropping-particle":"","parse-names":false,"suffix":""},{"dropping-particle":"","family":"O'Brien","given":"Susan M.","non-dropping-particle":"","parse-names":false,"suffix":""},{"dropping-particle":"","family":"Ravandi-Kashani","given":"Farhad","non-dropping-particle":"","parse-names":false,"suffix":""},{"dropping-particle":"","family":"Jabbour","given":"Elias J.","non-dropping-particle":"","parse-names":false,"suffix":""},{"dropping-particle":"","family":"Franklin","given":"Anna R.","non-dropping-particle":"","parse-names":false,"suffix":""},{"dropping-particle":"","family":"Kadia","given":"Tapan M.","non-dropping-particle":"","parse-names":false,"suffix":""},{"dropping-particle":"","family":"Pemmaraju","given":"Naveen","non-dropping-particle":"","parse-names":false,"suffix":""},{"dropping-particle":"","family":"Daver","given":"Naval G.","non-dropping-particle":"","parse-names":false,"suffix":""},{"dropping-particle":"","family":"Ferrajoli","given":"Alessandra","non-dropping-particle":"","parse-names":false,"suffix":""},{"dropping-particle":"","family":"Garcia-Manero","given":"Guillermo","non-dropping-particle":"","parse-names":false,"suffix":""},{"dropping-particle":"","family":"Konopleva","given":"Marina Y.","non-dropping-particle":"","parse-names":false,"suffix":""},{"dropping-particle":"","family":"Cortes","given":"Jorge E.","non-dropping-particle":"","parse-names":false,"suffix":""},{"dropping-particle":"","family":"Borthakur","given":"Gautham","non-dropping-particle":"","parse-names":false,"suffix":""},{"dropping-particle":"","family":"Garris","given":"Rebecca","non-dropping-particle":"","parse-names":false,"suffix":""},{"dropping-particle":"","family":"Cardenas-Turanzas","given":"Maria","non-dropping-particle":"","parse-names":false,"suffix":""},{"dropping-particle":"","family":"Schroeder","given":"Kurt","non-dropping-particle":"","parse-names":false,"suffix":""},{"dropping-particle":"","family":"Jorgensen","given":"Jeffrey L.","non-dropping-particle":"","parse-names":false,"suffix":""},{"dropping-particle":"","family":"Kornblau","given":"Steven M.","non-dropping-particle":"","parse-names":false,"suffix":""},{"dropping-particle":"","family":"Kantarjian","given":"Hagop M.","non-dropping-particle":"","parse-names":false,"suffix":""}],"container-title":"Cancer","id":"ITEM-1","issue":"23","issued":{"date-parts":[["2014"]]},"page":"3660-3668","title":"Augmented Berlin-Frankfurt-Münster therapy in adolescents and young adults (AYAs) with acute lymphoblastic leukemia (ALL)","type":"article-journal","volume":"120"},"uris":["http://www.mendeley.com/documents/?uuid=7f5a97fc-9b26-4e8f-b6d9-b22d2a1b59d0"]}],"mendeley":{"formattedCitation":"(31)","plainTextFormattedCitation":"(31)","previouslyFormattedCitation":"(31)"},"properties":{"noteIndex":0},"schema":"https://github.com/citation-style-language/schema/raw/master/csl-citation.json"}</w:instrText>
            </w:r>
            <w:r w:rsidR="00415C49" w:rsidRPr="004A2746">
              <w:rPr>
                <w:rFonts w:ascii="Arial" w:hAnsi="Arial" w:cs="Arial"/>
                <w:sz w:val="18"/>
                <w:szCs w:val="18"/>
                <w:lang w:val="es-ES"/>
              </w:rPr>
              <w:fldChar w:fldCharType="separate"/>
            </w:r>
            <w:r w:rsidR="000F2F91" w:rsidRPr="004A2746">
              <w:rPr>
                <w:rFonts w:ascii="Arial" w:hAnsi="Arial" w:cs="Arial"/>
                <w:noProof/>
                <w:sz w:val="18"/>
                <w:szCs w:val="18"/>
                <w:lang w:val="es-ES"/>
              </w:rPr>
              <w:t>(31)</w:t>
            </w:r>
            <w:r w:rsidR="00415C49" w:rsidRPr="004A2746">
              <w:rPr>
                <w:rFonts w:ascii="Arial" w:hAnsi="Arial" w:cs="Arial"/>
                <w:sz w:val="18"/>
                <w:szCs w:val="18"/>
                <w:lang w:val="es-ES"/>
              </w:rPr>
              <w:fldChar w:fldCharType="end"/>
            </w:r>
          </w:p>
        </w:tc>
        <w:tc>
          <w:tcPr>
            <w:tcW w:w="1134" w:type="dxa"/>
            <w:shd w:val="clear" w:color="auto" w:fill="E6E6E6"/>
          </w:tcPr>
          <w:p w14:paraId="605BB4A9"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85</w:t>
            </w:r>
          </w:p>
        </w:tc>
        <w:tc>
          <w:tcPr>
            <w:tcW w:w="1276" w:type="dxa"/>
            <w:shd w:val="clear" w:color="auto" w:fill="E6E6E6"/>
          </w:tcPr>
          <w:p w14:paraId="392EADA2"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21 (13-39)</w:t>
            </w:r>
          </w:p>
        </w:tc>
        <w:tc>
          <w:tcPr>
            <w:tcW w:w="1418" w:type="dxa"/>
            <w:shd w:val="clear" w:color="auto" w:fill="E6E6E6"/>
          </w:tcPr>
          <w:p w14:paraId="4EC7EB74"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94%</w:t>
            </w:r>
          </w:p>
        </w:tc>
        <w:tc>
          <w:tcPr>
            <w:tcW w:w="1417" w:type="dxa"/>
            <w:shd w:val="clear" w:color="auto" w:fill="E6E6E6"/>
          </w:tcPr>
          <w:p w14:paraId="66A0A58B"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2%</w:t>
            </w:r>
          </w:p>
        </w:tc>
        <w:tc>
          <w:tcPr>
            <w:tcW w:w="1585" w:type="dxa"/>
            <w:shd w:val="clear" w:color="auto" w:fill="E6E6E6"/>
          </w:tcPr>
          <w:p w14:paraId="3BFBAE9F" w14:textId="77777777" w:rsidR="00CE536F" w:rsidRPr="004A2746" w:rsidRDefault="0066743E"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73% a 3 años</w:t>
            </w:r>
          </w:p>
        </w:tc>
      </w:tr>
      <w:tr w:rsidR="0066743E" w14:paraId="2EA7BF46" w14:textId="77777777" w:rsidTr="004A2746">
        <w:tc>
          <w:tcPr>
            <w:tcW w:w="2376" w:type="dxa"/>
            <w:shd w:val="clear" w:color="auto" w:fill="F3F3F3"/>
          </w:tcPr>
          <w:p w14:paraId="224D8718" w14:textId="77777777" w:rsidR="00CE536F" w:rsidRPr="004A2746" w:rsidRDefault="0066743E"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CALGB9111</w:t>
            </w:r>
            <w:r w:rsidR="00415C49" w:rsidRPr="004A2746">
              <w:rPr>
                <w:rFonts w:ascii="Arial" w:hAnsi="Arial" w:cs="Arial"/>
                <w:sz w:val="18"/>
                <w:szCs w:val="18"/>
                <w:lang w:val="es-ES"/>
              </w:rPr>
              <w:fldChar w:fldCharType="begin" w:fldLock="1"/>
            </w:r>
            <w:r w:rsidR="000F2F91" w:rsidRPr="004A2746">
              <w:rPr>
                <w:rFonts w:ascii="Arial" w:hAnsi="Arial" w:cs="Arial"/>
                <w:sz w:val="18"/>
                <w:szCs w:val="18"/>
                <w:lang w:val="es-ES"/>
              </w:rPr>
              <w:instrText>ADDIN CSL_CITATION {"citationItems":[{"id":"ITEM-1","itemData":{"ISSN":"0006-4971","PMID":"9716583","abstract":"Recombinant human granulocyte colony-stimulating factor (G-CSF; filgrastim) shortens the time to neutrophil recovery after intensive chemotherapy, but its role in the treatment of adults with acute lymphoblastic leukemia (ALL) is uncertain. We randomly assigned 198 adults with untreated ALL (median age, 35 years; range, 16 to 83) to receive either placebo or G-CSF (5 microgram/kg/d) subcutaneously, beginning 4 days after starting intensive remission induction chemotherapy and continuing until the neutrophil count was &gt;/=1, 000/microL for 2 days. The study assignment was unblinded as individual patients achieved a complete remission (CR). Patients initially assigned to G-CSF then continued to receive G-CSF through 2 monthly courses of consolidation therapy. Patients assigned to placebo received no further study drug. The median time to recover neutrophils &gt;/=1,000/microL during the remission induction course was 16 days (interquartile range [IQR], 15 to 18 days) for the patients assigned to receive G-CSF and 22 days (IQR, 19 to 29 days) for the patients assigned to placebo (P &lt; .001). Patients in the G-CSF group had significantly shorter durations of neutropenia (&lt;1, 000/microL) and thrombocytopenia (&lt;50,000/microL) and fewer days in the hospital (median, 22 days v 28 days; P = .02) compared with patients receiving placebo. The patients assigned to receive G-CSF had a higher CR rate and fewer deaths during remission induction than did those receiving placebo (P = .04 by the chi-square test for trend). During Courses IIA and IIB of consolidation treatment, patients in the G-CSF group had significantly more rapid recovery of neutrophils &gt;/=1,000/microL than did the control group by approximately 6 to 9 days. However, the patients in the G-CSF group did not complete the planned first 3 months of chemotherapy any more rapidly than did the patients in the placebo group. Overall toxicity was not lessened by the use of G-CSF. After a median follow-up of 4. 7 years, there were no significant differences in either the disease-free survival (P = .53) or the overall survival (P = .25) for the patients assigned to G-CSF (medians, 2.3 years and 2.4 years, respectively) compared with those assigned to placebo (medians, 1.7 and 1.8 years, respectively). Adults who received intensive chemotherapy for ALL benefited from G-CSF treatment, but its use did not markedly affect the ultimate outcome.","author":[{"dropping-particle":"","family":"Larson","given":"R A","non-dropping-particle":"","parse-names":false,"suffix":""},{"dropping-particle":"","family":"Dodge","given":"R K","non-dropping-particle":"","parse-names":false,"suffix":""},{"dropping-particle":"","family":"Linker","given":"C A","non-dropping-particle":"","parse-names":false,"suffix":""},{"dropping-particle":"","family":"Stone","given":"R M","non-dropping-particle":"","parse-names":false,"suffix":""},{"dropping-particle":"","family":"Powell","given":"B L","non-dropping-particle":"","parse-names":false,"suffix":""},{"dropping-particle":"","family":"Lee","given":"E J","non-dropping-particle":"","parse-names":false,"suffix":""},{"dropping-particle":"","family":"Schulman","given":"P","non-dropping-particle":"","parse-names":false,"suffix":""},{"dropping-particle":"","family":"Davey","given":"F R","non-dropping-particle":"","parse-names":false,"suffix":""},{"dropping-particle":"","family":"Frankel","given":"S R","non-dropping-particle":"","parse-names":false,"suffix":""},{"dropping-particle":"","family":"Bloomfield","given":"C D","non-dropping-particle":"","parse-names":false,"suffix":""},{"dropping-particle":"","family":"George","given":"S L","non-dropping-particle":"","parse-names":false,"suffix":""},{"dropping-particle":"","family":"Schiffer","given":"C A","non-dropping-particle":"","parse-names":false,"suffix":""}],"container-title":"Blood","id":"ITEM-1","issue":"5","issued":{"date-parts":[["1998"]]},"page":"1556-64","title":"A randomized controlled trial of filgrastim during remission induction and consolidation chemotherapy for adults with acute lymphoblastic leukemia: CALGB study 9111.","type":"article-journal","volume":"92"},"uris":["http://www.mendeley.com/documents/?uuid=d1062791-df97-4d8d-b8e1-27cb574c8015"]}],"mendeley":{"formattedCitation":"(32)","plainTextFormattedCitation":"(32)","previouslyFormattedCitation":"(32)"},"properties":{"noteIndex":0},"schema":"https://github.com/citation-style-language/schema/raw/master/csl-citation.json"}</w:instrText>
            </w:r>
            <w:r w:rsidR="00415C49" w:rsidRPr="004A2746">
              <w:rPr>
                <w:rFonts w:ascii="Arial" w:hAnsi="Arial" w:cs="Arial"/>
                <w:sz w:val="18"/>
                <w:szCs w:val="18"/>
                <w:lang w:val="es-ES"/>
              </w:rPr>
              <w:fldChar w:fldCharType="separate"/>
            </w:r>
            <w:r w:rsidR="000F2F91" w:rsidRPr="004A2746">
              <w:rPr>
                <w:rFonts w:ascii="Arial" w:hAnsi="Arial" w:cs="Arial"/>
                <w:noProof/>
                <w:sz w:val="18"/>
                <w:szCs w:val="18"/>
                <w:lang w:val="es-ES"/>
              </w:rPr>
              <w:t>(32)</w:t>
            </w:r>
            <w:r w:rsidR="00415C49" w:rsidRPr="004A2746">
              <w:rPr>
                <w:rFonts w:ascii="Arial" w:hAnsi="Arial" w:cs="Arial"/>
                <w:sz w:val="18"/>
                <w:szCs w:val="18"/>
                <w:lang w:val="es-ES"/>
              </w:rPr>
              <w:fldChar w:fldCharType="end"/>
            </w:r>
          </w:p>
        </w:tc>
        <w:tc>
          <w:tcPr>
            <w:tcW w:w="1134" w:type="dxa"/>
            <w:shd w:val="clear" w:color="auto" w:fill="F3F3F3"/>
          </w:tcPr>
          <w:p w14:paraId="134471A6"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198</w:t>
            </w:r>
          </w:p>
        </w:tc>
        <w:tc>
          <w:tcPr>
            <w:tcW w:w="1276" w:type="dxa"/>
            <w:shd w:val="clear" w:color="auto" w:fill="F3F3F3"/>
          </w:tcPr>
          <w:p w14:paraId="43C89D2F"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35 (16-83)</w:t>
            </w:r>
          </w:p>
        </w:tc>
        <w:tc>
          <w:tcPr>
            <w:tcW w:w="1418" w:type="dxa"/>
            <w:shd w:val="clear" w:color="auto" w:fill="F3F3F3"/>
          </w:tcPr>
          <w:p w14:paraId="0242F08A"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85%</w:t>
            </w:r>
          </w:p>
        </w:tc>
        <w:tc>
          <w:tcPr>
            <w:tcW w:w="1417" w:type="dxa"/>
            <w:shd w:val="clear" w:color="auto" w:fill="F3F3F3"/>
          </w:tcPr>
          <w:p w14:paraId="5D129727" w14:textId="77777777" w:rsidR="00CE536F" w:rsidRPr="004A2746" w:rsidRDefault="0066743E"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8%</w:t>
            </w:r>
          </w:p>
        </w:tc>
        <w:tc>
          <w:tcPr>
            <w:tcW w:w="1585" w:type="dxa"/>
            <w:shd w:val="clear" w:color="auto" w:fill="F3F3F3"/>
          </w:tcPr>
          <w:p w14:paraId="2D3D95C7" w14:textId="77777777" w:rsidR="00CE536F" w:rsidRPr="004A2746" w:rsidRDefault="0066743E"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40% a 5 años</w:t>
            </w:r>
          </w:p>
        </w:tc>
      </w:tr>
      <w:tr w:rsidR="0066743E" w14:paraId="3AAD886C" w14:textId="77777777" w:rsidTr="004A2746">
        <w:tc>
          <w:tcPr>
            <w:tcW w:w="2376" w:type="dxa"/>
            <w:shd w:val="clear" w:color="auto" w:fill="E6E6E6"/>
          </w:tcPr>
          <w:p w14:paraId="74619AF2" w14:textId="77777777" w:rsidR="00CE536F" w:rsidRPr="004A2746" w:rsidRDefault="005F4F41"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FRALLE93</w:t>
            </w:r>
            <w:r w:rsidR="00415C49" w:rsidRPr="004A2746">
              <w:rPr>
                <w:rFonts w:ascii="Arial" w:hAnsi="Arial" w:cs="Arial"/>
                <w:sz w:val="18"/>
                <w:szCs w:val="18"/>
                <w:lang w:val="es-ES"/>
              </w:rPr>
              <w:fldChar w:fldCharType="begin" w:fldLock="1"/>
            </w:r>
            <w:r w:rsidR="005C5399">
              <w:rPr>
                <w:rFonts w:ascii="Arial" w:hAnsi="Arial" w:cs="Arial"/>
                <w:sz w:val="18"/>
                <w:szCs w:val="18"/>
                <w:lang w:val="es-ES"/>
              </w:rPr>
              <w:instrText>ADDIN CSL_CITATION {"citationItems":[{"id":"ITEM-1","itemData":{"DOI":"10.1200/JCO.2003.02.053","ISSN":"0732183X","abstract":"Purpose: To compare pediatric and adult therapeutic practices in the treatment of acute lymphoblastic leukemia (ALL) in adolescents. Patients and Methods: From June 1993 to September 1994, 77 and 100 adolescents (15 to 20 years of age) were enrolled in the pediatric FRALLE-93 and adult LALA-94 protocols, respectively. Among the different prognostic factors, we retrospectively analyzed the effect of the trial on achieving complete remission (CR) and event-free survival (EFS). Results: Patients were younger in the FRALLE-93 than in the LALA-94 protocol (median age, 15.9 v 17.9 years, respectively), but other characteristics were similar, including median WBC count (18 ? 109 cells/L v 16 ? 109 cells/L), B/T-lineage (54 of 23 v 72 of 28 patients), CD10-negative ALL (13% v 15%), and poor-risk cytogenetics (t(9;22), t(4; 11), or hypodiploidy less than 45 chromosomes: 6% v 5%). The CR rate depended on WBC count (P = .005) and trial (94% v 83% in FRALLE-93 and LALA-94, respectively; P = .04). Univariate analysis showed that unfavorable prognostic factors for EFS were as follows: the trial (estimated 5-year EFS, 67% v 41% for FRALLE-93 and LALA-94, respectively; P &lt; .0001), an increasing WBC count (P &lt; .0001), poor-risk cytogenetics (P = .005), and T-lineage (P = .01). The trial and WBC count remained significant parameters for EFS in multivariate analysis (P &lt; .0001 and P = .0004). Lineage subgroup analysis showed an advantage for the FRALLE-93 trial for CR achievement (98% v 81%; P = .002) and EFS (P = .0002) in B-lineage ALL and for EFS (P = .05) in T-lineage ALL. Age was not a significant prognostic factor in this population of adolescents. Conclusion: This study's findings indicate that adolescents should be included in intensive pediatric protocols and that new trials should be designed, inspired by pediatric protocols, for the treatment of young adults with ALL. ? 2003 by American Society of Clinical Oncology.","author":[{"dropping-particle":"","family":"Boissel","given":"Nicolas","non-dropping-particle":"","parse-names":false,"suffix":""},{"dropping-particle":"","family":"Auclerc","given":"Marie Françoise","non-dropping-particle":"","parse-names":false,"suffix":""},{"dropping-particle":"","family":"Lhéritier","given":"Véronique","non-dropping-particle":"","parse-names":false,"suffix":""},{"dropping-particle":"","family":"Perel","given":"Yves","non-dropping-particle":"","parse-names":false,"suffix":""},{"dropping-particle":"","family":"Thomas","given":"Xavier","non-dropping-particle":"","parse-names":false,"suffix":""},{"dropping-particle":"","family":"Leblanc","given":"Thierry","non-dropping-particle":"","parse-names":false,"suffix":""},{"dropping-particle":"","family":"Rousselot","given":"Philippe","non-dropping-particle":"","parse-names":false,"suffix":""},{"dropping-particle":"","family":"Cayuela","given":"Jean Michel","non-dropping-particle":"","parse-names":false,"suffix":""},{"dropping-particle":"","family":"Gabert","given":"Jean","non-dropping-particle":"","parse-names":false,"suffix":""},{"dropping-particle":"","family":"Fegueux","given":"Nathalie","non-dropping-particle":"","parse-names":false,"suffix":""},{"dropping-particle":"","family":"Piguet","given":"Christophe","non-dropping-particle":"","parse-names":false,"suffix":""},{"dropping-particle":"","family":"Huguet-Rigal","given":"Françoise","non-dropping-particle":"","parse-names":false,"suffix":""},{"dropping-particle":"","family":"Berthou","given":"Christian","non-dropping-particle":"","parse-names":false,"suffix":""},{"dropping-particle":"","family":"Boiron","given":"Jean Michel","non-dropping-particle":"","parse-names":false,"suffix":""},{"dropping-particle":"","family":"Pautas","given":"Cécile","non-dropping-particle":"","parse-names":false,"suffix":""},{"dropping-particle":"","family":"Michel","given":"Gérard","non-dropping-particle":"","parse-names":false,"suffix":""},{"dropping-particle":"","family":"Fière","given":"Denis","non-dropping-particle":"","parse-names":false,"suffix":""},{"dropping-particle":"","family":"Leverger","given":"Guy","non-dropping-particle":"","parse-names":false,"suffix":""},{"dropping-particle":"","family":"Dombret","given":"Hervé","non-dropping-particle":"","parse-names":false,"suffix":""},{"dropping-particle":"","family":"Baruchel","given":"André","non-dropping-particle":"","parse-names":false,"suffix":""}],"container-title":"Journal of Clinical Oncology","id":"ITEM-1","issue":"5","issued":{"date-parts":[["2003"]]},"page":"774-780","title":"Should adolescents with acute lymphoblastic leukemia be treated as old children or young adults? Comparison of the French FRALLE-93 and LALA-94 trials","type":"article-journal","volume":"21"},"uris":["http://www.mendeley.com/documents/?uuid=4bc434c7-e295-4867-ba87-358a377e9748"]}],"mendeley":{"formattedCitation":"(33)","plainTextFormattedCitation":"(33)","previouslyFormattedCitation":"(33)"},"properties":{"noteIndex":0},"schema":"https://github.com/citation-style-language/schema/raw/master/csl-citation.json"}</w:instrText>
            </w:r>
            <w:r w:rsidR="00415C49" w:rsidRPr="004A2746">
              <w:rPr>
                <w:rFonts w:ascii="Arial" w:hAnsi="Arial" w:cs="Arial"/>
                <w:sz w:val="18"/>
                <w:szCs w:val="18"/>
                <w:lang w:val="es-ES"/>
              </w:rPr>
              <w:fldChar w:fldCharType="separate"/>
            </w:r>
            <w:r w:rsidR="000F2F91" w:rsidRPr="004A2746">
              <w:rPr>
                <w:rFonts w:ascii="Arial" w:hAnsi="Arial" w:cs="Arial"/>
                <w:noProof/>
                <w:sz w:val="18"/>
                <w:szCs w:val="18"/>
                <w:lang w:val="es-ES"/>
              </w:rPr>
              <w:t>(33)</w:t>
            </w:r>
            <w:r w:rsidR="00415C49" w:rsidRPr="004A2746">
              <w:rPr>
                <w:rFonts w:ascii="Arial" w:hAnsi="Arial" w:cs="Arial"/>
                <w:sz w:val="18"/>
                <w:szCs w:val="18"/>
                <w:lang w:val="es-ES"/>
              </w:rPr>
              <w:fldChar w:fldCharType="end"/>
            </w:r>
          </w:p>
        </w:tc>
        <w:tc>
          <w:tcPr>
            <w:tcW w:w="1134" w:type="dxa"/>
            <w:shd w:val="clear" w:color="auto" w:fill="E6E6E6"/>
          </w:tcPr>
          <w:p w14:paraId="5F8230CB" w14:textId="77777777" w:rsidR="00CE536F" w:rsidRPr="004A2746" w:rsidRDefault="005F4F41"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177</w:t>
            </w:r>
          </w:p>
        </w:tc>
        <w:tc>
          <w:tcPr>
            <w:tcW w:w="1276" w:type="dxa"/>
            <w:shd w:val="clear" w:color="auto" w:fill="E6E6E6"/>
          </w:tcPr>
          <w:p w14:paraId="2096D7C1" w14:textId="77777777" w:rsidR="00CE536F" w:rsidRPr="004A2746" w:rsidRDefault="005F4F41"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15 (15-19)</w:t>
            </w:r>
          </w:p>
        </w:tc>
        <w:tc>
          <w:tcPr>
            <w:tcW w:w="1418" w:type="dxa"/>
            <w:shd w:val="clear" w:color="auto" w:fill="E6E6E6"/>
          </w:tcPr>
          <w:p w14:paraId="55DFD231" w14:textId="77777777" w:rsidR="00CE536F" w:rsidRPr="004A2746" w:rsidRDefault="005F4F41"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94%</w:t>
            </w:r>
          </w:p>
        </w:tc>
        <w:tc>
          <w:tcPr>
            <w:tcW w:w="1417" w:type="dxa"/>
            <w:shd w:val="clear" w:color="auto" w:fill="E6E6E6"/>
          </w:tcPr>
          <w:p w14:paraId="068F7BCB" w14:textId="77777777" w:rsidR="00CE536F" w:rsidRPr="004A2746" w:rsidRDefault="005F4F41" w:rsidP="008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18"/>
                <w:szCs w:val="18"/>
                <w:lang w:val="es-ES"/>
              </w:rPr>
            </w:pPr>
            <w:r w:rsidRPr="004A2746">
              <w:rPr>
                <w:rFonts w:ascii="Arial" w:hAnsi="Arial" w:cs="Arial"/>
                <w:sz w:val="18"/>
                <w:szCs w:val="18"/>
                <w:lang w:val="es-ES"/>
              </w:rPr>
              <w:t>5%</w:t>
            </w:r>
          </w:p>
        </w:tc>
        <w:tc>
          <w:tcPr>
            <w:tcW w:w="1585" w:type="dxa"/>
            <w:shd w:val="clear" w:color="auto" w:fill="E6E6E6"/>
          </w:tcPr>
          <w:p w14:paraId="498CD3FE" w14:textId="77777777" w:rsidR="00CE536F" w:rsidRPr="004A2746" w:rsidRDefault="005F4F41"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18"/>
                <w:szCs w:val="18"/>
                <w:lang w:val="es-ES"/>
              </w:rPr>
            </w:pPr>
            <w:r w:rsidRPr="004A2746">
              <w:rPr>
                <w:rFonts w:ascii="Arial" w:hAnsi="Arial" w:cs="Arial"/>
                <w:sz w:val="18"/>
                <w:szCs w:val="18"/>
                <w:lang w:val="es-ES"/>
              </w:rPr>
              <w:t>78% a 5 años</w:t>
            </w:r>
          </w:p>
        </w:tc>
      </w:tr>
    </w:tbl>
    <w:p w14:paraId="2E576636" w14:textId="77777777" w:rsidR="00CE536F" w:rsidRDefault="00CE536F" w:rsidP="009E6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Helvetica" w:hAnsi="Helvetica" w:cs="Helvetica"/>
          <w:sz w:val="22"/>
          <w:szCs w:val="22"/>
          <w:lang w:val="es-ES"/>
        </w:rPr>
      </w:pPr>
    </w:p>
    <w:p w14:paraId="69F8EA53" w14:textId="77777777" w:rsidR="00061B17" w:rsidRPr="00553CF4" w:rsidRDefault="00A47635" w:rsidP="00553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r w:rsidRPr="00553CF4">
        <w:rPr>
          <w:rFonts w:ascii="Arial" w:hAnsi="Arial" w:cs="Arial"/>
          <w:color w:val="000000"/>
          <w:sz w:val="20"/>
          <w:szCs w:val="20"/>
          <w:lang w:val="es-ES"/>
        </w:rPr>
        <w:t>La Guía Colombiana para la detección, tratamiento y seguimiento de leucemias linfoblástica y mieloide en población mayor de 18 años, realizada en el año 2017 por un panel de expertos en LLA de Colombia, enfoco las recomendaciones de tratamiento basada en los grupos de edad, enfocándose en la mejor evidencia disponible estableciendo 3 grupos de pacientes:</w:t>
      </w:r>
    </w:p>
    <w:p w14:paraId="0D4261A6" w14:textId="77777777" w:rsidR="00A47635" w:rsidRPr="00553CF4" w:rsidRDefault="00A47635" w:rsidP="00553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p>
    <w:p w14:paraId="46A8DB92" w14:textId="77777777" w:rsidR="00A47635" w:rsidRPr="00553CF4" w:rsidRDefault="00A47635" w:rsidP="00553CF4">
      <w:pPr>
        <w:pStyle w:val="Prrafodelista"/>
        <w:widowControl w:val="0"/>
        <w:numPr>
          <w:ilvl w:val="0"/>
          <w:numId w:val="2"/>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0" w:firstLine="0"/>
        <w:jc w:val="both"/>
        <w:rPr>
          <w:rFonts w:ascii="Arial" w:hAnsi="Arial" w:cs="Arial"/>
          <w:color w:val="000000"/>
          <w:sz w:val="20"/>
          <w:szCs w:val="20"/>
          <w:lang w:val="es-ES"/>
        </w:rPr>
      </w:pPr>
      <w:r w:rsidRPr="00553CF4">
        <w:rPr>
          <w:rFonts w:ascii="Arial" w:hAnsi="Arial" w:cs="Arial"/>
          <w:color w:val="000000"/>
          <w:sz w:val="20"/>
          <w:szCs w:val="20"/>
          <w:lang w:val="es-ES"/>
        </w:rPr>
        <w:t xml:space="preserve">   Pacientes jóvenes (18 a 21 años): La evidencia sugiere beneficio en el uso de protocolos de quimioterapia diseñados para población pediátrica, en términos de disminución de la mortalidad, aumento de la supervivencia libre de evento y de las tasas de remisión completa.</w:t>
      </w:r>
    </w:p>
    <w:p w14:paraId="56FC47B4" w14:textId="77777777" w:rsidR="00826412" w:rsidRPr="00553CF4" w:rsidRDefault="00826412" w:rsidP="00553CF4">
      <w:pPr>
        <w:pStyle w:val="Prrafodelista"/>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0"/>
        <w:jc w:val="both"/>
        <w:rPr>
          <w:rFonts w:ascii="Arial" w:hAnsi="Arial" w:cs="Arial"/>
          <w:color w:val="000000"/>
          <w:sz w:val="20"/>
          <w:szCs w:val="20"/>
          <w:lang w:val="es-ES"/>
        </w:rPr>
      </w:pPr>
    </w:p>
    <w:p w14:paraId="2757B22A" w14:textId="77777777" w:rsidR="00A47635" w:rsidRPr="00553CF4" w:rsidRDefault="00A47635" w:rsidP="00553CF4">
      <w:pPr>
        <w:pStyle w:val="Prrafodelista"/>
        <w:widowControl w:val="0"/>
        <w:numPr>
          <w:ilvl w:val="0"/>
          <w:numId w:val="2"/>
        </w:numPr>
        <w:tabs>
          <w:tab w:val="left" w:pos="426"/>
        </w:tabs>
        <w:autoSpaceDE w:val="0"/>
        <w:autoSpaceDN w:val="0"/>
        <w:adjustRightInd w:val="0"/>
        <w:spacing w:after="0" w:line="276" w:lineRule="auto"/>
        <w:ind w:left="0" w:firstLine="0"/>
        <w:jc w:val="both"/>
        <w:rPr>
          <w:rFonts w:ascii="Arial" w:hAnsi="Arial" w:cs="Arial"/>
          <w:color w:val="000000"/>
          <w:sz w:val="20"/>
          <w:szCs w:val="20"/>
          <w:lang w:val="es-ES"/>
        </w:rPr>
      </w:pPr>
      <w:r w:rsidRPr="00553CF4">
        <w:rPr>
          <w:rFonts w:ascii="Arial" w:hAnsi="Arial" w:cs="Arial"/>
          <w:color w:val="000000"/>
          <w:sz w:val="20"/>
          <w:szCs w:val="20"/>
          <w:lang w:val="es-ES"/>
        </w:rPr>
        <w:t xml:space="preserve">Adultos menores de 60 años: Se sugiere utilización de protocolo basado en la experiencia que tenga el centro de referencia en hematología, siendo los esquemas Hyper-CVAD, GRAALL-2003, MRC UKALL XII/ECOG E2993; GMALL y PETHEMA los que se han utilizado con mayor frecuencia y con los que se cuenta con mayor experiencia en Colombia. En los estudios encontrados, los resultados reportados en referencia a las tasas de remisión, supervivencia y mortalidad asociada al tratamiento </w:t>
      </w:r>
      <w:r w:rsidRPr="00553CF4">
        <w:rPr>
          <w:rFonts w:ascii="Arial" w:hAnsi="Arial" w:cs="Arial"/>
          <w:color w:val="000000"/>
          <w:sz w:val="20"/>
          <w:szCs w:val="20"/>
          <w:lang w:val="es-ES"/>
        </w:rPr>
        <w:lastRenderedPageBreak/>
        <w:t xml:space="preserve">son similares, sin poder definir un único protocolo de quimioterapia para esta población. </w:t>
      </w:r>
    </w:p>
    <w:p w14:paraId="6A5AACB4" w14:textId="77777777" w:rsidR="00826412" w:rsidRPr="00553CF4" w:rsidRDefault="00826412" w:rsidP="00553CF4">
      <w:pPr>
        <w:pStyle w:val="Prrafodelista"/>
        <w:widowControl w:val="0"/>
        <w:autoSpaceDE w:val="0"/>
        <w:autoSpaceDN w:val="0"/>
        <w:adjustRightInd w:val="0"/>
        <w:spacing w:after="0" w:line="276" w:lineRule="auto"/>
        <w:ind w:left="0"/>
        <w:jc w:val="both"/>
        <w:rPr>
          <w:rFonts w:ascii="Arial" w:hAnsi="Arial" w:cs="Arial"/>
          <w:color w:val="000000"/>
          <w:sz w:val="20"/>
          <w:szCs w:val="20"/>
          <w:lang w:val="es-ES"/>
        </w:rPr>
      </w:pPr>
    </w:p>
    <w:p w14:paraId="33A05F1E" w14:textId="52B50D34" w:rsidR="00A47635" w:rsidRPr="00553CF4" w:rsidRDefault="00A47635" w:rsidP="00553CF4">
      <w:pPr>
        <w:pStyle w:val="Prrafodelista"/>
        <w:widowControl w:val="0"/>
        <w:numPr>
          <w:ilvl w:val="0"/>
          <w:numId w:val="2"/>
        </w:numPr>
        <w:tabs>
          <w:tab w:val="left" w:pos="426"/>
        </w:tabs>
        <w:autoSpaceDE w:val="0"/>
        <w:autoSpaceDN w:val="0"/>
        <w:adjustRightInd w:val="0"/>
        <w:spacing w:after="0" w:line="276" w:lineRule="auto"/>
        <w:ind w:left="0" w:firstLine="0"/>
        <w:jc w:val="both"/>
        <w:rPr>
          <w:rFonts w:ascii="Arial" w:hAnsi="Arial" w:cs="Arial"/>
          <w:color w:val="000000"/>
          <w:sz w:val="20"/>
          <w:szCs w:val="20"/>
          <w:lang w:val="es-ES"/>
        </w:rPr>
      </w:pPr>
      <w:r w:rsidRPr="00553CF4">
        <w:rPr>
          <w:rFonts w:ascii="Arial" w:hAnsi="Arial" w:cs="Arial"/>
          <w:color w:val="000000"/>
          <w:sz w:val="20"/>
          <w:szCs w:val="20"/>
          <w:lang w:val="es-ES"/>
        </w:rPr>
        <w:t xml:space="preserve">Adultos mayores de 60 años: Se debe determinar el manejo después de un análisis del riesgo beneficio, basados en alguna escala funcional validada para leucemias y/o teniendo en consideración el estado funcional y las comorbilidades presentes, más que la edad cronológica en </w:t>
      </w:r>
      <w:r w:rsidR="00DD5DB8" w:rsidRPr="00553CF4">
        <w:rPr>
          <w:rFonts w:ascii="Arial" w:hAnsi="Arial" w:cs="Arial"/>
          <w:color w:val="000000"/>
          <w:sz w:val="20"/>
          <w:szCs w:val="20"/>
          <w:lang w:val="es-ES"/>
        </w:rPr>
        <w:t>sí</w:t>
      </w:r>
      <w:r w:rsidRPr="00553CF4">
        <w:rPr>
          <w:rFonts w:ascii="Arial" w:hAnsi="Arial" w:cs="Arial"/>
          <w:color w:val="000000"/>
          <w:sz w:val="20"/>
          <w:szCs w:val="20"/>
          <w:lang w:val="es-ES"/>
        </w:rPr>
        <w:t xml:space="preserve"> misma, debido a la alta tasa de complicaciones derivadas de la toxicidad de los regímenes en este grupo de edad</w:t>
      </w:r>
      <w:r w:rsidR="00415C49" w:rsidRPr="00553CF4">
        <w:rPr>
          <w:rFonts w:ascii="Arial" w:hAnsi="Arial" w:cs="Arial"/>
          <w:color w:val="000000"/>
          <w:sz w:val="20"/>
          <w:szCs w:val="20"/>
          <w:lang w:val="es-ES"/>
        </w:rPr>
        <w:fldChar w:fldCharType="begin" w:fldLock="1"/>
      </w:r>
      <w:r w:rsidR="00942D31" w:rsidRPr="00553CF4">
        <w:rPr>
          <w:rFonts w:ascii="Arial" w:hAnsi="Arial" w:cs="Arial"/>
          <w:color w:val="000000"/>
          <w:sz w:val="20"/>
          <w:szCs w:val="20"/>
          <w:lang w:val="es-ES"/>
        </w:rPr>
        <w:instrText>ADDIN CSL_CITATION {"citationItems":[{"id":"ITEM-1","itemData":{"ISBN":"978-958-5401-26-6","author":[{"dropping-particle":"","family":"Instituto Nacional de Cancerología","given":"","non-dropping-particle":"","parse-names":false,"suffix":""},{"dropping-particle":"","family":"Social","given":"Ministerio de Salud y Protección","non-dropping-particle":"","parse-names":false,"suffix":""},{"dropping-particle":"","family":"Departamento Administrativo de Ciencia","given":"Tecnología e Innovación en Salud - Colciencias","non-dropping-particle":"","parse-names":false,"suffix":""}],"edition":"GPC 2017 -","editor":[{"dropping-particle":"","family":"COLCIENCIAS","given":"","non-dropping-particle":"","parse-names":false,"suffix":""}],"id":"ITEM-1","issued":{"date-parts":[["2014"]]},"page":"985","publisher":"Ministerio de salud y protección social. Departamento administrativo de ciencia tecnología e innovación en salud","publisher-place":"Bogotá, Colombia","title":"Guía de práctica clínica (GPC) para la detección, tratamiento y seguimiento de leucemias linfoblástica y mieloide en población mayor de 18 años","type":"article"},"uris":["http://www.mendeley.com/documents/?uuid=ba24e69c-b605-4b44-9084-2cc9ca00e499"]}],"mendeley":{"formattedCitation":"(34)","plainTextFormattedCitation":"(34)","previouslyFormattedCitation":"(34)"},"properties":{"noteIndex":0},"schema":"https://github.com/citation-style-language/schema/raw/master/csl-citation.json"}</w:instrText>
      </w:r>
      <w:r w:rsidR="00415C49" w:rsidRPr="00553CF4">
        <w:rPr>
          <w:rFonts w:ascii="Arial" w:hAnsi="Arial" w:cs="Arial"/>
          <w:color w:val="000000"/>
          <w:sz w:val="20"/>
          <w:szCs w:val="20"/>
          <w:lang w:val="es-ES"/>
        </w:rPr>
        <w:fldChar w:fldCharType="separate"/>
      </w:r>
      <w:r w:rsidR="00E53245" w:rsidRPr="00553CF4">
        <w:rPr>
          <w:rFonts w:ascii="Arial" w:hAnsi="Arial" w:cs="Arial"/>
          <w:noProof/>
          <w:color w:val="000000"/>
          <w:sz w:val="20"/>
          <w:szCs w:val="20"/>
          <w:lang w:val="es-ES"/>
        </w:rPr>
        <w:t>(34)</w:t>
      </w:r>
      <w:r w:rsidR="00415C49" w:rsidRPr="00553CF4">
        <w:rPr>
          <w:rFonts w:ascii="Arial" w:hAnsi="Arial" w:cs="Arial"/>
          <w:color w:val="000000"/>
          <w:sz w:val="20"/>
          <w:szCs w:val="20"/>
          <w:lang w:val="es-ES"/>
        </w:rPr>
        <w:fldChar w:fldCharType="end"/>
      </w:r>
      <w:r w:rsidR="00677DAB" w:rsidRPr="00553CF4">
        <w:rPr>
          <w:rFonts w:ascii="Arial" w:hAnsi="Arial" w:cs="Arial"/>
          <w:color w:val="000000"/>
          <w:sz w:val="20"/>
          <w:szCs w:val="20"/>
          <w:lang w:val="es-ES"/>
        </w:rPr>
        <w:t>.</w:t>
      </w:r>
    </w:p>
    <w:p w14:paraId="2A6DC0B1" w14:textId="77777777" w:rsidR="00677DAB" w:rsidRPr="00553CF4" w:rsidRDefault="00677DAB" w:rsidP="00553CF4">
      <w:pPr>
        <w:widowControl w:val="0"/>
        <w:tabs>
          <w:tab w:val="left" w:pos="426"/>
        </w:tabs>
        <w:autoSpaceDE w:val="0"/>
        <w:autoSpaceDN w:val="0"/>
        <w:adjustRightInd w:val="0"/>
        <w:spacing w:after="0" w:line="276" w:lineRule="auto"/>
        <w:jc w:val="both"/>
        <w:rPr>
          <w:rFonts w:ascii="Arial" w:hAnsi="Arial" w:cs="Arial"/>
          <w:color w:val="000000"/>
          <w:sz w:val="20"/>
          <w:szCs w:val="20"/>
          <w:lang w:val="es-ES"/>
        </w:rPr>
      </w:pPr>
    </w:p>
    <w:p w14:paraId="4F860205" w14:textId="77777777" w:rsidR="001554FD" w:rsidRPr="00553CF4" w:rsidRDefault="00677DAB" w:rsidP="00553CF4">
      <w:pPr>
        <w:spacing w:line="276" w:lineRule="auto"/>
        <w:jc w:val="both"/>
        <w:rPr>
          <w:rFonts w:ascii="Arial" w:hAnsi="Arial" w:cs="Arial"/>
          <w:color w:val="000000"/>
          <w:sz w:val="20"/>
          <w:szCs w:val="20"/>
          <w:lang w:val="es-ES"/>
        </w:rPr>
      </w:pPr>
      <w:r w:rsidRPr="00553CF4">
        <w:rPr>
          <w:rFonts w:ascii="Arial" w:hAnsi="Arial" w:cs="Arial"/>
          <w:color w:val="000000"/>
          <w:sz w:val="20"/>
          <w:szCs w:val="20"/>
          <w:lang w:val="es-ES"/>
        </w:rPr>
        <w:t xml:space="preserve">En Colombia existen datos disponibles sobre tratamiento de LLA. </w:t>
      </w:r>
      <w:r w:rsidR="00942D31" w:rsidRPr="00553CF4">
        <w:rPr>
          <w:rFonts w:ascii="Arial" w:hAnsi="Arial" w:cs="Arial"/>
          <w:color w:val="000000"/>
          <w:sz w:val="20"/>
          <w:szCs w:val="20"/>
          <w:lang w:val="es-ES"/>
        </w:rPr>
        <w:t xml:space="preserve">Un análisis retrospectivo, realizado en </w:t>
      </w:r>
      <w:r w:rsidR="00F31E14">
        <w:rPr>
          <w:rFonts w:ascii="Arial" w:hAnsi="Arial" w:cs="Arial"/>
          <w:color w:val="000000"/>
          <w:sz w:val="20"/>
          <w:szCs w:val="20"/>
          <w:lang w:val="es-ES"/>
        </w:rPr>
        <w:t>el Instituto nacional de cancero</w:t>
      </w:r>
      <w:r w:rsidR="00942D31" w:rsidRPr="00553CF4">
        <w:rPr>
          <w:rFonts w:ascii="Arial" w:hAnsi="Arial" w:cs="Arial"/>
          <w:color w:val="000000"/>
          <w:sz w:val="20"/>
          <w:szCs w:val="20"/>
          <w:lang w:val="es-ES"/>
        </w:rPr>
        <w:t>log</w:t>
      </w:r>
      <w:r w:rsidR="00F31E14">
        <w:rPr>
          <w:rFonts w:ascii="Arial" w:hAnsi="Arial" w:cs="Arial"/>
          <w:color w:val="000000"/>
          <w:sz w:val="20"/>
          <w:szCs w:val="20"/>
          <w:lang w:val="es-ES"/>
        </w:rPr>
        <w:t>í</w:t>
      </w:r>
      <w:r w:rsidR="00942D31" w:rsidRPr="00553CF4">
        <w:rPr>
          <w:rFonts w:ascii="Arial" w:hAnsi="Arial" w:cs="Arial"/>
          <w:color w:val="000000"/>
          <w:sz w:val="20"/>
          <w:szCs w:val="20"/>
          <w:lang w:val="es-ES"/>
        </w:rPr>
        <w:t xml:space="preserve">a en el 2007, obtuvo los datos de 83 pacientes mayores de 15 años con diagnóstico de LLA de </w:t>
      </w:r>
      <w:r w:rsidR="008466D3" w:rsidRPr="00553CF4">
        <w:rPr>
          <w:rFonts w:ascii="Arial" w:hAnsi="Arial" w:cs="Arial"/>
          <w:color w:val="000000"/>
          <w:sz w:val="20"/>
          <w:szCs w:val="20"/>
          <w:lang w:val="es-ES"/>
        </w:rPr>
        <w:t>Novo</w:t>
      </w:r>
      <w:r w:rsidR="00942D31" w:rsidRPr="00553CF4">
        <w:rPr>
          <w:rFonts w:ascii="Arial" w:hAnsi="Arial" w:cs="Arial"/>
          <w:color w:val="000000"/>
          <w:sz w:val="20"/>
          <w:szCs w:val="20"/>
          <w:lang w:val="es-ES"/>
        </w:rPr>
        <w:t xml:space="preserve"> tratados con protocolo HyperCVAD. La media de edad fue 24 años. La tasa de respuestas completas fue del 61%, con una mediana de supervivencia global de 11,3 meses </w:t>
      </w:r>
      <w:r w:rsidR="00415C49" w:rsidRPr="00553CF4">
        <w:rPr>
          <w:rFonts w:ascii="Arial" w:hAnsi="Arial" w:cs="Arial"/>
          <w:color w:val="000000"/>
          <w:sz w:val="20"/>
          <w:szCs w:val="20"/>
          <w:lang w:val="es-ES"/>
        </w:rPr>
        <w:fldChar w:fldCharType="begin" w:fldLock="1"/>
      </w:r>
      <w:r w:rsidR="00E82037" w:rsidRPr="00553CF4">
        <w:rPr>
          <w:rFonts w:ascii="Arial" w:hAnsi="Arial" w:cs="Arial"/>
          <w:color w:val="000000"/>
          <w:sz w:val="20"/>
          <w:szCs w:val="20"/>
          <w:lang w:val="es-ES"/>
        </w:rPr>
        <w:instrText>ADDIN CSL_CITATION {"citationItems":[{"id":"ITEM-1","itemData":{"abstract":"Introducción: La leucemia linfoide aguda (LLA) en adultos es una enfermedad agresiva y frecuentemente mortal; a pesar del progreso en su tratamiento, la tasa de remisión completa (RC) es del 75%, y la supervivencia libre de enfermedad (SLE) a largo plazo, del 30%. Objetivos: Describir las variables demográficas y desenlaces clínicos de 83 adultos con LLA tratados con el esquema HyperCVAD (HCVAD) en el Instituto Nacional de Cancerología (INC). Materiales y métodos: Se revisaron las historias clínicas de 180 pacientes con leucemias agudas; de éstos, se seleccionaron 83 sujetos mayores de 15 años con diagnóstico de novo de LLA tratada con el esquema HCVAD. Resultados: La media de edad fue 24 años; la mayoría fueron hombres y sólo el 17% tenía más de 50 años; el 74% tuvo inmunofenotipo compatible con LLA de tipo común, el 41% tuvo cariotipo normal y el 8,4% presentó t(9:22). La tasa de RC fue del 61%, y la mortalidad durante la inducción, del 24%. La mediana de supervivencia global (SG) fue 11,3 meses, y la de SLE, 7,34 meses. La toxicidad evaluada durante el inicio de la quimioterapia mostró 92% de neutropenia febril después del primer ciclo y 24% de toxicidad no hematológica. Se encontraron diferencias en la SG y en la SLE respecto de la presencia de la t(9:22), por compromiso en el sistema nervioso central y por leucocitosis.","author":[{"dropping-particle":"","family":"Combariza","given":"Juan Felipe","non-dropping-particle":"","parse-names":false,"suffix":""},{"dropping-particle":"","family":"Casas","given":"Claudia Patricia","non-dropping-particle":"","parse-names":false,"suffix":""},{"dropping-particle":"","family":"Rodriguez","given":"Myriam","non-dropping-particle":"","parse-names":false,"suffix":""},{"dropping-particle":"","family":"Cardona","given":"Andrés Felipe","non-dropping-particle":"","parse-names":false,"suffix":""},{"dropping-particle":"","family":"Ospina","given":"Edgar","non-dropping-particle":"","parse-names":false,"suffix":""},{"dropping-particle":"","family":"Grajales","given":"Marco","non-dropping-particle":"","parse-names":false,"suffix":""}],"container-title":"Revista Colombiana de Cancerlogía","id":"ITEM-1","issue":"9","issued":{"date-parts":[["2005"]]},"page":"92-93","title":"Supervivencia en adultos con leucemia linfoide aguda de novo tratados con el esquema HyperCVAD en el Instituto Nacional de Cancerología ( Colombia ), entre enero de 2001 y junio de 200","type":"article-journal","volume":"11"},"uris":["http://www.mendeley.com/documents/?uuid=c48a09ba-ec9e-4c74-9cbc-6dd10dbbe081"]}],"mendeley":{"formattedCitation":"(35)","plainTextFormattedCitation":"(35)","previouslyFormattedCitation":"(35)"},"properties":{"noteIndex":0},"schema":"https://github.com/citation-style-language/schema/raw/master/csl-citation.json"}</w:instrText>
      </w:r>
      <w:r w:rsidR="00415C49" w:rsidRPr="00553CF4">
        <w:rPr>
          <w:rFonts w:ascii="Arial" w:hAnsi="Arial" w:cs="Arial"/>
          <w:color w:val="000000"/>
          <w:sz w:val="20"/>
          <w:szCs w:val="20"/>
          <w:lang w:val="es-ES"/>
        </w:rPr>
        <w:fldChar w:fldCharType="separate"/>
      </w:r>
      <w:r w:rsidR="00942D31" w:rsidRPr="00553CF4">
        <w:rPr>
          <w:rFonts w:ascii="Arial" w:hAnsi="Arial" w:cs="Arial"/>
          <w:noProof/>
          <w:color w:val="000000"/>
          <w:sz w:val="20"/>
          <w:szCs w:val="20"/>
          <w:lang w:val="es-ES"/>
        </w:rPr>
        <w:t>(35)</w:t>
      </w:r>
      <w:r w:rsidR="00415C49" w:rsidRPr="00553CF4">
        <w:rPr>
          <w:rFonts w:ascii="Arial" w:hAnsi="Arial" w:cs="Arial"/>
          <w:color w:val="000000"/>
          <w:sz w:val="20"/>
          <w:szCs w:val="20"/>
          <w:lang w:val="es-ES"/>
        </w:rPr>
        <w:fldChar w:fldCharType="end"/>
      </w:r>
      <w:r w:rsidR="00942D31" w:rsidRPr="00553CF4">
        <w:rPr>
          <w:rFonts w:ascii="Arial" w:hAnsi="Arial" w:cs="Arial"/>
          <w:color w:val="000000"/>
          <w:sz w:val="20"/>
          <w:szCs w:val="20"/>
          <w:lang w:val="es-ES"/>
        </w:rPr>
        <w:t>. Otro</w:t>
      </w:r>
      <w:r w:rsidRPr="00553CF4">
        <w:rPr>
          <w:rFonts w:ascii="Arial" w:hAnsi="Arial" w:cs="Arial"/>
          <w:color w:val="000000"/>
          <w:sz w:val="20"/>
          <w:szCs w:val="20"/>
          <w:lang w:val="es-ES"/>
        </w:rPr>
        <w:t xml:space="preserve"> análisis retrospectivo realizado en </w:t>
      </w:r>
      <w:r w:rsidR="001A6BF5" w:rsidRPr="00553CF4">
        <w:rPr>
          <w:rFonts w:ascii="Arial" w:hAnsi="Arial" w:cs="Arial"/>
          <w:color w:val="000000"/>
          <w:sz w:val="20"/>
          <w:szCs w:val="20"/>
          <w:lang w:val="es-ES"/>
        </w:rPr>
        <w:t>la clínica FOSCAL de</w:t>
      </w:r>
      <w:r w:rsidRPr="00553CF4">
        <w:rPr>
          <w:rFonts w:ascii="Arial" w:hAnsi="Arial" w:cs="Arial"/>
          <w:color w:val="000000"/>
          <w:sz w:val="20"/>
          <w:szCs w:val="20"/>
          <w:lang w:val="es-ES"/>
        </w:rPr>
        <w:t xml:space="preserve"> Bucaramanga</w:t>
      </w:r>
      <w:r w:rsidR="001A6BF5" w:rsidRPr="00553CF4">
        <w:rPr>
          <w:rFonts w:ascii="Arial" w:hAnsi="Arial" w:cs="Arial"/>
          <w:color w:val="000000"/>
          <w:sz w:val="20"/>
          <w:szCs w:val="20"/>
          <w:lang w:val="es-ES"/>
        </w:rPr>
        <w:t xml:space="preserve"> realizado</w:t>
      </w:r>
      <w:r w:rsidRPr="00553CF4">
        <w:rPr>
          <w:rFonts w:ascii="Arial" w:hAnsi="Arial" w:cs="Arial"/>
          <w:color w:val="000000"/>
          <w:sz w:val="20"/>
          <w:szCs w:val="20"/>
          <w:lang w:val="es-ES"/>
        </w:rPr>
        <w:t xml:space="preserve"> por Sossa y cols,</w:t>
      </w:r>
      <w:r w:rsidR="00942D31" w:rsidRPr="00553CF4">
        <w:rPr>
          <w:rFonts w:ascii="Arial" w:hAnsi="Arial" w:cs="Arial"/>
          <w:color w:val="000000"/>
          <w:sz w:val="20"/>
          <w:szCs w:val="20"/>
          <w:lang w:val="es-ES"/>
        </w:rPr>
        <w:t xml:space="preserve"> analizó 73 pacientes </w:t>
      </w:r>
      <w:r w:rsidRPr="00553CF4">
        <w:rPr>
          <w:rFonts w:ascii="Arial" w:hAnsi="Arial" w:cs="Arial"/>
          <w:color w:val="000000"/>
          <w:sz w:val="20"/>
          <w:szCs w:val="20"/>
          <w:lang w:val="es-ES"/>
        </w:rPr>
        <w:t>mayores de 18 años</w:t>
      </w:r>
      <w:r w:rsidR="00942D31" w:rsidRPr="00553CF4">
        <w:rPr>
          <w:rFonts w:ascii="Arial" w:hAnsi="Arial" w:cs="Arial"/>
          <w:color w:val="000000"/>
          <w:sz w:val="20"/>
          <w:szCs w:val="20"/>
          <w:lang w:val="es-ES"/>
        </w:rPr>
        <w:t xml:space="preserve"> tratados con protocolo PETHEMA ALL entre 2013 y 2017, con un promedio de edad de 39 años. El 80% de los pacientes fueron clasificados como LLA de alto riesgo, con una supervivencia del 61,5% a un año y 22,9% a 3 años </w:t>
      </w:r>
      <w:r w:rsidR="00415C49" w:rsidRPr="00553CF4">
        <w:rPr>
          <w:rFonts w:ascii="Arial" w:hAnsi="Arial" w:cs="Arial"/>
          <w:color w:val="000000"/>
          <w:sz w:val="20"/>
          <w:szCs w:val="20"/>
          <w:lang w:val="es-ES"/>
        </w:rPr>
        <w:fldChar w:fldCharType="begin" w:fldLock="1"/>
      </w:r>
      <w:r w:rsidR="00E82037" w:rsidRPr="00553CF4">
        <w:rPr>
          <w:rFonts w:ascii="Arial" w:hAnsi="Arial" w:cs="Arial"/>
          <w:color w:val="000000"/>
          <w:sz w:val="20"/>
          <w:szCs w:val="20"/>
          <w:lang w:val="es-ES"/>
        </w:rPr>
        <w:instrText>ADDIN CSL_CITATION {"citationItems":[{"id":"ITEM-1","itemData":{"DOI":"10.1016/j.clml.2018.07.028","ISSN":"21522650","author":[{"dropping-particle":"","family":"Sossa","given":"Claudia","non-dropping-particle":"","parse-names":false,"suffix":""},{"dropping-particle":"","family":"Peña","given":"Angela","non-dropping-particle":"","parse-names":false,"suffix":""},{"dropping-particle":"","family":"Jimenez","given":"Sara","non-dropping-particle":"","parse-names":false,"suffix":""},{"dropping-particle":"","family":"Salazar","given":"Luis","non-dropping-particle":"","parse-names":false,"suffix":""},{"dropping-particle":"","family":"Rosales","given":"Manuel","non-dropping-particle":"","parse-names":false,"suffix":""},{"dropping-particle":"","family":"Chalela","given":"Claudia","non-dropping-particle":"","parse-names":false,"suffix":""},{"dropping-particle":"","family":"Reyes","given":"David","non-dropping-particle":"","parse-names":false,"suffix":""},{"dropping-particle":"","family":"Luna-Gonzalez","given":"Maria","non-dropping-particle":"","parse-names":false,"suffix":""},{"dropping-particle":"","family":"Ortiz","given":"Maria","non-dropping-particle":"","parse-names":false,"suffix":""},{"dropping-particle":"","family":"Rios","given":"Sandra","non-dropping-particle":"","parse-names":false,"suffix":""},{"dropping-particle":"","family":"Espinosa","given":"Katherine","non-dropping-particle":"","parse-names":false,"suffix":""},{"dropping-particle":"","family":"Villareal","given":"Felix","non-dropping-particle":"","parse-names":false,"suffix":""},{"dropping-particle":"","family":"Chacon","given":"Jaime","non-dropping-particle":"","parse-names":false,"suffix":""},{"dropping-particle":"","family":"Gamboa","given":"Nestor","non-dropping-particle":"","parse-names":false,"suffix":""},{"dropping-particle":"","family":"Pinto","given":"Fabian","non-dropping-particle":"","parse-names":false,"suffix":""},{"dropping-particle":"","family":"Pinto","given":"Natalie","non-dropping-particle":"","parse-names":false,"suffix":""},{"dropping-particle":"","family":"Acevedo","given":"Stephanie","non-dropping-particle":"","parse-names":false,"suffix":""},{"dropping-particle":"","family":"Orozco","given":"Carlos","non-dropping-particle":"","parse-names":false,"suffix":""},{"dropping-particle":"","family":"Muentes","given":"Zayda","non-dropping-particle":"","parse-names":false,"suffix":""},{"dropping-particle":"","family":"Arenas","given":"Mario","non-dropping-particle":"","parse-names":false,"suffix":""},{"dropping-particle":"","family":"Serrano","given":"Sergio","non-dropping-particle":"","parse-names":false,"suffix":""}],"container-title":"Clinical Lymphoma Myeloma and Leukemia","id":"ITEM-1","issue":"March 2017","issued":{"date-parts":[["2018"]]},"page":"S190","publisher":"Elsevier","title":"Survival of Acute Lymphoblastic Leukemia: Experience of a Single Center in Colombia","type":"article-journal","volume":"18"},"uris":["http://www.mendeley.com/documents/?uuid=1a2f283b-85a0-4e4a-bb43-f6b11c5171ae"]}],"mendeley":{"formattedCitation":"(36)","plainTextFormattedCitation":"(36)","previouslyFormattedCitation":"(36)"},"properties":{"noteIndex":0},"schema":"https://github.com/citation-style-language/schema/raw/master/csl-citation.json"}</w:instrText>
      </w:r>
      <w:r w:rsidR="00415C49" w:rsidRPr="00553CF4">
        <w:rPr>
          <w:rFonts w:ascii="Arial" w:hAnsi="Arial" w:cs="Arial"/>
          <w:color w:val="000000"/>
          <w:sz w:val="20"/>
          <w:szCs w:val="20"/>
          <w:lang w:val="es-ES"/>
        </w:rPr>
        <w:fldChar w:fldCharType="separate"/>
      </w:r>
      <w:r w:rsidR="00942D31" w:rsidRPr="00553CF4">
        <w:rPr>
          <w:rFonts w:ascii="Arial" w:hAnsi="Arial" w:cs="Arial"/>
          <w:noProof/>
          <w:color w:val="000000"/>
          <w:sz w:val="20"/>
          <w:szCs w:val="20"/>
          <w:lang w:val="es-ES"/>
        </w:rPr>
        <w:t>(36)</w:t>
      </w:r>
      <w:r w:rsidR="00415C49" w:rsidRPr="00553CF4">
        <w:rPr>
          <w:rFonts w:ascii="Arial" w:hAnsi="Arial" w:cs="Arial"/>
          <w:color w:val="000000"/>
          <w:sz w:val="20"/>
          <w:szCs w:val="20"/>
          <w:lang w:val="es-ES"/>
        </w:rPr>
        <w:fldChar w:fldCharType="end"/>
      </w:r>
      <w:r w:rsidR="00942D31" w:rsidRPr="00553CF4">
        <w:rPr>
          <w:rFonts w:ascii="Arial" w:hAnsi="Arial" w:cs="Arial"/>
          <w:color w:val="000000"/>
          <w:sz w:val="20"/>
          <w:szCs w:val="20"/>
          <w:lang w:val="es-ES"/>
        </w:rPr>
        <w:t xml:space="preserve"> . </w:t>
      </w:r>
    </w:p>
    <w:p w14:paraId="63084ABD" w14:textId="3BF82664" w:rsidR="001A6BF5" w:rsidRPr="00553CF4" w:rsidRDefault="001A6BF5" w:rsidP="00553CF4">
      <w:pPr>
        <w:spacing w:line="276" w:lineRule="auto"/>
        <w:jc w:val="both"/>
        <w:rPr>
          <w:rFonts w:ascii="Arial" w:eastAsia="Times New Roman" w:hAnsi="Arial" w:cs="Arial"/>
          <w:sz w:val="20"/>
          <w:szCs w:val="20"/>
          <w:lang w:val="es-CO" w:eastAsia="es-ES"/>
        </w:rPr>
      </w:pPr>
      <w:r w:rsidRPr="00553CF4">
        <w:rPr>
          <w:rFonts w:ascii="Arial" w:hAnsi="Arial" w:cs="Arial"/>
          <w:color w:val="000000"/>
          <w:sz w:val="20"/>
          <w:szCs w:val="20"/>
          <w:lang w:val="es-ES"/>
        </w:rPr>
        <w:t>Otros análisis en proceso de publicación</w:t>
      </w:r>
      <w:r w:rsidR="00E82037" w:rsidRPr="00553CF4">
        <w:rPr>
          <w:rFonts w:ascii="Arial" w:hAnsi="Arial" w:cs="Arial"/>
          <w:color w:val="000000"/>
          <w:sz w:val="20"/>
          <w:szCs w:val="20"/>
          <w:lang w:val="es-ES"/>
        </w:rPr>
        <w:t xml:space="preserve"> con datos aportados amablemente por el </w:t>
      </w:r>
      <w:r w:rsidR="000B75EB" w:rsidRPr="00553CF4">
        <w:rPr>
          <w:rFonts w:ascii="Arial" w:hAnsi="Arial" w:cs="Arial"/>
          <w:color w:val="000000"/>
          <w:sz w:val="20"/>
          <w:szCs w:val="20"/>
          <w:lang w:val="es-ES"/>
        </w:rPr>
        <w:t>autor, realizado</w:t>
      </w:r>
      <w:r w:rsidR="00E82037" w:rsidRPr="00553CF4">
        <w:rPr>
          <w:rFonts w:ascii="Arial" w:hAnsi="Arial" w:cs="Arial"/>
          <w:color w:val="000000"/>
          <w:sz w:val="20"/>
          <w:szCs w:val="20"/>
          <w:lang w:val="es-ES"/>
        </w:rPr>
        <w:t xml:space="preserve"> </w:t>
      </w:r>
      <w:r w:rsidRPr="00553CF4">
        <w:rPr>
          <w:rFonts w:ascii="Arial" w:hAnsi="Arial" w:cs="Arial"/>
          <w:color w:val="000000"/>
          <w:sz w:val="20"/>
          <w:szCs w:val="20"/>
          <w:lang w:val="es-ES"/>
        </w:rPr>
        <w:t>en el Instituto Nacional</w:t>
      </w:r>
      <w:r w:rsidR="00337A88">
        <w:rPr>
          <w:rFonts w:ascii="Arial" w:hAnsi="Arial" w:cs="Arial"/>
          <w:color w:val="000000"/>
          <w:sz w:val="20"/>
          <w:szCs w:val="20"/>
          <w:lang w:val="es-ES"/>
        </w:rPr>
        <w:t xml:space="preserve"> de cancerología</w:t>
      </w:r>
      <w:r w:rsidRPr="00553CF4">
        <w:rPr>
          <w:rFonts w:ascii="Arial" w:hAnsi="Arial" w:cs="Arial"/>
          <w:color w:val="000000"/>
          <w:sz w:val="20"/>
          <w:szCs w:val="20"/>
          <w:lang w:val="es-ES"/>
        </w:rPr>
        <w:t xml:space="preserve"> E.S.E, de Bogotá en el año 2019, por </w:t>
      </w:r>
      <w:r w:rsidR="000B75EB" w:rsidRPr="00553CF4">
        <w:rPr>
          <w:rFonts w:ascii="Arial" w:hAnsi="Arial" w:cs="Arial"/>
          <w:color w:val="000000"/>
          <w:sz w:val="20"/>
          <w:szCs w:val="20"/>
          <w:lang w:val="es-ES"/>
        </w:rPr>
        <w:t>Valdés</w:t>
      </w:r>
      <w:r w:rsidRPr="00553CF4">
        <w:rPr>
          <w:rFonts w:ascii="Arial" w:hAnsi="Arial" w:cs="Arial"/>
          <w:color w:val="000000"/>
          <w:sz w:val="20"/>
          <w:szCs w:val="20"/>
          <w:lang w:val="es-ES"/>
        </w:rPr>
        <w:t>-Enciso y cols, compararon mediante</w:t>
      </w:r>
      <w:r w:rsidR="00E82037" w:rsidRPr="00553CF4">
        <w:rPr>
          <w:rFonts w:ascii="Arial" w:hAnsi="Arial" w:cs="Arial"/>
          <w:color w:val="000000"/>
          <w:sz w:val="20"/>
          <w:szCs w:val="20"/>
          <w:lang w:val="es-ES"/>
        </w:rPr>
        <w:t xml:space="preserve"> un análisis retrospectivo por </w:t>
      </w:r>
      <w:r w:rsidRPr="00553CF4">
        <w:rPr>
          <w:rFonts w:ascii="Arial" w:hAnsi="Arial" w:cs="Arial"/>
          <w:color w:val="000000"/>
          <w:sz w:val="20"/>
          <w:szCs w:val="20"/>
          <w:lang w:val="es-ES"/>
        </w:rPr>
        <w:t xml:space="preserve">score de propensión, el resultado de la efectividad de los esquemas de quimioterapia HyperCVAD y GRALL2003. Fueron analizados los datos de pacientes mayores de 16 años con diagnóstico de LLA de </w:t>
      </w:r>
      <w:r w:rsidR="008466D3" w:rsidRPr="00553CF4">
        <w:rPr>
          <w:rFonts w:ascii="Arial" w:hAnsi="Arial" w:cs="Arial"/>
          <w:color w:val="000000"/>
          <w:sz w:val="20"/>
          <w:szCs w:val="20"/>
          <w:lang w:val="es-ES"/>
        </w:rPr>
        <w:t>Novo</w:t>
      </w:r>
      <w:r w:rsidRPr="00553CF4">
        <w:rPr>
          <w:rFonts w:ascii="Arial" w:hAnsi="Arial" w:cs="Arial"/>
          <w:color w:val="000000"/>
          <w:sz w:val="20"/>
          <w:szCs w:val="20"/>
          <w:lang w:val="es-ES"/>
        </w:rPr>
        <w:t>. 177 pacientes fueron an</w:t>
      </w:r>
      <w:r w:rsidR="00E82037" w:rsidRPr="00553CF4">
        <w:rPr>
          <w:rFonts w:ascii="Arial" w:hAnsi="Arial" w:cs="Arial"/>
          <w:color w:val="000000"/>
          <w:sz w:val="20"/>
          <w:szCs w:val="20"/>
          <w:lang w:val="es-ES"/>
        </w:rPr>
        <w:t>a</w:t>
      </w:r>
      <w:r w:rsidRPr="00553CF4">
        <w:rPr>
          <w:rFonts w:ascii="Arial" w:hAnsi="Arial" w:cs="Arial"/>
          <w:color w:val="000000"/>
          <w:sz w:val="20"/>
          <w:szCs w:val="20"/>
          <w:lang w:val="es-ES"/>
        </w:rPr>
        <w:t>lizados (HyperCVAD = 137 y GRAALL2003 = 40). Después</w:t>
      </w:r>
      <w:r w:rsidR="00E82037" w:rsidRPr="00553CF4">
        <w:rPr>
          <w:rFonts w:ascii="Arial" w:hAnsi="Arial" w:cs="Arial"/>
          <w:color w:val="000000"/>
          <w:sz w:val="20"/>
          <w:szCs w:val="20"/>
          <w:lang w:val="es-ES"/>
        </w:rPr>
        <w:t xml:space="preserve"> del aparejamiento se identificaron</w:t>
      </w:r>
      <w:r w:rsidRPr="00553CF4">
        <w:rPr>
          <w:rFonts w:ascii="Arial" w:hAnsi="Arial" w:cs="Arial"/>
          <w:color w:val="000000"/>
          <w:sz w:val="20"/>
          <w:szCs w:val="20"/>
          <w:lang w:val="es-ES"/>
        </w:rPr>
        <w:t xml:space="preserve"> unas tasas de respuesta del 72,8% para HyperCVAD y 91,8% para GRAALL2003, con una mediana de supervivencia global de 14,5 vs 29,5 meses respectivamente (p=0,18). Si bien los datos muestran beneficio en el protocolo GRALL2003, las diferencias no fueron estadísticamente significativas y en el análisis multivariado, no fue posible demostrar que GRAALL2003 haya sido un factor pronóstico independiente de supervivencia </w:t>
      </w:r>
      <w:r w:rsidRPr="00553CF4">
        <w:rPr>
          <w:rFonts w:ascii="Arial" w:eastAsia="Times New Roman" w:hAnsi="Arial" w:cs="Arial"/>
          <w:sz w:val="20"/>
          <w:szCs w:val="20"/>
          <w:lang w:val="es-CO" w:eastAsia="es-ES"/>
        </w:rPr>
        <w:t xml:space="preserve">(p=0.289, HR: 0.71). </w:t>
      </w:r>
    </w:p>
    <w:p w14:paraId="50281518" w14:textId="4610B281" w:rsidR="00E82037" w:rsidRPr="00553CF4" w:rsidRDefault="00E82037" w:rsidP="000C641A">
      <w:pPr>
        <w:spacing w:line="276" w:lineRule="auto"/>
        <w:jc w:val="both"/>
        <w:rPr>
          <w:rFonts w:ascii="Arial" w:eastAsia="Times New Roman" w:hAnsi="Arial" w:cs="Arial"/>
          <w:sz w:val="20"/>
          <w:szCs w:val="20"/>
          <w:lang w:val="es-CO" w:eastAsia="es-ES"/>
        </w:rPr>
      </w:pPr>
      <w:r w:rsidRPr="00553CF4">
        <w:rPr>
          <w:rFonts w:ascii="Arial" w:eastAsia="Times New Roman" w:hAnsi="Arial" w:cs="Arial"/>
          <w:sz w:val="20"/>
          <w:szCs w:val="20"/>
          <w:lang w:val="es-CO" w:eastAsia="es-ES"/>
        </w:rPr>
        <w:t>Varios ex</w:t>
      </w:r>
      <w:r w:rsidR="0095394B" w:rsidRPr="00553CF4">
        <w:rPr>
          <w:rFonts w:ascii="Arial" w:eastAsia="Times New Roman" w:hAnsi="Arial" w:cs="Arial"/>
          <w:sz w:val="20"/>
          <w:szCs w:val="20"/>
          <w:lang w:val="es-CO" w:eastAsia="es-ES"/>
        </w:rPr>
        <w:t>pertos nacionales e internacionales consideran</w:t>
      </w:r>
      <w:r w:rsidRPr="00553CF4">
        <w:rPr>
          <w:rFonts w:ascii="Arial" w:eastAsia="Times New Roman" w:hAnsi="Arial" w:cs="Arial"/>
          <w:sz w:val="20"/>
          <w:szCs w:val="20"/>
          <w:lang w:val="es-CO" w:eastAsia="es-ES"/>
        </w:rPr>
        <w:t xml:space="preserve"> que la inferioridad en los resultados en </w:t>
      </w:r>
      <w:r w:rsidR="00502D2B">
        <w:rPr>
          <w:rFonts w:ascii="Arial" w:eastAsia="Times New Roman" w:hAnsi="Arial" w:cs="Arial"/>
          <w:sz w:val="20"/>
          <w:szCs w:val="20"/>
          <w:lang w:val="es-CO" w:eastAsia="es-ES"/>
        </w:rPr>
        <w:t xml:space="preserve">LLA en </w:t>
      </w:r>
      <w:r w:rsidRPr="00553CF4">
        <w:rPr>
          <w:rFonts w:ascii="Arial" w:eastAsia="Times New Roman" w:hAnsi="Arial" w:cs="Arial"/>
          <w:sz w:val="20"/>
          <w:szCs w:val="20"/>
          <w:lang w:val="es-CO" w:eastAsia="es-ES"/>
        </w:rPr>
        <w:t xml:space="preserve">Colombia puede deberse bien a varios factores como una alta prevalencia de </w:t>
      </w:r>
      <w:r w:rsidR="0095394B" w:rsidRPr="00553CF4">
        <w:rPr>
          <w:rFonts w:ascii="Arial" w:eastAsia="Times New Roman" w:hAnsi="Arial" w:cs="Arial"/>
          <w:sz w:val="20"/>
          <w:szCs w:val="20"/>
          <w:lang w:val="es-CO" w:eastAsia="es-ES"/>
        </w:rPr>
        <w:t xml:space="preserve">alteraciones citogenéticas de alto riesgo como </w:t>
      </w:r>
      <w:r w:rsidRPr="00553CF4">
        <w:rPr>
          <w:rFonts w:ascii="Arial" w:eastAsia="Times New Roman" w:hAnsi="Arial" w:cs="Arial"/>
          <w:sz w:val="20"/>
          <w:szCs w:val="20"/>
          <w:lang w:val="es-CO" w:eastAsia="es-ES"/>
        </w:rPr>
        <w:t xml:space="preserve">Ph-like en </w:t>
      </w:r>
      <w:r w:rsidR="000B75EB" w:rsidRPr="00553CF4">
        <w:rPr>
          <w:rFonts w:ascii="Arial" w:eastAsia="Times New Roman" w:hAnsi="Arial" w:cs="Arial"/>
          <w:sz w:val="20"/>
          <w:szCs w:val="20"/>
          <w:lang w:val="es-CO" w:eastAsia="es-ES"/>
        </w:rPr>
        <w:t>Latinoamérica</w:t>
      </w:r>
      <w:r w:rsidR="0095394B" w:rsidRPr="00553CF4">
        <w:rPr>
          <w:rFonts w:ascii="Arial" w:eastAsia="Times New Roman" w:hAnsi="Arial" w:cs="Arial"/>
          <w:sz w:val="20"/>
          <w:szCs w:val="20"/>
          <w:lang w:val="es-CO" w:eastAsia="es-ES"/>
        </w:rPr>
        <w:t xml:space="preserve"> comparado con otro tipo de poblaciones</w:t>
      </w:r>
      <w:r w:rsidRPr="00553CF4">
        <w:rPr>
          <w:rFonts w:ascii="Arial" w:eastAsia="Times New Roman" w:hAnsi="Arial" w:cs="Arial"/>
          <w:sz w:val="20"/>
          <w:szCs w:val="20"/>
          <w:lang w:val="es-CO" w:eastAsia="es-ES"/>
        </w:rPr>
        <w:t>. Desafortunadamente a la fecha no pueden ser identificados en Colombia los pacientes ph-like debido a la falta de acceso a pruebas de nueva ge</w:t>
      </w:r>
      <w:r w:rsidR="00502D2B">
        <w:rPr>
          <w:rFonts w:ascii="Arial" w:eastAsia="Times New Roman" w:hAnsi="Arial" w:cs="Arial"/>
          <w:sz w:val="20"/>
          <w:szCs w:val="20"/>
          <w:lang w:val="es-CO" w:eastAsia="es-ES"/>
        </w:rPr>
        <w:t>neración para detección de estas alteraciones citogenéticas y moleculares</w:t>
      </w:r>
      <w:r w:rsidR="00415C49" w:rsidRPr="00553CF4">
        <w:rPr>
          <w:rFonts w:ascii="Arial" w:eastAsia="Times New Roman" w:hAnsi="Arial" w:cs="Arial"/>
          <w:sz w:val="20"/>
          <w:szCs w:val="20"/>
          <w:lang w:val="es-CO" w:eastAsia="es-ES"/>
        </w:rPr>
        <w:fldChar w:fldCharType="begin" w:fldLock="1"/>
      </w:r>
      <w:r w:rsidR="001D5732" w:rsidRPr="00553CF4">
        <w:rPr>
          <w:rFonts w:ascii="Arial" w:eastAsia="Times New Roman" w:hAnsi="Arial" w:cs="Arial"/>
          <w:sz w:val="20"/>
          <w:szCs w:val="20"/>
          <w:lang w:val="es-CO" w:eastAsia="es-ES"/>
        </w:rPr>
        <w:instrText>ADDIN CSL_CITATION {"citationItems":[{"id":"ITEM-1","itemData":{"DOI":"10.1182/blood-2016-07-726588","ISSN":"1528-0020","PMID":"27919910","abstract":"Philadelphia chromosome (Ph)-like acute lymphoblastic leukemia (ALL) is a high-risk subtype of ALL in children. There are conflicting data on the incidence and prognosis of Ph-like ALL in adults. Patients with newly diagnosed B-cell ALL (B-ALL) who received frontline chemotherapy at MD Anderson Cancer Center underwent gene expression profiling of leukemic cells. Of 148 patients, 33.1% had Ph-like, 31.1% had Ph+, and 35.8% had other B-ALL subtypes (B-other). Within the Ph-like ALL cohort, 61% had cytokine receptor-like factor 2 (CRLF2) overexpression. Patients with Ph-like ALL had significantly worse overall survival (OS), and event-free survival compared with B-other with a 5-year survival of 23% (vs 59% for B-other, P = .006). Sixty-eight percent of patients with Ph-like ALL were of Hispanic ethnicity. The following were associated with inferior OS on multivariable analysis: age (hazard ratio [HR], 3.299; P &lt; .001), white blood cell count (HR, 1.910; P = .017), platelet count (HR, 7.437; P = .005), and Ph-like ALL (HR, 1.818; P = .03). Next-generation sequencing of the CRLF2+ group identified mutations in the JAK-STAT and Ras pathway in 85% of patients, and 20% had a CRLF2 mutation. Within the CRLF2+ group, JAK2 mutation was associated with inferior outcomes. Our findings show high frequency of Ph-like ALL in adults, an increased frequency of Ph-like ALL in adults of Hispanic ethnicity, significantly inferior outcomes of adult patients with Ph-like ALL, and significantly worse outcomes in the CRLF2+ subset of Ph-like ALL. Novel strategies are needed to improve the outcome of these patients.","author":[{"dropping-particle":"","family":"Jain","given":"Nitin","non-dropping-particle":"","parse-names":false,"suffix":""},{"dropping-particle":"","family":"Roberts","given":"Kathryn G","non-dropping-particle":"","parse-names":false,"suffix":""},{"dropping-particle":"","family":"Jabbour","given":"Elias","non-dropping-particle":"","parse-names":false,"suffix":""},{"dropping-particle":"","family":"Patel","given":"Keyur","non-dropping-particle":"","parse-names":false,"suffix":""},{"dropping-particle":"","family":"Eterovic","given":"Agda Karina","non-dropping-particle":"","parse-names":false,"suffix":""},{"dropping-particle":"","family":"Chen","given":"Ken","non-dropping-particle":"","parse-names":false,"suffix":""},{"dropping-particle":"","family":"Zweidler-McKay","given":"Patrick","non-dropping-particle":"","parse-names":false,"suffix":""},{"dropping-particle":"","family":"Lu","given":"Xinyan","non-dropping-particle":"","parse-names":false,"suffix":""},{"dropping-particle":"","family":"Fawcett","given":"Gloria","non-dropping-particle":"","parse-names":false,"suffix":""},{"dropping-particle":"","family":"Wang","given":"Sa A","non-dropping-particle":"","parse-names":false,"suffix":""},{"dropping-particle":"","family":"Konoplev","given":"Sergej","non-dropping-particle":"","parse-names":false,"suffix":""},{"dropping-particle":"","family":"Harvey","given":"Richard C","non-dropping-particle":"","parse-names":false,"suffix":""},{"dropping-particle":"","family":"Chen","given":"I-Ming","non-dropping-particle":"","parse-names":false,"suffix":""},{"dropping-particle":"","family":"Payne-Turner","given":"Debbie","non-dropping-particle":"","parse-names":false,"suffix":""},{"dropping-particle":"","family":"Valentine","given":"Marcus","non-dropping-particle":"","parse-names":false,"suffix":""},{"dropping-particle":"","family":"Thomas","given":"Deborah","non-dropping-particle":"","parse-names":false,"suffix":""},{"dropping-particle":"","family":"Garcia-Manero","given":"Guillermo","non-dropping-particle":"","parse-names":false,"suffix":""},{"dropping-particle":"","family":"Ravandi","given":"Farhad","non-dropping-particle":"","parse-names":false,"suffix":""},{"dropping-particle":"","family":"Cortes","given":"Jorge","non-dropping-particle":"","parse-names":false,"suffix":""},{"dropping-particle":"","family":"Kornblau","given":"Steven","non-dropping-particle":"","parse-names":false,"suffix":""},{"dropping-particle":"","family":"O'Brien","given":"Susan","non-dropping-particle":"","parse-names":false,"suffix":""},{"dropping-particle":"","family":"Pierce","given":"Sherry","non-dropping-particle":"","parse-names":false,"suffix":""},{"dropping-particle":"","family":"Jorgensen","given":"Jeffrey","non-dropping-particle":"","parse-names":false,"suffix":""},{"dropping-particle":"","family":"Shaw","given":"Kenna R Mills","non-dropping-particle":"","parse-names":false,"suffix":""},{"dropping-particle":"","family":"Willman","given":"Cheryl L","non-dropping-particle":"","parse-names":false,"suffix":""},{"dropping-particle":"","family":"Mullighan","given":"Charles G","non-dropping-particle":"","parse-names":false,"suffix":""},{"dropping-particle":"","family":"Kantarjian","given":"Hagop","non-dropping-particle":"","parse-names":false,"suffix":""},{"dropping-particle":"","family":"Konopleva","given":"Marina","non-dropping-particle":"","parse-names":false,"suffix":""}],"container-title":"Blood","id":"ITEM-1","issue":"5","issued":{"date-parts":[["2017"]]},"page":"572-581","title":"Ph-like acute lymphoblastic leukemia: a high-risk subtype in adults.","type":"article-journal","volume":"129"},"uris":["http://www.mendeley.com/documents/?uuid=1861c2a3-1117-4d6d-aa5d-8acc51d47821"]}],"mendeley":{"formattedCitation":"(20)","plainTextFormattedCitation":"(20)","previouslyFormattedCitation":"(20)"},"properties":{"noteIndex":0},"schema":"https://github.com/citation-style-language/schema/raw/master/csl-citation.json"}</w:instrText>
      </w:r>
      <w:r w:rsidR="00415C49" w:rsidRPr="00553CF4">
        <w:rPr>
          <w:rFonts w:ascii="Arial" w:eastAsia="Times New Roman" w:hAnsi="Arial" w:cs="Arial"/>
          <w:sz w:val="20"/>
          <w:szCs w:val="20"/>
          <w:lang w:val="es-CO" w:eastAsia="es-ES"/>
        </w:rPr>
        <w:fldChar w:fldCharType="separate"/>
      </w:r>
      <w:r w:rsidRPr="00553CF4">
        <w:rPr>
          <w:rFonts w:ascii="Arial" w:eastAsia="Times New Roman" w:hAnsi="Arial" w:cs="Arial"/>
          <w:noProof/>
          <w:sz w:val="20"/>
          <w:szCs w:val="20"/>
          <w:lang w:val="es-CO" w:eastAsia="es-ES"/>
        </w:rPr>
        <w:t>(20)</w:t>
      </w:r>
      <w:r w:rsidR="00415C49" w:rsidRPr="00553CF4">
        <w:rPr>
          <w:rFonts w:ascii="Arial" w:eastAsia="Times New Roman" w:hAnsi="Arial" w:cs="Arial"/>
          <w:sz w:val="20"/>
          <w:szCs w:val="20"/>
          <w:lang w:val="es-CO" w:eastAsia="es-ES"/>
        </w:rPr>
        <w:fldChar w:fldCharType="end"/>
      </w:r>
      <w:r w:rsidRPr="00553CF4">
        <w:rPr>
          <w:rFonts w:ascii="Arial" w:eastAsia="Times New Roman" w:hAnsi="Arial" w:cs="Arial"/>
          <w:sz w:val="20"/>
          <w:szCs w:val="20"/>
          <w:lang w:val="es-CO" w:eastAsia="es-ES"/>
        </w:rPr>
        <w:t xml:space="preserve">. Otras barreras que podrían afectar dramáticamente los resultados en LLA en </w:t>
      </w:r>
      <w:r w:rsidR="000B75EB" w:rsidRPr="00553CF4">
        <w:rPr>
          <w:rFonts w:ascii="Arial" w:eastAsia="Times New Roman" w:hAnsi="Arial" w:cs="Arial"/>
          <w:sz w:val="20"/>
          <w:szCs w:val="20"/>
          <w:lang w:val="es-CO" w:eastAsia="es-ES"/>
        </w:rPr>
        <w:t>Colombia</w:t>
      </w:r>
      <w:r w:rsidRPr="00553CF4">
        <w:rPr>
          <w:rFonts w:ascii="Arial" w:eastAsia="Times New Roman" w:hAnsi="Arial" w:cs="Arial"/>
          <w:sz w:val="20"/>
          <w:szCs w:val="20"/>
          <w:lang w:val="es-CO" w:eastAsia="es-ES"/>
        </w:rPr>
        <w:t xml:space="preserve"> son la dificultad </w:t>
      </w:r>
      <w:r w:rsidR="00502D2B">
        <w:rPr>
          <w:rFonts w:ascii="Arial" w:eastAsia="Times New Roman" w:hAnsi="Arial" w:cs="Arial"/>
          <w:sz w:val="20"/>
          <w:szCs w:val="20"/>
          <w:lang w:val="es-CO" w:eastAsia="es-ES"/>
        </w:rPr>
        <w:t>para acceso temprano a terapia</w:t>
      </w:r>
      <w:r w:rsidRPr="00553CF4">
        <w:rPr>
          <w:rFonts w:ascii="Arial" w:eastAsia="Times New Roman" w:hAnsi="Arial" w:cs="Arial"/>
          <w:sz w:val="20"/>
          <w:szCs w:val="20"/>
          <w:lang w:val="es-CO" w:eastAsia="es-ES"/>
        </w:rPr>
        <w:t xml:space="preserve">, </w:t>
      </w:r>
      <w:r w:rsidR="00502D2B">
        <w:rPr>
          <w:rFonts w:ascii="Arial" w:eastAsia="Times New Roman" w:hAnsi="Arial" w:cs="Arial"/>
          <w:sz w:val="20"/>
          <w:szCs w:val="20"/>
          <w:lang w:val="es-CO" w:eastAsia="es-ES"/>
        </w:rPr>
        <w:t>problemas administrativos</w:t>
      </w:r>
      <w:r w:rsidRPr="00553CF4">
        <w:rPr>
          <w:rFonts w:ascii="Arial" w:eastAsia="Times New Roman" w:hAnsi="Arial" w:cs="Arial"/>
          <w:sz w:val="20"/>
          <w:szCs w:val="20"/>
          <w:lang w:val="es-CO" w:eastAsia="es-ES"/>
        </w:rPr>
        <w:t xml:space="preserve"> y dificultad a </w:t>
      </w:r>
      <w:r w:rsidR="00502D2B">
        <w:rPr>
          <w:rFonts w:ascii="Arial" w:eastAsia="Times New Roman" w:hAnsi="Arial" w:cs="Arial"/>
          <w:sz w:val="20"/>
          <w:szCs w:val="20"/>
          <w:lang w:val="es-CO" w:eastAsia="es-ES"/>
        </w:rPr>
        <w:t xml:space="preserve">ingreso a </w:t>
      </w:r>
      <w:r w:rsidRPr="00553CF4">
        <w:rPr>
          <w:rFonts w:ascii="Arial" w:eastAsia="Times New Roman" w:hAnsi="Arial" w:cs="Arial"/>
          <w:sz w:val="20"/>
          <w:szCs w:val="20"/>
          <w:lang w:val="es-CO" w:eastAsia="es-ES"/>
        </w:rPr>
        <w:t xml:space="preserve">unidades de trasplante de médula ósea. </w:t>
      </w:r>
    </w:p>
    <w:p w14:paraId="2CBE0ACB" w14:textId="77777777" w:rsidR="005F6D13" w:rsidRDefault="005F6D13" w:rsidP="000C641A">
      <w:pPr>
        <w:spacing w:line="276" w:lineRule="auto"/>
        <w:jc w:val="both"/>
        <w:rPr>
          <w:rFonts w:ascii="Helvetica" w:eastAsia="Times New Roman" w:hAnsi="Helvetica" w:cs="Times New Roman"/>
          <w:sz w:val="19"/>
          <w:szCs w:val="19"/>
          <w:lang w:val="es-CO" w:eastAsia="es-ES"/>
        </w:rPr>
      </w:pPr>
    </w:p>
    <w:p w14:paraId="11B0D5C1" w14:textId="77777777" w:rsidR="005F6D13" w:rsidRDefault="005F6D13" w:rsidP="000C641A">
      <w:pPr>
        <w:widowControl w:val="0"/>
        <w:autoSpaceDE w:val="0"/>
        <w:autoSpaceDN w:val="0"/>
        <w:adjustRightInd w:val="0"/>
        <w:spacing w:after="0" w:line="276" w:lineRule="auto"/>
        <w:rPr>
          <w:rFonts w:ascii="Arial" w:hAnsi="Arial" w:cs="Arial"/>
          <w:b/>
          <w:sz w:val="20"/>
          <w:szCs w:val="20"/>
          <w:lang w:val="es-ES"/>
        </w:rPr>
      </w:pPr>
      <w:r w:rsidRPr="004E4D14">
        <w:rPr>
          <w:rFonts w:ascii="Arial" w:hAnsi="Arial" w:cs="Arial"/>
          <w:b/>
          <w:sz w:val="20"/>
          <w:szCs w:val="20"/>
          <w:lang w:val="es-ES"/>
        </w:rPr>
        <w:t>TRATAMIE</w:t>
      </w:r>
      <w:r>
        <w:rPr>
          <w:rFonts w:ascii="Arial" w:hAnsi="Arial" w:cs="Arial"/>
          <w:b/>
          <w:sz w:val="20"/>
          <w:szCs w:val="20"/>
          <w:lang w:val="es-ES"/>
        </w:rPr>
        <w:t>NTO DE LLA-B FILADELFIA POSITIVO</w:t>
      </w:r>
    </w:p>
    <w:p w14:paraId="480515F2" w14:textId="77777777" w:rsidR="005F6D13" w:rsidRDefault="005F6D13" w:rsidP="000C641A">
      <w:pPr>
        <w:widowControl w:val="0"/>
        <w:autoSpaceDE w:val="0"/>
        <w:autoSpaceDN w:val="0"/>
        <w:adjustRightInd w:val="0"/>
        <w:spacing w:after="0" w:line="276" w:lineRule="auto"/>
        <w:rPr>
          <w:rFonts w:ascii="Arial" w:hAnsi="Arial" w:cs="Arial"/>
          <w:b/>
          <w:sz w:val="20"/>
          <w:szCs w:val="20"/>
          <w:lang w:val="es-ES"/>
        </w:rPr>
      </w:pPr>
    </w:p>
    <w:p w14:paraId="0627ADAC" w14:textId="1167853F" w:rsidR="001D5732" w:rsidRDefault="000D67B4" w:rsidP="000C641A">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La identificación del </w:t>
      </w:r>
      <w:r w:rsidR="005F6D13">
        <w:rPr>
          <w:rFonts w:ascii="Arial" w:hAnsi="Arial" w:cs="Arial"/>
          <w:sz w:val="20"/>
          <w:szCs w:val="20"/>
          <w:lang w:val="es-ES"/>
        </w:rPr>
        <w:t xml:space="preserve">cromosoma filadelfia </w:t>
      </w:r>
      <w:r>
        <w:rPr>
          <w:rFonts w:ascii="Arial" w:hAnsi="Arial" w:cs="Arial"/>
          <w:sz w:val="20"/>
          <w:szCs w:val="20"/>
          <w:lang w:val="es-ES"/>
        </w:rPr>
        <w:t>se ha considerado tradicionalmente como una alteración citogenética de alto riesgo y por lo tanto de pronóstico adverso. Sin embargo, a la fecha, esta es la única alteración citogenética que una vez documentada se traduce en un cambio de conducta terapéutica. Antes del advenimiento de los inhibidores de tirosina quinasa</w:t>
      </w:r>
      <w:r w:rsidR="000C641A">
        <w:rPr>
          <w:rFonts w:ascii="Arial" w:hAnsi="Arial" w:cs="Arial"/>
          <w:sz w:val="20"/>
          <w:szCs w:val="20"/>
          <w:lang w:val="es-ES"/>
        </w:rPr>
        <w:t xml:space="preserve"> (ITQ)</w:t>
      </w:r>
      <w:r>
        <w:rPr>
          <w:rFonts w:ascii="Arial" w:hAnsi="Arial" w:cs="Arial"/>
          <w:sz w:val="20"/>
          <w:szCs w:val="20"/>
          <w:lang w:val="es-ES"/>
        </w:rPr>
        <w:t xml:space="preserve">, la supervivencia entre los pacientes con LLA Ph+ a 5 años era de aproximadamente 5 a 20%, con una incidencia de Ph+ que aumenta acorde con la edad. </w:t>
      </w:r>
      <w:r w:rsidR="000C641A">
        <w:rPr>
          <w:rFonts w:ascii="Arial" w:hAnsi="Arial" w:cs="Arial"/>
          <w:sz w:val="20"/>
          <w:szCs w:val="20"/>
          <w:lang w:val="es-ES"/>
        </w:rPr>
        <w:t>La administración</w:t>
      </w:r>
      <w:r>
        <w:rPr>
          <w:rFonts w:ascii="Arial" w:hAnsi="Arial" w:cs="Arial"/>
          <w:sz w:val="20"/>
          <w:szCs w:val="20"/>
          <w:lang w:val="es-ES"/>
        </w:rPr>
        <w:t xml:space="preserve"> de los </w:t>
      </w:r>
      <w:r w:rsidR="000C641A">
        <w:rPr>
          <w:rFonts w:ascii="Arial" w:hAnsi="Arial" w:cs="Arial"/>
          <w:sz w:val="20"/>
          <w:szCs w:val="20"/>
          <w:lang w:val="es-ES"/>
        </w:rPr>
        <w:t>ITQ</w:t>
      </w:r>
      <w:r>
        <w:rPr>
          <w:rFonts w:ascii="Arial" w:hAnsi="Arial" w:cs="Arial"/>
          <w:sz w:val="20"/>
          <w:szCs w:val="20"/>
          <w:lang w:val="es-ES"/>
        </w:rPr>
        <w:t xml:space="preserve">, de forma conjunta </w:t>
      </w:r>
      <w:r w:rsidR="000C641A">
        <w:rPr>
          <w:rFonts w:ascii="Arial" w:hAnsi="Arial" w:cs="Arial"/>
          <w:sz w:val="20"/>
          <w:szCs w:val="20"/>
          <w:lang w:val="es-ES"/>
        </w:rPr>
        <w:t xml:space="preserve">con </w:t>
      </w:r>
      <w:r w:rsidR="000B75EB">
        <w:rPr>
          <w:rFonts w:ascii="Arial" w:hAnsi="Arial" w:cs="Arial"/>
          <w:sz w:val="20"/>
          <w:szCs w:val="20"/>
          <w:lang w:val="es-ES"/>
        </w:rPr>
        <w:t>la quimioterapia</w:t>
      </w:r>
      <w:r w:rsidR="000C641A">
        <w:rPr>
          <w:rFonts w:ascii="Arial" w:hAnsi="Arial" w:cs="Arial"/>
          <w:sz w:val="20"/>
          <w:szCs w:val="20"/>
          <w:lang w:val="es-ES"/>
        </w:rPr>
        <w:t xml:space="preserve"> de alta intensidad, </w:t>
      </w:r>
      <w:r>
        <w:rPr>
          <w:rFonts w:ascii="Arial" w:hAnsi="Arial" w:cs="Arial"/>
          <w:sz w:val="20"/>
          <w:szCs w:val="20"/>
          <w:lang w:val="es-ES"/>
        </w:rPr>
        <w:t>ha demostrado una mejoría muy notoria en los resultados en los pacientes con LLA Ph+</w:t>
      </w:r>
      <w:r w:rsidR="00415C49">
        <w:rPr>
          <w:rFonts w:ascii="Arial" w:hAnsi="Arial" w:cs="Arial"/>
          <w:sz w:val="20"/>
          <w:szCs w:val="20"/>
          <w:lang w:val="es-ES"/>
        </w:rPr>
        <w:fldChar w:fldCharType="begin" w:fldLock="1"/>
      </w:r>
      <w:r w:rsidR="009D6EEE">
        <w:rPr>
          <w:rFonts w:ascii="Arial" w:hAnsi="Arial" w:cs="Arial"/>
          <w:sz w:val="20"/>
          <w:szCs w:val="20"/>
          <w:lang w:val="es-ES"/>
        </w:rPr>
        <w:instrText>ADDIN CSL_CITATION {"citationItems":[{"id":"ITEM-1","itemData":{"DOI":"10.3109/10428190009148847","author":[{"dropping-particle":"","family":"Faderl","given":"Stefan","non-dropping-particle":"","parse-names":false,"suffix":""},{"dropping-particle":"","family":"Kantarjian","given":"Hagop M","non-dropping-particle":"","parse-names":false,"suffix":""},{"dropping-particle":"","family":"Thomas","given":"Deborah A","non-dropping-particle":"","parse-names":false,"suffix":""},{"dropping-particle":"","family":"Cortes","given":"Jorge","non-dropping-particle":"","parse-names":false,"suffix":""},{"dropping-particle":"","family":"Giles","given":"Francis","non-dropping-particle":"","parse-names":false,"suffix":""},{"dropping-particle":"","family":"Pierce","given":"Sherry","non-dropping-particle":"","parse-names":false,"suffix":""},{"dropping-particle":"","family":"Albitar","given":"Maher","non-dropping-particle":"","parse-names":false,"suffix":""},{"dropping-particle":"","family":"Estrov","given":"Zeev","non-dropping-particle":"","parse-names":false,"suffix":""},{"dropping-particle":"","family":"Faderl","given":"Stefan","non-dropping-particle":"","parse-names":false,"suffix":""},{"dropping-particle":"","family":"Kantarjian","given":"Hagop M","non-dropping-particle":"","parse-names":false,"suffix":""},{"dropping-particle":"","family":"Thomas","given":"Deborah A","non-dropping-particle":"","parse-names":false,"suffix":""},{"dropping-particle":"","family":"Cortes","given":"Jorge","non-dropping-particle":"","parse-names":false,"suffix":""},{"dropping-particle":"","family":"Giles","given":"Francis","non-dropping-particle":"","parse-names":false,"suffix":""},{"dropping-particle":"","family":"Pierce","given":"Sherry","non-dropping-particle":"","parse-names":false,"suffix":""},{"dropping-particle":"","family":"Albitar","given":"Maher","non-dropping-particle":"","parse-names":false,"suffix":""},{"dropping-particle":"","family":"Estrov","given":"Zeev","non-dropping-particle":"","parse-names":false,"suffix":""}],"container-title":"Leukemia &amp; lymphoma","id":"ITEM-1","issue":"3-4","issued":{"date-parts":[["2000"]]},"page":"263-273","title":"Outcome of Philadelphia Chromosome-Positive Adult Acute Lymphoblastic Leukemia Outcome of Philadelphia Chromosome-Positive Adult Acute Lymphoblastic Leukemia","type":"article-journal","volume":"36"},"uris":["http://www.mendeley.com/documents/?uuid=60f82794-4fd8-4c1d-9b26-79349bb27789"]}],"mendeley":{"formattedCitation":"(37)","plainTextFormattedCitation":"(37)","previouslyFormattedCitation":"(37)"},"properties":{"noteIndex":0},"schema":"https://github.com/citation-style-language/schema/raw/master/csl-citation.json"}</w:instrText>
      </w:r>
      <w:r w:rsidR="00415C49">
        <w:rPr>
          <w:rFonts w:ascii="Arial" w:hAnsi="Arial" w:cs="Arial"/>
          <w:sz w:val="20"/>
          <w:szCs w:val="20"/>
          <w:lang w:val="es-ES"/>
        </w:rPr>
        <w:fldChar w:fldCharType="separate"/>
      </w:r>
      <w:r w:rsidR="001D5732" w:rsidRPr="001D5732">
        <w:rPr>
          <w:rFonts w:ascii="Arial" w:hAnsi="Arial" w:cs="Arial"/>
          <w:noProof/>
          <w:sz w:val="20"/>
          <w:szCs w:val="20"/>
          <w:lang w:val="es-ES"/>
        </w:rPr>
        <w:t>(37)</w:t>
      </w:r>
      <w:r w:rsidR="00415C49">
        <w:rPr>
          <w:rFonts w:ascii="Arial" w:hAnsi="Arial" w:cs="Arial"/>
          <w:sz w:val="20"/>
          <w:szCs w:val="20"/>
          <w:lang w:val="es-ES"/>
        </w:rPr>
        <w:fldChar w:fldCharType="end"/>
      </w:r>
      <w:r>
        <w:rPr>
          <w:rFonts w:ascii="Arial" w:hAnsi="Arial" w:cs="Arial"/>
          <w:sz w:val="20"/>
          <w:szCs w:val="20"/>
          <w:lang w:val="es-ES"/>
        </w:rPr>
        <w:t xml:space="preserve">. </w:t>
      </w:r>
    </w:p>
    <w:p w14:paraId="3B3E6146" w14:textId="77777777" w:rsidR="001D5732" w:rsidRDefault="001D5732" w:rsidP="001D5732">
      <w:pPr>
        <w:widowControl w:val="0"/>
        <w:autoSpaceDE w:val="0"/>
        <w:autoSpaceDN w:val="0"/>
        <w:adjustRightInd w:val="0"/>
        <w:spacing w:after="0" w:line="276" w:lineRule="auto"/>
        <w:jc w:val="both"/>
        <w:rPr>
          <w:rFonts w:ascii="Arial" w:hAnsi="Arial" w:cs="Arial"/>
          <w:sz w:val="20"/>
          <w:szCs w:val="20"/>
          <w:lang w:val="es-ES"/>
        </w:rPr>
      </w:pPr>
    </w:p>
    <w:p w14:paraId="63268056" w14:textId="77777777" w:rsidR="001D5732" w:rsidRDefault="001D5732" w:rsidP="001D5732">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Uno de los primeros reportes de quimioterapia + ITQ, fueron realizados con HyperCVAD + Imatinib. Este ensayo clínico comparó los resultados de </w:t>
      </w:r>
      <w:r w:rsidR="008466D3">
        <w:rPr>
          <w:rFonts w:ascii="Arial" w:hAnsi="Arial" w:cs="Arial"/>
          <w:sz w:val="20"/>
          <w:szCs w:val="20"/>
          <w:lang w:val="es-ES"/>
        </w:rPr>
        <w:t>pacientes con diagnóstico de LLA</w:t>
      </w:r>
      <w:r>
        <w:rPr>
          <w:rFonts w:ascii="Arial" w:hAnsi="Arial" w:cs="Arial"/>
          <w:sz w:val="20"/>
          <w:szCs w:val="20"/>
          <w:lang w:val="es-ES"/>
        </w:rPr>
        <w:t xml:space="preserve"> pH+ que fueron tratados con</w:t>
      </w:r>
      <w:r w:rsidR="009D6EEE">
        <w:rPr>
          <w:rFonts w:ascii="Arial" w:hAnsi="Arial" w:cs="Arial"/>
          <w:sz w:val="20"/>
          <w:szCs w:val="20"/>
          <w:lang w:val="es-ES"/>
        </w:rPr>
        <w:t xml:space="preserve"> quimioterapi</w:t>
      </w:r>
      <w:r w:rsidR="008466D3">
        <w:rPr>
          <w:rFonts w:ascii="Arial" w:hAnsi="Arial" w:cs="Arial"/>
          <w:sz w:val="20"/>
          <w:szCs w:val="20"/>
          <w:lang w:val="es-ES"/>
        </w:rPr>
        <w:t>a</w:t>
      </w:r>
      <w:r w:rsidR="009D6EEE">
        <w:rPr>
          <w:rFonts w:ascii="Arial" w:hAnsi="Arial" w:cs="Arial"/>
          <w:sz w:val="20"/>
          <w:szCs w:val="20"/>
          <w:lang w:val="es-ES"/>
        </w:rPr>
        <w:t xml:space="preserve"> VAD, HyperCVAD (con o sin rituximab) e HyperCVAD + Imatinib, con tasas </w:t>
      </w:r>
      <w:r w:rsidR="009D6EEE">
        <w:rPr>
          <w:rFonts w:ascii="Arial" w:hAnsi="Arial" w:cs="Arial"/>
          <w:sz w:val="20"/>
          <w:szCs w:val="20"/>
          <w:lang w:val="es-ES"/>
        </w:rPr>
        <w:lastRenderedPageBreak/>
        <w:t xml:space="preserve">de respuesta de 52%, 66% y 93% respectivamente, después de un solo ciclo de quimioterapia (p=0,01). Además, la adición de Imatinib al tradicional HyperCVAD se tradujo en una mejoría de la supervivencia global de 54 vs 15% a 3 años </w:t>
      </w:r>
      <w:r w:rsidR="00415C49">
        <w:rPr>
          <w:rFonts w:ascii="Arial" w:hAnsi="Arial" w:cs="Arial"/>
          <w:sz w:val="20"/>
          <w:szCs w:val="20"/>
          <w:lang w:val="es-ES"/>
        </w:rPr>
        <w:fldChar w:fldCharType="begin" w:fldLock="1"/>
      </w:r>
      <w:r w:rsidR="00533A01">
        <w:rPr>
          <w:rFonts w:ascii="Arial" w:hAnsi="Arial" w:cs="Arial"/>
          <w:sz w:val="20"/>
          <w:szCs w:val="20"/>
          <w:lang w:val="es-ES"/>
        </w:rPr>
        <w:instrText>ADDIN CSL_CITATION {"citationItems":[{"id":"ITEM-1","itemData":{"DOI":"10.1182/blood-2003-08-2958","ISSN":"0006-4971","abstract":"Imatinib mesylate, an inhibitor of the Bcr-Abl tyrosine kinase, has modest activity in refractory/relapsed Philadelphia chromosome (Ph)-positive acute lymphocytic leukemia (ALL). Use of concurrent chemotherapy and imatinib mesylate in newly diagnosed Ph-positive ALL was explored. There were 20 patients who received hyper-CVAD (cyclophosphamide, vincristine, Adriamycin, and dexamethasone) and imatinib mesylate followed by imatinib mesylate-based consolidation/maintenance therapy. Of these patients, 11 had de novo disease, 4 were primary failures after induction (without imatinib mesylate), and 5 were in complete remission (CR) after induction (without imatinib mesylate). All 15 patients treated for active disease achieved CR. Within a median of 3.5 months in first CR, 10 patients underwent allogeneic stem cell transplantation (SCT). One patient relapsed after matched related SCT. The other 9 patients remained alive in CR with median follow-up of 12 months after SCT (range, 1+ to 17+ months). Among 10 patients ineligible for (no donor or older age) or refusing allogeneic SCT, 1 patient relapsed after one year. There were 5 patients who remained alive in continuous CR for a median of 20 months (range, 4+ to 24+ months), with 2 older patients dying in CR at 15 and 16 months of comorbid conditions. Molecular CRs were achieved in both groups (SCT or no SCT). Outcome with hyper-CVAD and imatinib mesylate appears better than with prior regimens; continued accrual and longer follow-up of the current cohort is needed. © 2004 by The American Society of Hematology.","author":[{"dropping-particle":"","family":"Thomas","given":"Deborah","non-dropping-particle":"","parse-names":false,"suffix":""},{"dropping-particle":"","family":"Faderl","given":"Stefan","non-dropping-particle":"","parse-names":false,"suffix":""},{"dropping-particle":"","family":"Cortes","given":"Jorge","non-dropping-particle":"","parse-names":false,"suffix":""},{"dropping-particle":"","family":"O'Brien","given":"Susan","non-dropping-particle":"","parse-names":false,"suffix":""},{"dropping-particle":"","family":"Giles","given":"Francis","non-dropping-particle":"","parse-names":false,"suffix":""},{"dropping-particle":"","family":"Kornblau","given":"Steven","non-dropping-particle":"","parse-names":false,"suffix":""},{"dropping-particle":"","family":"Garcia-Manero","given":"Guillermo","non-dropping-particle":"","parse-names":false,"suffix":""},{"dropping-particle":"","family":"Keating","given":"Michael","non-dropping-particle":"","parse-names":false,"suffix":""},{"dropping-particle":"","family":"Andreeff","given":"Michael","non-dropping-particle":"","parse-names":false,"suffix":""},{"dropping-particle":"","family":"Jeha","given":"Sima","non-dropping-particle":"","parse-names":false,"suffix":""},{"dropping-particle":"","family":"Beran","given":"Miloslav","non-dropping-particle":"","parse-names":false,"suffix":""},{"dropping-particle":"","family":"Verstovsek","given":"Srdan","non-dropping-particle":"","parse-names":false,"suffix":""},{"dropping-particle":"","family":"Pierce","given":"Sherry","non-dropping-particle":"","parse-names":false,"suffix":""},{"dropping-particle":"","family":"Letvak","given":"Laurie","non-dropping-particle":"","parse-names":false,"suffix":""},{"dropping-particle":"","family":"Salvado","given":"August","non-dropping-particle":"","parse-names":false,"suffix":""},{"dropping-particle":"","family":"Champlin","given":"Richard","non-dropping-particle":"","parse-names":false,"suffix":""},{"dropping-particle":"","family":"Talpaz","given":"Moshe","non-dropping-particle":"","parse-names":false,"suffix":""},{"dropping-particle":"","family":"Kantarjian","given":"Hagop","non-dropping-particle":"","parse-names":false,"suffix":""}],"container-title":"Blood","id":"ITEM-1","issue":"12","issued":{"date-parts":[["2004"]]},"page":"4396-4407","title":"Treatment of Philadelphia chromosome-positive acute lymphocytic leukemia with hyper-CVAD and imatinib mesylate","type":"article-journal","volume":"103"},"uris":["http://www.mendeley.com/documents/?uuid=f8b0894b-58f6-4cd6-bd3b-349813dfa8d4"]}],"mendeley":{"formattedCitation":"(38)","plainTextFormattedCitation":"(38)","previouslyFormattedCitation":"(38)"},"properties":{"noteIndex":0},"schema":"https://github.com/citation-style-language/schema/raw/master/csl-citation.json"}</w:instrText>
      </w:r>
      <w:r w:rsidR="00415C49">
        <w:rPr>
          <w:rFonts w:ascii="Arial" w:hAnsi="Arial" w:cs="Arial"/>
          <w:sz w:val="20"/>
          <w:szCs w:val="20"/>
          <w:lang w:val="es-ES"/>
        </w:rPr>
        <w:fldChar w:fldCharType="separate"/>
      </w:r>
      <w:r w:rsidR="009D6EEE" w:rsidRPr="009D6EEE">
        <w:rPr>
          <w:rFonts w:ascii="Arial" w:hAnsi="Arial" w:cs="Arial"/>
          <w:noProof/>
          <w:sz w:val="20"/>
          <w:szCs w:val="20"/>
          <w:lang w:val="es-ES"/>
        </w:rPr>
        <w:t>(38)</w:t>
      </w:r>
      <w:r w:rsidR="00415C49">
        <w:rPr>
          <w:rFonts w:ascii="Arial" w:hAnsi="Arial" w:cs="Arial"/>
          <w:sz w:val="20"/>
          <w:szCs w:val="20"/>
          <w:lang w:val="es-ES"/>
        </w:rPr>
        <w:fldChar w:fldCharType="end"/>
      </w:r>
      <w:r w:rsidR="009D6EEE">
        <w:rPr>
          <w:rFonts w:ascii="Arial" w:hAnsi="Arial" w:cs="Arial"/>
          <w:sz w:val="20"/>
          <w:szCs w:val="20"/>
          <w:lang w:val="es-ES"/>
        </w:rPr>
        <w:t xml:space="preserve">. </w:t>
      </w:r>
    </w:p>
    <w:p w14:paraId="57164F23" w14:textId="77777777" w:rsidR="001D5732" w:rsidRPr="001D5732" w:rsidRDefault="001D5732" w:rsidP="001D5732">
      <w:pPr>
        <w:widowControl w:val="0"/>
        <w:autoSpaceDE w:val="0"/>
        <w:autoSpaceDN w:val="0"/>
        <w:adjustRightInd w:val="0"/>
        <w:spacing w:after="0" w:line="276" w:lineRule="auto"/>
        <w:jc w:val="both"/>
        <w:rPr>
          <w:rFonts w:ascii="Arial" w:hAnsi="Arial" w:cs="Arial"/>
          <w:sz w:val="20"/>
          <w:szCs w:val="20"/>
          <w:lang w:val="es-ES"/>
        </w:rPr>
      </w:pPr>
    </w:p>
    <w:p w14:paraId="0DE6E123" w14:textId="77777777" w:rsidR="00A47635" w:rsidRDefault="009D6EEE"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Después de conocerse resultados de este tipo, con un impacto notorio en supervivencia global, era claro que los ITQ debían convertirse en parte fundamental de los protocolos de quimioterapia en pacientes con LLA Ph+.</w:t>
      </w:r>
    </w:p>
    <w:p w14:paraId="6D57B302" w14:textId="77777777" w:rsidR="00970BED" w:rsidRDefault="00970BED"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587B55E0" w14:textId="77777777" w:rsidR="00970BED" w:rsidRDefault="0092095C"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Estudios</w:t>
      </w:r>
      <w:r w:rsidR="00970BED">
        <w:rPr>
          <w:rFonts w:ascii="Arial" w:hAnsi="Arial" w:cs="Arial"/>
          <w:sz w:val="20"/>
          <w:szCs w:val="20"/>
          <w:lang w:val="es-ES"/>
        </w:rPr>
        <w:t xml:space="preserve"> con la </w:t>
      </w:r>
      <w:r>
        <w:rPr>
          <w:rFonts w:ascii="Arial" w:hAnsi="Arial" w:cs="Arial"/>
          <w:sz w:val="20"/>
          <w:szCs w:val="20"/>
          <w:lang w:val="es-ES"/>
        </w:rPr>
        <w:t>implementación de ITQ</w:t>
      </w:r>
      <w:r w:rsidR="00970BED">
        <w:rPr>
          <w:rFonts w:ascii="Arial" w:hAnsi="Arial" w:cs="Arial"/>
          <w:sz w:val="20"/>
          <w:szCs w:val="20"/>
          <w:lang w:val="es-ES"/>
        </w:rPr>
        <w:t xml:space="preserve"> de segunda generación como el dasatinib</w:t>
      </w:r>
      <w:r>
        <w:rPr>
          <w:rFonts w:ascii="Arial" w:hAnsi="Arial" w:cs="Arial"/>
          <w:sz w:val="20"/>
          <w:szCs w:val="20"/>
          <w:lang w:val="es-ES"/>
        </w:rPr>
        <w:t xml:space="preserve"> se realizaron, bajo la perspectiva de un ITQ con un perfil de resistencia superior al Imatinib, además de su conocida penetración a sistema nervioso central por su capacidad de atravesar la barrera hematoencefalica. En el análisis de pacientes con HyperCVAD + Dasatinib, 72 pacientes fueron analizados, con una mediana de 55 años de edad. Se documentó 96% de respuestas completas, de los cuales el 83% habían alcanzado también una respuesta citogenética después de un solo ciclo, y el 93% alcanzaron una respuesta molecular mayor a las 4 semanas. Importante, saber que el 94% de los pacientes alcanzaron </w:t>
      </w:r>
      <w:r w:rsidR="004C0EFF">
        <w:rPr>
          <w:rFonts w:ascii="Arial" w:hAnsi="Arial" w:cs="Arial"/>
          <w:sz w:val="20"/>
          <w:szCs w:val="20"/>
          <w:lang w:val="es-ES"/>
        </w:rPr>
        <w:t xml:space="preserve">EMR </w:t>
      </w:r>
      <w:r>
        <w:rPr>
          <w:rFonts w:ascii="Arial" w:hAnsi="Arial" w:cs="Arial"/>
          <w:sz w:val="20"/>
          <w:szCs w:val="20"/>
          <w:lang w:val="es-ES"/>
        </w:rPr>
        <w:t>negativa (evaluada por citometría de flujo) con una mediana de 3 semanas</w:t>
      </w:r>
      <w:r w:rsidR="007B07C5">
        <w:rPr>
          <w:rFonts w:ascii="Arial" w:hAnsi="Arial" w:cs="Arial"/>
          <w:sz w:val="20"/>
          <w:szCs w:val="20"/>
          <w:lang w:val="es-ES"/>
        </w:rPr>
        <w:t>. La mediana de supervivencia libre de enfermedad y supervivencia global fueron 31 y 47 meses respectivamente</w:t>
      </w:r>
      <w:r w:rsidR="00415C49">
        <w:rPr>
          <w:rFonts w:ascii="Arial" w:hAnsi="Arial" w:cs="Arial"/>
          <w:sz w:val="20"/>
          <w:szCs w:val="20"/>
          <w:lang w:val="es-ES"/>
        </w:rPr>
        <w:fldChar w:fldCharType="begin" w:fldLock="1"/>
      </w:r>
      <w:r w:rsidR="007B07C5">
        <w:rPr>
          <w:rFonts w:ascii="Arial" w:hAnsi="Arial" w:cs="Arial"/>
          <w:sz w:val="20"/>
          <w:szCs w:val="20"/>
          <w:lang w:val="es-ES"/>
        </w:rPr>
        <w:instrText>ADDIN CSL_CITATION {"citationItems":[{"id":"ITEM-1","itemData":{"DOI":"10.1002/cncr.29646","ISSN":"10970142","abstract":"© 2015 American Cancer Society. BACKGROUND The long-term efficacy of a combination of chemotherapy and dasatinib in patients with Philadelphia chromosome-positive (Ph+) acute lymphoblastic leukemia (ALL) is not well established. METHODS Patients received dasatinib with 8 cycles of alternating hyperfractionated cyclophosphamide, vincristine, doxorubicin, and dexamethasone and high-dose cytarabine and methotrexate. Patients in complete remission (CR) continued maintenance dasatinib, vincristine, and prednisone for 2 years, which was followed by dasatinib indefinitely. Patients eligible for allogeneic stem cell transplantation (SCT) received it during their first CR. RESULTS Seventy-two patients with a median age of 55 years (range, 21-80 years) were treated; 69 (96%) achieved CR. Among them, 57 (83%) achieved cytogenetic CR after 1 cycle, and 64 (93%) achieved a major molecular response at a median of 4 weeks (range, 2-38 weeks). Sixty-five patients (94%) were negative for minimal residual disease assessed by flow cytometry at a median of 3 weeks (range, 2-37 weeks). Dasatinib-related grade 3 and 4 adverse events included bleeding, pleural/pericardial effusions, and elevated transaminases. With a median follow-up of 67 months (range, 33-97 months), 33 patients (46%) were alive, and 30 (43%) were in CR; 12 underwent allogeneic SCT. Thirty-nine patients died (3 at induction, 19 after relapse, 7 after SCT performed during first CR, and 10 during CR). The median disease-free survival and overall survival were 31 (range, 0.3-97 months) and 47 months (range, 0.2-97 months), respectively. Seven relapsed patients had BCR-ABL kinase domain mutations, including 4 with T315I. CONCLUSIONS A combination of chemotherapy with dasatinib is effective in achieving long-term remission for patients with newly diagnosed Ph + ALL.","author":[{"dropping-particle":"","family":"Ravandi","given":"Farhad","non-dropping-particle":"","parse-names":false,"suffix":""},{"dropping-particle":"","family":"O'Brien","given":"Susan M.","non-dropping-particle":"","parse-names":false,"suffix":""},{"dropping-particle":"","family":"Cortes","given":"Jorge E.","non-dropping-particle":"","parse-names":false,"suffix":""},{"dropping-particle":"","family":"Thomas","given":"Deborah M.","non-dropping-particle":"","parse-names":false,"suffix":""},{"dropping-particle":"","family":"Garris","given":"Rebecca","non-dropping-particle":"","parse-names":false,"suffix":""},{"dropping-particle":"","family":"Faderl","given":"Stefan","non-dropping-particle":"","parse-names":false,"suffix":""},{"dropping-particle":"","family":"Burger","given":"Jan A.","non-dropping-particle":"","parse-names":false,"suffix":""},{"dropping-particle":"","family":"Rytting","given":"Michael E.","non-dropping-particle":"","parse-names":false,"suffix":""},{"dropping-particle":"","family":"Ferrajoli","given":"Alessandra","non-dropping-particle":"","parse-names":false,"suffix":""},{"dropping-particle":"","family":"Wierda","given":"William G.","non-dropping-particle":"","parse-names":false,"suffix":""},{"dropping-particle":"","family":"Verstovsek","given":"Srdan","non-dropping-particle":"","parse-names":false,"suffix":""},{"dropping-particle":"","family":"Champlin","given":"Richard","non-dropping-particle":"","parse-names":false,"suffix":""},{"dropping-particle":"","family":"Kebriaei","given":"Partow","non-dropping-particle":"","parse-names":false,"suffix":""},{"dropping-particle":"","family":"Mccue","given":"Deborah A.","non-dropping-particle":"","parse-names":false,"suffix":""},{"dropping-particle":"","family":"Huang","given":"Xuelin","non-dropping-particle":"","parse-names":false,"suffix":""},{"dropping-particle":"","family":"Jabbour","given":"Elias","non-dropping-particle":"","parse-names":false,"suffix":""},{"dropping-particle":"","family":"Garcia-Manero","given":"Guillermo","non-dropping-particle":"","parse-names":false,"suffix":""},{"dropping-particle":"","family":"Estrov","given":"Zeev","non-dropping-particle":"","parse-names":false,"suffix":""},{"dropping-particle":"","family":"Kantarjian","given":"Hagop M.","non-dropping-particle":"","parse-names":false,"suffix":""}],"container-title":"Cancer","id":"ITEM-1","issue":"23","issued":{"date-parts":[["2015"]]},"page":"4158-4164","title":"Long-term follow-up of a phase 2 study of chemotherapy plus dasatinib for the initial treatment of patients with Philadelphia chromosome-positive acute lymphoblastic leukemia","type":"article-journal","volume":"121"},"uris":["http://www.mendeley.com/documents/?uuid=0dd01c5e-388b-48b9-a7b0-d467a9bc4bd2"]}],"mendeley":{"formattedCitation":"(39)","plainTextFormattedCitation":"(39)","previouslyFormattedCitation":"(39)"},"properties":{"noteIndex":0},"schema":"https://github.com/citation-style-language/schema/raw/master/csl-citation.json"}</w:instrText>
      </w:r>
      <w:r w:rsidR="00415C49">
        <w:rPr>
          <w:rFonts w:ascii="Arial" w:hAnsi="Arial" w:cs="Arial"/>
          <w:sz w:val="20"/>
          <w:szCs w:val="20"/>
          <w:lang w:val="es-ES"/>
        </w:rPr>
        <w:fldChar w:fldCharType="separate"/>
      </w:r>
      <w:r w:rsidRPr="0092095C">
        <w:rPr>
          <w:rFonts w:ascii="Arial" w:hAnsi="Arial" w:cs="Arial"/>
          <w:noProof/>
          <w:sz w:val="20"/>
          <w:szCs w:val="20"/>
          <w:lang w:val="es-ES"/>
        </w:rPr>
        <w:t>(39)</w:t>
      </w:r>
      <w:r w:rsidR="00415C49">
        <w:rPr>
          <w:rFonts w:ascii="Arial" w:hAnsi="Arial" w:cs="Arial"/>
          <w:sz w:val="20"/>
          <w:szCs w:val="20"/>
          <w:lang w:val="es-ES"/>
        </w:rPr>
        <w:fldChar w:fldCharType="end"/>
      </w:r>
      <w:r>
        <w:rPr>
          <w:rFonts w:ascii="Arial" w:hAnsi="Arial" w:cs="Arial"/>
          <w:sz w:val="20"/>
          <w:szCs w:val="20"/>
          <w:lang w:val="es-ES"/>
        </w:rPr>
        <w:t xml:space="preserve">. </w:t>
      </w:r>
      <w:r w:rsidR="007B07C5">
        <w:rPr>
          <w:rFonts w:ascii="Arial" w:hAnsi="Arial" w:cs="Arial"/>
          <w:sz w:val="20"/>
          <w:szCs w:val="20"/>
          <w:lang w:val="es-ES"/>
        </w:rPr>
        <w:t xml:space="preserve">A pesar que las respuestas son muy buenas con la adición del Dasatinib al protocolo HyperCVAD, el perfil de toxicidad de Dasatinib, se ve reflejado en los eventos adversos asociados en este protocolo, los cuales fueron sangrado por inhibición de la agregación plaquetaria, derrame pleural y pericárdico y elevación de transaminasas, evidente también en los estudios de leucemia mieloide crónica </w:t>
      </w:r>
      <w:r w:rsidR="00415C49">
        <w:rPr>
          <w:rFonts w:ascii="Arial" w:hAnsi="Arial" w:cs="Arial"/>
          <w:sz w:val="20"/>
          <w:szCs w:val="20"/>
          <w:lang w:val="es-ES"/>
        </w:rPr>
        <w:fldChar w:fldCharType="begin" w:fldLock="1"/>
      </w:r>
      <w:r w:rsidR="0096463C">
        <w:rPr>
          <w:rFonts w:ascii="Arial" w:hAnsi="Arial" w:cs="Arial"/>
          <w:sz w:val="20"/>
          <w:szCs w:val="20"/>
          <w:lang w:val="es-ES"/>
        </w:rPr>
        <w:instrText>ADDIN CSL_CITATION {"citationItems":[{"id":"ITEM-1","itemData":{"DOI":"10.1038/bcj.2017.53","ISSN":"20445385","abstract":"Acute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journal","id":"ITEM-1","issue":"6","issued":{"date-parts":[["2017"]]},"page":"e577","title":"Acute lymphoblastic leukemia: a comprehensive review and 2017 update","type":"article-journal","volume":"7"},"uris":["http://www.mendeley.com/documents/?uuid=17337d9b-8837-4c6e-9832-47e254d34ef1"]},{"id":"ITEM-2","itemData":{"DOI":"10.1182/blood-2009-12-261586","ISBN":"2009122615","ISSN":"15280020","abstract":"The combination of cytotoxic chemotherapy and imatinib has improved the outcome for patients with Philadelphia chromosome-positive (Ph + ) acute lymphoblastic leukemia (ALL). Dasatinib has significant clinical activity in patients with imatinib resistance. We examined the efficacy and safety of combining chemotherapy with dasatinib for patients with Ph + ALL. Newly diagnosed patients received dasatinib 50 mg by mouth twice per day (or 100 mg daily) for the first 14 days of each of 8 cycles of alternating hyper-CVAD, and high-dose cytarabine and methotrexate. Patients in complete remission received maintenance daily dasatinib and monthly vincristine and prednisone for 2 years, followed by dasatinib indefinitely. Thirty-five patients with untreated Ph + ALL with a median age of 53 years (range, 21-79 years) were treated; 33 patients (94%) achieved complete remission. Two patients died of infections before response assessment. Grade 3 and 4 adverse events included hemorrhage and pleural and pericardial effusions. With a median follow-up of 14 months (range, 4-37 months), the median disease-free survival and median overall survival have not been reached, with an estimated 2-year survival of 64%. The combination of chemotherapy with dasatinib is effective in achieving long-term remissions in patients with newly diagnosed Ph + ALL. This study was registered at www.ClinicalTrials.gov as NCT00390793. © 2010 by The American Society of Hematology.","author":[{"dropping-particle":"","family":"Ravandi","given":"Farhad","non-dropping-particle":"","parse-names":false,"suffix":""},{"dropping-particle":"","family":"O'Brien","given":"Susan","non-dropping-particle":"","parse-names":false,"suffix":""},{"dropping-particle":"","family":"Thomas","given":"Deborah","non-dropping-particle":"","parse-names":false,"suffix":""},{"dropping-particle":"","family":"Faderl","given":"Stefan","non-dropping-particle":"","parse-names":false,"suffix":""},{"dropping-particle":"","family":"Jones","given":"Dan","non-dropping-particle":"","parse-names":false,"suffix":""},{"dropping-particle":"","family":"Garris","given":"Rebecca","non-dropping-particle":"","parse-names":false,"suffix":""},{"dropping-particle":"","family":"Dara","given":"Samuel","non-dropping-particle":"","parse-names":false,"suffix":""},{"dropping-particle":"","family":"Jorgensen","given":"Jeffrey","non-dropping-particle":"","parse-names":false,"suffix":""},{"dropping-particle":"","family":"Kebriaei","given":"Partow","non-dropping-particle":"","parse-names":false,"suffix":""},{"dropping-particle":"","family":"Champlin","given":"Richard","non-dropping-particle":"","parse-names":false,"suffix":""},{"dropping-particle":"","family":"Borthakur","given":"Gautam","non-dropping-particle":"","parse-names":false,"suffix":""},{"dropping-particle":"","family":"Burger","given":"Jan","non-dropping-particle":"","parse-names":false,"suffix":""},{"dropping-particle":"","family":"Ferrajoli","given":"Alessandra","non-dropping-particle":"","parse-names":false,"suffix":""},{"dropping-particle":"","family":"Garcia-Manero","given":"Guillermo","non-dropping-particle":"","parse-names":false,"suffix":""},{"dropping-particle":"","family":"Wierda","given":"William","non-dropping-particle":"","parse-names":false,"suffix":""},{"dropping-particle":"","family":"Cortes","given":"Jorge","non-dropping-particle":"","parse-names":false,"suffix":""},{"dropping-particle":"","family":"Kantarjian","given":"Hagop","non-dropping-particle":"","parse-names":false,"suffix":""}],"container-title":"Blood","id":"ITEM-2","issue":"12","issued":{"date-parts":[["2010"]]},"page":"2070-2077","title":"First report of phase 2 study of dasatinib with hyper-CVAD for the frontline treatment of patients with Philadelphia chromosome-positive (Ph +) acute lymphoblastic leukemia","type":"article-journal","volume":"116"},"uris":["http://www.mendeley.com/documents/?uuid=77191c4f-3671-4aa7-b165-4aa9e71509f2"]},{"id":"ITEM-3","itemData":{"DOI":"10.1016/j.rccan.2017.10.002","ISSN":"01239015","author":[{"dropping-particle":"","family":"Bautista Toloza","given":"Leonardo","non-dropping-particle":"","parse-names":false,"suffix":""},{"dropping-particle":"","family":"Martínez","given":"Humberto","non-dropping-particle":"","parse-names":false,"suffix":""},{"dropping-particle":"","family":"Bonell Patiño","given":"Orlando","non-dropping-particle":"","parse-names":false,"suffix":""}],"container-title":"Revista Colombiana de Cancerología","id":"ITEM-3","issue":"4","issued":{"date-parts":[["2017"]]},"page":"151-156","title":"Hematoma intraparenquimatoso del sistema nervioso central asociado con dasatinib en el tratamiento de leucemia mieloide crónica en fase acelerada. Presentación de dos casos y revisión de la literatura","type":"article-journal","volume":"22"},"uris":["http://www.mendeley.com/documents/?uuid=fba7ede5-410e-462f-8182-00f496e8b0aa"]},{"id":"ITEM-4","itemData":{"DOI":"10.1016/j.clml.2018.07.097","ISSN":"21522650","author":[{"dropping-particle":"","family":"Martínez-Cordero","given":"Humberto","non-dropping-particle":"","parse-names":false,"suffix":""},{"dropping-particle":"","family":"Enciso-Olivera","given":"Leonardo","non-dropping-particle":"","parse-names":false,"suffix":""},{"dropping-particle":"","family":"Patiño-Escobar","given":"Bonell","non-dropping-particle":"","parse-names":false,"suffix":""},{"dropping-particle":"","family":"Otero de la Hoz","given":"Diana Margarita","non-dropping-particle":"","parse-names":false,"suffix":""},{"dropping-particle":"","family":"Sánchez","given":"Paola Spirko","non-dropping-particle":"","parse-names":false,"suffix":""},{"dropping-particle":"","family":"Chinchilla","given":"Sandra Isabel","non-dropping-particle":"","parse-names":false,"suffix":""},{"dropping-particle":"","family":"Roa","given":"Carmen Lucía","non-dropping-particle":"","parse-names":false,"suffix":""},{"dropping-particle":"","family":"Martínez","given":"Bibiana","non-dropping-particle":"","parse-names":false,"suffix":""},{"dropping-particle":"","family":"Arévalo","given":"Cindy","non-dropping-particle":"","parse-names":false,"suffix":""},{"dropping-particle":"","family":"Naranjo","given":"Andrea","non-dropping-particle":"","parse-names":false,"suffix":""},{"dropping-particle":"","family":"Bedón","given":"Giovanna","non-dropping-particle":"","parse-names":false,"suffix":""}],"container-title":"Clinical Lymphoma Myeloma and Leukemia","id":"ITEM-4","issue":"5","issued":{"date-parts":[["2018"]]},"page":"S225","title":"Myelomastocytic Blast Cell Crisis in Resistant Tyrosine Kinase Inhibitor Chronic Myelogenous Leukemia: Case Report and Review of Literature","type":"article-journal","volume":"18"},"uris":["http://www.mendeley.com/documents/?uuid=3e5b63ce-a1e8-4c02-81dc-1c6c39ac1de5"]}],"mendeley":{"formattedCitation":"(2,40–42)","plainTextFormattedCitation":"(2,40–42)","previouslyFormattedCitation":"(2,40–42)"},"properties":{"noteIndex":0},"schema":"https://github.com/citation-style-language/schema/raw/master/csl-citation.json"}</w:instrText>
      </w:r>
      <w:r w:rsidR="00415C49">
        <w:rPr>
          <w:rFonts w:ascii="Arial" w:hAnsi="Arial" w:cs="Arial"/>
          <w:sz w:val="20"/>
          <w:szCs w:val="20"/>
          <w:lang w:val="es-ES"/>
        </w:rPr>
        <w:fldChar w:fldCharType="separate"/>
      </w:r>
      <w:r w:rsidR="007B07C5" w:rsidRPr="007B07C5">
        <w:rPr>
          <w:rFonts w:ascii="Arial" w:hAnsi="Arial" w:cs="Arial"/>
          <w:noProof/>
          <w:sz w:val="20"/>
          <w:szCs w:val="20"/>
          <w:lang w:val="es-ES"/>
        </w:rPr>
        <w:t>(2,40–42)</w:t>
      </w:r>
      <w:r w:rsidR="00415C49">
        <w:rPr>
          <w:rFonts w:ascii="Arial" w:hAnsi="Arial" w:cs="Arial"/>
          <w:sz w:val="20"/>
          <w:szCs w:val="20"/>
          <w:lang w:val="es-ES"/>
        </w:rPr>
        <w:fldChar w:fldCharType="end"/>
      </w:r>
      <w:r w:rsidR="007B07C5">
        <w:rPr>
          <w:rFonts w:ascii="Arial" w:hAnsi="Arial" w:cs="Arial"/>
          <w:sz w:val="20"/>
          <w:szCs w:val="20"/>
          <w:lang w:val="es-ES"/>
        </w:rPr>
        <w:t>.</w:t>
      </w:r>
    </w:p>
    <w:p w14:paraId="0E9A5FD9" w14:textId="77777777" w:rsidR="00352148" w:rsidRDefault="00352148"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535BC9C5" w14:textId="77777777" w:rsidR="00352148" w:rsidRDefault="00352148"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El grupo francés, realizó estudios prospectivos evaluando la eficacia de los protocolos GRAALL, con la adición de ITQ al régimen de quimioterapia para establecer tasas de respuesta y perfil de seguridad. El estudio GRAAPH2003 evaluó los resultados de la adición de Imatinib + GRAALL2003, en 45 pacientes con LLA Ph+ de Novo, demostrando una superioridad en supervivencia global comparado a cohortes previas como las evaluadas en el LALA-94, de 52% vs 20% a 4 años respectivamente (p=0,001). Sin embargo lo </w:t>
      </w:r>
      <w:r w:rsidR="00403F96">
        <w:rPr>
          <w:rFonts w:ascii="Arial" w:hAnsi="Arial" w:cs="Arial"/>
          <w:sz w:val="20"/>
          <w:szCs w:val="20"/>
          <w:lang w:val="es-ES"/>
        </w:rPr>
        <w:t>más</w:t>
      </w:r>
      <w:r>
        <w:rPr>
          <w:rFonts w:ascii="Arial" w:hAnsi="Arial" w:cs="Arial"/>
          <w:sz w:val="20"/>
          <w:szCs w:val="20"/>
          <w:lang w:val="es-ES"/>
        </w:rPr>
        <w:t xml:space="preserve"> llamativo de este análisis es que dentro de los pacientes que fueron lleva</w:t>
      </w:r>
      <w:r w:rsidR="00BB6054">
        <w:rPr>
          <w:rFonts w:ascii="Arial" w:hAnsi="Arial" w:cs="Arial"/>
          <w:sz w:val="20"/>
          <w:szCs w:val="20"/>
          <w:lang w:val="es-ES"/>
        </w:rPr>
        <w:t>dos a trasplante de médula ósea(</w:t>
      </w:r>
      <w:r>
        <w:rPr>
          <w:rFonts w:ascii="Arial" w:hAnsi="Arial" w:cs="Arial"/>
          <w:sz w:val="20"/>
          <w:szCs w:val="20"/>
          <w:lang w:val="es-ES"/>
        </w:rPr>
        <w:t xml:space="preserve">con la indicación del “alto riesgo” conferido por la presencia del cromosoma </w:t>
      </w:r>
      <w:r w:rsidR="00FB67E2">
        <w:rPr>
          <w:rFonts w:ascii="Arial" w:hAnsi="Arial" w:cs="Arial"/>
          <w:sz w:val="20"/>
          <w:szCs w:val="20"/>
          <w:lang w:val="es-ES"/>
        </w:rPr>
        <w:t>filadelfia</w:t>
      </w:r>
      <w:r w:rsidR="00BB6054">
        <w:rPr>
          <w:rFonts w:ascii="Arial" w:hAnsi="Arial" w:cs="Arial"/>
          <w:sz w:val="20"/>
          <w:szCs w:val="20"/>
          <w:lang w:val="es-ES"/>
        </w:rPr>
        <w:t>)</w:t>
      </w:r>
      <w:r>
        <w:rPr>
          <w:rFonts w:ascii="Arial" w:hAnsi="Arial" w:cs="Arial"/>
          <w:sz w:val="20"/>
          <w:szCs w:val="20"/>
          <w:lang w:val="es-ES"/>
        </w:rPr>
        <w:t>, el 50%</w:t>
      </w:r>
      <w:r w:rsidR="00FB67E2">
        <w:rPr>
          <w:rFonts w:ascii="Arial" w:hAnsi="Arial" w:cs="Arial"/>
          <w:sz w:val="20"/>
          <w:szCs w:val="20"/>
          <w:lang w:val="es-ES"/>
        </w:rPr>
        <w:t xml:space="preserve"> de los </w:t>
      </w:r>
      <w:r w:rsidR="00BB6054">
        <w:rPr>
          <w:rFonts w:ascii="Arial" w:hAnsi="Arial" w:cs="Arial"/>
          <w:sz w:val="20"/>
          <w:szCs w:val="20"/>
          <w:lang w:val="es-ES"/>
        </w:rPr>
        <w:t>llevados a</w:t>
      </w:r>
      <w:r w:rsidR="00FB67E2">
        <w:rPr>
          <w:rFonts w:ascii="Arial" w:hAnsi="Arial" w:cs="Arial"/>
          <w:sz w:val="20"/>
          <w:szCs w:val="20"/>
          <w:lang w:val="es-ES"/>
        </w:rPr>
        <w:t xml:space="preserve"> trasplante alogénico, 33% sin trasplante y 80% de los pacientes con trasplante Autólogo permanecían vivos al momento de </w:t>
      </w:r>
      <w:r w:rsidR="00403F96">
        <w:rPr>
          <w:rFonts w:ascii="Arial" w:hAnsi="Arial" w:cs="Arial"/>
          <w:sz w:val="20"/>
          <w:szCs w:val="20"/>
          <w:lang w:val="es-ES"/>
        </w:rPr>
        <w:t>último</w:t>
      </w:r>
      <w:r w:rsidR="00FB67E2">
        <w:rPr>
          <w:rFonts w:ascii="Arial" w:hAnsi="Arial" w:cs="Arial"/>
          <w:sz w:val="20"/>
          <w:szCs w:val="20"/>
          <w:lang w:val="es-ES"/>
        </w:rPr>
        <w:t xml:space="preserve"> contacto </w:t>
      </w:r>
      <w:r w:rsidR="00415C49">
        <w:rPr>
          <w:rFonts w:ascii="Arial" w:hAnsi="Arial" w:cs="Arial"/>
          <w:sz w:val="20"/>
          <w:szCs w:val="20"/>
          <w:lang w:val="es-ES"/>
        </w:rPr>
        <w:fldChar w:fldCharType="begin" w:fldLock="1"/>
      </w:r>
      <w:r w:rsidR="00307868">
        <w:rPr>
          <w:rFonts w:ascii="Arial" w:hAnsi="Arial" w:cs="Arial"/>
          <w:sz w:val="20"/>
          <w:szCs w:val="20"/>
          <w:lang w:val="es-ES"/>
        </w:rPr>
        <w:instrText>ADDIN CSL_CITATION {"citationItems":[{"id":"ITEM-1","itemData":{"DOI":"10.1016/j.bbmt.2012.08.021","ISSN":"10838791","abstract":"We report here the results of the GRAAPH-2003 trial with long-term follow-up in 45 patients with de novo Philadelphia chromosome-positive (Ph+) acute lymphoblastic leukemia (ALL). Imatinib-based strategy improved the 4-year overall survival (OS) up to 52% versus 20% in the pre-imatinib LALA-94 trial (P = .0001). Despite the selection in patients who actually underwent transplantation, these results suggest that allogeneic or autologous stem cell transplants (SCTs) still have a place in overcoming the poor prognosis of Ph+ ALL in the era of imatinib therapy. OS was 50% after allogeneic SCT (24 patients), 33% in patients without a transplantation (9 patients), and 80% after autologous SCT (10 patients without allogeneic donor or &gt;55 years, including 7 patients in complete molecular response). © 2013 American Society for Blood and Marrow Transplantation.","author":[{"dropping-particle":"","family":"Tanguy-Schmidt","given":"Aline","non-dropping-particle":"","parse-names":false,"suffix":""},{"dropping-particle":"","family":"Rousselot","given":"Philippe","non-dropping-particle":"","parse-names":false,"suffix":""},{"dropping-particle":"","family":"Chalandon","given":"Yves","non-dropping-particle":"","parse-names":false,"suffix":""},{"dropping-particle":"","family":"Cayuela","given":"Jean Michel","non-dropping-particle":"","parse-names":false,"suffix":""},{"dropping-particle":"","family":"Hayette","given":"Sandrine","non-dropping-particle":"","parse-names":false,"suffix":""},{"dropping-particle":"","family":"Vekemans","given":"Marie Christiane","non-dropping-particle":"","parse-names":false,"suffix":""},{"dropping-particle":"","family":"Escoffre","given":"Martine","non-dropping-particle":"","parse-names":false,"suffix":""},{"dropping-particle":"","family":"Huguet","given":"Françoise","non-dropping-particle":"","parse-names":false,"suffix":""},{"dropping-particle":"","family":"Réa","given":"Delphine","non-dropping-particle":"","parse-names":false,"suffix":""},{"dropping-particle":"","family":"Delannoy","given":"André","non-dropping-particle":"","parse-names":false,"suffix":""},{"dropping-particle":"","family":"Cahn","given":"Jean Yves","non-dropping-particle":"","parse-names":false,"suffix":""},{"dropping-particle":"","family":"Vernant","given":"Jean Paul","non-dropping-particle":"","parse-names":false,"suffix":""},{"dropping-particle":"","family":"Ifrah","given":"Norbert","non-dropping-particle":"","parse-names":false,"suffix":""},{"dropping-particle":"","family":"Dombret","given":"Hervé","non-dropping-particle":"","parse-names":false,"suffix":""},{"dropping-particle":"","family":"Thomas","given":"Xavier","non-dropping-particle":"","parse-names":false,"suffix":""}],"container-title":"Biology of Blood and Marrow Transplantation","id":"ITEM-1","issue":"1","issued":{"date-parts":[["2013"]]},"page":"150-155","publisher":"Elsevier Ltd","title":"Long-Term Follow-Up of the Imatinib GRAAPH-2003 Study in Newly Diagnosed Patients with De Novo Philadelphia Chromosome-Positive Acute Lymphoblastic Leukemia: A GRAALL Study","type":"article-journal","volume":"19"},"uris":["http://www.mendeley.com/documents/?uuid=ed81b8de-85db-4a0d-836e-2a01b2c43962"]}],"mendeley":{"formattedCitation":"(43)","plainTextFormattedCitation":"(43)","previouslyFormattedCitation":"(43)"},"properties":{"noteIndex":0},"schema":"https://github.com/citation-style-language/schema/raw/master/csl-citation.json"}</w:instrText>
      </w:r>
      <w:r w:rsidR="00415C49">
        <w:rPr>
          <w:rFonts w:ascii="Arial" w:hAnsi="Arial" w:cs="Arial"/>
          <w:sz w:val="20"/>
          <w:szCs w:val="20"/>
          <w:lang w:val="es-ES"/>
        </w:rPr>
        <w:fldChar w:fldCharType="separate"/>
      </w:r>
      <w:r w:rsidR="00FB67E2" w:rsidRPr="00FB67E2">
        <w:rPr>
          <w:rFonts w:ascii="Arial" w:hAnsi="Arial" w:cs="Arial"/>
          <w:noProof/>
          <w:sz w:val="20"/>
          <w:szCs w:val="20"/>
          <w:lang w:val="es-ES"/>
        </w:rPr>
        <w:t>(43)</w:t>
      </w:r>
      <w:r w:rsidR="00415C49">
        <w:rPr>
          <w:rFonts w:ascii="Arial" w:hAnsi="Arial" w:cs="Arial"/>
          <w:sz w:val="20"/>
          <w:szCs w:val="20"/>
          <w:lang w:val="es-ES"/>
        </w:rPr>
        <w:fldChar w:fldCharType="end"/>
      </w:r>
      <w:r w:rsidR="00FB67E2">
        <w:rPr>
          <w:rFonts w:ascii="Arial" w:hAnsi="Arial" w:cs="Arial"/>
          <w:sz w:val="20"/>
          <w:szCs w:val="20"/>
          <w:lang w:val="es-ES"/>
        </w:rPr>
        <w:t>.</w:t>
      </w:r>
    </w:p>
    <w:p w14:paraId="03585E6A" w14:textId="77777777" w:rsidR="00FB67E2" w:rsidRDefault="00FB67E2"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702AC5CC" w14:textId="4B6F8F4A" w:rsidR="00352148" w:rsidRDefault="00FB67E2"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El estudio, también del grupo francés, conocido como GRAAPH2005, demostró como un régimen de quimioterapia de intensidad reducida, con la adición del Imatinib, podría igualar las respuestas en los pacientes con quimioterapia de alta intensidad + ITQ, con una menor toxicidad y complicaciones. En este estudio, compararon altas dosis de Imatinib + Quimioterapia de intensidad reducida Vs HyperCVAD + Imatinib. 268 pacientes fueron evaluados. Se encontró un 98% Vs 91% de respuestas completas, en el brazo de GRAAPH Vs HyperCVAD + Imatinib (p= 0,006), dado por una menor mortalidad en la inducción. Las tasas de respuesta molecular mayor fueron similares (66% vs 54%), se encontró una supervivencia global muy similar también a 5 años del 45,6%. Si bien, en este estudio se encontró un beneficio claro del trasplante alogénico </w:t>
      </w:r>
      <w:r w:rsidR="000D0F0E">
        <w:rPr>
          <w:rFonts w:ascii="Arial" w:hAnsi="Arial" w:cs="Arial"/>
          <w:sz w:val="20"/>
          <w:szCs w:val="20"/>
          <w:lang w:val="es-ES"/>
        </w:rPr>
        <w:t xml:space="preserve">traducido </w:t>
      </w:r>
      <w:r>
        <w:rPr>
          <w:rFonts w:ascii="Arial" w:hAnsi="Arial" w:cs="Arial"/>
          <w:sz w:val="20"/>
          <w:szCs w:val="20"/>
          <w:lang w:val="es-ES"/>
        </w:rPr>
        <w:t xml:space="preserve">en </w:t>
      </w:r>
      <w:r w:rsidR="000D0F0E">
        <w:rPr>
          <w:rFonts w:ascii="Arial" w:hAnsi="Arial" w:cs="Arial"/>
          <w:sz w:val="20"/>
          <w:szCs w:val="20"/>
          <w:lang w:val="es-ES"/>
        </w:rPr>
        <w:t xml:space="preserve">una </w:t>
      </w:r>
      <w:r>
        <w:rPr>
          <w:rFonts w:ascii="Arial" w:hAnsi="Arial" w:cs="Arial"/>
          <w:sz w:val="20"/>
          <w:szCs w:val="20"/>
          <w:lang w:val="es-ES"/>
        </w:rPr>
        <w:t>mejoría del periodo libre de enfermedad y supervivencia global, es interesante recalcar que dentro del grupo de pacientes que alcanzaron respuesta molecular mayor, que no disponían de donante para ser llevados a trasplante alogénico, fueron llevados a trasplante Autólogo</w:t>
      </w:r>
      <w:r w:rsidR="000D0F0E">
        <w:rPr>
          <w:rFonts w:ascii="Arial" w:hAnsi="Arial" w:cs="Arial"/>
          <w:sz w:val="20"/>
          <w:szCs w:val="20"/>
          <w:lang w:val="es-ES"/>
        </w:rPr>
        <w:t>. E</w:t>
      </w:r>
      <w:r>
        <w:rPr>
          <w:rFonts w:ascii="Arial" w:hAnsi="Arial" w:cs="Arial"/>
          <w:sz w:val="20"/>
          <w:szCs w:val="20"/>
          <w:lang w:val="es-ES"/>
        </w:rPr>
        <w:t>l análisis realizado en los pacientes con respuesta molecular mayor</w:t>
      </w:r>
      <w:r w:rsidR="000B75EB">
        <w:rPr>
          <w:rFonts w:ascii="Arial" w:hAnsi="Arial" w:cs="Arial"/>
          <w:sz w:val="20"/>
          <w:szCs w:val="20"/>
          <w:lang w:val="es-ES"/>
        </w:rPr>
        <w:t xml:space="preserve"> </w:t>
      </w:r>
      <w:r>
        <w:rPr>
          <w:rFonts w:ascii="Arial" w:hAnsi="Arial" w:cs="Arial"/>
          <w:sz w:val="20"/>
          <w:szCs w:val="20"/>
          <w:lang w:val="es-ES"/>
        </w:rPr>
        <w:t xml:space="preserve">que fueron llevados ya sea a trasplante Autólogo o alogénico, </w:t>
      </w:r>
      <w:r w:rsidR="00CF2362">
        <w:rPr>
          <w:rFonts w:ascii="Arial" w:hAnsi="Arial" w:cs="Arial"/>
          <w:sz w:val="20"/>
          <w:szCs w:val="20"/>
          <w:lang w:val="es-ES"/>
        </w:rPr>
        <w:t>el resultado en términos de supervivencia global y periodo libre de enfermedad dentro de estos dos grupos fue el mismo. Este resultado podría atribuirse a una menor mortalidad NO asociada a recaída, del trasplante Autólogo</w:t>
      </w:r>
      <w:r w:rsidR="00415C49">
        <w:rPr>
          <w:rFonts w:ascii="Arial" w:hAnsi="Arial" w:cs="Arial"/>
          <w:sz w:val="20"/>
          <w:szCs w:val="20"/>
          <w:lang w:val="es-ES"/>
        </w:rPr>
        <w:fldChar w:fldCharType="begin" w:fldLock="1"/>
      </w:r>
      <w:r w:rsidR="00C8352A">
        <w:rPr>
          <w:rFonts w:ascii="Arial" w:hAnsi="Arial" w:cs="Arial"/>
          <w:sz w:val="20"/>
          <w:szCs w:val="20"/>
          <w:lang w:val="es-ES"/>
        </w:rPr>
        <w:instrText>ADDIN CSL_CITATION {"citationItems":[{"id":"ITEM-1","itemData":{"DOI":"10.1182/blood-2015-02-627935","ISSN":"0006-4971","author":[{"dropping-particle":"","family":"Chalandon","given":"Y.","non-dropping-particle":"","parse-names":false,"suffix":""},{"dropping-particle":"","family":"Thomas","given":"X.","non-dropping-particle":"","parse-names":false,"suffix":""},{"dropping-particle":"","family":"Hayette","given":"S.","non-dropping-particle":"","parse-names":false,"suffix":""},{"dropping-particle":"","family":"Cayuela","given":"J.-M.","non-dropping-particle":"","parse-names":false,"suffix":""},{"dropping-particle":"","family":"Abbal","given":"C.","non-dropping-particle":"","parse-names":false,"suffix":""},{"dropping-particle":"","family":"Huguet","given":"F.","non-dropping-particle":"","parse-names":false,"suffix":""},{"dropping-particle":"","family":"Raffoux","given":"E.","non-dropping-particle":"","parse-names":false,"suffix":""},{"dropping-particle":"","family":"Leguay","given":"T.","non-dropping-particle":"","parse-names":false,"suffix":""},{"dropping-particle":"","family":"Rousselot","given":"P.","non-dropping-particle":"","parse-names":false,"suffix":""},{"dropping-particle":"","family":"Lepretre","given":"S.","non-dropping-particle":"","parse-names":false,"suffix":""},{"dropping-particle":"","family":"Escoffre-Barbe","given":"M.","non-dropping-particle":"","parse-names":false,"suffix":""},{"dropping-particle":"","family":"Maury","given":"S.","non-dropping-particle":"","parse-names":false,"suffix":""},{"dropping-particle":"","family":"Berthon","given":"C.","non-dropping-particle":"","parse-names":false,"suffix":""},{"dropping-particle":"","family":"Tavernier","given":"E.","non-dropping-particle":"","parse-names":false,"suffix":""},{"dropping-particle":"","family":"Lambert","given":"J.-F.","non-dropping-particle":"","parse-names":false,"suffix":""},{"dropping-particle":"","family":"Lafage-Pochitaloff","given":"M.","non-dropping-particle":"","parse-names":false,"suffix":""},{"dropping-particle":"","family":"Lheritier","given":"V.","non-dropping-particle":"","parse-names":false,"suffix":""},{"dropping-particle":"","family":"Chevret","given":"S.","non-dropping-particle":"","parse-names":false,"suffix":""},{"dropping-particle":"","family":"Ifrah","given":"N.","non-dropping-particle":"","parse-names":false,"suffix":""},{"dropping-particle":"","family":"Dombret","given":"H.","non-dropping-particle":"","parse-names":false,"suffix":""}],"container-title":"Blood","id":"ITEM-1","issue":"24","issued":{"date-parts":[["2015","6","11"]]},"page":"3711-3719","title":"Randomized study of reduced-intensity chemotherapy combined with imatinib in adults with Ph-positive acute lymphoblastic leukemia","type":"article-journal","volume":"125"},"uris":["http://www.mendeley.com/documents/?uuid=f0f7dc5c-b1d9-4417-8604-4db67471a6c0"]}],"mendeley":{"formattedCitation":"(44)","plainTextFormattedCitation":"(44)","previouslyFormattedCitation":"(44)"},"properties":{"noteIndex":0},"schema":"https://github.com/citation-style-language/schema/raw/master/csl-citation.json"}</w:instrText>
      </w:r>
      <w:r w:rsidR="00415C49">
        <w:rPr>
          <w:rFonts w:ascii="Arial" w:hAnsi="Arial" w:cs="Arial"/>
          <w:sz w:val="20"/>
          <w:szCs w:val="20"/>
          <w:lang w:val="es-ES"/>
        </w:rPr>
        <w:fldChar w:fldCharType="separate"/>
      </w:r>
      <w:r w:rsidR="00307868" w:rsidRPr="00307868">
        <w:rPr>
          <w:rFonts w:ascii="Arial" w:hAnsi="Arial" w:cs="Arial"/>
          <w:noProof/>
          <w:sz w:val="20"/>
          <w:szCs w:val="20"/>
          <w:lang w:val="es-ES"/>
        </w:rPr>
        <w:t>(44)</w:t>
      </w:r>
      <w:r w:rsidR="00415C49">
        <w:rPr>
          <w:rFonts w:ascii="Arial" w:hAnsi="Arial" w:cs="Arial"/>
          <w:sz w:val="20"/>
          <w:szCs w:val="20"/>
          <w:lang w:val="es-ES"/>
        </w:rPr>
        <w:fldChar w:fldCharType="end"/>
      </w:r>
      <w:r w:rsidR="00CF2362">
        <w:rPr>
          <w:rFonts w:ascii="Arial" w:hAnsi="Arial" w:cs="Arial"/>
          <w:sz w:val="20"/>
          <w:szCs w:val="20"/>
          <w:lang w:val="es-ES"/>
        </w:rPr>
        <w:t xml:space="preserve">. </w:t>
      </w:r>
    </w:p>
    <w:p w14:paraId="33F31347" w14:textId="77777777" w:rsidR="00716114" w:rsidRDefault="00716114"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0F37617D" w14:textId="77777777" w:rsidR="00716114" w:rsidRDefault="00716114" w:rsidP="00716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Las tasas de respuesta de los protocolos de quimioterapia para LLA Ph+, con la adición de Imatinib o Dasatinib documentadas en los estudios clínicos, demostraron una eficacia nunca antes evidenciada, igualando los resultados de LLA Ph+ a los reportados con los protocolos para LLA Ph-, considerando que el riesgo adverso generado por la presencia de Ph+, podría revertirse con el advenimiento de los </w:t>
      </w:r>
      <w:r>
        <w:rPr>
          <w:rFonts w:ascii="Arial" w:hAnsi="Arial" w:cs="Arial"/>
          <w:sz w:val="20"/>
          <w:szCs w:val="20"/>
          <w:lang w:val="es-ES"/>
        </w:rPr>
        <w:lastRenderedPageBreak/>
        <w:t xml:space="preserve">ITQ. Sin embargo, existe un grupo de pacientes con resistencia a los ITQ que no responden ni a Imatinib ni dasatinib. En el estudio HyperCVAD + Dasatinib, </w:t>
      </w:r>
      <w:r w:rsidR="00556A63">
        <w:rPr>
          <w:rFonts w:ascii="Arial" w:hAnsi="Arial" w:cs="Arial"/>
          <w:sz w:val="20"/>
          <w:szCs w:val="20"/>
          <w:lang w:val="es-ES"/>
        </w:rPr>
        <w:t xml:space="preserve">también </w:t>
      </w:r>
      <w:r>
        <w:rPr>
          <w:rFonts w:ascii="Arial" w:hAnsi="Arial" w:cs="Arial"/>
          <w:sz w:val="20"/>
          <w:szCs w:val="20"/>
          <w:lang w:val="es-ES"/>
        </w:rPr>
        <w:t xml:space="preserve">se </w:t>
      </w:r>
      <w:r w:rsidR="00403F96">
        <w:rPr>
          <w:rFonts w:ascii="Arial" w:hAnsi="Arial" w:cs="Arial"/>
          <w:sz w:val="20"/>
          <w:szCs w:val="20"/>
          <w:lang w:val="es-ES"/>
        </w:rPr>
        <w:t>documentó</w:t>
      </w:r>
      <w:r>
        <w:rPr>
          <w:rFonts w:ascii="Arial" w:hAnsi="Arial" w:cs="Arial"/>
          <w:sz w:val="20"/>
          <w:szCs w:val="20"/>
          <w:lang w:val="es-ES"/>
        </w:rPr>
        <w:t xml:space="preserve"> la mutación T315I del BCR/ABL en este grupo de pacientes, </w:t>
      </w:r>
      <w:r w:rsidR="00556A63">
        <w:rPr>
          <w:rFonts w:ascii="Arial" w:hAnsi="Arial" w:cs="Arial"/>
          <w:sz w:val="20"/>
          <w:szCs w:val="20"/>
          <w:lang w:val="es-ES"/>
        </w:rPr>
        <w:t>como factor de</w:t>
      </w:r>
      <w:r>
        <w:rPr>
          <w:rFonts w:ascii="Arial" w:hAnsi="Arial" w:cs="Arial"/>
          <w:sz w:val="20"/>
          <w:szCs w:val="20"/>
          <w:lang w:val="es-ES"/>
        </w:rPr>
        <w:t xml:space="preserve"> resistencia </w:t>
      </w:r>
      <w:r w:rsidR="00556A63">
        <w:rPr>
          <w:rFonts w:ascii="Arial" w:hAnsi="Arial" w:cs="Arial"/>
          <w:sz w:val="20"/>
          <w:szCs w:val="20"/>
          <w:lang w:val="es-ES"/>
        </w:rPr>
        <w:t>a los</w:t>
      </w:r>
      <w:r>
        <w:rPr>
          <w:rFonts w:ascii="Arial" w:hAnsi="Arial" w:cs="Arial"/>
          <w:sz w:val="20"/>
          <w:szCs w:val="20"/>
          <w:lang w:val="es-ES"/>
        </w:rPr>
        <w:t xml:space="preserve"> ITQ </w:t>
      </w:r>
      <w:r w:rsidR="00415C49">
        <w:rPr>
          <w:rFonts w:ascii="Arial" w:hAnsi="Arial" w:cs="Arial"/>
          <w:sz w:val="20"/>
          <w:szCs w:val="20"/>
          <w:lang w:val="es-ES"/>
        </w:rPr>
        <w:fldChar w:fldCharType="begin" w:fldLock="1"/>
      </w:r>
      <w:r>
        <w:rPr>
          <w:rFonts w:ascii="Arial" w:hAnsi="Arial" w:cs="Arial"/>
          <w:sz w:val="20"/>
          <w:szCs w:val="20"/>
          <w:lang w:val="es-ES"/>
        </w:rPr>
        <w:instrText>ADDIN CSL_CITATION {"citationItems":[{"id":"ITEM-1","itemData":{"DOI":"10.1182/blood-2009-12-261586","ISBN":"2009122615","ISSN":"15280020","abstract":"The combination of cytotoxic chemotherapy and imatinib has improved the outcome for patients with Philadelphia chromosome-positive (Ph + ) acute lymphoblastic leukemia (ALL). Dasatinib has significant clinical activity in patients with imatinib resistance. We examined the efficacy and safety of combining chemotherapy with dasatinib for patients with Ph + ALL. Newly diagnosed patients received dasatinib 50 mg by mouth twice per day (or 100 mg daily) for the first 14 days of each of 8 cycles of alternating hyper-CVAD, and high-dose cytarabine and methotrexate. Patients in complete remission received maintenance daily dasatinib and monthly vincristine and prednisone for 2 years, followed by dasatinib indefinitely. Thirty-five patients with untreated Ph + ALL with a median age of 53 years (range, 21-79 years) were treated; 33 patients (94%) achieved complete remission. Two patients died of infections before response assessment. Grade 3 and 4 adverse events included hemorrhage and pleural and pericardial effusions. With a median follow-up of 14 months (range, 4-37 months), the median disease-free survival and median overall survival have not been reached, with an estimated 2-year survival of 64%. The combination of chemotherapy with dasatinib is effective in achieving long-term remissions in patients with newly diagnosed Ph + ALL. This study was registered at www.ClinicalTrials.gov as NCT00390793. © 2010 by The American Society of Hematology.","author":[{"dropping-particle":"","family":"Ravandi","given":"Farhad","non-dropping-particle":"","parse-names":false,"suffix":""},{"dropping-particle":"","family":"O'Brien","given":"Susan","non-dropping-particle":"","parse-names":false,"suffix":""},{"dropping-particle":"","family":"Thomas","given":"Deborah","non-dropping-particle":"","parse-names":false,"suffix":""},{"dropping-particle":"","family":"Faderl","given":"Stefan","non-dropping-particle":"","parse-names":false,"suffix":""},{"dropping-particle":"","family":"Jones","given":"Dan","non-dropping-particle":"","parse-names":false,"suffix":""},{"dropping-particle":"","family":"Garris","given":"Rebecca","non-dropping-particle":"","parse-names":false,"suffix":""},{"dropping-particle":"","family":"Dara","given":"Samuel","non-dropping-particle":"","parse-names":false,"suffix":""},{"dropping-particle":"","family":"Jorgensen","given":"Jeffrey","non-dropping-particle":"","parse-names":false,"suffix":""},{"dropping-particle":"","family":"Kebriaei","given":"Partow","non-dropping-particle":"","parse-names":false,"suffix":""},{"dropping-particle":"","family":"Champlin","given":"Richard","non-dropping-particle":"","parse-names":false,"suffix":""},{"dropping-particle":"","family":"Borthakur","given":"Gautam","non-dropping-particle":"","parse-names":false,"suffix":""},{"dropping-particle":"","family":"Burger","given":"Jan","non-dropping-particle":"","parse-names":false,"suffix":""},{"dropping-particle":"","family":"Ferrajoli","given":"Alessandra","non-dropping-particle":"","parse-names":false,"suffix":""},{"dropping-particle":"","family":"Garcia-Manero","given":"Guillermo","non-dropping-particle":"","parse-names":false,"suffix":""},{"dropping-particle":"","family":"Wierda","given":"William","non-dropping-particle":"","parse-names":false,"suffix":""},{"dropping-particle":"","family":"Cortes","given":"Jorge","non-dropping-particle":"","parse-names":false,"suffix":""},{"dropping-particle":"","family":"Kantarjian","given":"Hagop","non-dropping-particle":"","parse-names":false,"suffix":""}],"container-title":"Blood","id":"ITEM-1","issue":"12","issued":{"date-parts":[["2010"]]},"page":"2070-2077","title":"First report of phase 2 study of dasatinib with hyper-CVAD for the frontline treatment of patients with Philadelphia chromosome-positive (Ph +) acute lymphoblastic leukemia","type":"article-journal","volume":"116"},"uris":["http://www.mendeley.com/documents/?uuid=77191c4f-3671-4aa7-b165-4aa9e71509f2"]}],"mendeley":{"formattedCitation":"(40)","plainTextFormattedCitation":"(40)","previouslyFormattedCitation":"(40)"},"properties":{"noteIndex":0},"schema":"https://github.com/citation-style-language/schema/raw/master/csl-citation.json"}</w:instrText>
      </w:r>
      <w:r w:rsidR="00415C49">
        <w:rPr>
          <w:rFonts w:ascii="Arial" w:hAnsi="Arial" w:cs="Arial"/>
          <w:sz w:val="20"/>
          <w:szCs w:val="20"/>
          <w:lang w:val="es-ES"/>
        </w:rPr>
        <w:fldChar w:fldCharType="separate"/>
      </w:r>
      <w:r w:rsidRPr="0096463C">
        <w:rPr>
          <w:rFonts w:ascii="Arial" w:hAnsi="Arial" w:cs="Arial"/>
          <w:noProof/>
          <w:sz w:val="20"/>
          <w:szCs w:val="20"/>
          <w:lang w:val="es-ES"/>
        </w:rPr>
        <w:t>(40)</w:t>
      </w:r>
      <w:r w:rsidR="00415C49">
        <w:rPr>
          <w:rFonts w:ascii="Arial" w:hAnsi="Arial" w:cs="Arial"/>
          <w:sz w:val="20"/>
          <w:szCs w:val="20"/>
          <w:lang w:val="es-ES"/>
        </w:rPr>
        <w:fldChar w:fldCharType="end"/>
      </w:r>
      <w:r>
        <w:rPr>
          <w:rFonts w:ascii="Arial" w:hAnsi="Arial" w:cs="Arial"/>
          <w:sz w:val="20"/>
          <w:szCs w:val="20"/>
          <w:lang w:val="es-ES"/>
        </w:rPr>
        <w:t xml:space="preserve">. </w:t>
      </w:r>
    </w:p>
    <w:p w14:paraId="5AA3B1F4" w14:textId="77777777" w:rsidR="00716114" w:rsidRDefault="00716114" w:rsidP="00716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54EECAA9" w14:textId="6FD69492" w:rsidR="00716114" w:rsidRDefault="00716114" w:rsidP="00716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El Ponatinib, es un potente ITQ de tercera generación, con actividad demostrada en leucemias</w:t>
      </w:r>
      <w:r w:rsidR="006E2113">
        <w:rPr>
          <w:rFonts w:ascii="Arial" w:hAnsi="Arial" w:cs="Arial"/>
          <w:sz w:val="20"/>
          <w:szCs w:val="20"/>
          <w:lang w:val="es-ES"/>
        </w:rPr>
        <w:t xml:space="preserve"> Ph+ tanto para BCR/ABL1</w:t>
      </w:r>
      <w:r>
        <w:rPr>
          <w:rFonts w:ascii="Arial" w:hAnsi="Arial" w:cs="Arial"/>
          <w:sz w:val="20"/>
          <w:szCs w:val="20"/>
          <w:lang w:val="es-ES"/>
        </w:rPr>
        <w:t xml:space="preserve"> “wild type” como para aquellos con mutación T315I </w:t>
      </w:r>
      <w:r w:rsidR="00415C49">
        <w:rPr>
          <w:rFonts w:ascii="Arial" w:hAnsi="Arial" w:cs="Arial"/>
          <w:sz w:val="20"/>
          <w:szCs w:val="20"/>
          <w:lang w:val="es-ES"/>
        </w:rPr>
        <w:fldChar w:fldCharType="begin" w:fldLock="1"/>
      </w:r>
      <w:r w:rsidR="006A29E5">
        <w:rPr>
          <w:rFonts w:ascii="Arial" w:hAnsi="Arial" w:cs="Arial"/>
          <w:sz w:val="20"/>
          <w:szCs w:val="20"/>
          <w:lang w:val="es-ES"/>
        </w:rPr>
        <w:instrText>ADDIN CSL_CITATION {"citationItems":[{"id":"ITEM-1","itemData":{"DOI":"10.1002/cncr.29646","ISSN":"10970142","abstract":"© 2015 American Cancer Society. BACKGROUND The long-term efficacy of a combination of chemotherapy and dasatinib in patients with Philadelphia chromosome-positive (Ph+) acute lymphoblastic leukemia (ALL) is not well established. METHODS Patients received dasatinib with 8 cycles of alternating hyperfractionated cyclophosphamide, vincristine, doxorubicin, and dexamethasone and high-dose cytarabine and methotrexate. Patients in complete remission (CR) continued maintenance dasatinib, vincristine, and prednisone for 2 years, which was followed by dasatinib indefinitely. Patients eligible for allogeneic stem cell transplantation (SCT) received it during their first CR. RESULTS Seventy-two patients with a median age of 55 years (range, 21-80 years) were treated; 69 (96%) achieved CR. Among them, 57 (83%) achieved cytogenetic CR after 1 cycle, and 64 (93%) achieved a major molecular response at a median of 4 weeks (range, 2-38 weeks). Sixty-five patients (94%) were negative for minimal residual disease assessed by flow cytometry at a median of 3 weeks (range, 2-37 weeks). Dasatinib-related grade 3 and 4 adverse events included bleeding, pleural/pericardial effusions, and elevated transaminases. With a median follow-up of 67 months (range, 33-97 months), 33 patients (46%) were alive, and 30 (43%) were in CR; 12 underwent allogeneic SCT. Thirty-nine patients died (3 at induction, 19 after relapse, 7 after SCT performed during first CR, and 10 during CR). The median disease-free survival and overall survival were 31 (range, 0.3-97 months) and 47 months (range, 0.2-97 months), respectively. Seven relapsed patients had BCR-ABL kinase domain mutations, including 4 with T315I. CONCLUSIONS A combination of chemotherapy with dasatinib is effective in achieving long-term remission for patients with newly diagnosed Ph + ALL.","author":[{"dropping-particle":"","family":"Ravandi","given":"Farhad","non-dropping-particle":"","parse-names":false,"suffix":""},{"dropping-particle":"","family":"O'Brien","given":"Susan M.","non-dropping-particle":"","parse-names":false,"suffix":""},{"dropping-particle":"","family":"Cortes","given":"Jorge E.","non-dropping-particle":"","parse-names":false,"suffix":""},{"dropping-particle":"","family":"Thomas","given":"Deborah M.","non-dropping-particle":"","parse-names":false,"suffix":""},{"dropping-particle":"","family":"Garris","given":"Rebecca","non-dropping-particle":"","parse-names":false,"suffix":""},{"dropping-particle":"","family":"Faderl","given":"Stefan","non-dropping-particle":"","parse-names":false,"suffix":""},{"dropping-particle":"","family":"Burger","given":"Jan A.","non-dropping-particle":"","parse-names":false,"suffix":""},{"dropping-particle":"","family":"Rytting","given":"Michael E.","non-dropping-particle":"","parse-names":false,"suffix":""},{"dropping-particle":"","family":"Ferrajoli","given":"Alessandra","non-dropping-particle":"","parse-names":false,"suffix":""},{"dropping-particle":"","family":"Wierda","given":"William G.","non-dropping-particle":"","parse-names":false,"suffix":""},{"dropping-particle":"","family":"Verstovsek","given":"Srdan","non-dropping-particle":"","parse-names":false,"suffix":""},{"dropping-particle":"","family":"Champlin","given":"Richard","non-dropping-particle":"","parse-names":false,"suffix":""},{"dropping-particle":"","family":"Kebriaei","given":"Partow","non-dropping-particle":"","parse-names":false,"suffix":""},{"dropping-particle":"","family":"Mccue","given":"Deborah A.","non-dropping-particle":"","parse-names":false,"suffix":""},{"dropping-particle":"","family":"Huang","given":"Xuelin","non-dropping-particle":"","parse-names":false,"suffix":""},{"dropping-particle":"","family":"Jabbour","given":"Elias","non-dropping-particle":"","parse-names":false,"suffix":""},{"dropping-particle":"","family":"Garcia-Manero","given":"Guillermo","non-dropping-particle":"","parse-names":false,"suffix":""},{"dropping-particle":"","family":"Estrov","given":"Zeev","non-dropping-particle":"","parse-names":false,"suffix":""},{"dropping-particle":"","family":"Kantarjian","given":"Hagop M.","non-dropping-particle":"","parse-names":false,"suffix":""}],"container-title":"Cancer","id":"ITEM-1","issue":"23","issued":{"date-parts":[["2015"]]},"page":"4158-4164","title":"Long-term follow-up of a phase 2 study of chemotherapy plus dasatinib for the initial treatment of patients with Philadelphia chromosome-positive acute lymphoblastic leukemia","type":"article-journal","volume":"121"},"uris":["http://www.mendeley.com/documents/?uuid=0dd01c5e-388b-48b9-a7b0-d467a9bc4bd2"]},{"id":"ITEM-2","itemData":{"DOI":"10.1016/S2352-3026(18)30176-5","ISSN":"23523026","abstract":"Background: The combination of chemotherapy and ponatinib in Philadelphia chromosome-positive acute lymphoblastic leukaemia has the potential to be a new standard of care for the disease; however, long-term efficacy and safety data are needed. Our aim was to evaluate the long-term efficacy and safety of this regimen in patients with newly diagnosed Philadelphia chromosome-positive acute lymphoblastic leukaemia in this ongoing phase 2 trial. Methods: In our single-centre, phase 2, single-arm trial in the USA, adult patients with previously untreated Philadelphia chromosome-positive acute lymphoblastic leukaemia were sequentially enrolled. Eligible patients had newly diagnosed Philadelphia chromosome-positive acute lymphoblastic leukaemia, were aged 18 years or older, had an Eastern Cooperative Oncology Group performance status of 2 or less, a left ventricular ejection fraction above 50%, and adequate hepatic and renal function (serum bilirubin ≤3·0 mg/dL and serum creatinine ≤3·0 mg/dL, unless higher levels were believed to be due to leukaemia at the discretion of the investigator). Patients received eight cycles of 21 days, alternating between two drug combinations: hyper-fractionated cyclophosphamide, vincristine, doxorubicin, and dexamethasone (hyper-CVAD) and high-dose methotrexate and cytarabine. Ponatinib was given orally at 45 mg per day for the first 14 days of cycle 1 then continuously at 45 mg per day for the subsequent cycles. After 37 patients were treated, the protocol was amended to reduce the dose of ponatinib to 30 mg per day at cycle 2, with further reduction to 15 mg once a complete molecular response (defined as absence of quantifiable BCR-ABL1 transcripts) was achieved. Patients in complete remission received maintenance with ponatinib daily (30 mg or 15 mg) indefinitely, and with vincristine (2 mg intravenously on day 1) and prednisone (200 mg orally on days 1–5) monthly for 2 years. The primary endpoint was 3-year event-free survival in the intention-to-treat population. The trial is registered at ClinicalTrials.gov, number NCT01424982, and is ongoing and still enrolling patients. Findings: 76 patients with a median age of 47 years (IQR 39–61) were enrolled and treated between Nov 19, 2011, and April 4, 2018. The 3-year event-free survival was 70% (95% CI 56–80). The most common grade 3 or 4 adverse events were infection (n=65, 86%), increased transaminases (n=24, 32%), increased bilirubin (n=13, 17%), pancreatitis (n=13, 17%), hype…","author":[{"dropping-particle":"","family":"Jabbour","given":"Elias","non-dropping-particle":"","parse-names":false,"suffix":""},{"dropping-particle":"","family":"Short","given":"Nicholas J.","non-dropping-particle":"","parse-names":false,"suffix":""},{"dropping-particle":"","family":"Ravandi","given":"Farhad","non-dropping-particle":"","parse-names":false,"suffix":""},{"dropping-particle":"","family":"Huang","given":"Xuelin","non-dropping-particle":"","parse-names":false,"suffix":""},{"dropping-particle":"","family":"Daver","given":"Naval","non-dropping-particle":"","parse-names":false,"suffix":""},{"dropping-particle":"","family":"DiNardo","given":"Courtney D.","non-dropping-particle":"","parse-names":false,"suffix":""},{"dropping-particle":"","family":"Konopleva","given":"Marina","non-dropping-particle":"","parse-names":false,"suffix":""},{"dropping-particle":"","family":"Pemmaraju","given":"Naveen","non-dropping-particle":"","parse-names":false,"suffix":""},{"dropping-particle":"","family":"Wierda","given":"William","non-dropping-particle":"","parse-names":false,"suffix":""},{"dropping-particle":"","family":"Garcia-Manero","given":"Guillermo","non-dropping-particle":"","parse-names":false,"suffix":""},{"dropping-particle":"","family":"Sasaki","given":"Koji","non-dropping-particle":"","parse-names":false,"suffix":""},{"dropping-particle":"","family":"Cortes","given":"Jorge","non-dropping-particle":"","parse-names":false,"suffix":""},{"dropping-particle":"","family":"Garris","given":"Rebecca","non-dropping-particle":"","parse-names":false,"suffix":""},{"dropping-particle":"","family":"Khoury","given":"Joseph D.","non-dropping-particle":"","parse-names":false,"suffix":""},{"dropping-particle":"","family":"Jorgensen","given":"Jeffrey","non-dropping-particle":"","parse-names":false,"suffix":""},{"dropping-particle":"","family":"Jain","given":"Nitin","non-dropping-particle":"","parse-names":false,"suffix":""},{"dropping-particle":"","family":"Alvarez","given":"Joie","non-dropping-particle":"","parse-names":false,"suffix":""},{"dropping-particle":"","family":"O'Brien","given":"Susan","non-dropping-particle":"","parse-names":false,"suffix":""},{"dropping-particle":"","family":"Kantarjian","given":"Hagop","non-dropping-particle":"","parse-names":false,"suffix":""}],"container-title":"The Lancet Haematology","id":"ITEM-2","issue":"12","issued":{"date-parts":[["2018"]]},"page":"e618-e627","publisher":"Elsevier Ltd","title":"Combination of hyper-CVAD with ponatinib as first-line therapy for patients with Philadelphia chromosome-positive acute lymphoblastic leukaemia: long-term follow-up of a single-centre, phase 2 study","type":"article-journal","volume":"5"},"uris":["http://www.mendeley.com/documents/?uuid=4cce8449-a32b-4ad0-b33c-5d1930cebd3b"]}],"mendeley":{"formattedCitation":"(39,45)","plainTextFormattedCitation":"(39,45)","previouslyFormattedCitation":"(39,45)"},"properties":{"noteIndex":0},"schema":"https://github.com/citation-style-language/schema/raw/master/csl-citation.json"}</w:instrText>
      </w:r>
      <w:r w:rsidR="00415C49">
        <w:rPr>
          <w:rFonts w:ascii="Arial" w:hAnsi="Arial" w:cs="Arial"/>
          <w:sz w:val="20"/>
          <w:szCs w:val="20"/>
          <w:lang w:val="es-ES"/>
        </w:rPr>
        <w:fldChar w:fldCharType="separate"/>
      </w:r>
      <w:r w:rsidRPr="00716114">
        <w:rPr>
          <w:rFonts w:ascii="Arial" w:hAnsi="Arial" w:cs="Arial"/>
          <w:noProof/>
          <w:sz w:val="20"/>
          <w:szCs w:val="20"/>
          <w:lang w:val="es-ES"/>
        </w:rPr>
        <w:t>(39,45)</w:t>
      </w:r>
      <w:r w:rsidR="00415C49">
        <w:rPr>
          <w:rFonts w:ascii="Arial" w:hAnsi="Arial" w:cs="Arial"/>
          <w:sz w:val="20"/>
          <w:szCs w:val="20"/>
          <w:lang w:val="es-ES"/>
        </w:rPr>
        <w:fldChar w:fldCharType="end"/>
      </w:r>
      <w:r>
        <w:rPr>
          <w:rFonts w:ascii="Arial" w:hAnsi="Arial" w:cs="Arial"/>
          <w:sz w:val="20"/>
          <w:szCs w:val="20"/>
          <w:lang w:val="es-ES"/>
        </w:rPr>
        <w:t>. Un estudio fase 2 realizado por el MD Anders</w:t>
      </w:r>
      <w:r w:rsidR="000B75EB">
        <w:rPr>
          <w:rFonts w:ascii="Arial" w:hAnsi="Arial" w:cs="Arial"/>
          <w:sz w:val="20"/>
          <w:szCs w:val="20"/>
          <w:lang w:val="es-ES"/>
        </w:rPr>
        <w:t>on Cá</w:t>
      </w:r>
      <w:r>
        <w:rPr>
          <w:rFonts w:ascii="Arial" w:hAnsi="Arial" w:cs="Arial"/>
          <w:sz w:val="20"/>
          <w:szCs w:val="20"/>
          <w:lang w:val="es-ES"/>
        </w:rPr>
        <w:t xml:space="preserve">ncer center, en Houston, Texas, analizó 76 pacientes con diagnóstico de Novo de LLA Ph+, tratados con HyperCVAD + Ponatinib. Con una mediana de 47 años fueron evaluados para tratamiento con HyperCVAD + Ponatinib, siendo este </w:t>
      </w:r>
      <w:r w:rsidR="00403F96">
        <w:rPr>
          <w:rFonts w:ascii="Arial" w:hAnsi="Arial" w:cs="Arial"/>
          <w:sz w:val="20"/>
          <w:szCs w:val="20"/>
          <w:lang w:val="es-ES"/>
        </w:rPr>
        <w:t>último</w:t>
      </w:r>
      <w:r>
        <w:rPr>
          <w:rFonts w:ascii="Arial" w:hAnsi="Arial" w:cs="Arial"/>
          <w:sz w:val="20"/>
          <w:szCs w:val="20"/>
          <w:lang w:val="es-ES"/>
        </w:rPr>
        <w:t xml:space="preserve"> dado a una dosis de 45 mg al día por los </w:t>
      </w:r>
      <w:r w:rsidR="00A673ED">
        <w:rPr>
          <w:rFonts w:ascii="Arial" w:hAnsi="Arial" w:cs="Arial"/>
          <w:sz w:val="20"/>
          <w:szCs w:val="20"/>
          <w:lang w:val="es-ES"/>
        </w:rPr>
        <w:t>primeros</w:t>
      </w:r>
      <w:r>
        <w:rPr>
          <w:rFonts w:ascii="Arial" w:hAnsi="Arial" w:cs="Arial"/>
          <w:sz w:val="20"/>
          <w:szCs w:val="20"/>
          <w:lang w:val="es-ES"/>
        </w:rPr>
        <w:t xml:space="preserve"> 14 días de cada ciclo, y posteriormente 45 mg diarios por los demás ciclos. Sin </w:t>
      </w:r>
      <w:r w:rsidR="00403F96">
        <w:rPr>
          <w:rFonts w:ascii="Arial" w:hAnsi="Arial" w:cs="Arial"/>
          <w:sz w:val="20"/>
          <w:szCs w:val="20"/>
          <w:lang w:val="es-ES"/>
        </w:rPr>
        <w:t>embargo,</w:t>
      </w:r>
      <w:r>
        <w:rPr>
          <w:rFonts w:ascii="Arial" w:hAnsi="Arial" w:cs="Arial"/>
          <w:sz w:val="20"/>
          <w:szCs w:val="20"/>
          <w:lang w:val="es-ES"/>
        </w:rPr>
        <w:t xml:space="preserve"> después de haber tratado 37 pacientes, se hizo un enmiendo en el protocolo, cambiando la dosis a 30 mg diarios desde el ciclo 2, con una reducción adicional a 15 mg una vez el paciente alcanzara respuesta molecular completa (definida como una ausencia de cuantificación de BCR/ABL1). La supervivencia libre de eventos a 3 años fue del 70%. Los eventos adversos grado 3 o 4 </w:t>
      </w:r>
      <w:r w:rsidR="00403F96">
        <w:rPr>
          <w:rFonts w:ascii="Arial" w:hAnsi="Arial" w:cs="Arial"/>
          <w:sz w:val="20"/>
          <w:szCs w:val="20"/>
          <w:lang w:val="es-ES"/>
        </w:rPr>
        <w:t>más</w:t>
      </w:r>
      <w:r>
        <w:rPr>
          <w:rFonts w:ascii="Arial" w:hAnsi="Arial" w:cs="Arial"/>
          <w:sz w:val="20"/>
          <w:szCs w:val="20"/>
          <w:lang w:val="es-ES"/>
        </w:rPr>
        <w:t xml:space="preserve"> frecuentes, fueron la </w:t>
      </w:r>
      <w:r w:rsidR="00403F96">
        <w:rPr>
          <w:rFonts w:ascii="Arial" w:hAnsi="Arial" w:cs="Arial"/>
          <w:sz w:val="20"/>
          <w:szCs w:val="20"/>
          <w:lang w:val="es-ES"/>
        </w:rPr>
        <w:t>infección en</w:t>
      </w:r>
      <w:r>
        <w:rPr>
          <w:rFonts w:ascii="Arial" w:hAnsi="Arial" w:cs="Arial"/>
          <w:sz w:val="20"/>
          <w:szCs w:val="20"/>
          <w:lang w:val="es-ES"/>
        </w:rPr>
        <w:t xml:space="preserve"> un 86%, elevación de transaminasas en 70%, incremento de bilirrubina 17%, hipertensión 16%, sangrado 13%, rash cutáneo 12%. Sin embargo hubo 2 fallecimientos por infarto agudo del miocardio al parecer como consecuencia del uso temprano de Ponatinib</w:t>
      </w:r>
      <w:r w:rsidR="006A29E5">
        <w:rPr>
          <w:rFonts w:ascii="Arial" w:hAnsi="Arial" w:cs="Arial"/>
          <w:sz w:val="20"/>
          <w:szCs w:val="20"/>
          <w:lang w:val="es-ES"/>
        </w:rPr>
        <w:t xml:space="preserve">, ya que después de la revisión del protocolo, en el que se ajustó la dosis de Ponatinib, no se presentó ningún otro fallecimiento </w:t>
      </w:r>
      <w:r w:rsidR="00415C49">
        <w:rPr>
          <w:rFonts w:ascii="Arial" w:hAnsi="Arial" w:cs="Arial"/>
          <w:sz w:val="20"/>
          <w:szCs w:val="20"/>
          <w:lang w:val="es-ES"/>
        </w:rPr>
        <w:fldChar w:fldCharType="begin" w:fldLock="1"/>
      </w:r>
      <w:r w:rsidR="00211D19">
        <w:rPr>
          <w:rFonts w:ascii="Arial" w:hAnsi="Arial" w:cs="Arial"/>
          <w:sz w:val="20"/>
          <w:szCs w:val="20"/>
          <w:lang w:val="es-ES"/>
        </w:rPr>
        <w:instrText>ADDIN CSL_CITATION {"citationItems":[{"id":"ITEM-1","itemData":{"DOI":"10.1016/S2352-3026(18)30176-5","ISSN":"23523026","abstract":"Background: The combination of chemotherapy and ponatinib in Philadelphia chromosome-positive acute lymphoblastic leukaemia has the potential to be a new standard of care for the disease; however, long-term efficacy and safety data are needed. Our aim was to evaluate the long-term efficacy and safety of this regimen in patients with newly diagnosed Philadelphia chromosome-positive acute lymphoblastic leukaemia in this ongoing phase 2 trial. Methods: In our single-centre, phase 2, single-arm trial in the USA, adult patients with previously untreated Philadelphia chromosome-positive acute lymphoblastic leukaemia were sequentially enrolled. Eligible patients had newly diagnosed Philadelphia chromosome-positive acute lymphoblastic leukaemia, were aged 18 years or older, had an Eastern Cooperative Oncology Group performance status of 2 or less, a left ventricular ejection fraction above 50%, and adequate hepatic and renal function (serum bilirubin ≤3·0 mg/dL and serum creatinine ≤3·0 mg/dL, unless higher levels were believed to be due to leukaemia at the discretion of the investigator). Patients received eight cycles of 21 days, alternating between two drug combinations: hyper-fractionated cyclophosphamide, vincristine, doxorubicin, and dexamethasone (hyper-CVAD) and high-dose methotrexate and cytarabine. Ponatinib was given orally at 45 mg per day for the first 14 days of cycle 1 then continuously at 45 mg per day for the subsequent cycles. After 37 patients were treated, the protocol was amended to reduce the dose of ponatinib to 30 mg per day at cycle 2, with further reduction to 15 mg once a complete molecular response (defined as absence of quantifiable BCR-ABL1 transcripts) was achieved. Patients in complete remission received maintenance with ponatinib daily (30 mg or 15 mg) indefinitely, and with vincristine (2 mg intravenously on day 1) and prednisone (200 mg orally on days 1–5) monthly for 2 years. The primary endpoint was 3-year event-free survival in the intention-to-treat population. The trial is registered at ClinicalTrials.gov, number NCT01424982, and is ongoing and still enrolling patients. Findings: 76 patients with a median age of 47 years (IQR 39–61) were enrolled and treated between Nov 19, 2011, and April 4, 2018. The 3-year event-free survival was 70% (95% CI 56–80). The most common grade 3 or 4 adverse events were infection (n=65, 86%), increased transaminases (n=24, 32%), increased bilirubin (n=13, 17%), pancreatitis (n=13, 17%), hype…","author":[{"dropping-particle":"","family":"Jabbour","given":"Elias","non-dropping-particle":"","parse-names":false,"suffix":""},{"dropping-particle":"","family":"Short","given":"Nicholas J.","non-dropping-particle":"","parse-names":false,"suffix":""},{"dropping-particle":"","family":"Ravandi","given":"Farhad","non-dropping-particle":"","parse-names":false,"suffix":""},{"dropping-particle":"","family":"Huang","given":"Xuelin","non-dropping-particle":"","parse-names":false,"suffix":""},{"dropping-particle":"","family":"Daver","given":"Naval","non-dropping-particle":"","parse-names":false,"suffix":""},{"dropping-particle":"","family":"DiNardo","given":"Courtney D.","non-dropping-particle":"","parse-names":false,"suffix":""},{"dropping-particle":"","family":"Konopleva","given":"Marina","non-dropping-particle":"","parse-names":false,"suffix":""},{"dropping-particle":"","family":"Pemmaraju","given":"Naveen","non-dropping-particle":"","parse-names":false,"suffix":""},{"dropping-particle":"","family":"Wierda","given":"William","non-dropping-particle":"","parse-names":false,"suffix":""},{"dropping-particle":"","family":"Garcia-Manero","given":"Guillermo","non-dropping-particle":"","parse-names":false,"suffix":""},{"dropping-particle":"","family":"Sasaki","given":"Koji","non-dropping-particle":"","parse-names":false,"suffix":""},{"dropping-particle":"","family":"Cortes","given":"Jorge","non-dropping-particle":"","parse-names":false,"suffix":""},{"dropping-particle":"","family":"Garris","given":"Rebecca","non-dropping-particle":"","parse-names":false,"suffix":""},{"dropping-particle":"","family":"Khoury","given":"Joseph D.","non-dropping-particle":"","parse-names":false,"suffix":""},{"dropping-particle":"","family":"Jorgensen","given":"Jeffrey","non-dropping-particle":"","parse-names":false,"suffix":""},{"dropping-particle":"","family":"Jain","given":"Nitin","non-dropping-particle":"","parse-names":false,"suffix":""},{"dropping-particle":"","family":"Alvarez","given":"Joie","non-dropping-particle":"","parse-names":false,"suffix":""},{"dropping-particle":"","family":"O'Brien","given":"Susan","non-dropping-particle":"","parse-names":false,"suffix":""},{"dropping-particle":"","family":"Kantarjian","given":"Hagop","non-dropping-particle":"","parse-names":false,"suffix":""}],"container-title":"The Lancet Haematology","id":"ITEM-1","issue":"12","issued":{"date-parts":[["2018"]]},"page":"e618-e627","publisher":"Elsevier Ltd","title":"Combination of hyper-CVAD with ponatinib as first-line therapy for patients with Philadelphia chromosome-positive acute lymphoblastic leukaemia: long-term follow-up of a single-centre, phase 2 study","type":"article-journal","volume":"5"},"uris":["http://www.mendeley.com/documents/?uuid=4cce8449-a32b-4ad0-b33c-5d1930cebd3b"]}],"mendeley":{"formattedCitation":"(45)","plainTextFormattedCitation":"(45)","previouslyFormattedCitation":"(45)"},"properties":{"noteIndex":0},"schema":"https://github.com/citation-style-language/schema/raw/master/csl-citation.json"}</w:instrText>
      </w:r>
      <w:r w:rsidR="00415C49">
        <w:rPr>
          <w:rFonts w:ascii="Arial" w:hAnsi="Arial" w:cs="Arial"/>
          <w:sz w:val="20"/>
          <w:szCs w:val="20"/>
          <w:lang w:val="es-ES"/>
        </w:rPr>
        <w:fldChar w:fldCharType="separate"/>
      </w:r>
      <w:r w:rsidR="006A29E5" w:rsidRPr="006A29E5">
        <w:rPr>
          <w:rFonts w:ascii="Arial" w:hAnsi="Arial" w:cs="Arial"/>
          <w:noProof/>
          <w:sz w:val="20"/>
          <w:szCs w:val="20"/>
          <w:lang w:val="es-ES"/>
        </w:rPr>
        <w:t>(45)</w:t>
      </w:r>
      <w:r w:rsidR="00415C49">
        <w:rPr>
          <w:rFonts w:ascii="Arial" w:hAnsi="Arial" w:cs="Arial"/>
          <w:sz w:val="20"/>
          <w:szCs w:val="20"/>
          <w:lang w:val="es-ES"/>
        </w:rPr>
        <w:fldChar w:fldCharType="end"/>
      </w:r>
      <w:r w:rsidR="006A29E5">
        <w:rPr>
          <w:rFonts w:ascii="Arial" w:hAnsi="Arial" w:cs="Arial"/>
          <w:sz w:val="20"/>
          <w:szCs w:val="20"/>
          <w:lang w:val="es-ES"/>
        </w:rPr>
        <w:t>.</w:t>
      </w:r>
    </w:p>
    <w:p w14:paraId="67E19A3F" w14:textId="77777777" w:rsidR="00716114" w:rsidRDefault="00716114" w:rsidP="00716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54E74F75" w14:textId="77777777" w:rsidR="00852A15" w:rsidRDefault="00852A15"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48E01CE9" w14:textId="77777777" w:rsidR="00852A15" w:rsidRDefault="00852A15"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b/>
          <w:sz w:val="20"/>
          <w:szCs w:val="20"/>
          <w:lang w:val="es-ES"/>
        </w:rPr>
      </w:pPr>
      <w:r w:rsidRPr="00852A15">
        <w:rPr>
          <w:rFonts w:ascii="Arial" w:hAnsi="Arial" w:cs="Arial"/>
          <w:b/>
          <w:sz w:val="20"/>
          <w:szCs w:val="20"/>
          <w:lang w:val="es-ES"/>
        </w:rPr>
        <w:t xml:space="preserve">ENFERMEDAD </w:t>
      </w:r>
      <w:r w:rsidR="00553CF4">
        <w:rPr>
          <w:rFonts w:ascii="Arial" w:hAnsi="Arial" w:cs="Arial"/>
          <w:b/>
          <w:sz w:val="20"/>
          <w:szCs w:val="20"/>
          <w:lang w:val="es-ES"/>
        </w:rPr>
        <w:t>RECAIDA / REFRACTARIA</w:t>
      </w:r>
    </w:p>
    <w:p w14:paraId="58C1F594" w14:textId="77777777" w:rsidR="00852A15" w:rsidRDefault="00852A15"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b/>
          <w:sz w:val="20"/>
          <w:szCs w:val="20"/>
          <w:lang w:val="es-ES"/>
        </w:rPr>
      </w:pPr>
    </w:p>
    <w:p w14:paraId="23F70DED" w14:textId="0870A3A5" w:rsidR="00852A15" w:rsidRDefault="00852A15"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r w:rsidRPr="00C8352A">
        <w:rPr>
          <w:rFonts w:ascii="Arial" w:hAnsi="Arial" w:cs="Arial"/>
          <w:sz w:val="20"/>
          <w:szCs w:val="20"/>
          <w:lang w:val="es-ES"/>
        </w:rPr>
        <w:t xml:space="preserve">Aproximadamente un 85 – 90% de pacientes van a remisión completa después de una quimioterapia de inducción de las anteriormente expuestas, tanto para LLA Ph+ como LLA Ph-. Sin </w:t>
      </w:r>
      <w:r w:rsidR="00403F96" w:rsidRPr="00C8352A">
        <w:rPr>
          <w:rFonts w:ascii="Arial" w:hAnsi="Arial" w:cs="Arial"/>
          <w:sz w:val="20"/>
          <w:szCs w:val="20"/>
          <w:lang w:val="es-ES"/>
        </w:rPr>
        <w:t>embargo,</w:t>
      </w:r>
      <w:r w:rsidRPr="00C8352A">
        <w:rPr>
          <w:rFonts w:ascii="Arial" w:hAnsi="Arial" w:cs="Arial"/>
          <w:sz w:val="20"/>
          <w:szCs w:val="20"/>
          <w:lang w:val="es-ES"/>
        </w:rPr>
        <w:t xml:space="preserve"> un grupo grande de pacientes recaen. Múltiples </w:t>
      </w:r>
      <w:r w:rsidR="006A29E5" w:rsidRPr="00C8352A">
        <w:rPr>
          <w:rFonts w:ascii="Arial" w:hAnsi="Arial" w:cs="Arial"/>
          <w:sz w:val="20"/>
          <w:szCs w:val="20"/>
          <w:lang w:val="es-ES"/>
        </w:rPr>
        <w:t>regímenes</w:t>
      </w:r>
      <w:r w:rsidRPr="00C8352A">
        <w:rPr>
          <w:rFonts w:ascii="Arial" w:hAnsi="Arial" w:cs="Arial"/>
          <w:sz w:val="20"/>
          <w:szCs w:val="20"/>
          <w:lang w:val="es-ES"/>
        </w:rPr>
        <w:t xml:space="preserve"> de quimioterapia han sido analizados en enfermedad </w:t>
      </w:r>
      <w:r w:rsidR="006A29E5" w:rsidRPr="00C8352A">
        <w:rPr>
          <w:rFonts w:ascii="Arial" w:hAnsi="Arial" w:cs="Arial"/>
          <w:sz w:val="20"/>
          <w:szCs w:val="20"/>
          <w:lang w:val="es-ES"/>
        </w:rPr>
        <w:t>recaída</w:t>
      </w:r>
      <w:r w:rsidRPr="00C8352A">
        <w:rPr>
          <w:rFonts w:ascii="Arial" w:hAnsi="Arial" w:cs="Arial"/>
          <w:sz w:val="20"/>
          <w:szCs w:val="20"/>
          <w:lang w:val="es-ES"/>
        </w:rPr>
        <w:t xml:space="preserve"> / refractaria, demostrando tasas de respuesta variables. Sin </w:t>
      </w:r>
      <w:r w:rsidR="000B75EB" w:rsidRPr="00C8352A">
        <w:rPr>
          <w:rFonts w:ascii="Arial" w:hAnsi="Arial" w:cs="Arial"/>
          <w:sz w:val="20"/>
          <w:szCs w:val="20"/>
          <w:lang w:val="es-ES"/>
        </w:rPr>
        <w:t>embargo,</w:t>
      </w:r>
      <w:r w:rsidR="00403F96">
        <w:rPr>
          <w:rFonts w:ascii="Arial" w:hAnsi="Arial" w:cs="Arial"/>
          <w:sz w:val="20"/>
          <w:szCs w:val="20"/>
          <w:lang w:val="es-ES"/>
        </w:rPr>
        <w:t xml:space="preserve"> </w:t>
      </w:r>
      <w:r w:rsidR="00C8352A" w:rsidRPr="00C8352A">
        <w:rPr>
          <w:rFonts w:ascii="Arial" w:hAnsi="Arial" w:cs="Arial"/>
          <w:color w:val="000000"/>
          <w:sz w:val="20"/>
          <w:szCs w:val="20"/>
          <w:lang w:val="es-ES"/>
        </w:rPr>
        <w:t xml:space="preserve">los pacientes con LLA </w:t>
      </w:r>
      <w:r w:rsidR="006A29E5" w:rsidRPr="00C8352A">
        <w:rPr>
          <w:rFonts w:ascii="Arial" w:hAnsi="Arial" w:cs="Arial"/>
          <w:color w:val="000000"/>
          <w:sz w:val="20"/>
          <w:szCs w:val="20"/>
          <w:lang w:val="es-ES"/>
        </w:rPr>
        <w:t>recaída</w:t>
      </w:r>
      <w:r w:rsidR="00C8352A" w:rsidRPr="00C8352A">
        <w:rPr>
          <w:rFonts w:ascii="Arial" w:hAnsi="Arial" w:cs="Arial"/>
          <w:color w:val="000000"/>
          <w:sz w:val="20"/>
          <w:szCs w:val="20"/>
          <w:lang w:val="es-ES"/>
        </w:rPr>
        <w:t xml:space="preserve"> / refractaria tienen un pronóstico mucho </w:t>
      </w:r>
      <w:r w:rsidR="00403F96" w:rsidRPr="00C8352A">
        <w:rPr>
          <w:rFonts w:ascii="Arial" w:hAnsi="Arial" w:cs="Arial"/>
          <w:color w:val="000000"/>
          <w:sz w:val="20"/>
          <w:szCs w:val="20"/>
          <w:lang w:val="es-ES"/>
        </w:rPr>
        <w:t>más</w:t>
      </w:r>
      <w:r w:rsidR="00C8352A" w:rsidRPr="00C8352A">
        <w:rPr>
          <w:rFonts w:ascii="Arial" w:hAnsi="Arial" w:cs="Arial"/>
          <w:color w:val="000000"/>
          <w:sz w:val="20"/>
          <w:szCs w:val="20"/>
          <w:lang w:val="es-ES"/>
        </w:rPr>
        <w:t xml:space="preserve"> sombrío. La supervivencia global para este tipo de pacientes a 3 años es de apenas el 11%. Cuando se realiza un sub</w:t>
      </w:r>
      <w:r w:rsidR="006A29E5">
        <w:rPr>
          <w:rFonts w:ascii="Arial" w:hAnsi="Arial" w:cs="Arial"/>
          <w:color w:val="000000"/>
          <w:sz w:val="20"/>
          <w:szCs w:val="20"/>
          <w:lang w:val="es-ES"/>
        </w:rPr>
        <w:t>-</w:t>
      </w:r>
      <w:r w:rsidR="00C8352A" w:rsidRPr="00C8352A">
        <w:rPr>
          <w:rFonts w:ascii="Arial" w:hAnsi="Arial" w:cs="Arial"/>
          <w:color w:val="000000"/>
          <w:sz w:val="20"/>
          <w:szCs w:val="20"/>
          <w:lang w:val="es-ES"/>
        </w:rPr>
        <w:t xml:space="preserve">análisis por grupos, tanto los pacientes que han sido primarios refractarios (que no han demostrado respuesta alguna al tratamiento con quimioterapia multi agente), o aquellos que han respondido con una posterior recaída ya sea con trasplante alogénico de progenitores hematopoyéticos o sin ellos, exhiben una supervivencia a 3 años del 10 - 11%. Dentro del grupo de pacientes que respondieron al </w:t>
      </w:r>
      <w:r w:rsidR="00403F96">
        <w:rPr>
          <w:rFonts w:ascii="Arial" w:hAnsi="Arial" w:cs="Arial"/>
          <w:color w:val="000000"/>
          <w:sz w:val="20"/>
          <w:szCs w:val="20"/>
          <w:lang w:val="es-ES"/>
        </w:rPr>
        <w:t>tratamiento,</w:t>
      </w:r>
      <w:r w:rsidR="0013153F">
        <w:rPr>
          <w:rFonts w:ascii="Arial" w:hAnsi="Arial" w:cs="Arial"/>
          <w:color w:val="000000"/>
          <w:sz w:val="20"/>
          <w:szCs w:val="20"/>
          <w:lang w:val="es-ES"/>
        </w:rPr>
        <w:t xml:space="preserve"> pero recayeron, y</w:t>
      </w:r>
      <w:r w:rsidR="00C8352A" w:rsidRPr="00C8352A">
        <w:rPr>
          <w:rFonts w:ascii="Arial" w:hAnsi="Arial" w:cs="Arial"/>
          <w:color w:val="000000"/>
          <w:sz w:val="20"/>
          <w:szCs w:val="20"/>
          <w:lang w:val="es-ES"/>
        </w:rPr>
        <w:t xml:space="preserve"> tuvieron una recaída temprana (menor a 6 meses), la supervivencia a 3 años es del 8%. Si la recaída fue tardía (más de 24 meses), la supervivencia en este mismo periodo de tiempo fue superior: 24%. Aquellos que se encuentran en una primera, segunda o tercera línea de rescate por enfermedad recaída / refractaria, tienen supervivencias a 3 años del 11%, 5% y 4% respectivamente</w:t>
      </w:r>
      <w:r w:rsidR="00415C49">
        <w:rPr>
          <w:rFonts w:ascii="Arial" w:hAnsi="Arial" w:cs="Arial"/>
          <w:color w:val="000000"/>
          <w:sz w:val="20"/>
          <w:szCs w:val="20"/>
          <w:lang w:val="es-ES"/>
        </w:rPr>
        <w:fldChar w:fldCharType="begin" w:fldLock="1"/>
      </w:r>
      <w:r w:rsidR="00FC4FF7">
        <w:rPr>
          <w:rFonts w:ascii="Arial" w:hAnsi="Arial" w:cs="Arial"/>
          <w:color w:val="000000"/>
          <w:sz w:val="20"/>
          <w:szCs w:val="20"/>
          <w:lang w:val="es-ES"/>
        </w:rPr>
        <w:instrText>ADDIN CSL_CITATION {"citationItems":[{"id":"ITEM-1","itemData":{"DOI":"10.3324/haematol.2016.144311","ISSN":"15928721","abstract":"© 2016 Ferrata Storti Foundation. Adults with relapsed/refractory acute lymphoblastic leukemia have an unfavourable prognosis, which is influenced by disease and patient characteristics. To further evaluate these characteristics, a retrospective analysis of 1, 706 adult patients with Ph-negative relapsed/refractory B-precursor acute lymphoblastic leukemia diagnosed between 1990-2013 was conducted using data reflecting the standard of care from 11 study groups and large centers in Europe and the United States. Outcomes included complete remission, overall survival, and realization of stem cell transplantation after salvage treatment. The overall complete remission rate after first salvage was 40%, ranging from 35%-41% across disease status categories (primary refractory, relapsed with or without prior transplant), and was lower after second (21%) and third or greater (11%) salvage. The overall complete remission rate was higher for patients diagnosed from 2005 onward (45%, 95% CI: 39%-50%). One-and three-year survival rates after f irst, second, and third or greater salvage were 26% and 11%, 18% and 6%, and 15% and 4%, respectively, and rates were 2%-5% higher among patients diagnosed from 2005. Prognostic factors included younger age, longer duration of first remission, and lower white blood cell counts at primary diagnosis. This large dataset can provide detailed reference outcomes for patients with relapsed/refractory Ph-negative B-precursor acute lymphoblastic leukemia.","author":[{"dropping-particle":"","family":"Gökbuget","given":"Nicola","non-dropping-particle":"","parse-names":false,"suffix":""},{"dropping-particle":"","family":"Dombret","given":"Hervè","non-dropping-particle":"","parse-names":false,"suffix":""},{"dropping-particle":"","family":"Ribera","given":"Jose Maria","non-dropping-particle":"","parse-names":false,"suffix":""},{"dropping-particle":"","family":"Fielding","given":"Adele K.","non-dropping-particle":"","parse-names":false,"suffix":""},{"dropping-particle":"","family":"Advani","given":"Anjali","non-dropping-particle":"","parse-names":false,"suffix":""},{"dropping-particle":"","family":"Bassan","given":"Renato","non-dropping-particle":"","parse-names":false,"suffix":""},{"dropping-particle":"","family":"Chia","given":"Victoria","non-dropping-particle":"","parse-names":false,"suffix":""},{"dropping-particle":"","family":"Doubek","given":"Michael","non-dropping-particle":"","parse-names":false,"suffix":""},{"dropping-particle":"","family":"Giebel","given":"Sebastian","non-dropping-particle":"","parse-names":false,"suffix":""},{"dropping-particle":"","family":"Hoelzer","given":"Dieter","non-dropping-particle":"","parse-names":false,"suffix":""},{"dropping-particle":"","family":"Ifrah","given":"Norbert","non-dropping-particle":"","parse-names":false,"suffix":""},{"dropping-particle":"","family":"Katz","given":"Aaron","non-dropping-particle":"","parse-names":false,"suffix":""},{"dropping-particle":"","family":"Kelsh","given":"Michael","non-dropping-particle":"","parse-names":false,"suffix":""},{"dropping-particle":"","family":"Martinelli","given":"Giovanni","non-dropping-particle":"","parse-names":false,"suffix":""},{"dropping-particle":"","family":"Morgades","given":"Mireia","non-dropping-particle":"","parse-names":false,"suffix":""},{"dropping-particle":"","family":"O’Brien","given":"Susan","non-dropping-particle":"","parse-names":false,"suffix":""},{"dropping-particle":"","family":"Rowe","given":"Jacob M.","non-dropping-particle":"","parse-names":false,"suffix":""},{"dropping-particle":"","family":"Stieglmaier","given":"Julia","non-dropping-particle":"","parse-names":false,"suffix":""},{"dropping-particle":"","family":"Wadleigh","given":"Martha","non-dropping-particle":"","parse-names":false,"suffix":""},{"dropping-particle":"","family":"Kantarjian","given":"Hagop","non-dropping-particle":"","parse-names":false,"suffix":""}],"container-title":"Haematologica","id":"ITEM-1","issue":"12","issued":{"date-parts":[["2016"]]},"page":"1524-1533","title":"International reference analysis of outcomes in adults with B-precursor Ph-negative relapsed/refractor y acute lymphoblastic leukemia","type":"article-journal","volume":"101"},"uris":["http://www.mendeley.com/documents/?uuid=2faaf50c-50ef-46e3-a7b3-c8aca95dd341"]},{"id":"ITEM-2","itemData":{"DOI":"10.1016/j.beha.2017.07.010","ISSN":"15321924","abstract":"Despite significant improvements in outcome of newly diagnosed B-precursor ALL, the results in relapsed or refractory adult ALL are overall poor. Large retrospective studies revealed significant differences in terms of outcome, with particularly poor response rates in early or refractory relapses, whereas late relapses usually respond very well to repeated standard induction. Particularly new immunotherapy compounds like the CD19 bispecific antibody Blinatumomab and the conjugated CD22 antibody Inotuzumab yielded promising response rates compared to standard therapies in randomised trials. Long-term survival is however still poor. The optimal use of these compounds remains to be defined. Chimeric antigen receptor T-cells are another promising treatment approach and multicenter clinical trials in adult ALL are awaited. For selected patients molecular directed therapies may have a role in relapsed ALL; standard diagnostic algorithms need to be defined. One of the major challenges is to define the role of stem cell transplantation after relapse. Whereas this procedure appears to be the only chance for cure, the mortality and relapse rate are still high and optimisation is urgently needed. Future strategies include optimised use of new compounds as part of combination regimens and the earlier treatment of upcoming relapse in the situation of persistent or recurrent minimal residual disease.","author":[{"dropping-particle":"","family":"Gökbuget","given":"Nicola","non-dropping-particle":"","parse-names":false,"suffix":""}],"container-title":"Best Practice and Research: Clinical Haematology","id":"ITEM-2","issue":"3","issued":{"date-parts":[["2017"]]},"page":"261-274","title":"How should we treat a patient with relapsed Ph-negative B-ALL and what novel approaches are being investigated?","type":"article-journal","volume":"30"},"uris":["http://www.mendeley.com/documents/?uuid=73aa7ace-ee4f-4050-909f-fbb513d6ffe0"]}],"mendeley":{"formattedCitation":"(7,46)","plainTextFormattedCitation":"(7,46)","previouslyFormattedCitation":"(7,46)"},"properties":{"noteIndex":0},"schema":"https://github.com/citation-style-language/schema/raw/master/csl-citation.json"}</w:instrText>
      </w:r>
      <w:r w:rsidR="00415C49">
        <w:rPr>
          <w:rFonts w:ascii="Arial" w:hAnsi="Arial" w:cs="Arial"/>
          <w:color w:val="000000"/>
          <w:sz w:val="20"/>
          <w:szCs w:val="20"/>
          <w:lang w:val="es-ES"/>
        </w:rPr>
        <w:fldChar w:fldCharType="separate"/>
      </w:r>
      <w:r w:rsidR="00211D19" w:rsidRPr="00211D19">
        <w:rPr>
          <w:rFonts w:ascii="Arial" w:hAnsi="Arial" w:cs="Arial"/>
          <w:noProof/>
          <w:color w:val="000000"/>
          <w:sz w:val="20"/>
          <w:szCs w:val="20"/>
          <w:lang w:val="es-ES"/>
        </w:rPr>
        <w:t>(7,46)</w:t>
      </w:r>
      <w:r w:rsidR="00415C49">
        <w:rPr>
          <w:rFonts w:ascii="Arial" w:hAnsi="Arial" w:cs="Arial"/>
          <w:color w:val="000000"/>
          <w:sz w:val="20"/>
          <w:szCs w:val="20"/>
          <w:lang w:val="es-ES"/>
        </w:rPr>
        <w:fldChar w:fldCharType="end"/>
      </w:r>
      <w:r w:rsidR="00C8352A" w:rsidRPr="00C8352A">
        <w:rPr>
          <w:rFonts w:ascii="Arial" w:hAnsi="Arial" w:cs="Arial"/>
          <w:color w:val="000000"/>
          <w:sz w:val="20"/>
          <w:szCs w:val="20"/>
          <w:lang w:val="es-ES"/>
        </w:rPr>
        <w:t>.</w:t>
      </w:r>
    </w:p>
    <w:p w14:paraId="57DE0ACC" w14:textId="77777777" w:rsidR="00002D78" w:rsidRDefault="00002D78"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p>
    <w:p w14:paraId="7C511BCF" w14:textId="77777777" w:rsidR="00002D78" w:rsidRDefault="00002D78"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eastAsia="Times New Roman" w:hAnsi="Arial" w:cs="Arial"/>
          <w:sz w:val="20"/>
          <w:szCs w:val="20"/>
        </w:rPr>
      </w:pPr>
      <w:r>
        <w:rPr>
          <w:rFonts w:ascii="Arial" w:hAnsi="Arial" w:cs="Arial"/>
          <w:color w:val="000000"/>
          <w:sz w:val="20"/>
          <w:szCs w:val="20"/>
          <w:lang w:val="es-ES"/>
        </w:rPr>
        <w:t xml:space="preserve">En Colombia, uno de los protocolos más utilizados para enfermedad </w:t>
      </w:r>
      <w:r w:rsidR="00205EF2">
        <w:rPr>
          <w:rFonts w:ascii="Arial" w:hAnsi="Arial" w:cs="Arial"/>
          <w:color w:val="000000"/>
          <w:sz w:val="20"/>
          <w:szCs w:val="20"/>
          <w:lang w:val="es-ES"/>
        </w:rPr>
        <w:t>recaída</w:t>
      </w:r>
      <w:r>
        <w:rPr>
          <w:rFonts w:ascii="Arial" w:hAnsi="Arial" w:cs="Arial"/>
          <w:color w:val="000000"/>
          <w:sz w:val="20"/>
          <w:szCs w:val="20"/>
          <w:lang w:val="es-ES"/>
        </w:rPr>
        <w:t xml:space="preserve"> / refractaria </w:t>
      </w:r>
      <w:r w:rsidR="00F76EE5">
        <w:rPr>
          <w:rFonts w:ascii="Arial" w:hAnsi="Arial" w:cs="Arial"/>
          <w:color w:val="000000"/>
          <w:sz w:val="20"/>
          <w:szCs w:val="20"/>
          <w:lang w:val="es-ES"/>
        </w:rPr>
        <w:t>en LLA Ph-</w:t>
      </w:r>
      <w:r>
        <w:rPr>
          <w:rFonts w:ascii="Arial" w:hAnsi="Arial" w:cs="Arial"/>
          <w:color w:val="000000"/>
          <w:sz w:val="20"/>
          <w:szCs w:val="20"/>
          <w:lang w:val="es-ES"/>
        </w:rPr>
        <w:t xml:space="preserve">es el conocido IDA-FLAG. </w:t>
      </w:r>
      <w:r w:rsidR="00EA4332">
        <w:rPr>
          <w:rFonts w:ascii="Arial" w:hAnsi="Arial" w:cs="Arial"/>
          <w:color w:val="000000"/>
          <w:sz w:val="20"/>
          <w:szCs w:val="20"/>
          <w:lang w:val="es-ES"/>
        </w:rPr>
        <w:t xml:space="preserve">Existe un trabajo realizado en el Instituto Nacional de Cancerología E.S.E de Bogotá, en el que se analizaron 64 pacientes que fueron llevados a </w:t>
      </w:r>
      <w:r w:rsidR="00205EF2">
        <w:rPr>
          <w:rFonts w:ascii="Arial" w:hAnsi="Arial" w:cs="Arial"/>
          <w:color w:val="000000"/>
          <w:sz w:val="20"/>
          <w:szCs w:val="20"/>
          <w:lang w:val="es-ES"/>
        </w:rPr>
        <w:t>tratamiento</w:t>
      </w:r>
      <w:r w:rsidR="00EA4332">
        <w:rPr>
          <w:rFonts w:ascii="Arial" w:hAnsi="Arial" w:cs="Arial"/>
          <w:color w:val="000000"/>
          <w:sz w:val="20"/>
          <w:szCs w:val="20"/>
          <w:lang w:val="es-ES"/>
        </w:rPr>
        <w:t xml:space="preserve"> de rescate con este protocolo, de los cuales 50 </w:t>
      </w:r>
      <w:r w:rsidR="00205EF2">
        <w:rPr>
          <w:rFonts w:ascii="Arial" w:hAnsi="Arial" w:cs="Arial"/>
          <w:color w:val="000000"/>
          <w:sz w:val="20"/>
          <w:szCs w:val="20"/>
          <w:lang w:val="es-ES"/>
        </w:rPr>
        <w:t>tenían</w:t>
      </w:r>
      <w:r w:rsidR="00EA4332">
        <w:rPr>
          <w:rFonts w:ascii="Arial" w:hAnsi="Arial" w:cs="Arial"/>
          <w:color w:val="000000"/>
          <w:sz w:val="20"/>
          <w:szCs w:val="20"/>
          <w:lang w:val="es-ES"/>
        </w:rPr>
        <w:t xml:space="preserve"> diagnóstico de LLA </w:t>
      </w:r>
      <w:r w:rsidR="00205EF2">
        <w:rPr>
          <w:rFonts w:ascii="Arial" w:hAnsi="Arial" w:cs="Arial"/>
          <w:color w:val="000000"/>
          <w:sz w:val="20"/>
          <w:szCs w:val="20"/>
          <w:lang w:val="es-ES"/>
        </w:rPr>
        <w:t>recaída</w:t>
      </w:r>
      <w:r w:rsidR="00052F1A">
        <w:rPr>
          <w:rFonts w:ascii="Arial" w:hAnsi="Arial" w:cs="Arial"/>
          <w:color w:val="000000"/>
          <w:sz w:val="20"/>
          <w:szCs w:val="20"/>
          <w:lang w:val="es-ES"/>
        </w:rPr>
        <w:t xml:space="preserve"> / </w:t>
      </w:r>
      <w:r w:rsidR="00EA4332" w:rsidRPr="00EA4332">
        <w:rPr>
          <w:rFonts w:ascii="Arial" w:hAnsi="Arial" w:cs="Arial"/>
          <w:color w:val="000000"/>
          <w:sz w:val="20"/>
          <w:szCs w:val="20"/>
          <w:lang w:val="es-ES"/>
        </w:rPr>
        <w:t xml:space="preserve">refractaria. Se documentó una tasa de respuestas del 67%, con una mediana de supervivencia </w:t>
      </w:r>
      <w:r w:rsidR="00403F96" w:rsidRPr="00EA4332">
        <w:rPr>
          <w:rFonts w:ascii="Arial" w:hAnsi="Arial" w:cs="Arial"/>
          <w:color w:val="000000"/>
          <w:sz w:val="20"/>
          <w:szCs w:val="20"/>
          <w:lang w:val="es-ES"/>
        </w:rPr>
        <w:t>global</w:t>
      </w:r>
      <w:r w:rsidR="00403F96">
        <w:rPr>
          <w:rFonts w:ascii="Arial" w:hAnsi="Arial" w:cs="Arial"/>
          <w:color w:val="000000"/>
          <w:sz w:val="20"/>
          <w:szCs w:val="20"/>
          <w:lang w:val="es-ES"/>
        </w:rPr>
        <w:t>:</w:t>
      </w:r>
      <w:r w:rsidR="00403F96" w:rsidRPr="00EA4332">
        <w:rPr>
          <w:rFonts w:ascii="Arial" w:eastAsia="Times New Roman" w:hAnsi="Arial" w:cs="Arial"/>
          <w:sz w:val="20"/>
          <w:szCs w:val="20"/>
        </w:rPr>
        <w:t xml:space="preserve"> Si</w:t>
      </w:r>
      <w:r w:rsidR="00EA4332" w:rsidRPr="00EA4332">
        <w:rPr>
          <w:rFonts w:ascii="Arial" w:eastAsia="Times New Roman" w:hAnsi="Arial" w:cs="Arial"/>
          <w:sz w:val="20"/>
          <w:szCs w:val="20"/>
        </w:rPr>
        <w:t xml:space="preserve"> remisión: 270 días: No remisión: 98 días. P (log-rank) &lt; 0,001.  La supervivencia en función de: Recaídos: mediana de 275 días: Refractarios: 173 días. P (log-rank): 0,294)</w:t>
      </w:r>
      <w:r w:rsidR="00415C49">
        <w:rPr>
          <w:rFonts w:ascii="Arial" w:eastAsia="Times New Roman" w:hAnsi="Arial" w:cs="Arial"/>
          <w:sz w:val="20"/>
          <w:szCs w:val="20"/>
        </w:rPr>
        <w:fldChar w:fldCharType="begin" w:fldLock="1"/>
      </w:r>
      <w:r w:rsidR="00FC4FF7">
        <w:rPr>
          <w:rFonts w:ascii="Arial" w:eastAsia="Times New Roman" w:hAnsi="Arial" w:cs="Arial"/>
          <w:sz w:val="20"/>
          <w:szCs w:val="20"/>
        </w:rPr>
        <w:instrText>ADDIN CSL_CITATION {"citationItems":[{"id":"ITEM-1","itemData":{"DOI":"10.1016/j.rccan.2014.04.001","ISSN":"01239015","abstract":"OBJETIVOS\\nDescribir tasas de remisión completa de pacientes con leucemia aguda refractaria o en recaída tratados con el esquema IDA-FLAG y establecer la supervivencia global y libre de evento, toxicidad y duración de la remisión completa en servicios rutinarios. \\n\\nMÉTODOS\\nEstudio retrospectivo de pacientes mayores de 15 años. Se describen variables discretas y continuas mediante frecuencias y medidas de tendencia central. La supervivencia global y libre de evento se determinó por el método de Kaplan-Meir usando la prueba de log-Rank para la comparación entre estratos. \\n\\nRESULTADOS\\nFueron incluidos 64 pacientes. No hubo diferencias significativas en las tasas de remisión respecto al sexo, la edad, el tipo de leucemia o la duración de la primera remisión. La toxicidad fue principalmente hematológica y el 100% de los pacientes presentaron neutropenia febril posterior al inicio del tratamiento. La mediana de supervivencia global fue de 5,83 meses y la supervivencia libre de evento fue de 79 días. Se encontraron diferencias significativas en la supervivencia global entre el grupo de pacientes que logró y no logró remisión completa. \\n\\nCONCLUSIONES\\nEl tratamiento de rescate con el régimen IDA FLAG logra inducir remisión completa en un porcentaje significativo de pacientes con leucemia aguda en recaída, con una toxicidad aceptable siendo la principal hematológica. Es necesario realizar estudios prospectivos y con un diseño adecuado para validar la efectividad del mismo y confirmar nuestros hallazgos. \\n\\nOBJECTIVES\\nTo describe complete remission rates in patients with refractory or relapsed acute leukemia following the IDA-FLAG scheme, and establish the overall and event free survival, toxicity and duration of the complete remission. \\n\\nMETHODS\\nRetrospective analysis of patients over 15 years old. Discrete and continuous variables are described by using frequencies and measures of central tendency. Overall and event free survival were determined with the Kaplan-Meier method using the log-Rank test for comparison among categories. \\n\\nRESULTS\\nA total of 64 patients were included. There were no significant differences in the remission rate as regards sex, type of leukemia, or duration of the first remission. The toxicity was mainly hematological, and 100% of the patients had subsequent febrile neutropenia at the start of the treatment. The median overall survival was 5.83 months, and the event free survival was 79 days. Significant differences were …","author":[{"dropping-particle":"","family":"Enciso","given":"Leonardo José","non-dropping-particle":"","parse-names":false,"suffix":""},{"dropping-particle":"","family":"Carreño","given":"Jose Alexander","non-dropping-particle":"","parse-names":false,"suffix":""},{"dropping-particle":"","family":"Suárez","given":"Martha Leticia","non-dropping-particle":"","parse-names":false,"suffix":""},{"dropping-particle":"","family":"Bermúdez","given":"Carlos Daniel","non-dropping-particle":"","parse-names":false,"suffix":""},{"dropping-particle":"","family":"Arango","given":"Marcos","non-dropping-particle":"","parse-names":false,"suffix":""},{"dropping-particle":"","family":"Samudio","given":"Ismael","non-dropping-particle":"","parse-names":false,"suffix":""},{"dropping-particle":"","family":"Vélez","given":"Juliana","non-dropping-particle":"","parse-names":false,"suffix":""},{"dropping-particle":"","family":"Alcalá","given":"Sebastián","non-dropping-particle":"","parse-names":false,"suffix":""}],"container-title":"Revista Colombiana de Cancerología","id":"ITEM-1","issue":"2","issued":{"date-parts":[["2014"]]},"page":"53-61","title":"Tratamiento de rescate de leucemia aguda refractaria o en recaída con el régimen IDA-FLAG: experiencia en la rutina de los servicios","type":"article-journal","volume":"18"},"uris":["http://www.mendeley.com/documents/?uuid=4c1c40d3-df35-4522-a378-62f549569ba3"]}],"mendeley":{"formattedCitation":"(47)","plainTextFormattedCitation":"(47)","previouslyFormattedCitation":"(47)"},"properties":{"noteIndex":0},"schema":"https://github.com/citation-style-language/schema/raw/master/csl-citation.json"}</w:instrText>
      </w:r>
      <w:r w:rsidR="00415C49">
        <w:rPr>
          <w:rFonts w:ascii="Arial" w:eastAsia="Times New Roman" w:hAnsi="Arial" w:cs="Arial"/>
          <w:sz w:val="20"/>
          <w:szCs w:val="20"/>
        </w:rPr>
        <w:fldChar w:fldCharType="separate"/>
      </w:r>
      <w:r w:rsidR="00211D19" w:rsidRPr="00211D19">
        <w:rPr>
          <w:rFonts w:ascii="Arial" w:eastAsia="Times New Roman" w:hAnsi="Arial" w:cs="Arial"/>
          <w:noProof/>
          <w:sz w:val="20"/>
          <w:szCs w:val="20"/>
        </w:rPr>
        <w:t>(47)</w:t>
      </w:r>
      <w:r w:rsidR="00415C49">
        <w:rPr>
          <w:rFonts w:ascii="Arial" w:eastAsia="Times New Roman" w:hAnsi="Arial" w:cs="Arial"/>
          <w:sz w:val="20"/>
          <w:szCs w:val="20"/>
        </w:rPr>
        <w:fldChar w:fldCharType="end"/>
      </w:r>
      <w:r w:rsidR="00EA4332" w:rsidRPr="00EA4332">
        <w:rPr>
          <w:rFonts w:ascii="Arial" w:eastAsia="Times New Roman" w:hAnsi="Arial" w:cs="Arial"/>
          <w:sz w:val="20"/>
          <w:szCs w:val="20"/>
        </w:rPr>
        <w:t>.</w:t>
      </w:r>
    </w:p>
    <w:p w14:paraId="4EA4BD06" w14:textId="77777777" w:rsidR="00FC4FF7" w:rsidRDefault="00FC4FF7"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eastAsia="Times New Roman" w:hAnsi="Arial" w:cs="Arial"/>
          <w:sz w:val="20"/>
          <w:szCs w:val="20"/>
        </w:rPr>
      </w:pPr>
    </w:p>
    <w:p w14:paraId="20F46D84" w14:textId="6442A251" w:rsidR="00FC4FF7" w:rsidRPr="00577678" w:rsidRDefault="00FC4FF7" w:rsidP="00FC4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r w:rsidRPr="00577678">
        <w:rPr>
          <w:rFonts w:ascii="Arial" w:hAnsi="Arial" w:cs="Arial"/>
          <w:color w:val="000000"/>
          <w:sz w:val="20"/>
          <w:szCs w:val="20"/>
          <w:lang w:val="es-ES"/>
        </w:rPr>
        <w:t>En pacientes con múltiples recaídas, la toxicidad es una limitante y las tasas de respuestas no son buenas. Bajo esta perspectiva, esquemas de rescate en monot</w:t>
      </w:r>
      <w:r w:rsidR="00052F1A">
        <w:rPr>
          <w:rFonts w:ascii="Arial" w:hAnsi="Arial" w:cs="Arial"/>
          <w:color w:val="000000"/>
          <w:sz w:val="20"/>
          <w:szCs w:val="20"/>
          <w:lang w:val="es-ES"/>
        </w:rPr>
        <w:t>erapia han sido contemplados como</w:t>
      </w:r>
      <w:r w:rsidR="000B75EB">
        <w:rPr>
          <w:rFonts w:ascii="Arial" w:hAnsi="Arial" w:cs="Arial"/>
          <w:color w:val="000000"/>
          <w:sz w:val="20"/>
          <w:szCs w:val="20"/>
          <w:lang w:val="es-ES"/>
        </w:rPr>
        <w:t xml:space="preserve"> </w:t>
      </w:r>
      <w:r w:rsidRPr="00577678">
        <w:rPr>
          <w:rFonts w:ascii="Arial" w:hAnsi="Arial" w:cs="Arial"/>
          <w:color w:val="000000"/>
          <w:sz w:val="20"/>
          <w:szCs w:val="20"/>
          <w:lang w:val="es-ES"/>
        </w:rPr>
        <w:t>Vinorelbin</w:t>
      </w:r>
      <w:r>
        <w:rPr>
          <w:rFonts w:ascii="Arial" w:hAnsi="Arial" w:cs="Arial"/>
          <w:color w:val="000000"/>
          <w:sz w:val="20"/>
          <w:szCs w:val="20"/>
          <w:lang w:val="es-ES"/>
        </w:rPr>
        <w:t>e, Clofarabina, Nelarabine, T</w:t>
      </w:r>
      <w:r w:rsidRPr="00577678">
        <w:rPr>
          <w:rFonts w:ascii="Arial" w:hAnsi="Arial" w:cs="Arial"/>
          <w:color w:val="000000"/>
          <w:sz w:val="20"/>
          <w:szCs w:val="20"/>
          <w:lang w:val="es-ES"/>
        </w:rPr>
        <w:t>opotecan, vincristina liposomal, con tasas de respuesta que no superan el 20%</w:t>
      </w:r>
      <w:r w:rsidR="00415C49">
        <w:rPr>
          <w:rFonts w:ascii="Arial" w:hAnsi="Arial" w:cs="Arial"/>
          <w:color w:val="000000"/>
          <w:sz w:val="20"/>
          <w:szCs w:val="20"/>
          <w:lang w:val="es-ES"/>
        </w:rPr>
        <w:fldChar w:fldCharType="begin" w:fldLock="1"/>
      </w:r>
      <w:r w:rsidR="00552232">
        <w:rPr>
          <w:rFonts w:ascii="Arial" w:hAnsi="Arial" w:cs="Arial"/>
          <w:color w:val="000000"/>
          <w:sz w:val="20"/>
          <w:szCs w:val="20"/>
          <w:lang w:val="es-ES"/>
        </w:rPr>
        <w:instrText>ADDIN CSL_CITATION {"citationItems":[{"id":"ITEM-1","itemData":{"DOI":"10.1038/bcj.2017.53","ISSN":"20445385","abstract":"Acute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journal","id":"ITEM-1","issue":"6","issued":{"date-parts":[["2017"]]},"page":"e577","title":"Acute lymphoblastic leukemia: a comprehensive review and 2017 update","type":"article-journal","volume":"7"},"uris":["http://www.mendeley.com/documents/?uuid=17337d9b-8837-4c6e-9832-47e254d34ef1"]},{"id":"ITEM-2","itemData":{"DOI":"10.1200/JCO.2012.46.2309","ISSN":"0732183X","abstract":"Purpose Relapsed adult acute lymphoblastic leukemia (ALL) is associated with high reinduction mortality, chemotherapy resistance, and rapid progression leading to death. Vincristine sulfate liposome injection (VSLI), sphingomyelin and cholesterol nanoparticle vincristine (VCR), facilitates VCR dose-intensification and densification plus enhances target tissue delivery. We evaluated highdose VSLI monotherapy in adults with Philadelphia chromosome (Ph) -negative ALL that was multiply relapsed, relapsed and refractory to reinduction, and/or relapsed after hematopoietic cell transplantation (HCT). Patients and Methods Sixty-five adults with Ph-negative ALL in second or greater relapse or whose disease had progressed following two or more leukemia therapies were treated in this pivotal phase II, multinational trial. Intravenous VSLI 2.25 mg/m2, without dose capping, was administered once per week until response, progression, toxicity, or pursuit of HCT. The primary end point was achievement of complete response (CR) or CR with incomplete hematologic recovery (CRi). Results The CR/CRi rate was 20% and overall response rate was 35%. VSLI monotherapy was effective as third-, fourth-, and fifth-line therapy and in patients refractory to other single- and multiagent reinduction therapies. Median CR/CRi duration was 23 weeks (range, 5 to 66 weeks); 12 patients bridged to a post-VSLI HCT, and five patients were long-term survivors. VSLI was generally well tolerated and associated with a low 30-day mortality rate (12%). Conclusion High-dose VSLI monotherapy resulted in meaningful clinical outcomes including durable responses and bridging to HCT in advanced ALL settings. The toxicity profile of VSLI was predictable, manageable, and comparable to standard VCR despite the delivery of large, normally unachievable, individual and cumulative doses of VCR. © 2012 by American Society of Clinical Oncology.","author":[{"dropping-particle":"","family":"O'Brien","given":"Susan","non-dropping-particle":"","parse-names":false,"suffix":""},{"dropping-particle":"","family":"Schiller","given":"Gary","non-dropping-particle":"","parse-names":false,"suffix":""},{"dropping-particle":"","family":"Lister","given":"John","non-dropping-particle":"","parse-names":false,"suffix":""},{"dropping-particle":"","family":"Damon","given":"Lloyd","non-dropping-particle":"","parse-names":false,"suffix":""},{"dropping-particle":"","family":"Goldberg","given":"Stuart","non-dropping-particle":"","parse-names":false,"suffix":""},{"dropping-particle":"","family":"Aulitzky","given":"Walter","non-dropping-particle":"","parse-names":false,"suffix":""},{"dropping-particle":"","family":"Ben-Yehuda","given":"Dina","non-dropping-particle":"","parse-names":false,"suffix":""},{"dropping-particle":"","family":"Stock","given":"Wendy","non-dropping-particle":"","parse-names":false,"suffix":""},{"dropping-particle":"","family":"Coutre","given":"Steven","non-dropping-particle":"","parse-names":false,"suffix":""},{"dropping-particle":"","family":"Douer","given":"Dan","non-dropping-particle":"","parse-names":false,"suffix":""},{"dropping-particle":"","family":"Heffner","given":"Leonard T.","non-dropping-particle":"","parse-names":false,"suffix":""},{"dropping-particle":"","family":"Larson","given":"Melissa","non-dropping-particle":"","parse-names":false,"suffix":""},{"dropping-particle":"","family":"Seiter","given":"Karen","non-dropping-particle":"","parse-names":false,"suffix":""},{"dropping-particle":"","family":"Smith","given":"Scott","non-dropping-particle":"","parse-names":false,"suffix":""},{"dropping-particle":"","family":"Assouline","given":"Sarit","non-dropping-particle":"","parse-names":false,"suffix":""},{"dropping-particle":"","family":"Kuriakose","given":"Philip","non-dropping-particle":"","parse-names":false,"suffix":""},{"dropping-particle":"","family":"Maness","given":"Lori","non-dropping-particle":"","parse-names":false,"suffix":""},{"dropping-particle":"","family":"Nagler","given":"Arnon","non-dropping-particle":"","parse-names":false,"suffix":""},{"dropping-particle":"","family":"Rowe","given":"Jacob","non-dropping-particle":"","parse-names":false,"suffix":""},{"dropping-particle":"","family":"Schaich","given":"Markus","non-dropping-particle":"","parse-names":false,"suffix":""},{"dropping-particle":"","family":"Shpilberg","given":"Ofer","non-dropping-particle":"","parse-names":false,"suffix":""},{"dropping-particle":"","family":"Yee","given":"Karen","non-dropping-particle":"","parse-names":false,"suffix":""},{"dropping-particle":"","family":"Schmieder","given":"Guenter","non-dropping-particle":"","parse-names":false,"suffix":""},{"dropping-particle":"","family":"Silverman","given":"Jeffrey A.","non-dropping-particle":"","parse-names":false,"suffix":""},{"dropping-particle":"","family":"Thomas","given":"Deborah","non-dropping-particle":"","parse-names":false,"suffix":""},{"dropping-particle":"","family":"Deitcher","given":"Steven R.","non-dropping-particle":"","parse-names":false,"suffix":""},{"dropping-particle":"","family":"Kantarjian","given":"Hagop","non-dropping-particle":"","parse-names":false,"suffix":""}],"container-title":"Journal of Clinical Oncology","id":"ITEM-2","issue":"6","issued":{"date-parts":[["2013"]]},"page":"676-683","title":"High-dose vincristine sulfate liposome injection for advanced, relapsed, and refractory adult philadelphia chromosome-negative acute lymphoblastic leukemia","type":"article-journal","volume":"31"},"uris":["http://www.mendeley.com/documents/?uuid=35125d22-3ca2-4024-947e-9b8c417bef26"]}],"mendeley":{"formattedCitation":"(2,48)","plainTextFormattedCitation":"(2,48)","previouslyFormattedCitation":"(2,48)"},"properties":{"noteIndex":0},"schema":"https://github.com/citation-style-language/schema/raw/master/csl-citation.json"}</w:instrText>
      </w:r>
      <w:r w:rsidR="00415C49">
        <w:rPr>
          <w:rFonts w:ascii="Arial" w:hAnsi="Arial" w:cs="Arial"/>
          <w:color w:val="000000"/>
          <w:sz w:val="20"/>
          <w:szCs w:val="20"/>
          <w:lang w:val="es-ES"/>
        </w:rPr>
        <w:fldChar w:fldCharType="separate"/>
      </w:r>
      <w:r w:rsidR="00AF3C39" w:rsidRPr="00AF3C39">
        <w:rPr>
          <w:rFonts w:ascii="Arial" w:hAnsi="Arial" w:cs="Arial"/>
          <w:noProof/>
          <w:color w:val="000000"/>
          <w:sz w:val="20"/>
          <w:szCs w:val="20"/>
          <w:lang w:val="es-ES"/>
        </w:rPr>
        <w:t>(2,48)</w:t>
      </w:r>
      <w:r w:rsidR="00415C49">
        <w:rPr>
          <w:rFonts w:ascii="Arial" w:hAnsi="Arial" w:cs="Arial"/>
          <w:color w:val="000000"/>
          <w:sz w:val="20"/>
          <w:szCs w:val="20"/>
          <w:lang w:val="es-ES"/>
        </w:rPr>
        <w:fldChar w:fldCharType="end"/>
      </w:r>
      <w:r w:rsidRPr="00577678">
        <w:rPr>
          <w:rFonts w:ascii="Arial" w:hAnsi="Arial" w:cs="Arial"/>
          <w:color w:val="000000"/>
          <w:sz w:val="20"/>
          <w:szCs w:val="20"/>
          <w:lang w:val="es-ES"/>
        </w:rPr>
        <w:t>.</w:t>
      </w:r>
    </w:p>
    <w:p w14:paraId="5C1A2EBA" w14:textId="77777777" w:rsidR="00156134" w:rsidRDefault="00156134"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737F843D" w14:textId="77777777" w:rsidR="00264753" w:rsidRDefault="00156134"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r>
        <w:rPr>
          <w:rFonts w:ascii="Arial" w:hAnsi="Arial" w:cs="Arial"/>
          <w:sz w:val="20"/>
          <w:szCs w:val="20"/>
          <w:lang w:val="es-ES"/>
        </w:rPr>
        <w:lastRenderedPageBreak/>
        <w:t xml:space="preserve">La proporción de mutación T315I </w:t>
      </w:r>
      <w:r w:rsidR="00E67516">
        <w:rPr>
          <w:rFonts w:ascii="Arial" w:hAnsi="Arial" w:cs="Arial"/>
          <w:sz w:val="20"/>
          <w:szCs w:val="20"/>
          <w:lang w:val="es-ES"/>
        </w:rPr>
        <w:t>del BCR/ABL1 en LLA Ph+ es cercana al 75% en</w:t>
      </w:r>
      <w:r>
        <w:rPr>
          <w:rFonts w:ascii="Arial" w:hAnsi="Arial" w:cs="Arial"/>
          <w:sz w:val="20"/>
          <w:szCs w:val="20"/>
          <w:lang w:val="es-ES"/>
        </w:rPr>
        <w:t xml:space="preserve"> los pacientes que recaen después de haber sido tratados con protocolos basados en dasatinib</w:t>
      </w:r>
      <w:r w:rsidR="00415C49">
        <w:rPr>
          <w:rFonts w:ascii="Arial" w:hAnsi="Arial" w:cs="Arial"/>
          <w:sz w:val="20"/>
          <w:szCs w:val="20"/>
          <w:lang w:val="es-ES"/>
        </w:rPr>
        <w:fldChar w:fldCharType="begin" w:fldLock="1"/>
      </w:r>
      <w:r w:rsidR="006A29E5">
        <w:rPr>
          <w:rFonts w:ascii="Arial" w:hAnsi="Arial" w:cs="Arial"/>
          <w:sz w:val="20"/>
          <w:szCs w:val="20"/>
          <w:lang w:val="es-ES"/>
        </w:rPr>
        <w:instrText>ADDIN CSL_CITATION {"citationItems":[{"id":"ITEM-1","itemData":{"DOI":"10.1182/blood-2009-12-261586","ISBN":"2009122615","ISSN":"15280020","abstract":"The combination of cytotoxic chemotherapy and imatinib has improved the outcome for patients with Philadelphia chromosome-positive (Ph + ) acute lymphoblastic leukemia (ALL). Dasatinib has significant clinical activity in patients with imatinib resistance. We examined the efficacy and safety of combining chemotherapy with dasatinib for patients with Ph + ALL. Newly diagnosed patients received dasatinib 50 mg by mouth twice per day (or 100 mg daily) for the first 14 days of each of 8 cycles of alternating hyper-CVAD, and high-dose cytarabine and methotrexate. Patients in complete remission received maintenance daily dasatinib and monthly vincristine and prednisone for 2 years, followed by dasatinib indefinitely. Thirty-five patients with untreated Ph + ALL with a median age of 53 years (range, 21-79 years) were treated; 33 patients (94%) achieved complete remission. Two patients died of infections before response assessment. Grade 3 and 4 adverse events included hemorrhage and pleural and pericardial effusions. With a median follow-up of 14 months (range, 4-37 months), the median disease-free survival and median overall survival have not been reached, with an estimated 2-year survival of 64%. The combination of chemotherapy with dasatinib is effective in achieving long-term remissions in patients with newly diagnosed Ph + ALL. This study was registered at www.ClinicalTrials.gov as NCT00390793. © 2010 by The American Society of Hematology.","author":[{"dropping-particle":"","family":"Ravandi","given":"Farhad","non-dropping-particle":"","parse-names":false,"suffix":""},{"dropping-particle":"","family":"O'Brien","given":"Susan","non-dropping-particle":"","parse-names":false,"suffix":""},{"dropping-particle":"","family":"Thomas","given":"Deborah","non-dropping-particle":"","parse-names":false,"suffix":""},{"dropping-particle":"","family":"Faderl","given":"Stefan","non-dropping-particle":"","parse-names":false,"suffix":""},{"dropping-particle":"","family":"Jones","given":"Dan","non-dropping-particle":"","parse-names":false,"suffix":""},{"dropping-particle":"","family":"Garris","given":"Rebecca","non-dropping-particle":"","parse-names":false,"suffix":""},{"dropping-particle":"","family":"Dara","given":"Samuel","non-dropping-particle":"","parse-names":false,"suffix":""},{"dropping-particle":"","family":"Jorgensen","given":"Jeffrey","non-dropping-particle":"","parse-names":false,"suffix":""},{"dropping-particle":"","family":"Kebriaei","given":"Partow","non-dropping-particle":"","parse-names":false,"suffix":""},{"dropping-particle":"","family":"Champlin","given":"Richard","non-dropping-particle":"","parse-names":false,"suffix":""},{"dropping-particle":"","family":"Borthakur","given":"Gautam","non-dropping-particle":"","parse-names":false,"suffix":""},{"dropping-particle":"","family":"Burger","given":"Jan","non-dropping-particle":"","parse-names":false,"suffix":""},{"dropping-particle":"","family":"Ferrajoli","given":"Alessandra","non-dropping-particle":"","parse-names":false,"suffix":""},{"dropping-particle":"","family":"Garcia-Manero","given":"Guillermo","non-dropping-particle":"","parse-names":false,"suffix":""},{"dropping-particle":"","family":"Wierda","given":"William","non-dropping-particle":"","parse-names":false,"suffix":""},{"dropping-particle":"","family":"Cortes","given":"Jorge","non-dropping-particle":"","parse-names":false,"suffix":""},{"dropping-particle":"","family":"Kantarjian","given":"Hagop","non-dropping-particle":"","parse-names":false,"suffix":""}],"container-title":"Blood","id":"ITEM-1","issue":"12","issued":{"date-parts":[["2010"]]},"page":"2070-2077","title":"First report of phase 2 study of dasatinib with hyper-CVAD for the frontline treatment of patients with Philadelphia chromosome-positive (Ph +) acute lymphoblastic leukemia","type":"article-journal","volume":"116"},"uris":["http://www.mendeley.com/documents/?uuid=77191c4f-3671-4aa7-b165-4aa9e71509f2"]},{"id":"ITEM-2","itemData":{"DOI":"10.1016/S2352-3026(18)30176-5","ISSN":"23523026","abstract":"Background: The combination of chemotherapy and ponatinib in Philadelphia chromosome-positive acute lymphoblastic leukaemia has the potential to be a new standard of care for the disease; however, long-term efficacy and safety data are needed. Our aim was to evaluate the long-term efficacy and safety of this regimen in patients with newly diagnosed Philadelphia chromosome-positive acute lymphoblastic leukaemia in this ongoing phase 2 trial. Methods: In our single-centre, phase 2, single-arm trial in the USA, adult patients with previously untreated Philadelphia chromosome-positive acute lymphoblastic leukaemia were sequentially enrolled. Eligible patients had newly diagnosed Philadelphia chromosome-positive acute lymphoblastic leukaemia, were aged 18 years or older, had an Eastern Cooperative Oncology Group performance status of 2 or less, a left ventricular ejection fraction above 50%, and adequate hepatic and renal function (serum bilirubin ≤3·0 mg/dL and serum creatinine ≤3·0 mg/dL, unless higher levels were believed to be due to leukaemia at the discretion of the investigator). Patients received eight cycles of 21 days, alternating between two drug combinations: hyper-fractionated cyclophosphamide, vincristine, doxorubicin, and dexamethasone (hyper-CVAD) and high-dose methotrexate and cytarabine. Ponatinib was given orally at 45 mg per day for the first 14 days of cycle 1 then continuously at 45 mg per day for the subsequent cycles. After 37 patients were treated, the protocol was amended to reduce the dose of ponatinib to 30 mg per day at cycle 2, with further reduction to 15 mg once a complete molecular response (defined as absence of quantifiable BCR-ABL1 transcripts) was achieved. Patients in complete remission received maintenance with ponatinib daily (30 mg or 15 mg) indefinitely, and with vincristine (2 mg intravenously on day 1) and prednisone (200 mg orally on days 1–5) monthly for 2 years. The primary endpoint was 3-year event-free survival in the intention-to-treat population. The trial is registered at ClinicalTrials.gov, number NCT01424982, and is ongoing and still enrolling patients. Findings: 76 patients with a median age of 47 years (IQR 39–61) were enrolled and treated between Nov 19, 2011, and April 4, 2018. The 3-year event-free survival was 70% (95% CI 56–80). The most common grade 3 or 4 adverse events were infection (n=65, 86%), increased transaminases (n=24, 32%), increased bilirubin (n=13, 17%), pancreatitis (n=13, 17%), hype…","author":[{"dropping-particle":"","family":"Jabbour","given":"Elias","non-dropping-particle":"","parse-names":false,"suffix":""},{"dropping-particle":"","family":"Short","given":"Nicholas J.","non-dropping-particle":"","parse-names":false,"suffix":""},{"dropping-particle":"","family":"Ravandi","given":"Farhad","non-dropping-particle":"","parse-names":false,"suffix":""},{"dropping-particle":"","family":"Huang","given":"Xuelin","non-dropping-particle":"","parse-names":false,"suffix":""},{"dropping-particle":"","family":"Daver","given":"Naval","non-dropping-particle":"","parse-names":false,"suffix":""},{"dropping-particle":"","family":"DiNardo","given":"Courtney D.","non-dropping-particle":"","parse-names":false,"suffix":""},{"dropping-particle":"","family":"Konopleva","given":"Marina","non-dropping-particle":"","parse-names":false,"suffix":""},{"dropping-particle":"","family":"Pemmaraju","given":"Naveen","non-dropping-particle":"","parse-names":false,"suffix":""},{"dropping-particle":"","family":"Wierda","given":"William","non-dropping-particle":"","parse-names":false,"suffix":""},{"dropping-particle":"","family":"Garcia-Manero","given":"Guillermo","non-dropping-particle":"","parse-names":false,"suffix":""},{"dropping-particle":"","family":"Sasaki","given":"Koji","non-dropping-particle":"","parse-names":false,"suffix":""},{"dropping-particle":"","family":"Cortes","given":"Jorge","non-dropping-particle":"","parse-names":false,"suffix":""},{"dropping-particle":"","family":"Garris","given":"Rebecca","non-dropping-particle":"","parse-names":false,"suffix":""},{"dropping-particle":"","family":"Khoury","given":"Joseph D.","non-dropping-particle":"","parse-names":false,"suffix":""},{"dropping-particle":"","family":"Jorgensen","given":"Jeffrey","non-dropping-particle":"","parse-names":false,"suffix":""},{"dropping-particle":"","family":"Jain","given":"Nitin","non-dropping-particle":"","parse-names":false,"suffix":""},{"dropping-particle":"","family":"Alvarez","given":"Joie","non-dropping-particle":"","parse-names":false,"suffix":""},{"dropping-particle":"","family":"O'Brien","given":"Susan","non-dropping-particle":"","parse-names":false,"suffix":""},{"dropping-particle":"","family":"Kantarjian","given":"Hagop","non-dropping-particle":"","parse-names":false,"suffix":""}],"container-title":"The Lancet Haematology","id":"ITEM-2","issue":"12","issued":{"date-parts":[["2018"]]},"page":"e618-e627","publisher":"Elsevier Ltd","title":"Combination of hyper-CVAD with ponatinib as first-line therapy for patients with Philadelphia chromosome-positive acute lymphoblastic leukaemia: long-term follow-up of a single-centre, phase 2 study","type":"article-journal","volume":"5"},"uris":["http://www.mendeley.com/documents/?uuid=4cce8449-a32b-4ad0-b33c-5d1930cebd3b"]}],"mendeley":{"formattedCitation":"(40,45)","plainTextFormattedCitation":"(40,45)","previouslyFormattedCitation":"(40,45)"},"properties":{"noteIndex":0},"schema":"https://github.com/citation-style-language/schema/raw/master/csl-citation.json"}</w:instrText>
      </w:r>
      <w:r w:rsidR="00415C49">
        <w:rPr>
          <w:rFonts w:ascii="Arial" w:hAnsi="Arial" w:cs="Arial"/>
          <w:sz w:val="20"/>
          <w:szCs w:val="20"/>
          <w:lang w:val="es-ES"/>
        </w:rPr>
        <w:fldChar w:fldCharType="separate"/>
      </w:r>
      <w:r w:rsidR="00716114" w:rsidRPr="00716114">
        <w:rPr>
          <w:rFonts w:ascii="Arial" w:hAnsi="Arial" w:cs="Arial"/>
          <w:noProof/>
          <w:sz w:val="20"/>
          <w:szCs w:val="20"/>
          <w:lang w:val="es-ES"/>
        </w:rPr>
        <w:t>(40,45)</w:t>
      </w:r>
      <w:r w:rsidR="00415C49">
        <w:rPr>
          <w:rFonts w:ascii="Arial" w:hAnsi="Arial" w:cs="Arial"/>
          <w:sz w:val="20"/>
          <w:szCs w:val="20"/>
          <w:lang w:val="es-ES"/>
        </w:rPr>
        <w:fldChar w:fldCharType="end"/>
      </w:r>
      <w:r w:rsidR="00716114">
        <w:rPr>
          <w:rFonts w:ascii="Arial" w:hAnsi="Arial" w:cs="Arial"/>
          <w:sz w:val="20"/>
          <w:szCs w:val="20"/>
          <w:lang w:val="es-ES"/>
        </w:rPr>
        <w:t xml:space="preserve">. </w:t>
      </w:r>
      <w:r w:rsidR="00264753">
        <w:rPr>
          <w:rFonts w:ascii="Arial" w:hAnsi="Arial" w:cs="Arial"/>
          <w:sz w:val="20"/>
          <w:szCs w:val="20"/>
          <w:lang w:val="es-ES"/>
        </w:rPr>
        <w:t xml:space="preserve">El PACE trial, </w:t>
      </w:r>
      <w:r w:rsidR="00E67516">
        <w:rPr>
          <w:rFonts w:ascii="Arial" w:hAnsi="Arial" w:cs="Arial"/>
          <w:sz w:val="20"/>
          <w:szCs w:val="20"/>
          <w:lang w:val="es-ES"/>
        </w:rPr>
        <w:t xml:space="preserve">es </w:t>
      </w:r>
      <w:r w:rsidR="00264753">
        <w:rPr>
          <w:rFonts w:ascii="Arial" w:hAnsi="Arial" w:cs="Arial"/>
          <w:sz w:val="20"/>
          <w:szCs w:val="20"/>
          <w:lang w:val="es-ES"/>
        </w:rPr>
        <w:t xml:space="preserve">un ensayo clínico fase 2, </w:t>
      </w:r>
      <w:r w:rsidR="00E67516">
        <w:rPr>
          <w:rFonts w:ascii="Arial" w:hAnsi="Arial" w:cs="Arial"/>
          <w:sz w:val="20"/>
          <w:szCs w:val="20"/>
          <w:lang w:val="es-ES"/>
        </w:rPr>
        <w:t xml:space="preserve">publicado en 2018 </w:t>
      </w:r>
      <w:r w:rsidR="00264753">
        <w:rPr>
          <w:rFonts w:ascii="Arial" w:hAnsi="Arial" w:cs="Arial"/>
          <w:sz w:val="20"/>
          <w:szCs w:val="20"/>
          <w:lang w:val="es-ES"/>
        </w:rPr>
        <w:t xml:space="preserve">que buscaba evaluar la eficacia del Ponatinib en leucemias Ph+ (tanto leucemia mieloide crónica, como LLA Ph+), resistentes o intolerantes a dasatinib, o nilotinib, o pacientes con mutación de BCR/ABL1 T315I. </w:t>
      </w:r>
      <w:r w:rsidR="00264753" w:rsidRPr="00264753">
        <w:rPr>
          <w:rFonts w:ascii="Arial" w:hAnsi="Arial" w:cs="Arial"/>
          <w:color w:val="000000"/>
          <w:sz w:val="20"/>
          <w:szCs w:val="20"/>
          <w:lang w:val="es-ES"/>
        </w:rPr>
        <w:t xml:space="preserve">Dentro de los pacientes incluidos, se analizaron los datos de 32 pacientes con LLA Ph+, de los cuales 10 habían sido intolerantes a los ITQ en mención y 22 </w:t>
      </w:r>
      <w:r w:rsidR="00E67516" w:rsidRPr="00264753">
        <w:rPr>
          <w:rFonts w:ascii="Arial" w:hAnsi="Arial" w:cs="Arial"/>
          <w:color w:val="000000"/>
          <w:sz w:val="20"/>
          <w:szCs w:val="20"/>
          <w:lang w:val="es-ES"/>
        </w:rPr>
        <w:t>tenía</w:t>
      </w:r>
      <w:r w:rsidR="00E67516">
        <w:rPr>
          <w:rFonts w:ascii="Arial" w:hAnsi="Arial" w:cs="Arial"/>
          <w:color w:val="000000"/>
          <w:sz w:val="20"/>
          <w:szCs w:val="20"/>
          <w:lang w:val="es-ES"/>
        </w:rPr>
        <w:t>n</w:t>
      </w:r>
      <w:r w:rsidR="00264753" w:rsidRPr="00264753">
        <w:rPr>
          <w:rFonts w:ascii="Arial" w:hAnsi="Arial" w:cs="Arial"/>
          <w:color w:val="000000"/>
          <w:sz w:val="20"/>
          <w:szCs w:val="20"/>
          <w:lang w:val="es-ES"/>
        </w:rPr>
        <w:t xml:space="preserve"> documentada la mutación T315I. La mediana de periodo libre de enfermedad fue de 3,0 meses, y la supervivencia global a 3 años fue del 12%. La respuesta citogenética mayor y respuesta citogenética completa se alcanzaron en el 47% y 38% respectivamente</w:t>
      </w:r>
      <w:r w:rsidR="00E67516">
        <w:rPr>
          <w:rFonts w:ascii="Arial" w:hAnsi="Arial" w:cs="Arial"/>
          <w:color w:val="000000"/>
          <w:sz w:val="20"/>
          <w:szCs w:val="20"/>
          <w:lang w:val="es-ES"/>
        </w:rPr>
        <w:t xml:space="preserve">. No hubo diferencias significativas entre los pacientes intolerantes, resistentes o portadores de la mutación T315Ien términos de respuesta </w:t>
      </w:r>
      <w:r w:rsidR="00415C49">
        <w:rPr>
          <w:rFonts w:ascii="Arial" w:hAnsi="Arial" w:cs="Arial"/>
          <w:color w:val="000000"/>
          <w:sz w:val="20"/>
          <w:szCs w:val="20"/>
          <w:lang w:val="es-ES"/>
        </w:rPr>
        <w:fldChar w:fldCharType="begin" w:fldLock="1"/>
      </w:r>
      <w:r w:rsidR="00552232">
        <w:rPr>
          <w:rFonts w:ascii="Arial" w:hAnsi="Arial" w:cs="Arial"/>
          <w:color w:val="000000"/>
          <w:sz w:val="20"/>
          <w:szCs w:val="20"/>
          <w:lang w:val="es-ES"/>
        </w:rPr>
        <w:instrText>ADDIN CSL_CITATION {"citationItems":[{"id":"ITEM-1","itemData":{"DOI":"10.1182/blood-2016-09-739086","ISSN":"15280020","abstract":"Copyright 2011 by The American Society of Hematology; all rights reserved. Ponatinib has potent activity against native and mutant BCR-ABL1, including BCR-ABL1T315I. The pivotal phase 2 Ponatinib Ph1 ALL and CML Evaluation (PACE) trial evaluated efficacy and safety of ponatinib at a starting dose of 45 mg once daily in 449 patients with chronic myeloid leukemia (CML) or Philadelphia chromosome–positive acute lymphoblastic leukemia (ALL) resistant/intolerant to dasatinib or nilotinib, or with BCR-ABL1T315I. This analysis focuses on chronic-phase CML (CP-CML) patients (n 5 270) with 56.8-month median follow-up. Among 267 evaluable patients, 60%, 40%, and 24% achieved major cytogenetic response (MCyR), major molecular response (MMR), and 4.5-log molecular response, respectively. The probability of maintaining MCyR for 5 years was 82% among responders. Dose reductions were implemented in October 2013 to decrease the risk of arterial occlusive events (AOEs); ‡90% of CP-CML patients who had achieved MCyR or MMR maintained response 40 months after elective dose reductions. Estimated 5-year overall survival was 73%. In CP-CML patients, the most common treatment-emergent adverse events were rash (47%), abdominal pain (46%), thrombocytopenia (46%), headache (43%), dry skin (42%), and constipation (41%). The cumulative incidence of AOEs in CP-CML patients increased over time to 31%, while the exposure-adjusted incidence of new AOEs (15.8 and 4.9 per 100 patient-years in years 1 and 5, respectively) did not increase over time. These final PACE results demonstrate ponatinib provides durable and clinically meaningful responses, irrespective of dose reductions, in this population of heavily pretreated CP-CML patients. This trial was registered at www.clinicaltrials.gov as #NCT01207440.","author":[{"dropping-particle":"","family":"Cortes","given":"Jorge E.","non-dropping-particle":"","parse-names":false,"suffix":""},{"dropping-particle":"","family":"Kim","given":"Dong Wook","non-dropping-particle":"","parse-names":false,"suffix":""},{"dropping-particle":"","family":"Pinilla-Ibarz","given":"Javier","non-dropping-particle":"","parse-names":false,"suffix":""},{"dropping-particle":"","family":"Coutre","given":"Philipp D.","non-dropping-particle":"le","parse-names":false,"suffix":""},{"dropping-particle":"","family":"Paquette","given":"Ronald","non-dropping-particle":"","parse-names":false,"suffix":""},{"dropping-particle":"","family":"Chuah","given":"Charles","non-dropping-particle":"","parse-names":false,"suffix":""},{"dropping-particle":"","family":"Nicolini","given":"Franck E.","non-dropping-particle":"","parse-names":false,"suffix":""},{"dropping-particle":"","family":"Apperley","given":"Jane F.","non-dropping-particle":"","parse-names":false,"suffix":""},{"dropping-particle":"","family":"Khoury","given":"H. Jean","non-dropping-particle":"","parse-names":false,"suffix":""},{"dropping-particle":"","family":"Talpaz","given":"Moshe","non-dropping-particle":"","parse-names":false,"suffix":""},{"dropping-particle":"","family":"DeAngelo","given":"Daniel J.","non-dropping-particle":"","parse-names":false,"suffix":""},{"dropping-particle":"","family":"Abruzzese","given":"Elisabetta","non-dropping-particle":"","parse-names":false,"suffix":""},{"dropping-particle":"","family":"Rea","given":"Delphine","non-dropping-particle":"","parse-names":false,"suffix":""},{"dropping-particle":"","family":"Baccarani","given":"Michele","non-dropping-particle":"","parse-names":false,"suffix":""},{"dropping-particle":"","family":"Müller","given":"Martin C.","non-dropping-particle":"","parse-names":false,"suffix":""},{"dropping-particle":"","family":"Gambacorti-Passerini","given":"Carlo","non-dropping-particle":"","parse-names":false,"suffix":""},{"dropping-particle":"","family":"Lustgarten","given":"Stephanie","non-dropping-particle":"","parse-names":false,"suffix":""},{"dropping-particle":"","family":"Rivera","given":"Victor M.","non-dropping-particle":"","parse-names":false,"suffix":""},{"dropping-particle":"","family":"Haluska","given":"Frank G.","non-dropping-particle":"","parse-names":false,"suffix":""},{"dropping-particle":"","family":"Guilhot","given":"François","non-dropping-particle":"","parse-names":false,"suffix":""},{"dropping-particle":"","family":"Deininger","given":"Michael W.","non-dropping-particle":"","parse-names":false,"suffix":""},{"dropping-particle":"","family":"Hochhaus","given":"Andreas","non-dropping-particle":"","parse-names":false,"suffix":""},{"dropping-particle":"","family":"Hughes","given":"Timothy P.","non-dropping-particle":"","parse-names":false,"suffix":""},{"dropping-particle":"","family":"Shah","given":"Neil P.","non-dropping-particle":"","parse-names":false,"suffix":""},{"dropping-particle":"","family":"Kantarjian","given":"Hagop M.","non-dropping-particle":"","parse-names":false,"suffix":""}],"container-title":"Blood","id":"ITEM-1","issue":"4","issued":{"date-parts":[["2018"]]},"page":"393-404","title":"Ponatinib efficacy and safety in Philadelphia chromosome–positive leukemia: final 5-year results of the phase 2 PACE trial","type":"article-journal","volume":"132"},"uris":["http://www.mendeley.com/documents/?uuid=ca2345db-ee43-491f-8f33-2afc0fd22cee"]}],"mendeley":{"formattedCitation":"(49)","plainTextFormattedCitation":"(49)","previouslyFormattedCitation":"(49)"},"properties":{"noteIndex":0},"schema":"https://github.com/citation-style-language/schema/raw/master/csl-citation.json"}</w:instrText>
      </w:r>
      <w:r w:rsidR="00415C49">
        <w:rPr>
          <w:rFonts w:ascii="Arial" w:hAnsi="Arial" w:cs="Arial"/>
          <w:color w:val="000000"/>
          <w:sz w:val="20"/>
          <w:szCs w:val="20"/>
          <w:lang w:val="es-ES"/>
        </w:rPr>
        <w:fldChar w:fldCharType="separate"/>
      </w:r>
      <w:r w:rsidR="00AF3C39" w:rsidRPr="00AF3C39">
        <w:rPr>
          <w:rFonts w:ascii="Arial" w:hAnsi="Arial" w:cs="Arial"/>
          <w:noProof/>
          <w:color w:val="000000"/>
          <w:sz w:val="20"/>
          <w:szCs w:val="20"/>
          <w:lang w:val="es-ES"/>
        </w:rPr>
        <w:t>(49)</w:t>
      </w:r>
      <w:r w:rsidR="00415C49">
        <w:rPr>
          <w:rFonts w:ascii="Arial" w:hAnsi="Arial" w:cs="Arial"/>
          <w:color w:val="000000"/>
          <w:sz w:val="20"/>
          <w:szCs w:val="20"/>
          <w:lang w:val="es-ES"/>
        </w:rPr>
        <w:fldChar w:fldCharType="end"/>
      </w:r>
      <w:r w:rsidR="00264753" w:rsidRPr="00264753">
        <w:rPr>
          <w:rFonts w:ascii="Arial" w:hAnsi="Arial" w:cs="Arial"/>
          <w:color w:val="000000"/>
          <w:sz w:val="20"/>
          <w:szCs w:val="20"/>
          <w:lang w:val="es-ES"/>
        </w:rPr>
        <w:t>.</w:t>
      </w:r>
    </w:p>
    <w:p w14:paraId="7E00FCDC" w14:textId="77777777" w:rsidR="001C753A" w:rsidRDefault="001C753A"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p>
    <w:p w14:paraId="06F188EC" w14:textId="77777777" w:rsidR="001C753A" w:rsidRDefault="001C753A"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r>
        <w:rPr>
          <w:rFonts w:ascii="Arial" w:hAnsi="Arial" w:cs="Arial"/>
          <w:color w:val="000000"/>
          <w:sz w:val="20"/>
          <w:szCs w:val="20"/>
          <w:lang w:val="es-ES"/>
        </w:rPr>
        <w:t xml:space="preserve">A pesar de la modesta actividad de los agentes citotóxicos para alcanzar respuesta completa y por ende mejorar la supervivencia, la esperanza de los pacientes recaídos / refractarios </w:t>
      </w:r>
      <w:r w:rsidR="00403F96">
        <w:rPr>
          <w:rFonts w:ascii="Arial" w:hAnsi="Arial" w:cs="Arial"/>
          <w:color w:val="000000"/>
          <w:sz w:val="20"/>
          <w:szCs w:val="20"/>
          <w:lang w:val="es-ES"/>
        </w:rPr>
        <w:t>continúa</w:t>
      </w:r>
      <w:r>
        <w:rPr>
          <w:rFonts w:ascii="Arial" w:hAnsi="Arial" w:cs="Arial"/>
          <w:color w:val="000000"/>
          <w:sz w:val="20"/>
          <w:szCs w:val="20"/>
          <w:lang w:val="es-ES"/>
        </w:rPr>
        <w:t xml:space="preserve"> siendo el trasplante alogénico. Sin </w:t>
      </w:r>
      <w:r w:rsidR="00403F96">
        <w:rPr>
          <w:rFonts w:ascii="Arial" w:hAnsi="Arial" w:cs="Arial"/>
          <w:color w:val="000000"/>
          <w:sz w:val="20"/>
          <w:szCs w:val="20"/>
          <w:lang w:val="es-ES"/>
        </w:rPr>
        <w:t>embargo,</w:t>
      </w:r>
      <w:r>
        <w:rPr>
          <w:rFonts w:ascii="Arial" w:hAnsi="Arial" w:cs="Arial"/>
          <w:color w:val="000000"/>
          <w:sz w:val="20"/>
          <w:szCs w:val="20"/>
          <w:lang w:val="es-ES"/>
        </w:rPr>
        <w:t xml:space="preserve"> el advenimiento de los anticuerpos monoclonales y la terapia celular han </w:t>
      </w:r>
      <w:r w:rsidR="00AF3C39">
        <w:rPr>
          <w:rFonts w:ascii="Arial" w:hAnsi="Arial" w:cs="Arial"/>
          <w:color w:val="000000"/>
          <w:sz w:val="20"/>
          <w:szCs w:val="20"/>
          <w:lang w:val="es-ES"/>
        </w:rPr>
        <w:t xml:space="preserve">surgido como una luz al final del túnel para este tipo de pacientes. </w:t>
      </w:r>
    </w:p>
    <w:p w14:paraId="7B1E8917" w14:textId="77777777" w:rsidR="00AF3C39" w:rsidRDefault="00AF3C39"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p>
    <w:p w14:paraId="5D7E42DF" w14:textId="77777777" w:rsidR="00AF3C39" w:rsidRDefault="00AF3C39"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r w:rsidRPr="00AF3C39">
        <w:rPr>
          <w:rFonts w:ascii="Arial" w:hAnsi="Arial" w:cs="Arial"/>
          <w:color w:val="000000"/>
          <w:sz w:val="20"/>
          <w:szCs w:val="20"/>
          <w:lang w:val="es-ES"/>
        </w:rPr>
        <w:t>El antígeno de superficie CD19</w:t>
      </w:r>
      <w:r w:rsidR="00EA3058">
        <w:rPr>
          <w:rFonts w:ascii="Arial" w:hAnsi="Arial" w:cs="Arial"/>
          <w:color w:val="000000"/>
          <w:sz w:val="20"/>
          <w:szCs w:val="20"/>
          <w:lang w:val="es-ES"/>
        </w:rPr>
        <w:t>, se expresa en</w:t>
      </w:r>
      <w:r w:rsidRPr="00AF3C39">
        <w:rPr>
          <w:rFonts w:ascii="Arial" w:hAnsi="Arial" w:cs="Arial"/>
          <w:color w:val="000000"/>
          <w:sz w:val="20"/>
          <w:szCs w:val="20"/>
          <w:lang w:val="es-ES"/>
        </w:rPr>
        <w:t xml:space="preserve"> </w:t>
      </w:r>
      <w:r w:rsidR="00403F96" w:rsidRPr="00AF3C39">
        <w:rPr>
          <w:rFonts w:ascii="Arial" w:hAnsi="Arial" w:cs="Arial"/>
          <w:color w:val="000000"/>
          <w:sz w:val="20"/>
          <w:szCs w:val="20"/>
          <w:lang w:val="es-ES"/>
        </w:rPr>
        <w:t>más</w:t>
      </w:r>
      <w:r w:rsidRPr="00AF3C39">
        <w:rPr>
          <w:rFonts w:ascii="Arial" w:hAnsi="Arial" w:cs="Arial"/>
          <w:color w:val="000000"/>
          <w:sz w:val="20"/>
          <w:szCs w:val="20"/>
          <w:lang w:val="es-ES"/>
        </w:rPr>
        <w:t xml:space="preserve"> del 90% de los blastos linfoides de precursores B </w:t>
      </w:r>
      <w:r w:rsidR="00415C49" w:rsidRPr="00AF3C39">
        <w:rPr>
          <w:rFonts w:ascii="Arial" w:hAnsi="Arial" w:cs="Arial"/>
          <w:color w:val="000000"/>
          <w:sz w:val="20"/>
          <w:szCs w:val="20"/>
          <w:lang w:val="es-ES"/>
        </w:rPr>
        <w:fldChar w:fldCharType="begin" w:fldLock="1"/>
      </w:r>
      <w:r w:rsidR="00552232">
        <w:rPr>
          <w:rFonts w:ascii="Arial" w:hAnsi="Arial" w:cs="Arial"/>
          <w:color w:val="000000"/>
          <w:sz w:val="20"/>
          <w:szCs w:val="20"/>
          <w:lang w:val="es-ES"/>
        </w:rPr>
        <w:instrText>ADDIN CSL_CITATION {"citationItems":[{"id":"ITEM-1","itemData":{"DOI":"10.1182/blood-2016-03-643544.The","ISBN":"2016036435","abstract":"The World Health Organization (WHO) classification of tumors of the hemato-poietic and lymphoid tissues was last updated in 2008. Since then, there have been numerous advances in the identifi-cation of unique biomarkers associated with some myeloid neoplasms and acute leukemias, largely derived from gene ex-pression analysis and next-generation sequencing that can significantly im-prove the diagnostic criteria as well as the prognostic relevance of entities cur-rently included in the WHO classification and that also suggest new entities that should be added. Therefore, there is a clear need for a revision to the current classification. The revisions to the cate-gories of myeloid neoplasms and acute leukemia will be published in a mono-graph in 2016 and reflect a consensus of opinion of hematopathologists, hema-tologists, oncologists, and geneticists. The 2016 edition represents a revision of the prior classification rather than an entirely new classification and at-tempts to incorporate new clinical, prog-nostic, morphologic, immunophenotypic, and genetic data that have emerged since the last edition. The major chan-ges in the classification and their ratio-nale are presented here. (Blood. 2016; 127(20):2391-2405)","author":[{"dropping-particle":"","family":"Vardiman","given":"James W","non-dropping-particle":"","parse-names":false,"suffix":""},{"dropping-particle":"","family":"Arber","given":"Daniel A","non-dropping-particle":"","parse-names":false,"suffix":""},{"dropping-particle":"","family":"Orazi","given":"Attilio","non-dropping-particle":"","parse-names":false,"suffix":""},{"dropping-particle":"","family":"Hasserjian","given":"Robert","non-dropping-particle":"","parse-names":false,"suffix":""},{"dropping-particle":"","family":"Borowitz","given":"Michael J","non-dropping-particle":"","parse-names":false,"suffix":""},{"dropping-particle":"Le","family":"Beau","given":"Michelle M","non-dropping-particle":"","parse-names":false,"suffix":""},{"dropping-particle":"","family":"Bloomfield","given":"Clara D","non-dropping-particle":"","parse-names":false,"suffix":""},{"dropping-particle":"","family":"Cazzola","given":"Mario","non-dropping-particle":"","parse-names":false,"suffix":""}],"container-title":"Blood","id":"ITEM-1","issue":"20","issued":{"date-parts":[["2016"]]},"page":"2391-2406","title":"The 2016 revision to the World Health Organization classi fi cation of myeloid neoplasms and acute leukemia","type":"article-journal","volume":"127"},"uris":["http://www.mendeley.com/documents/?uuid=25a34dfd-0cc0-4e2e-bcea-b4d17ccd2770"]}],"mendeley":{"formattedCitation":"(11)","plainTextFormattedCitation":"(11)","previouslyFormattedCitation":"(11)"},"properties":{"noteIndex":0},"schema":"https://github.com/citation-style-language/schema/raw/master/csl-citation.json"}</w:instrText>
      </w:r>
      <w:r w:rsidR="00415C49" w:rsidRPr="00AF3C39">
        <w:rPr>
          <w:rFonts w:ascii="Arial" w:hAnsi="Arial" w:cs="Arial"/>
          <w:color w:val="000000"/>
          <w:sz w:val="20"/>
          <w:szCs w:val="20"/>
          <w:lang w:val="es-ES"/>
        </w:rPr>
        <w:fldChar w:fldCharType="separate"/>
      </w:r>
      <w:r w:rsidRPr="00AF3C39">
        <w:rPr>
          <w:rFonts w:ascii="Arial" w:hAnsi="Arial" w:cs="Arial"/>
          <w:noProof/>
          <w:color w:val="000000"/>
          <w:sz w:val="20"/>
          <w:szCs w:val="20"/>
          <w:lang w:val="es-ES"/>
        </w:rPr>
        <w:t>(11)</w:t>
      </w:r>
      <w:r w:rsidR="00415C49" w:rsidRPr="00AF3C39">
        <w:rPr>
          <w:rFonts w:ascii="Arial" w:hAnsi="Arial" w:cs="Arial"/>
          <w:color w:val="000000"/>
          <w:sz w:val="20"/>
          <w:szCs w:val="20"/>
          <w:lang w:val="es-ES"/>
        </w:rPr>
        <w:fldChar w:fldCharType="end"/>
      </w:r>
      <w:r w:rsidRPr="00AF3C39">
        <w:rPr>
          <w:rFonts w:ascii="Arial" w:hAnsi="Arial" w:cs="Arial"/>
          <w:color w:val="000000"/>
          <w:sz w:val="20"/>
          <w:szCs w:val="20"/>
          <w:lang w:val="es-ES"/>
        </w:rPr>
        <w:t xml:space="preserve"> . El Blinatumomab es un anticuerpo bi-específico de célula T (</w:t>
      </w:r>
      <w:r w:rsidRPr="00F65143">
        <w:rPr>
          <w:rFonts w:ascii="Arial" w:hAnsi="Arial" w:cs="Arial"/>
          <w:color w:val="000000"/>
          <w:sz w:val="20"/>
          <w:szCs w:val="20"/>
          <w:lang w:val="es-CO"/>
        </w:rPr>
        <w:t xml:space="preserve">BiTE: </w:t>
      </w:r>
      <w:r w:rsidRPr="00F65143">
        <w:rPr>
          <w:rFonts w:ascii="Arial" w:hAnsi="Arial" w:cs="Arial"/>
          <w:sz w:val="20"/>
          <w:szCs w:val="20"/>
          <w:lang w:val="es-CO"/>
        </w:rPr>
        <w:t>bispecific T cell–engager</w:t>
      </w:r>
      <w:r>
        <w:rPr>
          <w:rFonts w:ascii="Arial" w:hAnsi="Arial" w:cs="Arial"/>
          <w:sz w:val="20"/>
          <w:szCs w:val="20"/>
          <w:lang w:val="es-ES"/>
        </w:rPr>
        <w:t xml:space="preserve">). El Blinatumomab se </w:t>
      </w:r>
      <w:r w:rsidR="00552232">
        <w:rPr>
          <w:rFonts w:ascii="Arial" w:hAnsi="Arial" w:cs="Arial"/>
          <w:sz w:val="20"/>
          <w:szCs w:val="20"/>
          <w:lang w:val="es-ES"/>
        </w:rPr>
        <w:t>une</w:t>
      </w:r>
      <w:r>
        <w:rPr>
          <w:rFonts w:ascii="Arial" w:hAnsi="Arial" w:cs="Arial"/>
          <w:sz w:val="20"/>
          <w:szCs w:val="20"/>
          <w:lang w:val="es-ES"/>
        </w:rPr>
        <w:t xml:space="preserve"> simultáneamente a los linfocitos T citotóxicos CD3 positivos y a la célula B tumoral blástica CD19 positiva, lo que le permite a la célula T endógena reconocer y eliminar los blastos CD19 positivos, a través d</w:t>
      </w:r>
      <w:r w:rsidR="00552232">
        <w:rPr>
          <w:rFonts w:ascii="Arial" w:hAnsi="Arial" w:cs="Arial"/>
          <w:sz w:val="20"/>
          <w:szCs w:val="20"/>
          <w:lang w:val="es-ES"/>
        </w:rPr>
        <w:t>e la liberación de gránulos de g</w:t>
      </w:r>
      <w:r>
        <w:rPr>
          <w:rFonts w:ascii="Arial" w:hAnsi="Arial" w:cs="Arial"/>
          <w:sz w:val="20"/>
          <w:szCs w:val="20"/>
          <w:lang w:val="es-ES"/>
        </w:rPr>
        <w:t xml:space="preserve">ranzima y perforinas de la célula T, produciendo un daño de membrana a la célula tumoral. </w:t>
      </w:r>
      <w:r w:rsidR="00552232">
        <w:rPr>
          <w:rFonts w:ascii="Arial" w:hAnsi="Arial" w:cs="Arial"/>
          <w:sz w:val="20"/>
          <w:szCs w:val="20"/>
          <w:lang w:val="es-ES"/>
        </w:rPr>
        <w:t xml:space="preserve">Mediante este mecanismo, los BiTE, pueden activar las células T citotóxicas del paciente para producir lisis de las células tumorales </w:t>
      </w:r>
      <w:r w:rsidR="00415C49">
        <w:rPr>
          <w:rFonts w:ascii="Arial" w:hAnsi="Arial" w:cs="Arial"/>
          <w:sz w:val="20"/>
          <w:szCs w:val="20"/>
          <w:lang w:val="es-ES"/>
        </w:rPr>
        <w:fldChar w:fldCharType="begin" w:fldLock="1"/>
      </w:r>
      <w:r w:rsidR="009D7805">
        <w:rPr>
          <w:rFonts w:ascii="Arial" w:hAnsi="Arial" w:cs="Arial"/>
          <w:sz w:val="20"/>
          <w:szCs w:val="20"/>
          <w:lang w:val="es-ES"/>
        </w:rPr>
        <w:instrText>ADDIN CSL_CITATION {"citationItems":[{"id":"ITEM-1","itemData":{"DOI":"10.1016/j.pharmthera.2012.07.013","ISSN":"01637258","abstract":"For decades, chemotherapy has been the backbone for the treatment of patients with B cell malignancies. Depending on the individual disease, monoclonal antibodies, irradiation and/or hematopoietic stem cell transplantation are added. However, the current standard of care - particularly for patients with relapsed disease - is often not sufficient to achieve durable remissions. A highly promising new drug candidate in late-stage clinical development for treatment of B cell malignancies is blinatumomab (MT103 or AMG 103). This bispecific antibody construct has dual specificity for CD19 and CD3 and belongs to the class of bispecific T cell engager (BiTE®) antibodies, which can potentially engage all cytotoxic T cells of a patient for redirected lysis of tumor cells. Here, we review how blinatumomab has so far been pre-clinically and clinically developed for the treatment of patients with non-Hodgkin's lymphoma and acute lymphoblastic leukemia. © 2012 Elsevier Inc. All rights reserved.","author":[{"dropping-particle":"","family":"Nagorsen","given":"Dirk","non-dropping-particle":"","parse-names":false,"suffix":""},{"dropping-particle":"","family":"Kufer","given":"Peter","non-dropping-particle":"","parse-names":false,"suffix":""},{"dropping-particle":"","family":"Baeuerle","given":"Patrick A.","non-dropping-particle":"","parse-names":false,"suffix":""},{"dropping-particle":"","family":"Bargou","given":"Ralf","non-dropping-particle":"","parse-names":false,"suffix":""}],"container-title":"Pharmacology and Therapeutics","id":"ITEM-1","issue":"3","issued":{"date-parts":[["2012"]]},"page":"334-342","publisher":"Elsevier Inc.","title":"Blinatumomab: A historical perspective","type":"article-journal","volume":"136"},"uris":["http://www.mendeley.com/documents/?uuid=1aa9f93c-bd64-4f1b-a3b9-dad75a616621"]}],"mendeley":{"formattedCitation":"(50)","plainTextFormattedCitation":"(50)","previouslyFormattedCitation":"(50)"},"properties":{"noteIndex":0},"schema":"https://github.com/citation-style-language/schema/raw/master/csl-citation.json"}</w:instrText>
      </w:r>
      <w:r w:rsidR="00415C49">
        <w:rPr>
          <w:rFonts w:ascii="Arial" w:hAnsi="Arial" w:cs="Arial"/>
          <w:sz w:val="20"/>
          <w:szCs w:val="20"/>
          <w:lang w:val="es-ES"/>
        </w:rPr>
        <w:fldChar w:fldCharType="separate"/>
      </w:r>
      <w:r w:rsidR="00552232" w:rsidRPr="00552232">
        <w:rPr>
          <w:rFonts w:ascii="Arial" w:hAnsi="Arial" w:cs="Arial"/>
          <w:noProof/>
          <w:sz w:val="20"/>
          <w:szCs w:val="20"/>
          <w:lang w:val="es-ES"/>
        </w:rPr>
        <w:t>(50)</w:t>
      </w:r>
      <w:r w:rsidR="00415C49">
        <w:rPr>
          <w:rFonts w:ascii="Arial" w:hAnsi="Arial" w:cs="Arial"/>
          <w:sz w:val="20"/>
          <w:szCs w:val="20"/>
          <w:lang w:val="es-ES"/>
        </w:rPr>
        <w:fldChar w:fldCharType="end"/>
      </w:r>
      <w:r w:rsidR="00552232">
        <w:rPr>
          <w:rFonts w:ascii="Arial" w:hAnsi="Arial" w:cs="Arial"/>
          <w:sz w:val="20"/>
          <w:szCs w:val="20"/>
          <w:lang w:val="es-ES"/>
        </w:rPr>
        <w:t xml:space="preserve">. </w:t>
      </w:r>
      <w:r>
        <w:rPr>
          <w:rFonts w:ascii="Arial" w:hAnsi="Arial" w:cs="Arial"/>
          <w:sz w:val="20"/>
          <w:szCs w:val="20"/>
          <w:lang w:val="es-ES"/>
        </w:rPr>
        <w:tab/>
      </w:r>
    </w:p>
    <w:p w14:paraId="4FD8473E" w14:textId="77777777" w:rsidR="009D7805" w:rsidRDefault="009D7805" w:rsidP="009D6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s-ES"/>
        </w:rPr>
      </w:pPr>
    </w:p>
    <w:p w14:paraId="3731F462" w14:textId="77777777" w:rsidR="009D7805" w:rsidRPr="00AB6609" w:rsidRDefault="009D7805" w:rsidP="00E57EA7">
      <w:pPr>
        <w:widowControl w:val="0"/>
        <w:autoSpaceDE w:val="0"/>
        <w:autoSpaceDN w:val="0"/>
        <w:adjustRightInd w:val="0"/>
        <w:spacing w:after="0" w:line="276" w:lineRule="auto"/>
        <w:jc w:val="both"/>
        <w:rPr>
          <w:rFonts w:ascii="Arial" w:hAnsi="Arial" w:cs="Arial"/>
          <w:color w:val="000000"/>
          <w:sz w:val="28"/>
          <w:szCs w:val="28"/>
          <w:lang w:val="es-ES"/>
        </w:rPr>
      </w:pPr>
      <w:r>
        <w:rPr>
          <w:rFonts w:ascii="Arial" w:hAnsi="Arial" w:cs="Arial"/>
          <w:sz w:val="20"/>
          <w:szCs w:val="20"/>
          <w:lang w:val="es-ES"/>
        </w:rPr>
        <w:t>Los primeros ensayos clínicos con Blinatumomab, mostraron resultados prometedores</w:t>
      </w:r>
      <w:r w:rsidR="00AB6609">
        <w:rPr>
          <w:rFonts w:ascii="Arial" w:hAnsi="Arial" w:cs="Arial"/>
          <w:sz w:val="20"/>
          <w:szCs w:val="20"/>
          <w:lang w:val="es-ES"/>
        </w:rPr>
        <w:t xml:space="preserve">. Uno de los estudios iniciales, publicado en 2014, con 36 pacientes, demostró una tasa de respuesta del 69% en pacientes recaídos / refractarios, con una mediana de supervivencia global de 9,8 meses  y supervivencia libre de </w:t>
      </w:r>
      <w:r w:rsidR="00704EDC">
        <w:rPr>
          <w:rFonts w:ascii="Arial" w:hAnsi="Arial" w:cs="Arial"/>
          <w:sz w:val="20"/>
          <w:szCs w:val="20"/>
          <w:lang w:val="es-ES"/>
        </w:rPr>
        <w:t>recaída</w:t>
      </w:r>
      <w:r w:rsidR="00AB6609">
        <w:rPr>
          <w:rFonts w:ascii="Arial" w:hAnsi="Arial" w:cs="Arial"/>
          <w:sz w:val="20"/>
          <w:szCs w:val="20"/>
          <w:lang w:val="es-ES"/>
        </w:rPr>
        <w:t xml:space="preserve"> de 7,6 meses</w:t>
      </w:r>
      <w:r w:rsidR="00704EDC">
        <w:rPr>
          <w:rFonts w:ascii="Arial" w:hAnsi="Arial" w:cs="Arial"/>
          <w:sz w:val="20"/>
          <w:szCs w:val="20"/>
          <w:lang w:val="es-ES"/>
        </w:rPr>
        <w:t xml:space="preserve">, permitiéndole al 52% de los pacientes ser llevados a trasplante alogénico </w:t>
      </w:r>
      <w:r w:rsidR="00415C49">
        <w:rPr>
          <w:rFonts w:ascii="Arial" w:hAnsi="Arial" w:cs="Arial"/>
          <w:sz w:val="20"/>
          <w:szCs w:val="20"/>
          <w:lang w:val="es-ES"/>
        </w:rPr>
        <w:fldChar w:fldCharType="begin" w:fldLock="1"/>
      </w:r>
      <w:r w:rsidR="001362F5">
        <w:rPr>
          <w:rFonts w:ascii="Arial" w:hAnsi="Arial" w:cs="Arial"/>
          <w:sz w:val="20"/>
          <w:szCs w:val="20"/>
          <w:lang w:val="es-ES"/>
        </w:rPr>
        <w:instrText>ADDIN CSL_CITATION {"citationItems":[{"id":"ITEM-1","itemData":{"DOI":"10.1200/JCO.2014.56.3247","ISSN":"15277755","abstract":"© 2014 by American Society of Clinical Oncology.Purpose: Patients with relapsed or refractory acute lymphoblastic leukemia (ALL) have a dismal prognosis. CD19 is homogenously expressed in B-precursor ALL and can be targeted by the investigational bispecific T cell-engager antibody blinatumomab. A phase II trial was performed to determine clinical activity in this patient cohort. Patients and Methods: Thirty-six patients with relapsed or refractory B-precursor ALL were treated with blinatumomab in cycles of 4-week continuous infusion followed by a 2-week treatment-free interval in a single-arm study with a dose-finding stage and an extension stage. The primary end point was complete remission (CR) or CR with partial hematologic recovery (CRh). Major secondary end points included minimal residual disease (MRD) response, rate of allogeneic hematopoietic stem-cell transplantation (HSCT) realization, relapse-free survival (RFS), overall survival (OS), and incidence of adverse events (AEs). Results: Median age was 32 years (range, 18 to 77 years). Twenty-five patients (69%) achieved a CR or CRh, with 88% of the responders achieving an MRD response. Median OS was 9.8 months (95% CI, 8.5 to 14.9), and median RFS was 7.6 months (95% CI, 4.5 to 9.5). Thirteen responders (52%) underwent HSCT after achieving a CR or CRh. The most frequent AE during treatment was pyrexia (grade 1 or 2, 75%; grade 3, 6%). In six patients with nervous system or psychiatric disorder AEs and in two patients with cytokine release syndrome, treatment had to be interrupted or discontinued. These medical events were resolved clinically. Conclusion: The data support further investigation of blinatumomab for the treatment of adult patients with relapsed or refractory ALL in a larger confirmatory study.","author":[{"dropping-particle":"","family":"Topp","given":"Max S.","non-dropping-particle":"","parse-names":false,"suffix":""},{"dropping-particle":"","family":"Gökbuget","given":"Nicola","non-dropping-particle":"","parse-names":false,"suffix":""},{"dropping-particle":"","family":"Zugmaier","given":"Gerhard","non-dropping-particle":"","parse-names":false,"suffix":""},{"dropping-particle":"","family":"Klappers","given":"Petra","non-dropping-particle":"","parse-names":false,"suffix":""},{"dropping-particle":"","family":"Stelljes","given":"Matthias","non-dropping-particle":"","parse-names":false,"suffix":""},{"dropping-particle":"","family":"Neumann","given":"Svenja","non-dropping-particle":"","parse-names":false,"suffix":""},{"dropping-particle":"","family":"Viardot","given":"Andreas","non-dropping-particle":"","parse-names":false,"suffix":""},{"dropping-particle":"","family":"Marks","given":"Reinhard","non-dropping-particle":"","parse-names":false,"suffix":""},{"dropping-particle":"","family":"Diedrich","given":"Helmut","non-dropping-particle":"","parse-names":false,"suffix":""},{"dropping-particle":"","family":"Faul","given":"Christoph","non-dropping-particle":"","parse-names":false,"suffix":""},{"dropping-particle":"","family":"Reichle","given":"Albrecht","non-dropping-particle":"","parse-names":false,"suffix":""},{"dropping-particle":"","family":"Horst","given":"Heinz August","non-dropping-particle":"","parse-names":false,"suffix":""},{"dropping-particle":"","family":"Brüggemann","given":"Monika","non-dropping-particle":"","parse-names":false,"suffix":""},{"dropping-particle":"","family":"Wessiepe","given":"Dorothea","non-dropping-particle":"","parse-names":false,"suffix":""},{"dropping-particle":"","family":"Holland","given":"Chris","non-dropping-particle":"","parse-names":false,"suffix":""},{"dropping-particle":"","family":"Alekar","given":"Shilpa","non-dropping-particle":"","parse-names":false,"suffix":""},{"dropping-particle":"","family":"Mergen","given":"Noemi","non-dropping-particle":"","parse-names":false,"suffix":""},{"dropping-particle":"","family":"Einsele","given":"Hermann","non-dropping-particle":"","parse-names":false,"suffix":""},{"dropping-particle":"","family":"Hoelzer","given":"Dieter","non-dropping-particle":"","parse-names":false,"suffix":""},{"dropping-particle":"","family":"Bargou","given":"Ralf C.","non-dropping-particle":"","parse-names":false,"suffix":""}],"container-title":"Journal of Clinical Oncology","id":"ITEM-1","issue":"36","issued":{"date-parts":[["2014"]]},"page":"4134-4140","title":"Phase II trial of the anti-CD19 bispecific T cell-engager blinatumomab shows hematologic and molecular remissions in patients with relapsed or refractory B-precursor acute lymphoblastic leukemia","type":"article-journal","volume":"32"},"uris":["http://www.mendeley.com/documents/?uuid=26a5e40d-47c7-443b-8686-8b0f5f1432a4"]}],"mendeley":{"formattedCitation":"(51)","plainTextFormattedCitation":"(51)","previouslyFormattedCitation":"(51)"},"properties":{"noteIndex":0},"schema":"https://github.com/citation-style-language/schema/raw/master/csl-citation.json"}</w:instrText>
      </w:r>
      <w:r w:rsidR="00415C49">
        <w:rPr>
          <w:rFonts w:ascii="Arial" w:hAnsi="Arial" w:cs="Arial"/>
          <w:sz w:val="20"/>
          <w:szCs w:val="20"/>
          <w:lang w:val="es-ES"/>
        </w:rPr>
        <w:fldChar w:fldCharType="separate"/>
      </w:r>
      <w:r w:rsidR="00704EDC" w:rsidRPr="00704EDC">
        <w:rPr>
          <w:rFonts w:ascii="Arial" w:hAnsi="Arial" w:cs="Arial"/>
          <w:noProof/>
          <w:sz w:val="20"/>
          <w:szCs w:val="20"/>
          <w:lang w:val="es-ES"/>
        </w:rPr>
        <w:t>(51)</w:t>
      </w:r>
      <w:r w:rsidR="00415C49">
        <w:rPr>
          <w:rFonts w:ascii="Arial" w:hAnsi="Arial" w:cs="Arial"/>
          <w:sz w:val="20"/>
          <w:szCs w:val="20"/>
          <w:lang w:val="es-ES"/>
        </w:rPr>
        <w:fldChar w:fldCharType="end"/>
      </w:r>
      <w:r w:rsidR="00704EDC">
        <w:rPr>
          <w:rFonts w:ascii="Arial" w:hAnsi="Arial" w:cs="Arial"/>
          <w:sz w:val="20"/>
          <w:szCs w:val="20"/>
          <w:lang w:val="es-ES"/>
        </w:rPr>
        <w:t xml:space="preserve">. </w:t>
      </w:r>
      <w:r w:rsidR="00AB6609">
        <w:rPr>
          <w:rFonts w:ascii="Arial" w:hAnsi="Arial" w:cs="Arial"/>
          <w:sz w:val="20"/>
          <w:szCs w:val="20"/>
          <w:lang w:val="es-ES"/>
        </w:rPr>
        <w:t>Entre 2012 y 2013, 189 pacientes fueron analizados con LLA Ph-, recaídos / refractarios para recibir Blinatumomab. Después de 2 ciclos de tratamiento, el 43% de los pacientes había alcanzado respuesta completa</w:t>
      </w:r>
      <w:r w:rsidR="00415C49">
        <w:rPr>
          <w:rFonts w:ascii="Arial" w:hAnsi="Arial" w:cs="Arial"/>
          <w:sz w:val="20"/>
          <w:szCs w:val="20"/>
          <w:lang w:val="es-ES"/>
        </w:rPr>
        <w:fldChar w:fldCharType="begin" w:fldLock="1"/>
      </w:r>
      <w:r w:rsidR="000E0FAC">
        <w:rPr>
          <w:rFonts w:ascii="Arial" w:hAnsi="Arial" w:cs="Arial"/>
          <w:sz w:val="20"/>
          <w:szCs w:val="20"/>
          <w:lang w:val="es-ES"/>
        </w:rPr>
        <w:instrText>ADDIN CSL_CITATION {"citationItems":[{"id":"ITEM-1","itemData":{"DOI":"10.1016/S1470-2045(14)71170-2","ISSN":"14745488","abstract":"Background: Adults with relapsed or refractory B-precursor acute lymphoblastic leukaemia have an unfavourable prognosis. Blinatumomab is a bispecific T-cell engager antibody construct targeting CD19, an antigen consistently expressed on B-lineage acute lymphoblastic leukaemia cells. We aimed to confirm the activity and safety profile of blinatumomab for acute lymphoblastic leukaemia. Methods: In a multicentre, single-arm, open-label phase 2 study, we enrolled adult patients with Philadelphia-chromosome-negative, primary refractory or relapsed (first relapse within 12 months of first remission, relapse within 12 months after allogeneic haemopoietic stem-cell transplantation [HSCT], or no response to or relapse after first salvage therapy or beyond) leukaemia. Patients received blinatumomab (9 μg/day for the first 7 days and 28 μg/day thereafter) by continuous intravenous infusion over 4 weeks every 6 weeks (up to five cycles), per protocol. The primary endpoint was complete remission (CR) or CR with partial haematological recovery of peripheral blood counts (CRh) within the first two cycles. Analysis was by intention to treat. This trial is registered at ClinicalTrials.gov, number NCT01466179. Findings: Between Jan 13, 2012, and Oct 10, 2013, 189 patients were enrolled and treated with blinatumomab. After two cycles, 81 (43%, 95% CI 36-50) patients had achieved a CR or CRh: 63 (33%) patients had a CR and 18 (10%) patients had a CRh. 32 (40%) of patients who achieved CR/CRh underwent subsequent allogeneic HSCT. The most frequent grade 3 or worse adverse events were febrile neutropenia (48 patients, 25%), neutropenia (30 patients, 16%), and anaemia (27 patients, 14%). Three (2%) patients had grade 3 cytokine release syndrome. Neurologic events of worst grade 3 or 4 occurred in 20 (11%) and four (2%) patients, respectively. Three deaths (due to sepsis, Escherichia coli sepsis, and Candida infection) were thought to be treatment-related by the investigators. Interpretation: Single-agent blinatumomab showed antileukaemia activity in adult patients with relapsed or refractory B-precursor acute lymphoblastic leukaemia characterised by negative prognostic factors. Further assessment of blinatumomab treatment earlier in the course of the disease and in combination with other treatment approaches is warranted.","author":[{"dropping-particle":"","family":"Topp","given":"Max S.","non-dropping-particle":"","parse-names":false,"suffix":""},{"dropping-particle":"","family":"Gökbuget","given":"Nicola","non-dropping-particle":"","parse-names":false,"suffix":""},{"dropping-particle":"","family":"Stein","given":"Anthony S.","non-dropping-particle":"","parse-names":false,"suffix":""},{"dropping-particle":"","family":"Zugmaier","given":"Gerhard","non-dropping-particle":"","parse-names":false,"suffix":""},{"dropping-particle":"","family":"O'Brien","given":"Susan","non-dropping-particle":"","parse-names":false,"suffix":""},{"dropping-particle":"","family":"Bargou","given":"Ralf C.","non-dropping-particle":"","parse-names":false,"suffix":""},{"dropping-particle":"","family":"Dombret","given":"Hervé","non-dropping-particle":"","parse-names":false,"suffix":""},{"dropping-particle":"","family":"Fielding","given":"Adele K.","non-dropping-particle":"","parse-names":false,"suffix":""},{"dropping-particle":"","family":"Heffner","given":"Leonard","non-dropping-particle":"","parse-names":false,"suffix":""},{"dropping-particle":"","family":"Larson","given":"Richard A.","non-dropping-particle":"","parse-names":false,"suffix":""},{"dropping-particle":"","family":"Neumann","given":"Svenja","non-dropping-particle":"","parse-names":false,"suffix":""},{"dropping-particle":"","family":"Foà","given":"Robin","non-dropping-particle":"","parse-names":false,"suffix":""},{"dropping-particle":"","family":"Litzow","given":"Mark","non-dropping-particle":"","parse-names":false,"suffix":""},{"dropping-particle":"","family":"Ribera","given":"Josep Maria","non-dropping-particle":"","parse-names":false,"suffix":""},{"dropping-particle":"","family":"Rambaldi","given":"Alessandro","non-dropping-particle":"","parse-names":false,"suffix":""},{"dropping-particle":"","family":"Schiller","given":"Gary","non-dropping-particle":"","parse-names":false,"suffix":""},{"dropping-particle":"","family":"Brüggemann","given":"Monika","non-dropping-particle":"","parse-names":false,"suffix":""},{"dropping-particle":"","family":"Horst","given":"Heinz A.","non-dropping-particle":"","parse-names":false,"suffix":""},{"dropping-particle":"","family":"Holland","given":"Chris","non-dropping-particle":"","parse-names":false,"suffix":""},{"dropping-particle":"","family":"Jia","given":"Catherine","non-dropping-particle":"","parse-names":false,"suffix":""},{"dropping-particle":"","family":"Maniar","given":"Tapan","non-dropping-particle":"","parse-names":false,"suffix":""},{"dropping-particle":"","family":"Huber","given":"Birgit","non-dropping-particle":"","parse-names":false,"suffix":""},{"dropping-particle":"","family":"Nagorsen","given":"Dirk","non-dropping-particle":"","parse-names":false,"suffix":""},{"dropping-particle":"","family":"Forman","given":"Stephen J.","non-dropping-particle":"","parse-names":false,"suffix":""},{"dropping-particle":"","family":"Kantarjian","given":"Hagop M.","non-dropping-particle":"","parse-names":false,"suffix":""}],"container-title":"The Lancet Oncology","id":"ITEM-1","issue":"1","issued":{"date-parts":[["2015"]]},"page":"57-66","title":"Safety and activity of blinatumomab for adult patients with relapsed or refractory B-precursor acute lymphoblastic leukaemia: A multicentre, single-arm, phase 2 study","type":"article-journal","volume":"16"},"uris":["http://www.mendeley.com/documents/?uuid=e4182df1-e479-4158-9191-ddc4aae7dc0f"]}],"mendeley":{"formattedCitation":"(52)","plainTextFormattedCitation":"(52)","previouslyFormattedCitation":"(52)"},"properties":{"noteIndex":0},"schema":"https://github.com/citation-style-language/schema/raw/master/csl-citation.json"}</w:instrText>
      </w:r>
      <w:r w:rsidR="00415C49">
        <w:rPr>
          <w:rFonts w:ascii="Arial" w:hAnsi="Arial" w:cs="Arial"/>
          <w:sz w:val="20"/>
          <w:szCs w:val="20"/>
          <w:lang w:val="es-ES"/>
        </w:rPr>
        <w:fldChar w:fldCharType="separate"/>
      </w:r>
      <w:r w:rsidR="001362F5" w:rsidRPr="001362F5">
        <w:rPr>
          <w:rFonts w:ascii="Arial" w:hAnsi="Arial" w:cs="Arial"/>
          <w:noProof/>
          <w:sz w:val="20"/>
          <w:szCs w:val="20"/>
          <w:lang w:val="es-ES"/>
        </w:rPr>
        <w:t>(52)</w:t>
      </w:r>
      <w:r w:rsidR="00415C49">
        <w:rPr>
          <w:rFonts w:ascii="Arial" w:hAnsi="Arial" w:cs="Arial"/>
          <w:sz w:val="20"/>
          <w:szCs w:val="20"/>
          <w:lang w:val="es-ES"/>
        </w:rPr>
        <w:fldChar w:fldCharType="end"/>
      </w:r>
      <w:r w:rsidR="00AB6609">
        <w:rPr>
          <w:rFonts w:ascii="Arial" w:hAnsi="Arial" w:cs="Arial"/>
          <w:sz w:val="20"/>
          <w:szCs w:val="20"/>
          <w:lang w:val="es-ES"/>
        </w:rPr>
        <w:t xml:space="preserve">. </w:t>
      </w:r>
    </w:p>
    <w:p w14:paraId="12792BCC" w14:textId="77777777" w:rsidR="007E0E01" w:rsidRDefault="007E0E01" w:rsidP="001D5A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ES"/>
        </w:rPr>
      </w:pPr>
    </w:p>
    <w:p w14:paraId="4D91DC91" w14:textId="77777777" w:rsidR="007E0E01" w:rsidRDefault="00F41555" w:rsidP="001D5A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CO"/>
        </w:rPr>
      </w:pPr>
      <w:r>
        <w:rPr>
          <w:rFonts w:ascii="Arial" w:hAnsi="Arial" w:cs="Arial"/>
          <w:sz w:val="20"/>
          <w:szCs w:val="20"/>
          <w:lang w:val="es-ES"/>
        </w:rPr>
        <w:t>El</w:t>
      </w:r>
      <w:r w:rsidR="008B2690">
        <w:rPr>
          <w:rFonts w:ascii="Arial" w:hAnsi="Arial" w:cs="Arial"/>
          <w:sz w:val="20"/>
          <w:szCs w:val="20"/>
          <w:lang w:val="es-ES"/>
        </w:rPr>
        <w:t xml:space="preserve"> estudio </w:t>
      </w:r>
      <w:r>
        <w:rPr>
          <w:rFonts w:ascii="Arial" w:hAnsi="Arial" w:cs="Arial"/>
          <w:sz w:val="20"/>
          <w:szCs w:val="20"/>
          <w:lang w:val="es-ES"/>
        </w:rPr>
        <w:t xml:space="preserve">TOWER, </w:t>
      </w:r>
      <w:r w:rsidR="008B2690">
        <w:rPr>
          <w:rFonts w:ascii="Arial" w:hAnsi="Arial" w:cs="Arial"/>
          <w:sz w:val="20"/>
          <w:szCs w:val="20"/>
          <w:lang w:val="es-ES"/>
        </w:rPr>
        <w:t>fase III de Blinatumomab Vs quimioterapia estándar de elección dependiendo de cada centro evaluó la respuesta en más de 400 pacientes estudiados con LLA Ph- altamente tratados. Dentro de las características de los pacientes tratados con Blinatumomab en este estudio, el 42% de los pacientes habían tenido enfermedad refractaria a la primera terapia o a la terapia de rescate, un 28% estaban en recaída con una duración menor a 1</w:t>
      </w:r>
      <w:r w:rsidR="00A931D0">
        <w:rPr>
          <w:rFonts w:ascii="Arial" w:hAnsi="Arial" w:cs="Arial"/>
          <w:sz w:val="20"/>
          <w:szCs w:val="20"/>
          <w:lang w:val="es-ES"/>
        </w:rPr>
        <w:t>2 meses de la respuesta inicial,</w:t>
      </w:r>
      <w:r w:rsidR="008B2690">
        <w:rPr>
          <w:rFonts w:ascii="Arial" w:hAnsi="Arial" w:cs="Arial"/>
          <w:sz w:val="20"/>
          <w:szCs w:val="20"/>
          <w:lang w:val="es-ES"/>
        </w:rPr>
        <w:t xml:space="preserve"> 42,1% se encontraban en su primer rescate, 33% en el segundo y 16% en la tercera línea de tratamiento. El 17% se encontraba en recaída después de trasplante alogénico. Se encontró un claro beneficio de Blinatumomab en todos los aspectos: </w:t>
      </w:r>
      <w:r w:rsidR="008B2690" w:rsidRPr="008B2690">
        <w:rPr>
          <w:rFonts w:ascii="Arial" w:hAnsi="Arial" w:cs="Arial"/>
          <w:sz w:val="20"/>
          <w:szCs w:val="20"/>
          <w:lang w:val="es-ES"/>
        </w:rPr>
        <w:t xml:space="preserve">Respuesta global: 44% vs. 25%; </w:t>
      </w:r>
      <w:r w:rsidR="008B2690">
        <w:rPr>
          <w:rFonts w:ascii="Arial" w:hAnsi="Arial" w:cs="Arial"/>
          <w:sz w:val="20"/>
          <w:szCs w:val="20"/>
          <w:lang w:val="es-ES"/>
        </w:rPr>
        <w:t>(</w:t>
      </w:r>
      <w:r w:rsidR="008B2690" w:rsidRPr="008B2690">
        <w:rPr>
          <w:rFonts w:ascii="Arial" w:hAnsi="Arial" w:cs="Arial"/>
          <w:sz w:val="20"/>
          <w:szCs w:val="20"/>
          <w:lang w:val="es-ES"/>
        </w:rPr>
        <w:t>P</w:t>
      </w:r>
      <w:r w:rsidR="008B2690">
        <w:rPr>
          <w:rFonts w:ascii="Arial" w:hAnsi="Arial" w:cs="Arial"/>
          <w:sz w:val="20"/>
          <w:szCs w:val="20"/>
          <w:lang w:val="es-ES"/>
        </w:rPr>
        <w:t xml:space="preserve"> = </w:t>
      </w:r>
      <w:r w:rsidR="008B2690" w:rsidRPr="008B2690">
        <w:rPr>
          <w:rFonts w:ascii="Arial" w:hAnsi="Arial" w:cs="Arial"/>
          <w:sz w:val="20"/>
          <w:szCs w:val="20"/>
          <w:lang w:val="es-ES"/>
        </w:rPr>
        <w:t>&lt;0.001</w:t>
      </w:r>
      <w:r w:rsidR="00403F96">
        <w:rPr>
          <w:rFonts w:ascii="Arial" w:hAnsi="Arial" w:cs="Arial"/>
          <w:sz w:val="20"/>
          <w:szCs w:val="20"/>
          <w:lang w:val="es-ES"/>
        </w:rPr>
        <w:t>)</w:t>
      </w:r>
      <w:r w:rsidR="00403F96" w:rsidRPr="008B2690">
        <w:rPr>
          <w:rFonts w:ascii="Arial" w:hAnsi="Arial" w:cs="Arial"/>
          <w:sz w:val="20"/>
          <w:szCs w:val="20"/>
          <w:lang w:val="es-ES"/>
        </w:rPr>
        <w:t>.</w:t>
      </w:r>
      <w:r w:rsidR="00403F96">
        <w:rPr>
          <w:rFonts w:ascii="Arial" w:hAnsi="Arial" w:cs="Arial"/>
          <w:sz w:val="20"/>
          <w:szCs w:val="20"/>
          <w:lang w:val="es-ES"/>
        </w:rPr>
        <w:t xml:space="preserve"> Supervivencia</w:t>
      </w:r>
      <w:r w:rsidR="008B2690">
        <w:rPr>
          <w:rFonts w:ascii="Arial" w:hAnsi="Arial" w:cs="Arial"/>
          <w:sz w:val="20"/>
          <w:szCs w:val="20"/>
          <w:lang w:val="es-ES"/>
        </w:rPr>
        <w:t xml:space="preserve"> global 45% Vs 30% (p = 0,007). </w:t>
      </w:r>
      <w:r w:rsidR="004C0EFF">
        <w:rPr>
          <w:rFonts w:ascii="Arial" w:hAnsi="Arial" w:cs="Arial"/>
          <w:sz w:val="20"/>
          <w:szCs w:val="20"/>
          <w:lang w:val="es-ES"/>
        </w:rPr>
        <w:t xml:space="preserve">EMR </w:t>
      </w:r>
      <w:r w:rsidR="008B2690">
        <w:rPr>
          <w:rFonts w:ascii="Arial" w:hAnsi="Arial" w:cs="Arial"/>
          <w:sz w:val="20"/>
          <w:szCs w:val="20"/>
          <w:lang w:val="es-ES"/>
        </w:rPr>
        <w:t xml:space="preserve">negativa en las primeras 12 semanas fue 75% vs 48%. La mediana de sobrevida fue de 7,7 meses Vs 4,0 meses (HR 0,71; p = 0,012) </w:t>
      </w:r>
      <w:r w:rsidR="00415C49">
        <w:rPr>
          <w:rFonts w:ascii="Arial" w:hAnsi="Arial" w:cs="Arial"/>
          <w:color w:val="000000"/>
          <w:sz w:val="20"/>
          <w:szCs w:val="20"/>
          <w:lang w:val="es-ES"/>
        </w:rPr>
        <w:fldChar w:fldCharType="begin" w:fldLock="1"/>
      </w:r>
      <w:r w:rsidR="000E0FAC">
        <w:rPr>
          <w:rFonts w:ascii="Arial" w:hAnsi="Arial" w:cs="Arial"/>
          <w:color w:val="000000"/>
          <w:sz w:val="20"/>
          <w:szCs w:val="20"/>
          <w:lang w:val="es-ES"/>
        </w:rPr>
        <w:instrText>ADDIN CSL_CITATION {"citationItems":[{"id":"ITEM-1","itemData":{"DOI":"10.1056/NEJMoa1609783","ISSN":"0028-4793","abstract":"Copyright © 2017 Massachusetts Medical Society. BACKGROUND Blinatumomab, a bispecific monoclonal antibody construct that enables CD3-positive T cells to recognize and eliminate CD19-positive acute lymphoblastic leukemia (ALL) blasts, was approved for use in patients with relapsed or refractory B-cell precursor ALL on the basis of single-group trials that showed efficacy and manageable toxic effects. METHODS In this multi-institutional phase 3 trial, we randomly assigned adults with heavily pretreated B-cell precursor ALL, in a 2:1 ratio, to receive either blinatumomab or standardof-care chemotherapy. The primary end point was overall survival. RESULTS Of the 405 patients who were randomly assigned to receive blinatumomab (271 patients) or chemotherapy (134 patients), 376 patients received at least one dose. Overall survival was significantly longer in the blinatumomab group than in the chemotherapy group. The median overall survival was 7.7 months in the blinatumomab group and 4.0 months in the chemotherapy group (hazard ratio for death with blinatumomab vs. chemotherapy, 0.71; 95% confidence interval [CI], 0.55 to 0.93; P = 0.01). Remission rates within 12 weeks after treatment initiation were significantly higher in the blinatumomab group than in the chemotherapy group, both with respect to complete remission with full hematologic recovery (34% vs. 16%, P&lt;0.001) and with respect to complete remission with full, partial, or incomplete hematologic recovery (44% vs. 25%, P&lt;0.001). Treatment with blinatumomab resulted in a higher rate of event-free survival than that with chemotherapy (6-month estimates, 31% vs. 12%; hazard ratio for an event of relapse after achieving a complete remission with full, partial, or incomplete hematologic recovery, or death, 0.55; 95% CI, 0.43 to 0.71; P&lt;0.001), as well as a longer median duration of remission (7.3 vs. 4.6 months). A total of 24% of the patients in each treatment group underwent allogeneic stem-cell transplantation. Adverse events of grade 3 or higher were reported in 87% of the patients in the blinatumomab group and in 92% of the patients in the chemotherapy group. CONCLUSIONS Treatment with blinatumomab resulted in significantly longer overall survival than chemotherapy among adult patients with relapsed or refractory B-cell precursor ALL.","author":[{"dropping-particle":"","family":"Kantarjian","given":"Hagop","non-dropping-particle":"","parse-names":false,"suffix":""},{"dropping-particle":"","family":"Stein","given":"Anthony","non-dropping-particle":"","parse-names":false,"suffix":""},{"dropping-particle":"","family":"Gökbuget","given":"Nicola","non-dropping-particle":"","parse-names":false,"suffix":""},{"dropping-particle":"","family":"Fielding","given":"Adele K.","non-dropping-particle":"","parse-names":false,"suffix":""},{"dropping-particle":"","family":"Schuh","given":"Andre C.","non-dropping-particle":"","parse-names":false,"suffix":""},{"dropping-particle":"","family":"Ribera","given":"Josep-Maria","non-dropping-particle":"","parse-names":false,"suffix":""},{"dropping-particle":"","family":"Wei","given":"Andrew","non-dropping-particle":"","parse-names":false,"suffix":""},{"dropping-particle":"","family":"Dombret","given":"Hervé","non-dropping-particle":"","parse-names":false,"suffix":""},{"dropping-particle":"","family":"Foà","given":"Robin","non-dropping-particle":"","parse-names":false,"suffix":""},{"dropping-particle":"","family":"Bassan","given":"Renato","non-dropping-particle":"","parse-names":false,"suffix":""},{"dropping-particle":"","family":"Arslan","given":"Önder","non-dropping-particle":"","parse-names":false,"suffix":""},{"dropping-particle":"","family":"Sanz","given":"Miguel A.","non-dropping-particle":"","parse-names":false,"suffix":""},{"dropping-particle":"","family":"Bergeron","given":"Julie","non-dropping-particle":"","parse-names":false,"suffix":""},{"dropping-particle":"","family":"Demirkan","given":"Fatih","non-dropping-particle":"","parse-names":false,"suffix":""},{"dropping-particle":"","family":"Lech-Maranda","given":"Ewa","non-dropping-particle":"","parse-names":false,"suffix":""},{"dropping-particle":"","family":"Rambaldi","given":"Alessandro","non-dropping-particle":"","parse-names":false,"suffix":""},{"dropping-particle":"","family":"Thomas","given":"Xavier","non-dropping-particle":"","parse-names":false,"suffix":""},{"dropping-particle":"","family":"Horst","given":"Heinz-August","non-dropping-particle":"","parse-names":false,"suffix":""},{"dropping-particle":"","family":"Brüggemann","given":"Monika","non-dropping-particle":"","parse-names":false,"suffix":""},{"dropping-particle":"","family":"Klapper","given":"Wolfram","non-dropping-particle":"","parse-names":false,"suffix":""},{"dropping-particle":"","family":"Wood","given":"Brent L.","non-dropping-particle":"","parse-names":false,"suffix":""},{"dropping-particle":"","family":"Fleishman","given":"Alex","non-dropping-particle":"","parse-names":false,"suffix":""},{"dropping-particle":"","family":"Nagorsen","given":"Dirk","non-dropping-particle":"","parse-names":false,"suffix":""},{"dropping-particle":"","family":"Holland","given":"Christopher","non-dropping-particle":"","parse-names":false,"suffix":""},{"dropping-particle":"","family":"Zimmerman","given":"Zachary","non-dropping-particle":"","parse-names":false,"suffix":""},{"dropping-particle":"","family":"Topp","given":"Max S.","non-dropping-particle":"","parse-names":false,"suffix":""}],"container-title":"New England Journal of Medicine","id":"ITEM-1","issue":"9","issued":{"date-parts":[["2017"]]},"page":"836-847","title":"Blinatumomab versus Chemotherapy for Advanced Acute Lymphoblastic Leukemia","type":"article-journal","volume":"376"},"uris":["http://www.mendeley.com/documents/?uuid=2b5ac8f8-95c3-4342-98ee-f5afccd8a513"]}],"mendeley":{"formattedCitation":"(53)","plainTextFormattedCitation":"(53)","previouslyFormattedCitation":"(53)"},"properties":{"noteIndex":0},"schema":"https://github.com/citation-style-language/schema/raw/master/csl-citation.json"}</w:instrText>
      </w:r>
      <w:r w:rsidR="00415C49">
        <w:rPr>
          <w:rFonts w:ascii="Arial" w:hAnsi="Arial" w:cs="Arial"/>
          <w:color w:val="000000"/>
          <w:sz w:val="20"/>
          <w:szCs w:val="20"/>
          <w:lang w:val="es-ES"/>
        </w:rPr>
        <w:fldChar w:fldCharType="separate"/>
      </w:r>
      <w:r w:rsidR="001362F5" w:rsidRPr="001362F5">
        <w:rPr>
          <w:rFonts w:ascii="Arial" w:hAnsi="Arial" w:cs="Arial"/>
          <w:noProof/>
          <w:color w:val="000000"/>
          <w:sz w:val="20"/>
          <w:szCs w:val="20"/>
          <w:lang w:val="es-ES"/>
        </w:rPr>
        <w:t>(53)</w:t>
      </w:r>
      <w:r w:rsidR="00415C49">
        <w:rPr>
          <w:rFonts w:ascii="Arial" w:hAnsi="Arial" w:cs="Arial"/>
          <w:color w:val="000000"/>
          <w:sz w:val="20"/>
          <w:szCs w:val="20"/>
          <w:lang w:val="es-ES"/>
        </w:rPr>
        <w:fldChar w:fldCharType="end"/>
      </w:r>
      <w:r w:rsidR="009D7805">
        <w:rPr>
          <w:rFonts w:ascii="Arial" w:hAnsi="Arial" w:cs="Arial"/>
          <w:color w:val="000000"/>
          <w:sz w:val="20"/>
          <w:szCs w:val="20"/>
          <w:lang w:val="es-CO"/>
        </w:rPr>
        <w:t xml:space="preserve">. </w:t>
      </w:r>
    </w:p>
    <w:p w14:paraId="6FC78E00" w14:textId="77777777" w:rsidR="005C77EF" w:rsidRDefault="005C77EF" w:rsidP="001D5A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CO"/>
        </w:rPr>
      </w:pPr>
    </w:p>
    <w:p w14:paraId="559F8258" w14:textId="74AC0EF2" w:rsidR="005C77EF" w:rsidRDefault="005C77EF" w:rsidP="001D5A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CO"/>
        </w:rPr>
      </w:pPr>
      <w:r>
        <w:rPr>
          <w:rFonts w:ascii="Arial" w:hAnsi="Arial" w:cs="Arial"/>
          <w:color w:val="000000"/>
          <w:sz w:val="20"/>
          <w:szCs w:val="20"/>
          <w:lang w:val="es-CO"/>
        </w:rPr>
        <w:t>Un análisis retrospectivo realizado por Enciso y cols, en el Instituto N</w:t>
      </w:r>
      <w:r w:rsidR="00A931D0">
        <w:rPr>
          <w:rFonts w:ascii="Arial" w:hAnsi="Arial" w:cs="Arial"/>
          <w:color w:val="000000"/>
          <w:sz w:val="20"/>
          <w:szCs w:val="20"/>
          <w:lang w:val="es-CO"/>
        </w:rPr>
        <w:t xml:space="preserve">acional de Cancerología E.S.E, en Bogotá, </w:t>
      </w:r>
      <w:r>
        <w:rPr>
          <w:rFonts w:ascii="Arial" w:hAnsi="Arial" w:cs="Arial"/>
          <w:color w:val="000000"/>
          <w:sz w:val="20"/>
          <w:szCs w:val="20"/>
          <w:lang w:val="es-CO"/>
        </w:rPr>
        <w:t xml:space="preserve">que </w:t>
      </w:r>
      <w:r w:rsidR="00462D36">
        <w:rPr>
          <w:rFonts w:ascii="Arial" w:hAnsi="Arial" w:cs="Arial"/>
          <w:color w:val="000000"/>
          <w:sz w:val="20"/>
          <w:szCs w:val="20"/>
          <w:lang w:val="es-CO"/>
        </w:rPr>
        <w:t>está</w:t>
      </w:r>
      <w:r>
        <w:rPr>
          <w:rFonts w:ascii="Arial" w:hAnsi="Arial" w:cs="Arial"/>
          <w:color w:val="000000"/>
          <w:sz w:val="20"/>
          <w:szCs w:val="20"/>
          <w:lang w:val="es-CO"/>
        </w:rPr>
        <w:t xml:space="preserve"> en proceso de publicación analizó los resultados de Blinatumomab en 14 pacientes con LLA Ph-, recaidos / refractarios, con un promedio de 3 líneas de tratamiento con quimioterapia previamente recibidos. De ellos, </w:t>
      </w:r>
      <w:r w:rsidR="00415C49" w:rsidRPr="00462D36">
        <w:rPr>
          <w:rFonts w:ascii="Arial" w:hAnsi="Arial" w:cs="Arial"/>
          <w:color w:val="000000"/>
          <w:sz w:val="20"/>
          <w:szCs w:val="20"/>
          <w:lang w:val="es-CO"/>
        </w:rPr>
        <w:t>el 50% había tenido compromiso de sistema nervioso central en algún momento de la</w:t>
      </w:r>
      <w:r w:rsidR="00E256DF" w:rsidRPr="00462D36">
        <w:rPr>
          <w:rFonts w:ascii="Arial" w:hAnsi="Arial" w:cs="Arial"/>
          <w:color w:val="000000"/>
          <w:sz w:val="20"/>
          <w:szCs w:val="20"/>
          <w:lang w:val="es-CO"/>
        </w:rPr>
        <w:t xml:space="preserve"> enfermedad, por lo que fueron llevados a tratamiento con quimioterapia intratecal o radioterapia hasta documentar ausencia de enfermedad activa en liquido </w:t>
      </w:r>
      <w:r w:rsidR="000B75EB" w:rsidRPr="00462D36">
        <w:rPr>
          <w:rFonts w:ascii="Arial" w:hAnsi="Arial" w:cs="Arial"/>
          <w:color w:val="000000"/>
          <w:sz w:val="20"/>
          <w:szCs w:val="20"/>
          <w:lang w:val="es-CO"/>
        </w:rPr>
        <w:t>cefalorraquídeo</w:t>
      </w:r>
      <w:r w:rsidR="00E256DF" w:rsidRPr="00462D36">
        <w:rPr>
          <w:rFonts w:ascii="Arial" w:hAnsi="Arial" w:cs="Arial"/>
          <w:color w:val="000000"/>
          <w:sz w:val="20"/>
          <w:szCs w:val="20"/>
          <w:lang w:val="es-CO"/>
        </w:rPr>
        <w:t xml:space="preserve"> previo inicio de Blinatumomab.</w:t>
      </w:r>
      <w:r w:rsidR="00415C49" w:rsidRPr="00462D36">
        <w:rPr>
          <w:rFonts w:ascii="Arial" w:hAnsi="Arial" w:cs="Arial"/>
          <w:color w:val="000000"/>
          <w:sz w:val="20"/>
          <w:szCs w:val="20"/>
          <w:lang w:val="es-CO"/>
        </w:rPr>
        <w:t xml:space="preserve"> enfermedad.</w:t>
      </w:r>
      <w:r w:rsidRPr="00462D36">
        <w:rPr>
          <w:rFonts w:ascii="Arial" w:hAnsi="Arial" w:cs="Arial"/>
          <w:color w:val="000000"/>
          <w:sz w:val="20"/>
          <w:szCs w:val="20"/>
          <w:lang w:val="es-CO"/>
        </w:rPr>
        <w:t xml:space="preserve"> Se documentó una tasa de respuesta completa del 71,4% después del primer ciclo de</w:t>
      </w:r>
      <w:r>
        <w:rPr>
          <w:rFonts w:ascii="Arial" w:hAnsi="Arial" w:cs="Arial"/>
          <w:color w:val="000000"/>
          <w:sz w:val="20"/>
          <w:szCs w:val="20"/>
          <w:lang w:val="es-CO"/>
        </w:rPr>
        <w:t xml:space="preserve"> tratamiento con Blinatumomab. </w:t>
      </w:r>
    </w:p>
    <w:p w14:paraId="63585CFB" w14:textId="77777777" w:rsidR="00EB5D6A" w:rsidRDefault="00EB5D6A" w:rsidP="001D5A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CO"/>
        </w:rPr>
      </w:pPr>
    </w:p>
    <w:p w14:paraId="27A68AC6" w14:textId="5718FCA1" w:rsidR="00E17243" w:rsidRDefault="00F41555" w:rsidP="001D5A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CO"/>
        </w:rPr>
      </w:pPr>
      <w:r w:rsidRPr="00764944">
        <w:rPr>
          <w:rFonts w:ascii="Arial" w:hAnsi="Arial" w:cs="Arial"/>
          <w:color w:val="000000"/>
          <w:sz w:val="20"/>
          <w:szCs w:val="20"/>
          <w:lang w:val="es-CO"/>
        </w:rPr>
        <w:t xml:space="preserve">El síndrome de liberación de citoquinas y la neurotoxícidad son los eventos adversos </w:t>
      </w:r>
      <w:r w:rsidR="00462D36" w:rsidRPr="00764944">
        <w:rPr>
          <w:rFonts w:ascii="Arial" w:hAnsi="Arial" w:cs="Arial"/>
          <w:color w:val="000000"/>
          <w:sz w:val="20"/>
          <w:szCs w:val="20"/>
          <w:lang w:val="es-CO"/>
        </w:rPr>
        <w:t>más</w:t>
      </w:r>
      <w:r w:rsidRPr="00764944">
        <w:rPr>
          <w:rFonts w:ascii="Arial" w:hAnsi="Arial" w:cs="Arial"/>
          <w:color w:val="000000"/>
          <w:sz w:val="20"/>
          <w:szCs w:val="20"/>
          <w:lang w:val="es-CO"/>
        </w:rPr>
        <w:t xml:space="preserve"> </w:t>
      </w:r>
      <w:r w:rsidR="002E58FA" w:rsidRPr="00764944">
        <w:rPr>
          <w:rFonts w:ascii="Arial" w:hAnsi="Arial" w:cs="Arial"/>
          <w:color w:val="000000"/>
          <w:sz w:val="20"/>
          <w:szCs w:val="20"/>
          <w:lang w:val="es-CO"/>
        </w:rPr>
        <w:t>frecuentes</w:t>
      </w:r>
      <w:r w:rsidRPr="00764944">
        <w:rPr>
          <w:rFonts w:ascii="Arial" w:hAnsi="Arial" w:cs="Arial"/>
          <w:color w:val="000000"/>
          <w:sz w:val="20"/>
          <w:szCs w:val="20"/>
          <w:lang w:val="es-CO"/>
        </w:rPr>
        <w:t xml:space="preserve"> con la administración de blinatumomab diferentes a la toxicidad hematológica </w:t>
      </w:r>
      <w:r w:rsidR="00B56FEB" w:rsidRPr="00764944">
        <w:rPr>
          <w:rFonts w:ascii="Arial" w:hAnsi="Arial" w:cs="Arial"/>
          <w:color w:val="000000"/>
          <w:sz w:val="20"/>
          <w:szCs w:val="20"/>
          <w:lang w:val="es-CO"/>
        </w:rPr>
        <w:t>e</w:t>
      </w:r>
      <w:r w:rsidRPr="00764944">
        <w:rPr>
          <w:rFonts w:ascii="Arial" w:hAnsi="Arial" w:cs="Arial"/>
          <w:color w:val="000000"/>
          <w:sz w:val="20"/>
          <w:szCs w:val="20"/>
          <w:lang w:val="es-CO"/>
        </w:rPr>
        <w:t xml:space="preserve"> </w:t>
      </w:r>
      <w:r w:rsidR="000B75EB" w:rsidRPr="00764944">
        <w:rPr>
          <w:rFonts w:ascii="Arial" w:hAnsi="Arial" w:cs="Arial"/>
          <w:color w:val="000000"/>
          <w:sz w:val="20"/>
          <w:szCs w:val="20"/>
          <w:lang w:val="es-CO"/>
        </w:rPr>
        <w:t>infección.</w:t>
      </w:r>
      <w:r w:rsidR="000B75EB">
        <w:rPr>
          <w:rFonts w:ascii="Arial" w:hAnsi="Arial" w:cs="Arial"/>
          <w:color w:val="000000"/>
          <w:sz w:val="20"/>
          <w:szCs w:val="20"/>
          <w:lang w:val="es-CO"/>
        </w:rPr>
        <w:t xml:space="preserve"> El</w:t>
      </w:r>
      <w:r w:rsidR="000D3667">
        <w:rPr>
          <w:rFonts w:ascii="Arial" w:hAnsi="Arial" w:cs="Arial"/>
          <w:color w:val="000000"/>
          <w:sz w:val="20"/>
          <w:szCs w:val="20"/>
          <w:lang w:val="es-CO"/>
        </w:rPr>
        <w:t xml:space="preserve"> </w:t>
      </w:r>
      <w:r w:rsidR="000B75EB">
        <w:rPr>
          <w:rFonts w:ascii="Arial" w:hAnsi="Arial" w:cs="Arial"/>
          <w:color w:val="000000"/>
          <w:sz w:val="20"/>
          <w:szCs w:val="20"/>
          <w:lang w:val="es-CO"/>
        </w:rPr>
        <w:t>síndrome</w:t>
      </w:r>
      <w:r w:rsidR="000D3667">
        <w:rPr>
          <w:rFonts w:ascii="Arial" w:hAnsi="Arial" w:cs="Arial"/>
          <w:color w:val="000000"/>
          <w:sz w:val="20"/>
          <w:szCs w:val="20"/>
          <w:lang w:val="es-CO"/>
        </w:rPr>
        <w:t xml:space="preserve"> de liberación de citoquinas severo esta descrito en aproximadamente el 5% de los pacientes. La toxicidad neurol</w:t>
      </w:r>
      <w:r w:rsidR="00B2612A">
        <w:rPr>
          <w:rFonts w:ascii="Arial" w:hAnsi="Arial" w:cs="Arial"/>
          <w:color w:val="000000"/>
          <w:sz w:val="20"/>
          <w:szCs w:val="20"/>
          <w:lang w:val="es-CO"/>
        </w:rPr>
        <w:t>ó</w:t>
      </w:r>
      <w:r w:rsidR="000D3667">
        <w:rPr>
          <w:rFonts w:ascii="Arial" w:hAnsi="Arial" w:cs="Arial"/>
          <w:color w:val="000000"/>
          <w:sz w:val="20"/>
          <w:szCs w:val="20"/>
          <w:lang w:val="es-CO"/>
        </w:rPr>
        <w:t xml:space="preserve">gica esta descrita en aproximadamente el 30% de los casos, siendo los eventos severos aproximadamente un 10%, con resolución del trastorno neurológico en casi todos los pacientes después de su suspensión. </w:t>
      </w:r>
      <w:r w:rsidR="002E58FA">
        <w:rPr>
          <w:rFonts w:ascii="Arial" w:hAnsi="Arial" w:cs="Arial"/>
          <w:sz w:val="20"/>
          <w:szCs w:val="20"/>
          <w:lang w:val="es-ES"/>
        </w:rPr>
        <w:t xml:space="preserve">Los síntomas neurológicos </w:t>
      </w:r>
      <w:r w:rsidR="00462D36">
        <w:rPr>
          <w:rFonts w:ascii="Arial" w:hAnsi="Arial" w:cs="Arial"/>
          <w:sz w:val="20"/>
          <w:szCs w:val="20"/>
          <w:lang w:val="es-ES"/>
        </w:rPr>
        <w:t>más</w:t>
      </w:r>
      <w:r w:rsidR="002E58FA">
        <w:rPr>
          <w:rFonts w:ascii="Arial" w:hAnsi="Arial" w:cs="Arial"/>
          <w:sz w:val="20"/>
          <w:szCs w:val="20"/>
          <w:lang w:val="es-ES"/>
        </w:rPr>
        <w:t xml:space="preserve"> frecuentemente presentados relacionados con la toxicidad del Blinatumomabs</w:t>
      </w:r>
      <w:r w:rsidR="005273B4">
        <w:rPr>
          <w:rFonts w:ascii="Arial" w:hAnsi="Arial" w:cs="Arial"/>
          <w:sz w:val="20"/>
          <w:szCs w:val="20"/>
          <w:lang w:val="es-ES"/>
        </w:rPr>
        <w:t>on</w:t>
      </w:r>
      <w:r w:rsidR="002E58FA">
        <w:rPr>
          <w:rFonts w:ascii="Arial" w:hAnsi="Arial" w:cs="Arial"/>
          <w:sz w:val="20"/>
          <w:szCs w:val="20"/>
          <w:lang w:val="es-ES"/>
        </w:rPr>
        <w:t>, tremor, afasia, somnolencia, estado confusional, encefalopatía, convulsiones tónico crónica</w:t>
      </w:r>
      <w:r w:rsidR="00D518A5">
        <w:rPr>
          <w:rFonts w:ascii="Arial" w:hAnsi="Arial" w:cs="Arial"/>
          <w:sz w:val="20"/>
          <w:szCs w:val="20"/>
          <w:lang w:val="es-ES"/>
        </w:rPr>
        <w:t>s generalizadas, desorientación y</w:t>
      </w:r>
      <w:r w:rsidR="002E58FA">
        <w:rPr>
          <w:rFonts w:ascii="Arial" w:hAnsi="Arial" w:cs="Arial"/>
          <w:sz w:val="20"/>
          <w:szCs w:val="20"/>
          <w:lang w:val="es-ES"/>
        </w:rPr>
        <w:t xml:space="preserve"> deterioro del estado de consciencia</w:t>
      </w:r>
      <w:r w:rsidR="00415C49">
        <w:rPr>
          <w:rFonts w:ascii="Arial" w:hAnsi="Arial" w:cs="Arial"/>
          <w:sz w:val="20"/>
          <w:szCs w:val="20"/>
          <w:lang w:val="es-ES"/>
        </w:rPr>
        <w:fldChar w:fldCharType="begin" w:fldLock="1"/>
      </w:r>
      <w:r w:rsidR="006362B7">
        <w:rPr>
          <w:rFonts w:ascii="Arial" w:hAnsi="Arial" w:cs="Arial"/>
          <w:sz w:val="20"/>
          <w:szCs w:val="20"/>
          <w:lang w:val="es-ES"/>
        </w:rPr>
        <w:instrText>ADDIN CSL_CITATION {"citationItems":[{"id":"ITEM-1","itemData":{"DOI":"10.1200/JCO.2016.69.3531","ISSN":"1527-7755","abstract":"Purpose: Few therapeutic options are available for patients with Philadelphia chromosome-positive (Ph+) B-precursor acute lymphoblastic leukemia (ALL) who progress after failure of tyrosine kinase inhibitor (TKI)-based therapy. Here, we evaluated the efficacy and tolerability of blinatumomab in patients with relapsed or refractory Ph+ ALL. Patients and Methods: This open-label phase II study enrolled adults with Ph+ ALL who had relapsed after or were refractory to at least one second-generation or later TKI or were intolerant to second-generation or later TKIs and intolerant or refractory to imatinib. Blinatumomab was administered in 28-day cycles by continuous intravenous infusion. The primary end point was complete remission (CR) or CR with partial hematologic recovery (CRh) during the first two cycles. Major secondary end points included minimal residual disease response, rate of allogeneic hematopoietic stem-cell transplantation, relapse-free survival, overall survival, and adverse events (AEs). Results: Of 45 patients, 16 (36%; 95% CI, 22% to 51%) achieved CR/CRh during the first two cycles, including four of 10 patients with the T315I mutation; 88% of CR/CRh responders achieved a complete minimal residual disease response. Seven responders (44%) proceeded to allogeneic hematopoietic stem-cell transplantation, including 55% (six of 11) of transplantation-naïve responders. Median relapse-free survival and overall survival were 6.7 and 7.1 months, respectively. The most frequent AEs were pyrexia (58%), febrile neutropenia (40%), and headache (31%). Three patients had cytokine release syndrome (all grade 1 or 2), and three patients had grade 3 neurologic events, one of which (aphasia) required temporary treatment interruption. There were no grade 4 or 5 neurologic events. Conclusion: Single-agent blinatumomab showed antileukemia activity inhigh-risk patients with Ph+ ALL who had relapsed or were refractory to TKIs. AEs were consistent with previous experience in Ph- ALL.","author":[{"dropping-particle":"","family":"Martinelli","given":"Giovanni","non-dropping-particle":"","parse-names":false,"suffix":""},{"dropping-particle":"","family":"Boissel","given":"Nicolas","non-dropping-particle":"","parse-names":false,"suffix":""},{"dropping-particle":"","family":"Chevallier","given":"Patrice","non-dropping-particle":"","parse-names":false,"suffix":""},{"dropping-particle":"","family":"Ottmann","given":"Oliver","non-dropping-particle":"","parse-names":false,"suffix":""},{"dropping-particle":"","family":"Gökbuget","given":"Nicola","non-dropping-particle":"","parse-names":false,"suffix":""},{"dropping-particle":"","family":"Topp","given":"Max","non-dropping-particle":"","parse-names":false,"suffix":""},{"dropping-particle":"","family":"Fielding","given":"Adele","non-dropping-particle":"","parse-names":false,"suffix":""},{"dropping-particle":"","family":"Rambaldi","given":"Alessandro","non-dropping-particle":"","parse-names":false,"suffix":""},{"dropping-particle":"","family":"Ritchie","given":"Ellen","non-dropping-particle":"","parse-names":false,"suffix":""},{"dropping-particle":"","family":"Papayannidis","given":"Cristina","non-dropping-particle":"","parse-names":false,"suffix":""},{"dropping-particle":"","family":"Sterling","given":"Lulu","non-dropping-particle":"","parse-names":false,"suffix":""},{"dropping-particle":"","family":"Benjamin","given":"Jonathan","non-dropping-particle":"","parse-names":false,"suffix":""},{"dropping-particle":"","family":"Stein","given":"Anthony","non-dropping-particle":"","parse-names":false,"suffix":""}],"container-title":"Journal of Clinical Oncology","id":"ITEM-1","issue":"16","issued":{"date-parts":[["2017"]]},"page":"1795-1802","title":"Complete hematologic and molecular response in adult patients with relapsed/refractory philadelphia chromosome-positive B-precursor acute lymphoblastic leukemia following treatment with blinatumomab: Results from a phase II, single-arm, multicenter study","type":"article-journal","volume":"35"},"uris":["http://www.mendeley.com/documents/?uuid=8c910281-4c58-430c-92fc-f77a121767c6"]},{"id":"ITEM-2","itemData":{"DOI":"10.1200/JCO.2014.56.3247","ISSN":"15277755","abstract":"© 2014 by American Society of Clinical Oncology.Purpose: Patients with relapsed or refractory acute lymphoblastic leukemia (ALL) have a dismal prognosis. CD19 is homogenously expressed in B-precursor ALL and can be targeted by the investigational bispecific T cell-engager antibody blinatumomab. A phase II trial was performed to determine clinical activity in this patient cohort. Patients and Methods: Thirty-six patients with relapsed or refractory B-precursor ALL were treated with blinatumomab in cycles of 4-week continuous infusion followed by a 2-week treatment-free interval in a single-arm study with a dose-finding stage and an extension stage. The primary end point was complete remission (CR) or CR with partial hematologic recovery (CRh). Major secondary end points included minimal residual disease (MRD) response, rate of allogeneic hematopoietic stem-cell transplantation (HSCT) realization, relapse-free survival (RFS), overall survival (OS), and incidence of adverse events (AEs). Results: Median age was 32 years (range, 18 to 77 years). Twenty-five patients (69%) achieved a CR or CRh, with 88% of the responders achieving an MRD response. Median OS was 9.8 months (95% CI, 8.5 to 14.9), and median RFS was 7.6 months (95% CI, 4.5 to 9.5). Thirteen responders (52%) underwent HSCT after achieving a CR or CRh. The most frequent AE during treatment was pyrexia (grade 1 or 2, 75%; grade 3, 6%). In six patients with nervous system or psychiatric disorder AEs and in two patients with cytokine release syndrome, treatment had to be interrupted or discontinued. These medical events were resolved clinically. Conclusion: The data support further investigation of blinatumomab for the treatment of adult patients with relapsed or refractory ALL in a larger confirmatory study.","author":[{"dropping-particle":"","family":"Topp","given":"Max S.","non-dropping-particle":"","parse-names":false,"suffix":""},{"dropping-particle":"","family":"Gökbuget","given":"Nicola","non-dropping-particle":"","parse-names":false,"suffix":""},{"dropping-particle":"","family":"Zugmaier","given":"Gerhard","non-dropping-particle":"","parse-names":false,"suffix":""},{"dropping-particle":"","family":"Klappers","given":"Petra","non-dropping-particle":"","parse-names":false,"suffix":""},{"dropping-particle":"","family":"Stelljes","given":"Matthias","non-dropping-particle":"","parse-names":false,"suffix":""},{"dropping-particle":"","family":"Neumann","given":"Svenja","non-dropping-particle":"","parse-names":false,"suffix":""},{"dropping-particle":"","family":"Viardot","given":"Andreas","non-dropping-particle":"","parse-names":false,"suffix":""},{"dropping-particle":"","family":"Marks","given":"Reinhard","non-dropping-particle":"","parse-names":false,"suffix":""},{"dropping-particle":"","family":"Diedrich","given":"Helmut","non-dropping-particle":"","parse-names":false,"suffix":""},{"dropping-particle":"","family":"Faul","given":"Christoph","non-dropping-particle":"","parse-names":false,"suffix":""},{"dropping-particle":"","family":"Reichle","given":"Albrecht","non-dropping-particle":"","parse-names":false,"suffix":""},{"dropping-particle":"","family":"Horst","given":"Heinz August","non-dropping-particle":"","parse-names":false,"suffix":""},{"dropping-particle":"","family":"Brüggemann","given":"Monika","non-dropping-particle":"","parse-names":false,"suffix":""},{"dropping-particle":"","family":"Wessiepe","given":"Dorothea","non-dropping-particle":"","parse-names":false,"suffix":""},{"dropping-particle":"","family":"Holland","given":"Chris","non-dropping-particle":"","parse-names":false,"suffix":""},{"dropping-particle":"","family":"Alekar","given":"Shilpa","non-dropping-particle":"","parse-names":false,"suffix":""},{"dropping-particle":"","family":"Mergen","given":"Noemi","non-dropping-particle":"","parse-names":false,"suffix":""},{"dropping-particle":"","family":"Einsele","given":"Hermann","non-dropping-particle":"","parse-names":false,"suffix":""},{"dropping-particle":"","family":"Hoelzer","given":"Dieter","non-dropping-particle":"","parse-names":false,"suffix":""},{"dropping-particle":"","family":"Bargou","given":"Ralf C.","non-dropping-particle":"","parse-names":false,"suffix":""}],"container-title":"Journal of Clinical Oncology","id":"ITEM-2","issue":"36","issued":{"date-parts":[["2014"]]},"page":"4134-4140","title":"Phase II trial of the anti-CD19 bispecific T cell-engager blinatumomab shows hematologic and molecular remissions in patients with relapsed or refractory B-precursor acute lymphoblastic leukemia","type":"article-journal","volume":"32"},"uris":["http://www.mendeley.com/documents/?uuid=168a7bfa-7ff0-4b8a-95a6-290a8b613ce2"]},{"id":"ITEM-3","itemData":{"DOI":"10.1016/S1470-2045(14)71170-2","ISSN":"14745488","abstract":"Background: Adults with relapsed or refractory B-precursor acute lymphoblastic leukaemia have an unfavourable prognosis. Blinatumomab is a bispecific T-cell engager antibody construct targeting CD19, an antigen consistently expressed on B-lineage acute lymphoblastic leukaemia cells. We aimed to confirm the activity and safety profile of blinatumomab for acute lymphoblastic leukaemia. Methods: In a multicentre, single-arm, open-label phase 2 study, we enrolled adult patients with Philadelphia-chromosome-negative, primary refractory or relapsed (first relapse within 12 months of first remission, relapse within 12 months after allogeneic haemopoietic stem-cell transplantation [HSCT], or no response to or relapse after first salvage therapy or beyond) leukaemia. Patients received blinatumomab (9 μg/day for the first 7 days and 28 μg/day thereafter) by continuous intravenous infusion over 4 weeks every 6 weeks (up to five cycles), per protocol. The primary endpoint was complete remission (CR) or CR with partial haematological recovery of peripheral blood counts (CRh) within the first two cycles. Analysis was by intention to treat. This trial is registered at ClinicalTrials.gov, number NCT01466179. Findings: Between Jan 13, 2012, and Oct 10, 2013, 189 patients were enrolled and treated with blinatumomab. After two cycles, 81 (43%, 95% CI 36-50) patients had achieved a CR or CRh: 63 (33%) patients had a CR and 18 (10%) patients had a CRh. 32 (40%) of patients who achieved CR/CRh underwent subsequent allogeneic HSCT. The most frequent grade 3 or worse adverse events were febrile neutropenia (48 patients, 25%), neutropenia (30 patients, 16%), and anaemia (27 patients, 14%). Three (2%) patients had grade 3 cytokine release syndrome. Neurologic events of worst grade 3 or 4 occurred in 20 (11%) and four (2%) patients, respectively. Three deaths (due to sepsis, Escherichia coli sepsis, and Candida infection) were thought to be treatment-related by the investigators. Interpretation: Single-agent blinatumomab showed antileukaemia activity in adult patients with relapsed or refractory B-precursor acute lymphoblastic leukaemia characterised by negative prognostic factors. Further assessment of blinatumomab treatment earlier in the course of the disease and in combination with other treatment approaches is warranted.","author":[{"dropping-particle":"","family":"Topp","given":"Max S.","non-dropping-particle":"","parse-names":false,"suffix":""},{"dropping-particle":"","family":"Gökbuget","given":"Nicola","non-dropping-particle":"","parse-names":false,"suffix":""},{"dropping-particle":"","family":"Stein","given":"Anthony S.","non-dropping-particle":"","parse-names":false,"suffix":""},{"dropping-particle":"","family":"Zugmaier","given":"Gerhard","non-dropping-particle":"","parse-names":false,"suffix":""},{"dropping-particle":"","family":"O'Brien","given":"Susan","non-dropping-particle":"","parse-names":false,"suffix":""},{"dropping-particle":"","family":"Bargou","given":"Ralf C.","non-dropping-particle":"","parse-names":false,"suffix":""},{"dropping-particle":"","family":"Dombret","given":"Hervé","non-dropping-particle":"","parse-names":false,"suffix":""},{"dropping-particle":"","family":"Fielding","given":"Adele K.","non-dropping-particle":"","parse-names":false,"suffix":""},{"dropping-particle":"","family":"Heffner","given":"Leonard","non-dropping-particle":"","parse-names":false,"suffix":""},{"dropping-particle":"","family":"Larson","given":"Richard A.","non-dropping-particle":"","parse-names":false,"suffix":""},{"dropping-particle":"","family":"Neumann","given":"Svenja","non-dropping-particle":"","parse-names":false,"suffix":""},{"dropping-particle":"","family":"Foà","given":"Robin","non-dropping-particle":"","parse-names":false,"suffix":""},{"dropping-particle":"","family":"Litzow","given":"Mark","non-dropping-particle":"","parse-names":false,"suffix":""},{"dropping-particle":"","family":"Ribera","given":"Josep Maria","non-dropping-particle":"","parse-names":false,"suffix":""},{"dropping-particle":"","family":"Rambaldi","given":"Alessandro","non-dropping-particle":"","parse-names":false,"suffix":""},{"dropping-particle":"","family":"Schiller","given":"Gary","non-dropping-particle":"","parse-names":false,"suffix":""},{"dropping-particle":"","family":"Brüggemann","given":"Monika","non-dropping-particle":"","parse-names":false,"suffix":""},{"dropping-particle":"","family":"Horst","given":"Heinz A.","non-dropping-particle":"","parse-names":false,"suffix":""},{"dropping-particle":"","family":"Holland","given":"Chris","non-dropping-particle":"","parse-names":false,"suffix":""},{"dropping-particle":"","family":"Jia","given":"Catherine","non-dropping-particle":"","parse-names":false,"suffix":""},{"dropping-particle":"","family":"Maniar","given":"Tapan","non-dropping-particle":"","parse-names":false,"suffix":""},{"dropping-particle":"","family":"Huber","given":"Birgit","non-dropping-particle":"","parse-names":false,"suffix":""},{"dropping-particle":"","family":"Nagorsen","given":"Dirk","non-dropping-particle":"","parse-names":false,"suffix":""},{"dropping-particle":"","family":"Forman","given":"Stephen J.","non-dropping-particle":"","parse-names":false,"suffix":""},{"dropping-particle":"","family":"Kantarjian","given":"Hagop M.","non-dropping-particle":"","parse-names":false,"suffix":""}],"container-title":"The Lancet Oncology","id":"ITEM-3","issue":"1","issued":{"date-parts":[["2015"]]},"page":"57-66","title":"Safety and activity of blinatumomab for adult patients with relapsed or refractory B-precursor acute lymphoblastic leukaemia: A multicentre, single-arm, phase 2 study","type":"article-journal","volume":"16"},"uris":["http://www.mendeley.com/documents/?uuid=e4182df1-e479-4158-9191-ddc4aae7dc0f"]},{"id":"ITEM-4","itemData":{"DOI":"10.1182/blood-2017-08-798322","ISSN":"15280020","abstract":"© 2018 by The American Society of Hematology Approximately 30% to 50% of adults with acute lymphoblastic leukemia (ALL) in hematologic complete remission after multiagent therapy exhibit minimal residual disease (MRD) by reverse transcriptase–polymerase chain reaction or flow cytometry. MRD is the strongest predictor of relapse in ALL. In this open-label, single-arm study, adults with B-cell precursor ALL in hematologic complete remission with MRD (‡102 3 ) received blinatumomab 15 mg/m 2 per day by continuous IV infusion for up to 4 cycles. Patients could undergo allogeneic hematopoietic stem-cell transplantation any time after cycle 1. The primary end point was complete MRD response status after 1 cycle of blinatumomab. One hundred sixteen patients received blinatumomab. Eighty-eight (78%) of 113 evaluable patients achieved a complete MRD response. In the subgroup of 110 patients with Ph-negative ALL in hematologic remission, the Kaplan-Meier estimate of relapse-free survival (RFS) at 18 months was 54%. Median overall survival (OS) was 36.5 months. In landmark analyses, complete MRD responders had longer RFS (23.6 vs 5.7 months; P 5 .002) and OS (38.9 vs 12.5 months; P 5 .002) compared with MRD nonresponders. Adverse events were consistent with previous studies of blinatumomab. Twelve (10%) and 3 patients (3%) had grade 3 or 4 neurologic events, respectively. Four patients (3%) had cytokine release syndrome grade 1, n 5 2; grade 3, n 5 2), all during cycle 1. After treatment with blinatumomab in a population of patients with MRD-positive B-cell precursor ALL, a majority achieved a complete MRD response, which was associated with significantly longer RFS and OS compared with MRD nonresponders. This study is registered at www.clinicaltrials.gov as #NCT01207388. (Blood. 2018;131(14):1522-1531)","author":[{"dropping-particle":"","family":"Gökbuget","given":"Nicola","non-dropping-particle":"","parse-names":false,"suffix":""},{"dropping-particle":"","family":"Dombret","given":"Hervé","non-dropping-particle":"","parse-names":false,"suffix":""},{"dropping-particle":"","family":"Bonifacio","given":"Massimiliano","non-dropping-particle":"","parse-names":false,"suffix":""},{"dropping-particle":"","family":"Reichle","given":"Albrecht","non-dropping-particle":"","parse-names":false,"suffix":""},{"dropping-particle":"","family":"Graux","given":"Carlos","non-dropping-particle":"","parse-names":false,"suffix":""},{"dropping-particle":"","family":"Faul","given":"Christoph","non-dropping-particle":"","parse-names":false,"suffix":""},{"dropping-particle":"","family":"Diedrich","given":"Helmut","non-dropping-particle":"","parse-names":false,"suffix":""},{"dropping-particle":"","family":"Topp","given":"Max S.","non-dropping-particle":"","parse-names":false,"suffix":""},{"dropping-particle":"","family":"Brüggemann","given":"Monika","non-dropping-particle":"","parse-names":false,"suffix":""},{"dropping-particle":"","family":"Horst","given":"Heinz August","non-dropping-particle":"","parse-names":false,"suffix":""},{"dropping-particle":"","family":"Havelange","given":"Violaine","non-dropping-particle":"","parse-names":false,"suffix":""},{"dropping-particle":"","family":"Stieglmaier","given":"Julia","non-dropping-particle":"","parse-names":false,"suffix":""},{"dropping-particle":"","family":"Wessels","given":"Hendrik","non-dropping-particle":"","parse-names":false,"suffix":""},{"dropping-particle":"","family":"Haddad","given":"Vincent","non-dropping-particle":"","parse-names":false,"suffix":""},{"dropping-particle":"","family":"Benjamin","given":"Jonathan E.","non-dropping-particle":"","parse-names":false,"suffix":""},{"dropping-particle":"","family":"Zugmaier","given":"Gerhard","non-dropping-particle":"","parse-names":false,"suffix":""},{"dropping-particle":"","family":"Nagorsen","given":"Dirk","non-dropping-particle":"","parse-names":false,"suffix":""},{"dropping-particle":"","family":"Bargou","given":"Ralf C.","non-dropping-particle":"","parse-names":false,"suffix":""}],"container-title":"Blood","id":"ITEM-4","issue":"14","issued":{"date-parts":[["2018"]]},"page":"1522-1531","title":"Blinatumomab for minimal residual disease in adults with B-cell precursor acute lymphoblastic leukemia","type":"article-journal","volume":"131"},"uris":["http://www.mendeley.com/documents/?uuid=f34b71dd-6b7d-4fdd-a497-c9c07a174571"]},{"id":"ITEM-5","itemData":{"DOI":"10.1158/1078-0432.CCR-18-2337","ISSN":"15573265","abstract":"On March 29, 2018, the FDA granted accelerated approval for blinatumomab (Blincyto; Amgen, Inc.) for the treatment of adults and children with B-cell precursor acute lymphoblastic leukemia (BCP ALL) in first or second complete remission with minimal residual disease (MRD) greater than or equal to 0.1%. Blinatumomab is a CD3xCD19 bispecific antibody approved previously for the treatment of relapsed or refractory BCP ALL. The basis for this accelerated approval was a single-arm trial. For the 86 patients in first and second complete remission with MRD &gt;/= 0.1%, conversion to MRD &lt; 0.01% was achieved after one cycle of blinatumomab by 85.2% [95% confidence interval (CI): 73.8%, 93.0%] and 72.0% (95% CI: 50.6%, 87.9%), respectively, and the estimated median hematologic relapse-free survivals (RFS) were 35.2 months (95% CI: 0.4-53.5) and 12.3 months (95% CI: 0.7-42.3), respectively. Hematologic RFS was considered substantial independent of whether patients underwent subsequent allogeneic stem cell transplantation. The safety profile for blinatumomab was established in prior studies, and no new safety signals were observed in the new population. Cytokine release syndrome and neurotoxicity remain significant risks. The FDA is requiring confirmation of clinical benefit in a randomized trial.","author":[{"dropping-particle":"","family":"Jen","given":"Emily Y.","non-dropping-particle":"","parse-names":false,"suffix":""},{"dropping-particle":"","family":"Xu","given":"Qing","non-dropping-particle":"","parse-names":false,"suffix":""},{"dropping-particle":"","family":"Schetter","given":"Aaron","non-dropping-particle":"","parse-names":false,"suffix":""},{"dropping-particle":"","family":"Przepiorka","given":"Donna","non-dropping-particle":"","parse-names":false,"suffix":""},{"dropping-particle":"","family":"Shen","given":"Yuan Li","non-dropping-particle":"","parse-names":false,"suffix":""},{"dropping-particle":"","family":"Roscoe","given":"Donna","non-dropping-particle":"","parse-names":false,"suffix":""},{"dropping-particle":"","family":"Sridhara","given":"Rajeshwari","non-dropping-particle":"","parse-names":false,"suffix":""},{"dropping-particle":"","family":"Deisseroth","given":"Albert","non-dropping-particle":"","parse-names":false,"suffix":""},{"dropping-particle":"","family":"Philip","given":"Reena","non-dropping-particle":"","parse-names":false,"suffix":""},{"dropping-particle":"","family":"Farrell","given":"Ann T.","non-dropping-particle":"","parse-names":false,"suffix":""},{"dropping-particle":"","family":"Pazdur","given":"Richard","non-dropping-particle":"","parse-names":false,"suffix":""}],"container-title":"Clinical Cancer Research","id":"ITEM-5","issue":"2","issued":{"date-parts":[["2019"]]},"page":"473-477","title":"FDA approval: Blinatumomab for Patients with B-cell Precursor Acute Lymphoblastic Leukemia in Morphologic Remission with Minimal Residual Disease","type":"article-journal","volume":"25"},"uris":["http://www.mendeley.com/documents/?uuid=f18886eb-0b07-4f4d-88cd-e53c839a3aac"]},{"id":"ITEM-6","itemData":{"DOI":"10.1056/NEJMoa1609783","ISSN":"0028-4793","abstract":"Copyright © 2017 Massachusetts Medical Society. BACKGROUND Blinatumomab, a bispecific monoclonal antibody construct that enables CD3-positive T cells to recognize and eliminate CD19-positive acute lymphoblastic leukemia (ALL) blasts, was approved for use in patients with relapsed or refractory B-cell precursor ALL on the basis of single-group trials that showed efficacy and manageable toxic effects. METHODS In this multi-institutional phase 3 trial, we randomly assigned adults with heavily pretreated B-cell precursor ALL, in a 2:1 ratio, to receive either blinatumomab or standardof-care chemotherapy. The primary end point was overall survival. RESULTS Of the 405 patients who were randomly assigned to receive blinatumomab (271 patients) or chemotherapy (134 patients), 376 patients received at least one dose. Overall survival was significantly longer in the blinatumomab group than in the chemotherapy group. The median overall survival was 7.7 months in the blinatumomab group and 4.0 months in the chemotherapy group (hazard ratio for death with blinatumomab vs. chemotherapy, 0.71; 95% confidence interval [CI], 0.55 to 0.93; P = 0.01). Remission rates within 12 weeks after treatment initiation were significantly higher in the blinatumomab group than in the chemotherapy group, both with respect to complete remission with full hematologic recovery (34% vs. 16%, P&lt;0.001) and with respect to complete remission with full, partial, or incomplete hematologic recovery (44% vs. 25%, P&lt;0.001). Treatment with blinatumomab resulted in a higher rate of event-free survival than that with chemotherapy (6-month estimates, 31% vs. 12%; hazard ratio for an event of relapse after achieving a complete remission with full, partial, or incomplete hematologic recovery, or death, 0.55; 95% CI, 0.43 to 0.71; P&lt;0.001), as well as a longer median duration of remission (7.3 vs. 4.6 months). A total of 24% of the patients in each treatment group underwent allogeneic stem-cell transplantation. Adverse events of grade 3 or higher were reported in 87% of the patients in the blinatumomab group and in 92% of the patients in the chemotherapy group. CONCLUSIONS Treatment with blinatumomab resulted in significantly longer overall survival than chemotherapy among adult patients with relapsed or refractory B-cell precursor ALL.","author":[{"dropping-particle":"","family":"Kantarjian","given":"Hagop","non-dropping-particle":"","parse-names":false,"suffix":""},{"dropping-particle":"","family":"Stein","given":"Anthony","non-dropping-particle":"","parse-names":false,"suffix":""},{"dropping-particle":"","family":"Gökbuget","given":"Nicola","non-dropping-particle":"","parse-names":false,"suffix":""},{"dropping-particle":"","family":"Fielding","given":"Adele K.","non-dropping-particle":"","parse-names":false,"suffix":""},{"dropping-particle":"","family":"Schuh","given":"Andre C.","non-dropping-particle":"","parse-names":false,"suffix":""},{"dropping-particle":"","family":"Ribera","given":"Josep-Maria","non-dropping-particle":"","parse-names":false,"suffix":""},{"dropping-particle":"","family":"Wei","given":"Andrew","non-dropping-particle":"","parse-names":false,"suffix":""},{"dropping-particle":"","family":"Dombret","given":"Hervé","non-dropping-particle":"","parse-names":false,"suffix":""},{"dropping-particle":"","family":"Foà","given":"Robin","non-dropping-particle":"","parse-names":false,"suffix":""},{"dropping-particle":"","family":"Bassan","given":"Renato","non-dropping-particle":"","parse-names":false,"suffix":""},{"dropping-particle":"","family":"Arslan","given":"Önder","non-dropping-particle":"","parse-names":false,"suffix":""},{"dropping-particle":"","family":"Sanz","given":"Miguel A.","non-dropping-particle":"","parse-names":false,"suffix":""},{"dropping-particle":"","family":"Bergeron","given":"Julie","non-dropping-particle":"","parse-names":false,"suffix":""},{"dropping-particle":"","family":"Demirkan","given":"Fatih","non-dropping-particle":"","parse-names":false,"suffix":""},{"dropping-particle":"","family":"Lech-Maranda","given":"Ewa","non-dropping-particle":"","parse-names":false,"suffix":""},{"dropping-particle":"","family":"Rambaldi","given":"Alessandro","non-dropping-particle":"","parse-names":false,"suffix":""},{"dropping-particle":"","family":"Thomas","given":"Xavier","non-dropping-particle":"","parse-names":false,"suffix":""},{"dropping-particle":"","family":"Horst","given":"Heinz-August","non-dropping-particle":"","parse-names":false,"suffix":""},{"dropping-particle":"","family":"Brüggemann","given":"Monika","non-dropping-particle":"","parse-names":false,"suffix":""},{"dropping-particle":"","family":"Klapper","given":"Wolfram","non-dropping-particle":"","parse-names":false,"suffix":""},{"dropping-particle":"","family":"Wood","given":"Brent L.","non-dropping-particle":"","parse-names":false,"suffix":""},{"dropping-particle":"","family":"Fleishman","given":"Alex","non-dropping-particle":"","parse-names":false,"suffix":""},{"dropping-particle":"","family":"Nagorsen","given":"Dirk","non-dropping-particle":"","parse-names":false,"suffix":""},{"dropping-particle":"","family":"Holland","given":"Christopher","non-dropping-particle":"","parse-names":false,"suffix":""},{"dropping-particle":"","family":"Zimmerman","given":"Zachary","non-dropping-particle":"","parse-names":false,"suffix":""},{"dropping-particle":"","family":"Topp","given":"Max S.","non-dropping-particle":"","parse-names":false,"suffix":""}],"container-title":"New England Journal of Medicine","id":"ITEM-6","issue":"9","issued":{"date-parts":[["2017"]]},"page":"836-847","title":"Blinatumomab versus Chemotherapy for Advanced Acute Lymphoblastic Leukemia","type":"article-journal","volume":"376"},"uris":["http://www.mendeley.com/documents/?uuid=2b5ac8f8-95c3-4342-98ee-f5afccd8a513"]},{"id":"ITEM-7","itemData":{"DOI":"10.1016/j.pharmthera.2012.07.013","ISSN":"01637258","abstract":"For decades, chemotherapy has been the backbone for the treatment of patients with B cell malignancies. Depending on the individual disease, monoclonal antibodies, irradiation and/or hematopoietic stem cell transplantation are added. However, the current standard of care - particularly for patients with relapsed disease - is often not sufficient to achieve durable remissions. A highly promising new drug candidate in late-stage clinical development for treatment of B cell malignancies is blinatumomab (MT103 or AMG 103). This bispecific antibody construct has dual specificity for CD19 and CD3 and belongs to the class of bispecific T cell engager (BiTE®) antibodies, which can potentially engage all cytotoxic T cells of a patient for redirected lysis of tumor cells. Here, we review how blinatumomab has so far been pre-clinically and clinically developed for the treatment of patients with non-Hodgkin's lymphoma and acute lymphoblastic leukemia. © 2012 Elsevier Inc. All rights reserved.","author":[{"dropping-particle":"","family":"Nagorsen","given":"Dirk","non-dropping-particle":"","parse-names":false,"suffix":""},{"dropping-particle":"","family":"Kufer","given":"Peter","non-dropping-particle":"","parse-names":false,"suffix":""},{"dropping-particle":"","family":"Baeuerle","given":"Patrick A.","non-dropping-particle":"","parse-names":false,"suffix":""},{"dropping-particle":"","family":"Bargou","given":"Ralf","non-dropping-particle":"","parse-names":false,"suffix":""}],"container-title":"Pharmacology and Therapeutics","id":"ITEM-7","issue":"3","issued":{"date-parts":[["2012"]]},"page":"334-342","publisher":"Elsevier Inc.","title":"Blinatumomab: A historical perspective","type":"article-journal","volume":"136"},"uris":["http://www.mendeley.com/documents/?uuid=1aa9f93c-bd64-4f1b-a3b9-dad75a616621"]},{"id":"ITEM-8","itemData":{"DOI":"10.1080/16078454.2018.1549802","ISSN":"16078454","abstract":"ABSTRACTObjectives: Multiple clinical trials have been conducted to investigate the therapeutic effects of blinatumomab on acute lymphoblastic leukemia (ALL) and non-Hodgkin’s lymphoma (NHL). We did a meta-analysis including 8 clinical trials to verify the efficacy and safety of blinatumomab in patients with relapsed/refractory ALL and NHL.Methods: We searched and investigated all relevant publications from PubMed, Web of Science, Embase, and ClinicalTrials.gov. The primary endpoint was complete remission (CR). The secondary end points were the minimal residual disease (MRD) response, and the adverse effects including cytokine release syndrome (CRS) and grade ≥ 3 neurological events.Results: Our study showed that the pooled CR rate was 0.45 (95% CI: 0.37–0.53) in ALL and 0.20 (0.12–0.27) in NHL respectively. The pooled CR rate is higher in ALL patients with BM blasts &lt;50% than that of patients with BM blasts ≥50% (0.75 versus 0.33). A history of allo-HSCT has no effect on the CR rate. The pooled MRD respo...","author":[{"dropping-particle":"","family":"Yu","given":"Jian","non-dropping-particle":"","parse-names":false,"suffix":""},{"dropping-particle":"","family":"Wang","given":"Wen","non-dropping-particle":"","parse-names":false,"suffix":""},{"dropping-particle":"","family":"Huang","given":"He","non-dropping-particle":"","parse-names":false,"suffix":""}],"container-title":"Hematology (Amsterdam, Netherlands)","id":"ITEM-8","issue":"1","issued":{"date-parts":[["2019"]]},"page":"199-207","title":"Efficacy and safety of bispecific T-cell engager (BiTE) antibody blinatumomab for the treatment of relapsed/refractory acute lymphoblastic leukemia and non-Hodgkin's lymphoma: a systemic review and meta-analysis","type":"article-journal","volume":"24"},"uris":["http://www.mendeley.com/documents/?uuid=06405f75-d013-4ef1-9f40-649c65d46c97"]},{"id":"ITEM-9","itemData":{"DOI":"10.1007/s00277-018-3497-0","ISBN":"0027701834970","ISSN":"14320584","abstract":"Neurologic events (NEs) have been reported during treatment with blinatumomab, a bispecific T cell engager (BiTE®) construct. We evaluated the occurrence, severity, and management of NEs; the relationship between NEs and blinatumomab dose; and the potential clinical risk factors in an open-label, single-arm, phase 2 study (N = 189). Patients had Philadelphia chromosome-negative, relapsed/refractory acute lymphoblastic leukemia (ALL) and ≥ 10% bone marrow blasts. The relationship between blinatumomab exposure and NE incidence and severity was assessed. Clinical risk factors for NEs were assessed in a post hoc multivariate analysis. Overall, 98 patients (52%) experienced NEs: most frequently, dizziness, tremor, confusional state, and encephalopathy. NEs occurred predominantly during cycle 1 (median onset, 9 days) and were usually grades 1 or 2. Grade ≥ 3 NEs (13-17% incidence), serious NEs (16-19% incidence), and recurring NEs were managed with infusion interruptions or dexamethasone treatment. The incidence of NEs increased with increasing blinatumomab exposure at a given dose, but exposure appeared unrelated to NE severity. NEs were more frequent in patients ≥ 65 years than &lt; 65 years (72 vs 49%). In a multivariate analysis, race other than white (hazard ratio [HR], 2.11; P = 0.009), &gt; 2 prior salvage therapies (HR, 2.48; P = 0.006), and prior NEs (HR, 1.65; P = 0.020) were risk factors for time to first on-study NE. Although the mechanism underlying NEs associated with blinatumomab treatment in patients with relapsed/refractory ALL remains unclear, NEs tended to occur early during treatment and were often resolved by interrupting treatment and with dexamethasone. Additional research is warranted to investigate the risk factors for NEs.","author":[{"dropping-particle":"","family":"Stein","given":"Anthony S.","non-dropping-particle":"","parse-names":false,"suffix":""},{"dropping-particle":"","family":"Schiller","given":"Gary","non-dropping-particle":"","parse-names":false,"suffix":""},{"dropping-particle":"","family":"Benjamin","given":"Ramsis","non-dropping-particle":"","parse-names":false,"suffix":""},{"dropping-particle":"","family":"Jia","given":"Catherine","non-dropping-particle":"","parse-names":false,"suffix":""},{"dropping-particle":"","family":"Zhang","given":"Alicia","non-dropping-particle":"","parse-names":false,"suffix":""},{"dropping-particle":"","family":"Zhu","given":"Min","non-dropping-particle":"","parse-names":false,"suffix":""},{"dropping-particle":"","family":"Zimmerman","given":"Zachary","non-dropping-particle":"","parse-names":false,"suffix":""},{"dropping-particle":"","family":"Topp","given":"Max S.","non-dropping-particle":"","parse-names":false,"suffix":""}],"container-title":"Annals of Hematology","id":"ITEM-9","issue":"1","issued":{"date-parts":[["2019"]]},"page":"159-167","publisher":"Annals of Hematology","title":"Neurologic adverse events in patients with relapsed/refractory acute lymphoblastic leukemia treated with blinatumomab: management and mitigating factors","type":"article-journal","volume":"98"},"uris":["http://www.mendeley.com/documents/?uuid=177cc749-c834-4cbf-a5c0-2b359bee8d47"]},{"id":"ITEM-10","itemData":{"DOI":"10.1016/j.clml.2017.08.101","ISSN":"21522669","abstract":"Micro-Abstract The prognosis of patients with relapsed refractory Philadelphia chromosome–positive acute leukemia is considered poor. The combination of blinatumomab and a TKI resulted in high overall response rates among 13 patients. These results are promising and this strategy may minimize the use of chemotherapy in this setting. Objective The treatment of Philadelphia chromosome-positive (Ph+) acute lymphoblastic leukemia has been revolutionized with the introduction of tyrosine kinase inhibitors (TKIs) and the combination of these agents with chemotherapy. Blinatumomab is a bispecific anti-CD3/CD19 monoclonal antibody with clinical activity as single-agent in the relapsed setting and independent of BCR-ABL1 mutational status, including T315I. The combination of blinatumomab with a TKI may further improve outcomes for this high-risk population, including higher eradication of minimal residual disease and minimize the use of chemotherapy. Patients and Methods We retrospectively studied 12 adults with relapsed/refractory Ph+ acute lymphoblastic leukemia (n = 9) and chronic myeloid leukemia in blast crisis (n = 3), treated with the combination blinatumomab and a TKI (ponatinib, n = 8; dasatinib, n = 3; bosutinib, n = 1). All patients have previously failed at least 1 line of chemotherapy, including allogeneic stem cell transplantation, and 1 class of TKIs. Patients were treated for either overt hematologic relapse (n = 6) or persistent minimal residual disease following other regimens (n = 6). Results The complete hematologic, cytogenetic, and molecular response rates were 50% (3/6), 71% (5/7), and 75% (9/12), respectively. Two cases of grade 2 cytokine release syndrome were observed, all of which resolved with steroids and tocilizumab. No cardiovascular adverse events were encountered. With a median follow-up of 8 months, the median survival was not reached; the 6-month and 1-year overall survival rates were 73%. Conclusions The combination of blinatumomab with TKI is safe and effective in patients with relapsed/refractory Ph+ disease. Prospective studies are warranted.","author":[{"dropping-particle":"","family":"Assi","given":"Rita","non-dropping-particle":"","parse-names":false,"suffix":""},{"dropping-particle":"","family":"Kantarjian","given":"Hagop","non-dropping-particle":"","parse-names":false,"suffix":""},{"dropping-particle":"","family":"Short","given":"Nicholas J.","non-dropping-particle":"","parse-names":false,"suffix":""},{"dropping-particle":"","family":"Daver","given":"Naval","non-dropping-particle":"","parse-names":false,"suffix":""},{"dropping-particle":"","family":"Takahashi","given":"Koichi","non-dropping-particle":"","parse-names":false,"suffix":""},{"dropping-particle":"","family":"Garcia-Manero","given":"Guillermo","non-dropping-particle":"","parse-names":false,"suffix":""},{"dropping-particle":"","family":"DiNardo","given":"Courtney","non-dropping-particle":"","parse-names":false,"suffix":""},{"dropping-particle":"","family":"Burger","given":"Jan","non-dropping-particle":"","parse-names":false,"suffix":""},{"dropping-particle":"","family":"Cortes","given":"Jorge","non-dropping-particle":"","parse-names":false,"suffix":""},{"dropping-particle":"","family":"Jain","given":"Nitin","non-dropping-particle":"","parse-names":false,"suffix":""},{"dropping-particle":"","family":"Wierda","given":"William","non-dropping-particle":"","parse-names":false,"suffix":""},{"dropping-particle":"","family":"Chamoun","given":"Salim","non-dropping-particle":"","parse-names":false,"suffix":""},{"dropping-particle":"","family":"Konopleva","given":"Marina","non-dropping-particle":"","parse-names":false,"suffix":""},{"dropping-particle":"","family":"Jabbour","given":"Elias","non-dropping-particle":"","parse-names":false,"suffix":""}],"container-title":"Clinical Lymphoma, Myeloma and Leukemia","id":"ITEM-10","issue":"12","issued":{"date-parts":[["2017"]]},"page":"897-901","publisher":"Elsevier Inc.","title":"Safety and Efficacy of Blinatumomab in Combination With a Tyrosine Kinase Inhibitor for the Treatment of Relapsed Philadelphia Chromosome-positive Leukemia","type":"article-journal","volume":"17"},"uris":["http://www.mendeley.com/documents/?uuid=8e87efe1-e4fa-4e8a-a2dd-50aec270ef3b"]},{"id":"ITEM-11","itemData":{"DOI":"10.1016/j.beha.2017.07.010","ISSN":"15321924","abstract":"Despite significant improvements in outcome of newly diagnosed B-precursor ALL, the results in relapsed or refractory adult ALL are overall poor. Large retrospective studies revealed significant differences in terms of outcome, with particularly poor response rates in early or refractory relapses, whereas late relapses usually respond very well to repeated standard induction. Particularly new immunotherapy compounds like the CD19 bispecific antibody Blinatumomab and the conjugated CD22 antibody Inotuzumab yielded promising response rates compared to standard therapies in randomised trials. Long-term survival is however still poor. The optimal use of these compounds remains to be defined. Chimeric antigen receptor T-cells are another promising treatment approach and multicenter clinical trials in adult ALL are awaited. For selected patients molecular directed therapies may have a role in relapsed ALL; standard diagnostic algorithms need to be defined. One of the major challenges is to define the role of stem cell transplantation after relapse. Whereas this procedure appears to be the only chance for cure, the mortality and relapse rate are still high and optimisation is urgently needed. Future strategies include optimised use of new compounds as part of combination regimens and the earlier treatment of upcoming relapse in the situation of persistent or recurrent minimal residual disease.","author":[{"dropping-particle":"","family":"Gökbuget","given":"Nicola","non-dropping-particle":"","parse-names":false,"suffix":""}],"container-title":"Best Practice and Research: Clinical Haematology","id":"ITEM-11","issue":"3","issued":{"date-parts":[["2017"]]},"page":"261-274","title":"How should we treat a patient with relapsed Ph-negative B-ALL and what novel approaches are being investigated?","type":"article-journal","volume":"30"},"uris":["http://www.mendeley.com/documents/?uuid=73aa7ace-ee4f-4050-909f-fbb513d6ffe0"]},{"id":"ITEM-12","itemData":{"DOI":"10.1080/16078454.2019.1567654","ISSN":"16078454","abstract":"OBJECTIVES: Detectable minimal residual disease (MRD) after therapy for acute lymphoblastic leukemia (ALL) is the strongest predictor of hematologic relapse. This study evaluated outcomes of patients with B-cell precursor ALL with MRD of ≥10-4 Methods: Study population was from ALL study groups in Europe managed in national study protocols 2000-2014. MRD was measured by polymerase chain reaction or flow cytometry. Patients were age ≥15 years at initial ALL diagnosis. Patients were excluded if exposed to blinatumomab within 18 months of baseline or prior alloHSCT. RESULTS: Of 272 patients in CR1, baseline MRD was ≥10-1, 10-2 to &lt;10-1, 10-3 to &lt;10-2, and 10-4 to &lt;10-3 in 15 (6%), 71 (26%), 109 (40%), and 77 (28%) patients, respectively. Median duration of complete remission (DoR) was 18.5 months (95% confidence interval [CI], 11.9-27.2), median relapse-free survival (RFS) was 12.4 months (95% CI, 10.0-19.0) and median overall survival (OS) was 32.5 months (95% CI, 23.6-48.0). Lower baseline MRD level (P ≤ .0003) and white blood cell count &lt;30,000/µL at diagnosis (P ≤ .0053) were strong predictors for better RFS and DoR. Allogeneic hematopoietic stem cell transplantation (alloHSCT) was associated with longer RFS (hazard ratio [HR], 0.59; 95% CI, 0.41-0.84) and DoR (HR, 0.43; 95% CI, 0.29-0.64); the association with OS was not significant (HR, 0.72; 95% CI, 0.50-1.05). DISCUSSION: In conclusion, RFS, DoR, and OS are relatively short in patients with MRD-positive ALL, particularly at higher MRD levels. AlloHSCT may improve survival but has limitations. Alternative approaches are needed to improve outcomes in MRD-positive ALL.","author":[{"dropping-particle":"","family":"Gökbuget","given":"Nicola","non-dropping-particle":"","parse-names":false,"suffix":""},{"dropping-particle":"","family":"Dombret","given":"Hervé","non-dropping-particle":"","parse-names":false,"suffix":""},{"dropping-particle":"","family":"Giebel","given":"Sebastian","non-dropping-particle":"","parse-names":false,"suffix":""},{"dropping-particle":"","family":"Bruggemann","given":"Monika","non-dropping-particle":"","parse-names":false,"suffix":""},{"dropping-particle":"","family":"Doubek","given":"Michael","non-dropping-particle":"","parse-names":false,"suffix":""},{"dropping-particle":"","family":"Foà","given":"Robin","non-dropping-particle":"","parse-names":false,"suffix":""},{"dropping-particle":"","family":"Hoelzer","given":"Dieter","non-dropping-particle":"","parse-names":false,"suffix":""},{"dropping-particle":"","family":"Kim","given":"Christopher","non-dropping-particle":"","parse-names":false,"suffix":""},{"dropping-particle":"","family":"Martinelli","given":"Giovanni","non-dropping-particle":"","parse-names":false,"suffix":""},{"dropping-particle":"","family":"Parovichnikova","given":"Elena","non-dropping-particle":"","parse-names":false,"suffix":""},{"dropping-particle":"","family":"Rambaldi","given":"Alessandro","non-dropping-particle":"","parse-names":false,"suffix":""},{"dropping-particle":"","family":"Ribera","given":"Josep Maria","non-dropping-particle":"","parse-names":false,"suffix":""},{"dropping-particle":"","family":"Schoonen","given":"Marieke","non-dropping-particle":"","parse-names":false,"suffix":""},{"dropping-particle":"","family":"Stieglmaier","given":"Julia M.","non-dropping-particle":"","parse-names":false,"suffix":""},{"dropping-particle":"","family":"Zugmaier","given":"Gerhard","non-dropping-particle":"","parse-names":false,"suffix":""},{"dropping-particle":"","family":"Bassan","given":"Renato","non-dropping-particle":"","parse-names":false,"suffix":""}],"container-title":"Hematology (Amsterdam, Netherlands)","id":"ITEM-12","issue":"1","issued":{"date-parts":[["2019"]]},"page":"337-348","title":"Minimal residual disease level predicts outcome in adults with Ph-negative B-precursor acute lymphoblastic leukemia","type":"article-journal","volume":"24"},"uris":["http://www.mendeley.com/documents/?uuid=36d8a4ee-9d9c-422c-8e08-89dc60d3034c"]}],"mendeley":{"formattedCitation":"(46,50–60)","plainTextFormattedCitation":"(46,50–60)","previouslyFormattedCitation":"(46,50,59,60,51–58)"},"properties":{"noteIndex":0},"schema":"https://github.com/citation-style-language/schema/raw/master/csl-citation.json"}</w:instrText>
      </w:r>
      <w:r w:rsidR="00415C49">
        <w:rPr>
          <w:rFonts w:ascii="Arial" w:hAnsi="Arial" w:cs="Arial"/>
          <w:sz w:val="20"/>
          <w:szCs w:val="20"/>
          <w:lang w:val="es-ES"/>
        </w:rPr>
        <w:fldChar w:fldCharType="separate"/>
      </w:r>
      <w:r w:rsidR="006362B7" w:rsidRPr="006362B7">
        <w:rPr>
          <w:rFonts w:ascii="Arial" w:hAnsi="Arial" w:cs="Arial"/>
          <w:noProof/>
          <w:sz w:val="20"/>
          <w:szCs w:val="20"/>
          <w:lang w:val="es-ES"/>
        </w:rPr>
        <w:t>(46,50–60)</w:t>
      </w:r>
      <w:r w:rsidR="00415C49">
        <w:rPr>
          <w:rFonts w:ascii="Arial" w:hAnsi="Arial" w:cs="Arial"/>
          <w:sz w:val="20"/>
          <w:szCs w:val="20"/>
          <w:lang w:val="es-ES"/>
        </w:rPr>
        <w:fldChar w:fldCharType="end"/>
      </w:r>
      <w:r w:rsidR="002E58FA">
        <w:rPr>
          <w:rFonts w:ascii="Arial" w:hAnsi="Arial" w:cs="Arial"/>
          <w:sz w:val="20"/>
          <w:szCs w:val="20"/>
          <w:lang w:val="es-ES"/>
        </w:rPr>
        <w:t xml:space="preserve">. </w:t>
      </w:r>
      <w:r>
        <w:rPr>
          <w:rFonts w:ascii="Arial" w:hAnsi="Arial" w:cs="Arial"/>
          <w:color w:val="000000"/>
          <w:sz w:val="20"/>
          <w:szCs w:val="20"/>
          <w:lang w:val="es-CO"/>
        </w:rPr>
        <w:t>El estudi</w:t>
      </w:r>
      <w:r w:rsidR="005273B4">
        <w:rPr>
          <w:rFonts w:ascii="Arial" w:hAnsi="Arial" w:cs="Arial"/>
          <w:color w:val="000000"/>
          <w:sz w:val="20"/>
          <w:szCs w:val="20"/>
          <w:lang w:val="es-CO"/>
        </w:rPr>
        <w:t>o</w:t>
      </w:r>
      <w:r>
        <w:rPr>
          <w:rFonts w:ascii="Arial" w:hAnsi="Arial" w:cs="Arial"/>
          <w:color w:val="000000"/>
          <w:sz w:val="20"/>
          <w:szCs w:val="20"/>
          <w:lang w:val="es-CO"/>
        </w:rPr>
        <w:t xml:space="preserve"> TOWER reportó un 4,9% de </w:t>
      </w:r>
      <w:r w:rsidR="000B75EB">
        <w:rPr>
          <w:rFonts w:ascii="Arial" w:hAnsi="Arial" w:cs="Arial"/>
          <w:color w:val="000000"/>
          <w:sz w:val="20"/>
          <w:szCs w:val="20"/>
          <w:lang w:val="es-CO"/>
        </w:rPr>
        <w:t>síndrome</w:t>
      </w:r>
      <w:r>
        <w:rPr>
          <w:rFonts w:ascii="Arial" w:hAnsi="Arial" w:cs="Arial"/>
          <w:color w:val="000000"/>
          <w:sz w:val="20"/>
          <w:szCs w:val="20"/>
          <w:lang w:val="es-CO"/>
        </w:rPr>
        <w:t xml:space="preserve"> de liberación de citoquinas y toxicidad neurológica 9,4% grado 3 y 4</w:t>
      </w:r>
      <w:r w:rsidR="00415C49">
        <w:rPr>
          <w:rFonts w:ascii="Arial" w:hAnsi="Arial" w:cs="Arial"/>
          <w:color w:val="000000"/>
          <w:sz w:val="20"/>
          <w:szCs w:val="20"/>
          <w:lang w:val="es-CO"/>
        </w:rPr>
        <w:fldChar w:fldCharType="begin" w:fldLock="1"/>
      </w:r>
      <w:r w:rsidR="00F36858">
        <w:rPr>
          <w:rFonts w:ascii="Arial" w:hAnsi="Arial" w:cs="Arial"/>
          <w:color w:val="000000"/>
          <w:sz w:val="20"/>
          <w:szCs w:val="20"/>
          <w:lang w:val="es-CO"/>
        </w:rPr>
        <w:instrText>ADDIN CSL_CITATION {"citationItems":[{"id":"ITEM-1","itemData":{"DOI":"10.1182/blood-2017-08-798322","ISSN":"15280020","abstract":"© 2018 by The American Society of Hematology Approximately 30% to 50% of adults with acute lymphoblastic leukemia (ALL) in hematologic complete remission after multiagent therapy exhibit minimal residual disease (MRD) by reverse transcriptase–polymerase chain reaction or flow cytometry. MRD is the strongest predictor of relapse in ALL. In this open-label, single-arm study, adults with B-cell precursor ALL in hematologic complete remission with MRD (‡102 3 ) received blinatumomab 15 mg/m 2 per day by continuous IV infusion for up to 4 cycles. Patients could undergo allogeneic hematopoietic stem-cell transplantation any time after cycle 1. The primary end point was complete MRD response status after 1 cycle of blinatumomab. One hundred sixteen patients received blinatumomab. Eighty-eight (78%) of 113 evaluable patients achieved a complete MRD response. In the subgroup of 110 patients with Ph-negative ALL in hematologic remission, the Kaplan-Meier estimate of relapse-free survival (RFS) at 18 months was 54%. Median overall survival (OS) was 36.5 months. In landmark analyses, complete MRD responders had longer RFS (23.6 vs 5.7 months; P 5 .002) and OS (38.9 vs 12.5 months; P 5 .002) compared with MRD nonresponders. Adverse events were consistent with previous studies of blinatumomab. Twelve (10%) and 3 patients (3%) had grade 3 or 4 neurologic events, respectively. Four patients (3%) had cytokine release syndrome grade 1, n 5 2; grade 3, n 5 2), all during cycle 1. After treatment with blinatumomab in a population of patients with MRD-positive B-cell precursor ALL, a majority achieved a complete MRD response, which was associated with significantly longer RFS and OS compared with MRD nonresponders. This study is registered at www.clinicaltrials.gov as #NCT01207388. (Blood. 2018;131(14):1522-1531)","author":[{"dropping-particle":"","family":"Gökbuget","given":"Nicola","non-dropping-particle":"","parse-names":false,"suffix":""},{"dropping-particle":"","family":"Dombret","given":"Hervé","non-dropping-particle":"","parse-names":false,"suffix":""},{"dropping-particle":"","family":"Bonifacio","given":"Massimiliano","non-dropping-particle":"","parse-names":false,"suffix":""},{"dropping-particle":"","family":"Reichle","given":"Albrecht","non-dropping-particle":"","parse-names":false,"suffix":""},{"dropping-particle":"","family":"Graux","given":"Carlos","non-dropping-particle":"","parse-names":false,"suffix":""},{"dropping-particle":"","family":"Faul","given":"Christoph","non-dropping-particle":"","parse-names":false,"suffix":""},{"dropping-particle":"","family":"Diedrich","given":"Helmut","non-dropping-particle":"","parse-names":false,"suffix":""},{"dropping-particle":"","family":"Topp","given":"Max S.","non-dropping-particle":"","parse-names":false,"suffix":""},{"dropping-particle":"","family":"Brüggemann","given":"Monika","non-dropping-particle":"","parse-names":false,"suffix":""},{"dropping-particle":"","family":"Horst","given":"Heinz August","non-dropping-particle":"","parse-names":false,"suffix":""},{"dropping-particle":"","family":"Havelange","given":"Violaine","non-dropping-particle":"","parse-names":false,"suffix":""},{"dropping-particle":"","family":"Stieglmaier","given":"Julia","non-dropping-particle":"","parse-names":false,"suffix":""},{"dropping-particle":"","family":"Wessels","given":"Hendrik","non-dropping-particle":"","parse-names":false,"suffix":""},{"dropping-particle":"","family":"Haddad","given":"Vincent","non-dropping-particle":"","parse-names":false,"suffix":""},{"dropping-particle":"","family":"Benjamin","given":"Jonathan E.","non-dropping-particle":"","parse-names":false,"suffix":""},{"dropping-particle":"","family":"Zugmaier","given":"Gerhard","non-dropping-particle":"","parse-names":false,"suffix":""},{"dropping-particle":"","family":"Nagorsen","given":"Dirk","non-dropping-particle":"","parse-names":false,"suffix":""},{"dropping-particle":"","family":"Bargou","given":"Ralf C.","non-dropping-particle":"","parse-names":false,"suffix":""}],"container-title":"Blood","id":"ITEM-1","issue":"14","issued":{"date-parts":[["2018"]]},"page":"1522-1531","title":"Blinatumomab for minimal residual disease in adults with B-cell precursor acute lymphoblastic leukemia","type":"article-journal","volume":"131"},"uris":["http://www.mendeley.com/documents/?uuid=f34b71dd-6b7d-4fdd-a497-c9c07a174571"]},{"id":"ITEM-2","itemData":{"DOI":"10.1056/NEJMoa1609783","ISSN":"0028-4793","abstract":"Copyright © 2017 Massachusetts Medical Society. BACKGROUND Blinatumomab, a bispecific monoclonal antibody construct that enables CD3-positive T cells to recognize and eliminate CD19-positive acute lymphoblastic leukemia (ALL) blasts, was approved for use in patients with relapsed or refractory B-cell precursor ALL on the basis of single-group trials that showed efficacy and manageable toxic effects. METHODS In this multi-institutional phase 3 trial, we randomly assigned adults with heavily pretreated B-cell precursor ALL, in a 2:1 ratio, to receive either blinatumomab or standardof-care chemotherapy. The primary end point was overall survival. RESULTS Of the 405 patients who were randomly assigned to receive blinatumomab (271 patients) or chemotherapy (134 patients), 376 patients received at least one dose. Overall survival was significantly longer in the blinatumomab group than in the chemotherapy group. The median overall survival was 7.7 months in the blinatumomab group and 4.0 months in the chemotherapy group (hazard ratio for death with blinatumomab vs. chemotherapy, 0.71; 95% confidence interval [CI], 0.55 to 0.93; P = 0.01). Remission rates within 12 weeks after treatment initiation were significantly higher in the blinatumomab group than in the chemotherapy group, both with respect to complete remission with full hematologic recovery (34% vs. 16%, P&lt;0.001) and with respect to complete remission with full, partial, or incomplete hematologic recovery (44% vs. 25%, P&lt;0.001). Treatment with blinatumomab resulted in a higher rate of event-free survival than that with chemotherapy (6-month estimates, 31% vs. 12%; hazard ratio for an event of relapse after achieving a complete remission with full, partial, or incomplete hematologic recovery, or death, 0.55; 95% CI, 0.43 to 0.71; P&lt;0.001), as well as a longer median duration of remission (7.3 vs. 4.6 months). A total of 24% of the patients in each treatment group underwent allogeneic stem-cell transplantation. Adverse events of grade 3 or higher were reported in 87% of the patients in the blinatumomab group and in 92% of the patients in the chemotherapy group. CONCLUSIONS Treatment with blinatumomab resulted in significantly longer overall survival than chemotherapy among adult patients with relapsed or refractory B-cell precursor ALL.","author":[{"dropping-particle":"","family":"Kantarjian","given":"Hagop","non-dropping-particle":"","parse-names":false,"suffix":""},{"dropping-particle":"","family":"Stein","given":"Anthony","non-dropping-particle":"","parse-names":false,"suffix":""},{"dropping-particle":"","family":"Gökbuget","given":"Nicola","non-dropping-particle":"","parse-names":false,"suffix":""},{"dropping-particle":"","family":"Fielding","given":"Adele K.","non-dropping-particle":"","parse-names":false,"suffix":""},{"dropping-particle":"","family":"Schuh","given":"Andre C.","non-dropping-particle":"","parse-names":false,"suffix":""},{"dropping-particle":"","family":"Ribera","given":"Josep-Maria","non-dropping-particle":"","parse-names":false,"suffix":""},{"dropping-particle":"","family":"Wei","given":"Andrew","non-dropping-particle":"","parse-names":false,"suffix":""},{"dropping-particle":"","family":"Dombret","given":"Hervé","non-dropping-particle":"","parse-names":false,"suffix":""},{"dropping-particle":"","family":"Foà","given":"Robin","non-dropping-particle":"","parse-names":false,"suffix":""},{"dropping-particle":"","family":"Bassan","given":"Renato","non-dropping-particle":"","parse-names":false,"suffix":""},{"dropping-particle":"","family":"Arslan","given":"Önder","non-dropping-particle":"","parse-names":false,"suffix":""},{"dropping-particle":"","family":"Sanz","given":"Miguel A.","non-dropping-particle":"","parse-names":false,"suffix":""},{"dropping-particle":"","family":"Bergeron","given":"Julie","non-dropping-particle":"","parse-names":false,"suffix":""},{"dropping-particle":"","family":"Demirkan","given":"Fatih","non-dropping-particle":"","parse-names":false,"suffix":""},{"dropping-particle":"","family":"Lech-Maranda","given":"Ewa","non-dropping-particle":"","parse-names":false,"suffix":""},{"dropping-particle":"","family":"Rambaldi","given":"Alessandro","non-dropping-particle":"","parse-names":false,"suffix":""},{"dropping-particle":"","family":"Thomas","given":"Xavier","non-dropping-particle":"","parse-names":false,"suffix":""},{"dropping-particle":"","family":"Horst","given":"Heinz-August","non-dropping-particle":"","parse-names":false,"suffix":""},{"dropping-particle":"","family":"Brüggemann","given":"Monika","non-dropping-particle":"","parse-names":false,"suffix":""},{"dropping-particle":"","family":"Klapper","given":"Wolfram","non-dropping-particle":"","parse-names":false,"suffix":""},{"dropping-particle":"","family":"Wood","given":"Brent L.","non-dropping-particle":"","parse-names":false,"suffix":""},{"dropping-particle":"","family":"Fleishman","given":"Alex","non-dropping-particle":"","parse-names":false,"suffix":""},{"dropping-particle":"","family":"Nagorsen","given":"Dirk","non-dropping-particle":"","parse-names":false,"suffix":""},{"dropping-particle":"","family":"Holland","given":"Christopher","non-dropping-particle":"","parse-names":false,"suffix":""},{"dropping-particle":"","family":"Zimmerman","given":"Zachary","non-dropping-particle":"","parse-names":false,"suffix":""},{"dropping-particle":"","family":"Topp","given":"Max S.","non-dropping-particle":"","parse-names":false,"suffix":""}],"container-title":"New England Journal of Medicine","id":"ITEM-2","issue":"9","issued":{"date-parts":[["2017"]]},"page":"836-847","title":"Blinatumomab versus Chemotherapy for Advanced Acute Lymphoblastic Leukemia","type":"article-journal","volume":"376"},"uris":["http://www.mendeley.com/documents/?uuid=2b5ac8f8-95c3-4342-98ee-f5afccd8a513"]}],"mendeley":{"formattedCitation":"(53,55)","plainTextFormattedCitation":"(53,55)","previouslyFormattedCitation":"(53,55)"},"properties":{"noteIndex":0},"schema":"https://github.com/citation-style-language/schema/raw/master/csl-citation.json"}</w:instrText>
      </w:r>
      <w:r w:rsidR="00415C49">
        <w:rPr>
          <w:rFonts w:ascii="Arial" w:hAnsi="Arial" w:cs="Arial"/>
          <w:color w:val="000000"/>
          <w:sz w:val="20"/>
          <w:szCs w:val="20"/>
          <w:lang w:val="es-CO"/>
        </w:rPr>
        <w:fldChar w:fldCharType="separate"/>
      </w:r>
      <w:r w:rsidR="00AB2A28" w:rsidRPr="00AB2A28">
        <w:rPr>
          <w:rFonts w:ascii="Arial" w:hAnsi="Arial" w:cs="Arial"/>
          <w:noProof/>
          <w:color w:val="000000"/>
          <w:sz w:val="20"/>
          <w:szCs w:val="20"/>
          <w:lang w:val="es-CO"/>
        </w:rPr>
        <w:t>(53,55)</w:t>
      </w:r>
      <w:r w:rsidR="00415C49">
        <w:rPr>
          <w:rFonts w:ascii="Arial" w:hAnsi="Arial" w:cs="Arial"/>
          <w:color w:val="000000"/>
          <w:sz w:val="20"/>
          <w:szCs w:val="20"/>
          <w:lang w:val="es-CO"/>
        </w:rPr>
        <w:fldChar w:fldCharType="end"/>
      </w:r>
      <w:r>
        <w:rPr>
          <w:rFonts w:ascii="Arial" w:hAnsi="Arial" w:cs="Arial"/>
          <w:color w:val="000000"/>
          <w:sz w:val="20"/>
          <w:szCs w:val="20"/>
          <w:lang w:val="es-CO"/>
        </w:rPr>
        <w:t xml:space="preserve">. </w:t>
      </w:r>
    </w:p>
    <w:p w14:paraId="3B269FAD" w14:textId="77777777" w:rsidR="00E17243" w:rsidRDefault="00E17243" w:rsidP="001D5A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CO"/>
        </w:rPr>
      </w:pPr>
    </w:p>
    <w:p w14:paraId="53C89034" w14:textId="4D34375A" w:rsidR="00241408" w:rsidRDefault="00E17243" w:rsidP="00764944">
      <w:pPr>
        <w:widowControl w:val="0"/>
        <w:autoSpaceDE w:val="0"/>
        <w:autoSpaceDN w:val="0"/>
        <w:adjustRightInd w:val="0"/>
        <w:spacing w:after="0" w:line="276" w:lineRule="auto"/>
        <w:jc w:val="both"/>
        <w:rPr>
          <w:rFonts w:ascii="Arial" w:hAnsi="Arial" w:cs="Arial"/>
          <w:color w:val="131413"/>
          <w:sz w:val="20"/>
          <w:szCs w:val="20"/>
          <w:lang w:val="es-ES"/>
        </w:rPr>
      </w:pPr>
      <w:r w:rsidRPr="007A1026">
        <w:rPr>
          <w:rFonts w:ascii="Arial" w:hAnsi="Arial" w:cs="Arial"/>
          <w:color w:val="000000"/>
          <w:sz w:val="20"/>
          <w:szCs w:val="20"/>
          <w:lang w:val="es-CO"/>
        </w:rPr>
        <w:t xml:space="preserve">Un estudio evaluando los eventos </w:t>
      </w:r>
      <w:r w:rsidR="000B75EB" w:rsidRPr="007A1026">
        <w:rPr>
          <w:rFonts w:ascii="Arial" w:hAnsi="Arial" w:cs="Arial"/>
          <w:color w:val="000000"/>
          <w:sz w:val="20"/>
          <w:szCs w:val="20"/>
          <w:lang w:val="es-CO"/>
        </w:rPr>
        <w:t>neurológicos</w:t>
      </w:r>
      <w:r w:rsidRPr="007A1026">
        <w:rPr>
          <w:rFonts w:ascii="Arial" w:hAnsi="Arial" w:cs="Arial"/>
          <w:color w:val="000000"/>
          <w:sz w:val="20"/>
          <w:szCs w:val="20"/>
          <w:lang w:val="es-CO"/>
        </w:rPr>
        <w:t xml:space="preserve"> asociados a blinatumomab estableció que la mayoría de estos ocurrieron durante el primer ciclo, con una mediana de aparición a los 9 días y fueron usualmente grado 1 y 2. Los eventos grado 3 o mayores tuvieron una incidencia entre el 13 y 17%, que fueron manejadas satisfactoriamente con interrupciones de la infusión de blinatumomab y tratamiento con dexametasona</w:t>
      </w:r>
      <w:r w:rsidR="00D518A5">
        <w:rPr>
          <w:rFonts w:ascii="Arial" w:hAnsi="Arial" w:cs="Arial"/>
          <w:color w:val="000000"/>
          <w:sz w:val="20"/>
          <w:szCs w:val="20"/>
          <w:lang w:val="es-CO"/>
        </w:rPr>
        <w:t>. Los eventos neurológicos si fu</w:t>
      </w:r>
      <w:r w:rsidRPr="007A1026">
        <w:rPr>
          <w:rFonts w:ascii="Arial" w:hAnsi="Arial" w:cs="Arial"/>
          <w:color w:val="000000"/>
          <w:sz w:val="20"/>
          <w:szCs w:val="20"/>
          <w:lang w:val="es-CO"/>
        </w:rPr>
        <w:t xml:space="preserve">eron claramente </w:t>
      </w:r>
      <w:r w:rsidR="00462D36" w:rsidRPr="007A1026">
        <w:rPr>
          <w:rFonts w:ascii="Arial" w:hAnsi="Arial" w:cs="Arial"/>
          <w:color w:val="000000"/>
          <w:sz w:val="20"/>
          <w:szCs w:val="20"/>
          <w:lang w:val="es-CO"/>
        </w:rPr>
        <w:t>más</w:t>
      </w:r>
      <w:r w:rsidRPr="007A1026">
        <w:rPr>
          <w:rFonts w:ascii="Arial" w:hAnsi="Arial" w:cs="Arial"/>
          <w:color w:val="000000"/>
          <w:sz w:val="20"/>
          <w:szCs w:val="20"/>
          <w:lang w:val="es-CO"/>
        </w:rPr>
        <w:t xml:space="preserve"> frecuentes en pacientes mayores de 65 años </w:t>
      </w:r>
      <w:r w:rsidR="00D518A5">
        <w:rPr>
          <w:rFonts w:ascii="Arial" w:hAnsi="Arial" w:cs="Arial"/>
          <w:color w:val="000000"/>
          <w:sz w:val="20"/>
          <w:szCs w:val="20"/>
          <w:lang w:val="es-CO"/>
        </w:rPr>
        <w:t>a diferencia de</w:t>
      </w:r>
      <w:r w:rsidRPr="007A1026">
        <w:rPr>
          <w:rFonts w:ascii="Arial" w:hAnsi="Arial" w:cs="Arial"/>
          <w:color w:val="000000"/>
          <w:sz w:val="20"/>
          <w:szCs w:val="20"/>
          <w:lang w:val="es-CO"/>
        </w:rPr>
        <w:t xml:space="preserve"> los menores (72 vs 49%). En el análisis multivariado, una raza diferente a la blanca </w:t>
      </w:r>
      <w:r w:rsidRPr="007A1026">
        <w:rPr>
          <w:rFonts w:ascii="Arial" w:hAnsi="Arial" w:cs="Arial"/>
          <w:color w:val="131413"/>
          <w:sz w:val="20"/>
          <w:szCs w:val="20"/>
          <w:lang w:val="es-ES"/>
        </w:rPr>
        <w:t>(hazard ratio [HR], 2.11; P = 0.009), m</w:t>
      </w:r>
      <w:r w:rsidR="00674977">
        <w:rPr>
          <w:rFonts w:ascii="Arial" w:hAnsi="Arial" w:cs="Arial"/>
          <w:color w:val="131413"/>
          <w:sz w:val="20"/>
          <w:szCs w:val="20"/>
          <w:lang w:val="es-ES"/>
        </w:rPr>
        <w:t>á</w:t>
      </w:r>
      <w:r w:rsidRPr="007A1026">
        <w:rPr>
          <w:rFonts w:ascii="Arial" w:hAnsi="Arial" w:cs="Arial"/>
          <w:color w:val="131413"/>
          <w:sz w:val="20"/>
          <w:szCs w:val="20"/>
          <w:lang w:val="es-ES"/>
        </w:rPr>
        <w:t>s de 2 terapias de rescate previas (HR, 2.48; P = 0.006),</w:t>
      </w:r>
      <w:r w:rsidR="00F36858" w:rsidRPr="007A1026">
        <w:rPr>
          <w:rFonts w:ascii="Arial" w:hAnsi="Arial" w:cs="Arial"/>
          <w:color w:val="131413"/>
          <w:sz w:val="20"/>
          <w:szCs w:val="20"/>
          <w:lang w:val="es-ES"/>
        </w:rPr>
        <w:t xml:space="preserve"> y previos eventos neurológicos (HR, 1.65; P = 0.020), fueron los factores de riesgo más importantes a tener en cuenta para el desarrollo de neurotoxicidad. </w:t>
      </w:r>
    </w:p>
    <w:p w14:paraId="50510B5B" w14:textId="77777777" w:rsidR="00241408" w:rsidRDefault="00241408" w:rsidP="00764944">
      <w:pPr>
        <w:widowControl w:val="0"/>
        <w:autoSpaceDE w:val="0"/>
        <w:autoSpaceDN w:val="0"/>
        <w:adjustRightInd w:val="0"/>
        <w:spacing w:after="0" w:line="276" w:lineRule="auto"/>
        <w:jc w:val="both"/>
        <w:rPr>
          <w:rFonts w:ascii="Arial" w:hAnsi="Arial" w:cs="Arial"/>
          <w:color w:val="131413"/>
          <w:sz w:val="20"/>
          <w:szCs w:val="20"/>
          <w:lang w:val="es-ES"/>
        </w:rPr>
      </w:pPr>
    </w:p>
    <w:p w14:paraId="502D948C" w14:textId="29DD12D3" w:rsidR="00995F5B" w:rsidRPr="007A1026" w:rsidRDefault="0088113C" w:rsidP="00764944">
      <w:pPr>
        <w:widowControl w:val="0"/>
        <w:autoSpaceDE w:val="0"/>
        <w:autoSpaceDN w:val="0"/>
        <w:adjustRightInd w:val="0"/>
        <w:spacing w:after="0" w:line="276" w:lineRule="auto"/>
        <w:jc w:val="both"/>
        <w:rPr>
          <w:rFonts w:ascii="Arial" w:hAnsi="Arial" w:cs="Arial"/>
          <w:color w:val="000000"/>
          <w:sz w:val="20"/>
          <w:szCs w:val="20"/>
          <w:lang w:val="es-CO"/>
        </w:rPr>
      </w:pPr>
      <w:r w:rsidRPr="007A1026">
        <w:rPr>
          <w:rFonts w:ascii="Arial" w:hAnsi="Arial" w:cs="Arial"/>
          <w:color w:val="131413"/>
          <w:sz w:val="20"/>
          <w:szCs w:val="20"/>
          <w:lang w:val="es-ES"/>
        </w:rPr>
        <w:t xml:space="preserve">No parece existir una relación lineal entre la aparición de síndrome de liberación de citoquinas con la presencia de eventos neurológicos asociados a Blinatumomab. </w:t>
      </w:r>
      <w:r w:rsidR="00F36858" w:rsidRPr="007A1026">
        <w:rPr>
          <w:rFonts w:ascii="Arial" w:hAnsi="Arial" w:cs="Arial"/>
          <w:color w:val="131413"/>
          <w:sz w:val="20"/>
          <w:szCs w:val="20"/>
          <w:lang w:val="es-ES"/>
        </w:rPr>
        <w:t xml:space="preserve">Aunque los mecanismos subyacentes a la neurotoxicidad </w:t>
      </w:r>
      <w:r w:rsidR="00462D36" w:rsidRPr="007A1026">
        <w:rPr>
          <w:rFonts w:ascii="Arial" w:hAnsi="Arial" w:cs="Arial"/>
          <w:color w:val="131413"/>
          <w:sz w:val="20"/>
          <w:szCs w:val="20"/>
          <w:lang w:val="es-ES"/>
        </w:rPr>
        <w:t>aún</w:t>
      </w:r>
      <w:r w:rsidR="00F36858" w:rsidRPr="007A1026">
        <w:rPr>
          <w:rFonts w:ascii="Arial" w:hAnsi="Arial" w:cs="Arial"/>
          <w:color w:val="131413"/>
          <w:sz w:val="20"/>
          <w:szCs w:val="20"/>
          <w:lang w:val="es-ES"/>
        </w:rPr>
        <w:t xml:space="preserve"> no son claros, </w:t>
      </w:r>
      <w:r w:rsidR="007A1026" w:rsidRPr="007A1026">
        <w:rPr>
          <w:rFonts w:ascii="Arial" w:hAnsi="Arial" w:cs="Arial"/>
          <w:color w:val="131413"/>
          <w:sz w:val="20"/>
          <w:szCs w:val="20"/>
          <w:lang w:val="es-ES"/>
        </w:rPr>
        <w:t xml:space="preserve">parecen </w:t>
      </w:r>
      <w:r w:rsidR="00462D36" w:rsidRPr="007A1026">
        <w:rPr>
          <w:rFonts w:ascii="Arial" w:hAnsi="Arial" w:cs="Arial"/>
          <w:color w:val="131413"/>
          <w:sz w:val="20"/>
          <w:szCs w:val="20"/>
          <w:lang w:val="es-ES"/>
        </w:rPr>
        <w:t>estar</w:t>
      </w:r>
      <w:r w:rsidR="007A1026" w:rsidRPr="007A1026">
        <w:rPr>
          <w:rFonts w:ascii="Arial" w:hAnsi="Arial" w:cs="Arial"/>
          <w:color w:val="131413"/>
          <w:sz w:val="20"/>
          <w:szCs w:val="20"/>
          <w:lang w:val="es-ES"/>
        </w:rPr>
        <w:t xml:space="preserve"> asociados a la irritación del neuroendotelio como consecuencia de la liberación de citoquinas inflamatorias producidas por la activación de las células T por parte del Blinatumomab en el camino hacia el sistema nervioso central. Todos los eventos han sido reversibles con dexametasona y la suspensión de la infusión, sin detectarse cambios en las resonancias nucleares magnéticas de los pacientes afectados </w:t>
      </w:r>
      <w:r w:rsidR="00415C49" w:rsidRPr="007A1026">
        <w:rPr>
          <w:rFonts w:ascii="Arial" w:hAnsi="Arial" w:cs="Arial"/>
          <w:color w:val="131413"/>
          <w:sz w:val="20"/>
          <w:szCs w:val="20"/>
          <w:lang w:val="es-ES"/>
        </w:rPr>
        <w:fldChar w:fldCharType="begin" w:fldLock="1"/>
      </w:r>
      <w:r w:rsidR="006362B7">
        <w:rPr>
          <w:rFonts w:ascii="Arial" w:hAnsi="Arial" w:cs="Arial"/>
          <w:color w:val="131413"/>
          <w:sz w:val="20"/>
          <w:szCs w:val="20"/>
          <w:lang w:val="es-ES"/>
        </w:rPr>
        <w:instrText>ADDIN CSL_CITATION {"citationItems":[{"id":"ITEM-1","itemData":{"DOI":"10.1007/s00277-018-3497-0","ISBN":"0027701834970","ISSN":"14320584","abstract":"Neurologic events (NEs) have been reported during treatment with blinatumomab, a bispecific T cell engager (BiTE®) construct. We evaluated the occurrence, severity, and management of NEs; the relationship between NEs and blinatumomab dose; and the potential clinical risk factors in an open-label, single-arm, phase 2 study (N = 189). Patients had Philadelphia chromosome-negative, relapsed/refractory acute lymphoblastic leukemia (ALL) and ≥ 10% bone marrow blasts. The relationship between blinatumomab exposure and NE incidence and severity was assessed. Clinical risk factors for NEs were assessed in a post hoc multivariate analysis. Overall, 98 patients (52%) experienced NEs: most frequently, dizziness, tremor, confusional state, and encephalopathy. NEs occurred predominantly during cycle 1 (median onset, 9 days) and were usually grades 1 or 2. Grade ≥ 3 NEs (13-17% incidence), serious NEs (16-19% incidence), and recurring NEs were managed with infusion interruptions or dexamethasone treatment. The incidence of NEs increased with increasing blinatumomab exposure at a given dose, but exposure appeared unrelated to NE severity. NEs were more frequent in patients ≥ 65 years than &lt; 65 years (72 vs 49%). In a multivariate analysis, race other than white (hazard ratio [HR], 2.11; P = 0.009), &gt; 2 prior salvage therapies (HR, 2.48; P = 0.006), and prior NEs (HR, 1.65; P = 0.020) were risk factors for time to first on-study NE. Although the mechanism underlying NEs associated with blinatumomab treatment in patients with relapsed/refractory ALL remains unclear, NEs tended to occur early during treatment and were often resolved by interrupting treatment and with dexamethasone. Additional research is warranted to investigate the risk factors for NEs.","author":[{"dropping-particle":"","family":"Stein","given":"Anthony S.","non-dropping-particle":"","parse-names":false,"suffix":""},{"dropping-particle":"","family":"Schiller","given":"Gary","non-dropping-particle":"","parse-names":false,"suffix":""},{"dropping-particle":"","family":"Benjamin","given":"Ramsis","non-dropping-particle":"","parse-names":false,"suffix":""},{"dropping-particle":"","family":"Jia","given":"Catherine","non-dropping-particle":"","parse-names":false,"suffix":""},{"dropping-particle":"","family":"Zhang","given":"Alicia","non-dropping-particle":"","parse-names":false,"suffix":""},{"dropping-particle":"","family":"Zhu","given":"Min","non-dropping-particle":"","parse-names":false,"suffix":""},{"dropping-particle":"","family":"Zimmerman","given":"Zachary","non-dropping-particle":"","parse-names":false,"suffix":""},{"dropping-particle":"","family":"Topp","given":"Max S.","non-dropping-particle":"","parse-names":false,"suffix":""}],"container-title":"Annals of Hematology","id":"ITEM-1","issue":"1","issued":{"date-parts":[["2019"]]},"page":"159-167","publisher":"Annals of Hematology","title":"Neurologic adverse events in patients with relapsed/refractory acute lymphoblastic leukemia treated with blinatumomab: management and mitigating factors","type":"article-journal","volume":"98"},"uris":["http://www.mendeley.com/documents/?uuid=177cc749-c834-4cbf-a5c0-2b359bee8d47"]},{"id":"ITEM-2","itemData":{"DOI":"10.1016/j.pharmthera.2012.07.013","ISSN":"01637258","abstract":"For decades, chemotherapy has been the backbone for the treatment of patients with B cell malignancies. Depending on the individual disease, monoclonal antibodies, irradiation and/or hematopoietic stem cell transplantation are added. However, the current standard of care - particularly for patients with relapsed disease - is often not sufficient to achieve durable remissions. A highly promising new drug candidate in late-stage clinical development for treatment of B cell malignancies is blinatumomab (MT103 or AMG 103). This bispecific antibody construct has dual specificity for CD19 and CD3 and belongs to the class of bispecific T cell engager (BiTE®) antibodies, which can potentially engage all cytotoxic T cells of a patient for redirected lysis of tumor cells. Here, we review how blinatumomab has so far been pre-clinically and clinically developed for the treatment of patients with non-Hodgkin's lymphoma and acute lymphoblastic leukemia. © 2012 Elsevier Inc. All rights reserved.","author":[{"dropping-particle":"","family":"Nagorsen","given":"Dirk","non-dropping-particle":"","parse-names":false,"suffix":""},{"dropping-particle":"","family":"Kufer","given":"Peter","non-dropping-particle":"","parse-names":false,"suffix":""},{"dropping-particle":"","family":"Baeuerle","given":"Patrick A.","non-dropping-particle":"","parse-names":false,"suffix":""},{"dropping-particle":"","family":"Bargou","given":"Ralf","non-dropping-particle":"","parse-names":false,"suffix":""}],"container-title":"Pharmacology and Therapeutics","id":"ITEM-2","issue":"3","issued":{"date-parts":[["2012"]]},"page":"334-342","publisher":"Elsevier Inc.","title":"Blinatumomab: A historical perspective","type":"article-journal","volume":"136"},"uris":["http://www.mendeley.com/documents/?uuid=1aa9f93c-bd64-4f1b-a3b9-dad75a616621"]}],"mendeley":{"formattedCitation":"(50,58)","plainTextFormattedCitation":"(50,58)","previouslyFormattedCitation":"(50,59)"},"properties":{"noteIndex":0},"schema":"https://github.com/citation-style-language/schema/raw/master/csl-citation.json"}</w:instrText>
      </w:r>
      <w:r w:rsidR="00415C49" w:rsidRPr="007A1026">
        <w:rPr>
          <w:rFonts w:ascii="Arial" w:hAnsi="Arial" w:cs="Arial"/>
          <w:color w:val="131413"/>
          <w:sz w:val="20"/>
          <w:szCs w:val="20"/>
          <w:lang w:val="es-ES"/>
        </w:rPr>
        <w:fldChar w:fldCharType="separate"/>
      </w:r>
      <w:r w:rsidR="006362B7" w:rsidRPr="006362B7">
        <w:rPr>
          <w:rFonts w:ascii="Arial" w:hAnsi="Arial" w:cs="Arial"/>
          <w:noProof/>
          <w:color w:val="131413"/>
          <w:sz w:val="20"/>
          <w:szCs w:val="20"/>
          <w:lang w:val="es-ES"/>
        </w:rPr>
        <w:t>(50,58)</w:t>
      </w:r>
      <w:r w:rsidR="00415C49" w:rsidRPr="007A1026">
        <w:rPr>
          <w:rFonts w:ascii="Arial" w:hAnsi="Arial" w:cs="Arial"/>
          <w:color w:val="131413"/>
          <w:sz w:val="20"/>
          <w:szCs w:val="20"/>
          <w:lang w:val="es-ES"/>
        </w:rPr>
        <w:fldChar w:fldCharType="end"/>
      </w:r>
      <w:r w:rsidR="00F36858" w:rsidRPr="007A1026">
        <w:rPr>
          <w:rFonts w:ascii="Arial" w:hAnsi="Arial" w:cs="Arial"/>
          <w:color w:val="131413"/>
          <w:sz w:val="20"/>
          <w:szCs w:val="20"/>
          <w:lang w:val="es-ES"/>
        </w:rPr>
        <w:t>.</w:t>
      </w:r>
    </w:p>
    <w:p w14:paraId="7FA8ADAD" w14:textId="77777777" w:rsidR="00276B74" w:rsidRDefault="00276B74" w:rsidP="00E57E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color w:val="000000"/>
          <w:sz w:val="20"/>
          <w:szCs w:val="20"/>
          <w:lang w:val="es-CO"/>
        </w:rPr>
      </w:pPr>
    </w:p>
    <w:p w14:paraId="051BB87E" w14:textId="673C4FE2" w:rsidR="00276B74" w:rsidRDefault="00276B74" w:rsidP="00E57EA7">
      <w:pPr>
        <w:widowControl w:val="0"/>
        <w:autoSpaceDE w:val="0"/>
        <w:autoSpaceDN w:val="0"/>
        <w:adjustRightInd w:val="0"/>
        <w:spacing w:after="0" w:line="276" w:lineRule="auto"/>
        <w:jc w:val="both"/>
        <w:rPr>
          <w:rFonts w:ascii="Arial" w:hAnsi="Arial" w:cs="Arial"/>
          <w:color w:val="000000" w:themeColor="text1"/>
          <w:sz w:val="20"/>
          <w:szCs w:val="20"/>
          <w:lang w:val="es-ES"/>
        </w:rPr>
      </w:pPr>
      <w:r w:rsidRPr="00276B74">
        <w:rPr>
          <w:rFonts w:ascii="Arial" w:hAnsi="Arial" w:cs="Arial"/>
          <w:color w:val="000000" w:themeColor="text1"/>
          <w:sz w:val="20"/>
          <w:szCs w:val="20"/>
          <w:lang w:val="es-CO"/>
        </w:rPr>
        <w:t>Otro anticuerpo monoclonal estudiado para LLA recaída / Refractaria es el Inotuzumab</w:t>
      </w:r>
      <w:r w:rsidR="000B75EB">
        <w:rPr>
          <w:rFonts w:ascii="Arial" w:hAnsi="Arial" w:cs="Arial"/>
          <w:color w:val="000000" w:themeColor="text1"/>
          <w:sz w:val="20"/>
          <w:szCs w:val="20"/>
          <w:lang w:val="es-CO"/>
        </w:rPr>
        <w:t xml:space="preserve"> </w:t>
      </w:r>
      <w:r w:rsidRPr="00276B74">
        <w:rPr>
          <w:rFonts w:ascii="Arial" w:hAnsi="Arial" w:cs="Arial"/>
          <w:color w:val="000000" w:themeColor="text1"/>
          <w:sz w:val="20"/>
          <w:szCs w:val="20"/>
          <w:lang w:val="es-CO"/>
        </w:rPr>
        <w:t>Ozogamicin</w:t>
      </w:r>
      <w:r w:rsidR="00534B15">
        <w:rPr>
          <w:rFonts w:ascii="Arial" w:hAnsi="Arial" w:cs="Arial"/>
          <w:color w:val="000000" w:themeColor="text1"/>
          <w:sz w:val="20"/>
          <w:szCs w:val="20"/>
          <w:lang w:val="es-CO"/>
        </w:rPr>
        <w:t xml:space="preserve"> (molécula </w:t>
      </w:r>
      <w:r w:rsidR="008E6FBD">
        <w:rPr>
          <w:rFonts w:ascii="Arial" w:hAnsi="Arial" w:cs="Arial"/>
          <w:color w:val="000000" w:themeColor="text1"/>
          <w:sz w:val="20"/>
          <w:szCs w:val="20"/>
          <w:lang w:val="es-CO"/>
        </w:rPr>
        <w:t xml:space="preserve">actualmente </w:t>
      </w:r>
      <w:r w:rsidR="00534B15">
        <w:rPr>
          <w:rFonts w:ascii="Arial" w:hAnsi="Arial" w:cs="Arial"/>
          <w:color w:val="000000" w:themeColor="text1"/>
          <w:sz w:val="20"/>
          <w:szCs w:val="20"/>
          <w:lang w:val="es-CO"/>
        </w:rPr>
        <w:t>no aprobada en Colombia)</w:t>
      </w:r>
      <w:r w:rsidRPr="00276B74">
        <w:rPr>
          <w:rFonts w:ascii="Arial" w:hAnsi="Arial" w:cs="Arial"/>
          <w:color w:val="000000" w:themeColor="text1"/>
          <w:sz w:val="20"/>
          <w:szCs w:val="20"/>
          <w:lang w:val="es-CO"/>
        </w:rPr>
        <w:t xml:space="preserve">. </w:t>
      </w:r>
      <w:r>
        <w:rPr>
          <w:rFonts w:ascii="Arial" w:hAnsi="Arial" w:cs="Arial"/>
          <w:color w:val="000000" w:themeColor="text1"/>
          <w:sz w:val="20"/>
          <w:szCs w:val="20"/>
          <w:lang w:val="es-CO"/>
        </w:rPr>
        <w:t xml:space="preserve">El antígeno </w:t>
      </w:r>
      <w:r w:rsidRPr="00276B74">
        <w:rPr>
          <w:rFonts w:ascii="Arial" w:hAnsi="Arial" w:cs="Arial"/>
          <w:color w:val="000000" w:themeColor="text1"/>
          <w:sz w:val="20"/>
          <w:szCs w:val="20"/>
          <w:lang w:val="es-ES"/>
        </w:rPr>
        <w:t>CD22 se expresa en el 95% de las LLA-B</w:t>
      </w:r>
      <w:r w:rsidR="00415C49">
        <w:rPr>
          <w:rFonts w:ascii="Arial" w:hAnsi="Arial" w:cs="Arial"/>
          <w:color w:val="000000" w:themeColor="text1"/>
          <w:sz w:val="20"/>
          <w:szCs w:val="20"/>
          <w:lang w:val="es-ES"/>
        </w:rPr>
        <w:fldChar w:fldCharType="begin" w:fldLock="1"/>
      </w:r>
      <w:r w:rsidR="00533A01">
        <w:rPr>
          <w:rFonts w:ascii="Arial" w:hAnsi="Arial" w:cs="Arial"/>
          <w:color w:val="000000" w:themeColor="text1"/>
          <w:sz w:val="20"/>
          <w:szCs w:val="20"/>
          <w:lang w:val="es-ES"/>
        </w:rPr>
        <w:instrText>ADDIN CSL_CITATION {"citationItems":[{"id":"ITEM-1","itemData":{"ISBN":"978-92-832-2437-2","abstract":"Version Revisada 2017 - WHO","author":[{"dropping-particle":"","family":"Serdlow","given":"Steven H.","non-dropping-particle":"","parse-names":false,"suffix":""},{"dropping-particle":"","family":"Campo","given":"Elias","non-dropping-particle":"","parse-names":false,"suffix":""},{"dropping-particle":"","family":"Harris","given":"Nancy Lee","non-dropping-particle":"","parse-names":false,"suffix":""},{"dropping-particle":"","family":"Jaffe","given":"Elaine S.","non-dropping-particle":"","parse-names":false,"suffix":""},{"dropping-particle":"","family":"Pileri","given":"Stefano A.","non-dropping-particle":"","parse-names":false,"suffix":""},{"dropping-particle":"","family":"Stein","given":"Harald","non-dropping-particle":"","parse-names":false,"suffix":""},{"dropping-particle":"","family":"Thiele","given":"Jurgen","non-dropping-particle":"","parse-names":false,"suffix":""},{"dropping-particle":"","family":"Arber","given":"Daniel A.","non-dropping-particle":"","parse-names":false,"suffix":""},{"dropping-particle":"","family":"Hasserjianm","given":"Robert P.","non-dropping-particle":"","parse-names":false,"suffix":""},{"dropping-particle":"","family":"Beau","given":"Michelle M.","non-dropping-particle":"Le","parse-names":false,"suffix":""},{"dropping-particle":"","family":"Orazi","given":"Attilio","non-dropping-particle":"","parse-names":false,"suffix":""},{"dropping-particle":"","family":"Siebert","given":"Reiner","non-dropping-particle":"","parse-names":false,"suffix":""}],"id":"ITEM-1","issued":{"date-parts":[["2017"]]},"number-of-pages":"585","title":"World Health Organization Classification of Tumours Haematopoietic and Lymphoid Tissues","type":"book"},"uris":["http://www.mendeley.com/documents/?uuid=cb9f91e7-d5fe-4ffe-bfa2-555a02506a77"]}],"mendeley":{"formattedCitation":"(1)","plainTextFormattedCitation":"(1)","previouslyFormattedCitation":"(1)"},"properties":{"noteIndex":0},"schema":"https://github.com/citation-style-language/schema/raw/master/csl-citation.json"}</w:instrText>
      </w:r>
      <w:r w:rsidR="00415C49">
        <w:rPr>
          <w:rFonts w:ascii="Arial" w:hAnsi="Arial" w:cs="Arial"/>
          <w:color w:val="000000" w:themeColor="text1"/>
          <w:sz w:val="20"/>
          <w:szCs w:val="20"/>
          <w:lang w:val="es-ES"/>
        </w:rPr>
        <w:fldChar w:fldCharType="separate"/>
      </w:r>
      <w:r w:rsidR="00FB2B82" w:rsidRPr="00FB2B82">
        <w:rPr>
          <w:rFonts w:ascii="Arial" w:hAnsi="Arial" w:cs="Arial"/>
          <w:noProof/>
          <w:color w:val="000000" w:themeColor="text1"/>
          <w:sz w:val="20"/>
          <w:szCs w:val="20"/>
          <w:lang w:val="es-ES"/>
        </w:rPr>
        <w:t>(1)</w:t>
      </w:r>
      <w:r w:rsidR="00415C49">
        <w:rPr>
          <w:rFonts w:ascii="Arial" w:hAnsi="Arial" w:cs="Arial"/>
          <w:color w:val="000000" w:themeColor="text1"/>
          <w:sz w:val="20"/>
          <w:szCs w:val="20"/>
          <w:lang w:val="es-ES"/>
        </w:rPr>
        <w:fldChar w:fldCharType="end"/>
      </w:r>
      <w:r>
        <w:rPr>
          <w:rFonts w:ascii="Arial" w:hAnsi="Arial" w:cs="Arial"/>
          <w:color w:val="000000" w:themeColor="text1"/>
          <w:sz w:val="20"/>
          <w:szCs w:val="20"/>
          <w:lang w:val="es-ES"/>
        </w:rPr>
        <w:t xml:space="preserve">. </w:t>
      </w:r>
      <w:r w:rsidRPr="00276B74">
        <w:rPr>
          <w:rFonts w:ascii="Arial" w:hAnsi="Arial" w:cs="Arial"/>
          <w:color w:val="000000" w:themeColor="text1"/>
          <w:sz w:val="20"/>
          <w:szCs w:val="20"/>
          <w:lang w:val="es-ES"/>
        </w:rPr>
        <w:t xml:space="preserve">Inotuzumab Ozogamicin </w:t>
      </w:r>
      <w:r>
        <w:rPr>
          <w:rFonts w:ascii="Arial" w:hAnsi="Arial" w:cs="Arial"/>
          <w:color w:val="000000" w:themeColor="text1"/>
          <w:sz w:val="20"/>
          <w:szCs w:val="20"/>
          <w:lang w:val="es-ES"/>
        </w:rPr>
        <w:t xml:space="preserve">es un </w:t>
      </w:r>
      <w:r w:rsidRPr="00276B74">
        <w:rPr>
          <w:rFonts w:ascii="Arial" w:hAnsi="Arial" w:cs="Arial"/>
          <w:color w:val="000000" w:themeColor="text1"/>
          <w:sz w:val="20"/>
          <w:szCs w:val="20"/>
          <w:lang w:val="es-ES"/>
        </w:rPr>
        <w:t>inmunoconjugado con actividad de anticuerpo anti-CD22 unido a una molécula de caliceamicina</w:t>
      </w:r>
      <w:r>
        <w:rPr>
          <w:rFonts w:ascii="Arial" w:hAnsi="Arial" w:cs="Arial"/>
          <w:color w:val="000000" w:themeColor="text1"/>
          <w:sz w:val="20"/>
          <w:szCs w:val="20"/>
          <w:lang w:val="es-ES"/>
        </w:rPr>
        <w:t xml:space="preserve">. El </w:t>
      </w:r>
      <w:r w:rsidRPr="00276B74">
        <w:rPr>
          <w:rFonts w:ascii="Arial" w:hAnsi="Arial" w:cs="Arial"/>
          <w:color w:val="000000" w:themeColor="text1"/>
          <w:sz w:val="20"/>
          <w:szCs w:val="20"/>
          <w:lang w:val="es-ES"/>
        </w:rPr>
        <w:t>Complejo de Anticuerpo-Quimioterapia es internalizado dentro del tumor a través de la unión con el antígeno de superficie de la célula CD22</w:t>
      </w:r>
      <w:r w:rsidR="00430A6B">
        <w:rPr>
          <w:rFonts w:ascii="Arial" w:hAnsi="Arial" w:cs="Arial"/>
          <w:color w:val="000000" w:themeColor="text1"/>
          <w:sz w:val="20"/>
          <w:szCs w:val="20"/>
          <w:lang w:val="es-ES"/>
        </w:rPr>
        <w:t xml:space="preserve"> y la </w:t>
      </w:r>
      <w:r w:rsidR="00DA0E6A">
        <w:rPr>
          <w:rFonts w:ascii="Arial" w:hAnsi="Arial" w:cs="Arial"/>
          <w:color w:val="000000" w:themeColor="text1"/>
          <w:sz w:val="20"/>
          <w:szCs w:val="20"/>
          <w:lang w:val="es-ES"/>
        </w:rPr>
        <w:t>c</w:t>
      </w:r>
      <w:r w:rsidRPr="00276B74">
        <w:rPr>
          <w:rFonts w:ascii="Arial" w:hAnsi="Arial" w:cs="Arial"/>
          <w:color w:val="000000" w:themeColor="text1"/>
          <w:sz w:val="20"/>
          <w:szCs w:val="20"/>
          <w:lang w:val="es-ES"/>
        </w:rPr>
        <w:t>aliceamicina, que es una citotoxina es liberada al interior de la célula</w:t>
      </w:r>
      <w:r w:rsidR="00430A6B">
        <w:rPr>
          <w:rFonts w:ascii="Arial" w:hAnsi="Arial" w:cs="Arial"/>
          <w:color w:val="000000" w:themeColor="text1"/>
          <w:sz w:val="20"/>
          <w:szCs w:val="20"/>
          <w:lang w:val="es-ES"/>
        </w:rPr>
        <w:t xml:space="preserve"> m</w:t>
      </w:r>
      <w:r w:rsidRPr="00276B74">
        <w:rPr>
          <w:rFonts w:ascii="Arial" w:hAnsi="Arial" w:cs="Arial"/>
          <w:color w:val="000000" w:themeColor="text1"/>
          <w:sz w:val="20"/>
          <w:szCs w:val="20"/>
          <w:lang w:val="es-ES"/>
        </w:rPr>
        <w:t xml:space="preserve">ás potente que otro agente citotóxico </w:t>
      </w:r>
      <w:r w:rsidR="00430A6B">
        <w:rPr>
          <w:rFonts w:ascii="Arial" w:hAnsi="Arial" w:cs="Arial"/>
          <w:color w:val="000000" w:themeColor="text1"/>
          <w:sz w:val="20"/>
          <w:szCs w:val="20"/>
          <w:lang w:val="es-ES"/>
        </w:rPr>
        <w:t xml:space="preserve">quimioterapéutico. </w:t>
      </w:r>
      <w:r w:rsidR="00DA0E6A">
        <w:rPr>
          <w:rFonts w:ascii="Arial" w:hAnsi="Arial" w:cs="Arial"/>
          <w:color w:val="000000" w:themeColor="text1"/>
          <w:sz w:val="20"/>
          <w:szCs w:val="20"/>
          <w:lang w:val="es-ES"/>
        </w:rPr>
        <w:t>La c</w:t>
      </w:r>
      <w:r w:rsidRPr="00276B74">
        <w:rPr>
          <w:rFonts w:ascii="Arial" w:hAnsi="Arial" w:cs="Arial"/>
          <w:color w:val="000000" w:themeColor="text1"/>
          <w:sz w:val="20"/>
          <w:szCs w:val="20"/>
          <w:lang w:val="es-ES"/>
        </w:rPr>
        <w:t>aliceamicina se une al DNA induciendo ruptura de la doble cadena generando apoptosis de la célula</w:t>
      </w:r>
      <w:r w:rsidR="00415C49">
        <w:rPr>
          <w:rFonts w:ascii="Arial" w:hAnsi="Arial" w:cs="Arial"/>
          <w:color w:val="000000" w:themeColor="text1"/>
          <w:sz w:val="20"/>
          <w:szCs w:val="20"/>
          <w:lang w:val="es-ES"/>
        </w:rPr>
        <w:fldChar w:fldCharType="begin" w:fldLock="1"/>
      </w:r>
      <w:r w:rsidR="00AB2A28">
        <w:rPr>
          <w:rFonts w:ascii="Arial" w:hAnsi="Arial" w:cs="Arial"/>
          <w:color w:val="000000" w:themeColor="text1"/>
          <w:sz w:val="20"/>
          <w:szCs w:val="20"/>
          <w:lang w:val="es-ES"/>
        </w:rPr>
        <w:instrText>ADDIN CSL_CITATION {"citationItems":[{"id":"ITEM-1","itemData":{"abstract":"Background: Older patients (pts) with ALL have a significantly worse outcome. This is primarily due to poor tolerance of intensive chemotherapy. Addition of targeted non-myelosuppressive therapy to effective low-intensity chemotherapy might improve outcome. CD22 expression occurs in &amp;amp;gt;90% of pts with ALL. Inotuzumab ozogamicin (IO) is a CD22 monoclonal antibody bound to a toxin, calecheamicin, and has shown single-agent activity in relapsed/refractory ALL (Kantarjian et al. Lancet Oncology 2012).Methods: Pts ≥60 years (yrs) with newly-diagnosed B-cell ALL were eligible. The chemotherapy was lower intensity than conventional hyper-CVAD and referred to as mini-hyper-CVD (cyclophosphamide and dexamethasone at 50% dose reduction, no anthracycline, methotrexate at 75% dose reduction, cytarabine at 0.5 g/m2 x 4 doses). Rituximab and intrathecal chemotherapy were given for first 4 courses. IO was given on day 3 of each of the first 4 courses. The first 6 pts received 1.3 mg/m2 for cycle 1 followed by 0.8 mg/m2 for subsequent cycles; pts 7 onwards received 1.8 mg/m2 for cycle 1 followed by 1.3 mg/m2for subsequent cycles.Results: Twenty-seven pts (15 men, 12 women) have been treated so far. Pts characteristics and outcome are summarized in Table 1. Median age is 68 yrs (range 60-79). Median follow-up is 13 months (mos). Of the 26 pts evaluable for response (one pt started with CR that she had achieved with single-agent prednisone), 25 pts (96%) achieved CR/CRp (21 CR, 4 CRp). All pts achieving CR have also achieved flow-cytometric MRD negative status, in 77% at the time of CR achievement. Grade 3-4 toxicities included infections (n=23; 85%), prolonged thrombocytopenia (n=17; 65%), hyperglycemia (n=12; 44%); increased bilirubin (n=6; 22%); intracranial hemorrhage (n=4; 15%), increased ALT (n=3; 11%), hematuria (n=2; 7%), headache (n=1; 4%), cognitive disturbance (n=1; 4%), ascites (n=1; 4%), and diarrhea (n=1; 4%). No dose-limiting toxicity was observed. At the last follow-up, 20 (74%) pts are alive in CR. Seven (26%) pts died: 1 was primary refractory an died after the first salvage; 2 relapsed after receiving 3 and 2 courses only due to prolonged myelossuppression and died of disease progression; and 4 in CR from pneumonia complications (n=1), sepsis and multiple organ failure (n=1), gun shot wound (n=1), and renal failure and metabolic encephalopathy (n=1). No pts received allogeneic stem cell transplantation. The 1-year progression-free and overall surv…","author":[{"dropping-particle":"","family":"Jabbour","given":"Elias","non-dropping-particle":"","parse-names":false,"suffix":""},{"dropping-particle":"","family":"O'Brien","given":"Susan","non-dropping-particle":"","parse-names":false,"suffix":""},{"dropping-particle":"","family":"Thomas","given":"Deborah A","non-dropping-particle":"","parse-names":false,"suffix":""},{"dropping-particle":"","family":"Sasaki","given":"Koji","non-dropping-particle":"","parse-names":false,"suffix":""},{"dropping-particle":"","family":"Garcia-Manero","given":"Guillermo","non-dropping-particle":"","parse-names":false,"suffix":""},{"dropping-particle":"","family":"Ravandi","given":"Farhad","non-dropping-particle":"","parse-names":false,"suffix":""},{"dropping-particle":"","family":"Borthakur","given":"Gautam","non-dropping-particle":"","parse-names":false,"suffix":""},{"dropping-particle":"","family":"York","given":"Sergernne","non-dropping-particle":"","parse-names":false,"suffix":""},{"dropping-particle":"","family":"Garris","given":"Rebecca","non-dropping-particle":"","parse-names":false,"suffix":""},{"dropping-particle":"","family":"Cortes","given":"Jorge E","non-dropping-particle":"","parse-names":false,"suffix":""},{"dropping-particle":"","family":"Kantarjian","given":"Hagop M","non-dropping-particle":"","parse-names":false,"suffix":""}],"container-title":"Blood","id":"ITEM-1","issue":"21","issued":{"date-parts":[["2014","12","6"]]},"page":"794 LP - 794","title":"Inotuzumab Ozogamicin in Combination with Low-Intensity Chemotherapy (mini-hyper-CVD) As Frontline Therapy for Older Patients (≥60 years) with Acute Lymphoblastic Leukemia (ALL)","type":"article-journal","volume":"124"},"uris":["http://www.mendeley.com/documents/?uuid=63d208c9-948d-439e-aa7b-79f831f3ddaa"]}],"mendeley":{"formattedCitation":"(61)","plainTextFormattedCitation":"(61)","previouslyFormattedCitation":"(61)"},"properties":{"noteIndex":0},"schema":"https://github.com/citation-style-language/schema/raw/master/csl-citation.json"}</w:instrText>
      </w:r>
      <w:r w:rsidR="00415C49">
        <w:rPr>
          <w:rFonts w:ascii="Arial" w:hAnsi="Arial" w:cs="Arial"/>
          <w:color w:val="000000" w:themeColor="text1"/>
          <w:sz w:val="20"/>
          <w:szCs w:val="20"/>
          <w:lang w:val="es-ES"/>
        </w:rPr>
        <w:fldChar w:fldCharType="separate"/>
      </w:r>
      <w:r w:rsidR="007D1ABA" w:rsidRPr="007D1ABA">
        <w:rPr>
          <w:rFonts w:ascii="Arial" w:hAnsi="Arial" w:cs="Arial"/>
          <w:noProof/>
          <w:color w:val="000000" w:themeColor="text1"/>
          <w:sz w:val="20"/>
          <w:szCs w:val="20"/>
          <w:lang w:val="es-ES"/>
        </w:rPr>
        <w:t>(61)</w:t>
      </w:r>
      <w:r w:rsidR="00415C49">
        <w:rPr>
          <w:rFonts w:ascii="Arial" w:hAnsi="Arial" w:cs="Arial"/>
          <w:color w:val="000000" w:themeColor="text1"/>
          <w:sz w:val="20"/>
          <w:szCs w:val="20"/>
          <w:lang w:val="es-ES"/>
        </w:rPr>
        <w:fldChar w:fldCharType="end"/>
      </w:r>
      <w:r w:rsidR="00430A6B">
        <w:rPr>
          <w:rFonts w:ascii="Arial" w:hAnsi="Arial" w:cs="Arial"/>
          <w:color w:val="000000" w:themeColor="text1"/>
          <w:sz w:val="20"/>
          <w:szCs w:val="20"/>
          <w:lang w:val="es-ES"/>
        </w:rPr>
        <w:t>.</w:t>
      </w:r>
      <w:r w:rsidR="00AA0F6B">
        <w:rPr>
          <w:rFonts w:ascii="Arial" w:hAnsi="Arial" w:cs="Arial"/>
          <w:color w:val="000000" w:themeColor="text1"/>
          <w:sz w:val="20"/>
          <w:szCs w:val="20"/>
          <w:lang w:val="es-ES"/>
        </w:rPr>
        <w:t>Varios estudios han sido realizados demostrando beneficio del Inotuzumab Ozogamicin en LLA Ph- recaída / refractaria. Sin embargo, un punto sobre el que existe particular preocupación con esta terapia es la aparición de enfermedad veno – oclusiva como complicación</w:t>
      </w:r>
      <w:r w:rsidR="003B29C3">
        <w:rPr>
          <w:rFonts w:ascii="Arial" w:hAnsi="Arial" w:cs="Arial"/>
          <w:color w:val="000000" w:themeColor="text1"/>
          <w:sz w:val="20"/>
          <w:szCs w:val="20"/>
          <w:lang w:val="es-ES"/>
        </w:rPr>
        <w:t xml:space="preserve"> en aproximadamente el 10% de los pacientes</w:t>
      </w:r>
      <w:r w:rsidR="00AA0F6B">
        <w:rPr>
          <w:rFonts w:ascii="Arial" w:hAnsi="Arial" w:cs="Arial"/>
          <w:color w:val="000000" w:themeColor="text1"/>
          <w:sz w:val="20"/>
          <w:szCs w:val="20"/>
          <w:lang w:val="es-ES"/>
        </w:rPr>
        <w:t xml:space="preserve">, siendo </w:t>
      </w:r>
      <w:r w:rsidR="00462D36">
        <w:rPr>
          <w:rFonts w:ascii="Arial" w:hAnsi="Arial" w:cs="Arial"/>
          <w:color w:val="000000" w:themeColor="text1"/>
          <w:sz w:val="20"/>
          <w:szCs w:val="20"/>
          <w:lang w:val="es-ES"/>
        </w:rPr>
        <w:t>más</w:t>
      </w:r>
      <w:r w:rsidR="00AA0F6B">
        <w:rPr>
          <w:rFonts w:ascii="Arial" w:hAnsi="Arial" w:cs="Arial"/>
          <w:color w:val="000000" w:themeColor="text1"/>
          <w:sz w:val="20"/>
          <w:szCs w:val="20"/>
          <w:lang w:val="es-ES"/>
        </w:rPr>
        <w:t xml:space="preserve"> frecuente en pacientes que son llevados a trasplante con acondicionamientos basados en </w:t>
      </w:r>
      <w:r w:rsidR="007925BC">
        <w:rPr>
          <w:rFonts w:ascii="Arial" w:hAnsi="Arial" w:cs="Arial"/>
          <w:color w:val="000000" w:themeColor="text1"/>
          <w:sz w:val="20"/>
          <w:szCs w:val="20"/>
          <w:lang w:val="es-ES"/>
        </w:rPr>
        <w:t xml:space="preserve">agentes </w:t>
      </w:r>
      <w:r w:rsidR="00AA0F6B">
        <w:rPr>
          <w:rFonts w:ascii="Arial" w:hAnsi="Arial" w:cs="Arial"/>
          <w:color w:val="000000" w:themeColor="text1"/>
          <w:sz w:val="20"/>
          <w:szCs w:val="20"/>
          <w:lang w:val="es-ES"/>
        </w:rPr>
        <w:t xml:space="preserve">alquilantes y en pacientes mayores lo que ha condicionado el ajuste de dosis sobre el tiempo. </w:t>
      </w:r>
      <w:r w:rsidR="00FA6971">
        <w:rPr>
          <w:rFonts w:ascii="Arial" w:hAnsi="Arial" w:cs="Arial"/>
          <w:color w:val="000000" w:themeColor="text1"/>
          <w:sz w:val="20"/>
          <w:szCs w:val="20"/>
          <w:lang w:val="es-ES"/>
        </w:rPr>
        <w:t>Tabla 3.</w:t>
      </w:r>
    </w:p>
    <w:p w14:paraId="138169F5" w14:textId="77777777" w:rsidR="00FA6971" w:rsidRDefault="00FA6971" w:rsidP="00430A6B">
      <w:pPr>
        <w:widowControl w:val="0"/>
        <w:autoSpaceDE w:val="0"/>
        <w:autoSpaceDN w:val="0"/>
        <w:adjustRightInd w:val="0"/>
        <w:spacing w:after="0"/>
        <w:jc w:val="both"/>
        <w:rPr>
          <w:rFonts w:ascii="Arial" w:hAnsi="Arial" w:cs="Arial"/>
          <w:color w:val="000000" w:themeColor="text1"/>
          <w:sz w:val="20"/>
          <w:szCs w:val="20"/>
          <w:lang w:val="es-ES"/>
        </w:rPr>
      </w:pPr>
    </w:p>
    <w:tbl>
      <w:tblPr>
        <w:tblStyle w:val="Tablaconcuadrcula"/>
        <w:tblW w:w="0" w:type="auto"/>
        <w:tblBorders>
          <w:insideH w:val="none" w:sz="0" w:space="0" w:color="auto"/>
          <w:insideV w:val="none" w:sz="0" w:space="0" w:color="auto"/>
        </w:tblBorders>
        <w:tblLayout w:type="fixed"/>
        <w:tblLook w:val="04A0" w:firstRow="1" w:lastRow="0" w:firstColumn="1" w:lastColumn="0" w:noHBand="0" w:noVBand="1"/>
      </w:tblPr>
      <w:tblGrid>
        <w:gridCol w:w="1951"/>
        <w:gridCol w:w="992"/>
        <w:gridCol w:w="2835"/>
        <w:gridCol w:w="1134"/>
        <w:gridCol w:w="993"/>
        <w:gridCol w:w="1331"/>
      </w:tblGrid>
      <w:tr w:rsidR="00FA6971" w14:paraId="02C160F0" w14:textId="77777777" w:rsidTr="00DC60BC">
        <w:tc>
          <w:tcPr>
            <w:tcW w:w="9236" w:type="dxa"/>
            <w:gridSpan w:val="6"/>
            <w:tcBorders>
              <w:top w:val="single" w:sz="4" w:space="0" w:color="auto"/>
              <w:bottom w:val="nil"/>
            </w:tcBorders>
            <w:shd w:val="clear" w:color="auto" w:fill="CCCCCC"/>
          </w:tcPr>
          <w:p w14:paraId="66CA879C" w14:textId="77777777" w:rsidR="00FA6971" w:rsidRDefault="00FA6971" w:rsidP="00FA6971">
            <w:pPr>
              <w:widowControl w:val="0"/>
              <w:autoSpaceDE w:val="0"/>
              <w:autoSpaceDN w:val="0"/>
              <w:adjustRightInd w:val="0"/>
              <w:jc w:val="center"/>
              <w:rPr>
                <w:rFonts w:ascii="Arial" w:hAnsi="Arial" w:cs="Arial"/>
                <w:color w:val="000000" w:themeColor="text1"/>
                <w:sz w:val="20"/>
                <w:szCs w:val="20"/>
                <w:lang w:val="es-ES"/>
              </w:rPr>
            </w:pPr>
            <w:r w:rsidRPr="00FA6971">
              <w:rPr>
                <w:rFonts w:ascii="Arial" w:hAnsi="Arial" w:cs="Arial"/>
                <w:b/>
                <w:color w:val="000000" w:themeColor="text1"/>
                <w:sz w:val="20"/>
                <w:szCs w:val="20"/>
                <w:lang w:val="es-ES"/>
              </w:rPr>
              <w:t>Tabla 3.</w:t>
            </w:r>
            <w:r>
              <w:rPr>
                <w:rFonts w:ascii="Arial" w:hAnsi="Arial" w:cs="Arial"/>
                <w:color w:val="000000" w:themeColor="text1"/>
                <w:sz w:val="20"/>
                <w:szCs w:val="20"/>
                <w:lang w:val="es-ES"/>
              </w:rPr>
              <w:t xml:space="preserve"> Régimen de tratamiento con Inotuzumab Ozogamicin</w:t>
            </w:r>
          </w:p>
        </w:tc>
      </w:tr>
      <w:tr w:rsidR="00EF4B63" w14:paraId="3809CE4A" w14:textId="77777777" w:rsidTr="00DC60BC">
        <w:tc>
          <w:tcPr>
            <w:tcW w:w="1951" w:type="dxa"/>
            <w:tcBorders>
              <w:top w:val="nil"/>
              <w:bottom w:val="nil"/>
            </w:tcBorders>
            <w:shd w:val="clear" w:color="auto" w:fill="E0E0E0"/>
          </w:tcPr>
          <w:p w14:paraId="4FB094EE" w14:textId="77777777" w:rsidR="00FA6971" w:rsidRPr="00772651" w:rsidRDefault="00FA6971" w:rsidP="00EF4B63">
            <w:pPr>
              <w:widowControl w:val="0"/>
              <w:autoSpaceDE w:val="0"/>
              <w:autoSpaceDN w:val="0"/>
              <w:adjustRightInd w:val="0"/>
              <w:jc w:val="center"/>
              <w:rPr>
                <w:rFonts w:ascii="Arial" w:hAnsi="Arial" w:cs="Arial"/>
                <w:b/>
                <w:color w:val="000000" w:themeColor="text1"/>
                <w:sz w:val="18"/>
                <w:szCs w:val="18"/>
                <w:lang w:val="es-ES"/>
              </w:rPr>
            </w:pPr>
            <w:r w:rsidRPr="00772651">
              <w:rPr>
                <w:rFonts w:ascii="Arial" w:hAnsi="Arial" w:cs="Arial"/>
                <w:b/>
                <w:color w:val="000000" w:themeColor="text1"/>
                <w:sz w:val="18"/>
                <w:szCs w:val="18"/>
                <w:lang w:val="es-ES"/>
              </w:rPr>
              <w:t>Ensayo clínico</w:t>
            </w:r>
          </w:p>
        </w:tc>
        <w:tc>
          <w:tcPr>
            <w:tcW w:w="992" w:type="dxa"/>
            <w:tcBorders>
              <w:top w:val="nil"/>
              <w:bottom w:val="nil"/>
            </w:tcBorders>
            <w:shd w:val="clear" w:color="auto" w:fill="E0E0E0"/>
          </w:tcPr>
          <w:p w14:paraId="444E3BB7" w14:textId="77777777" w:rsidR="00FA6971" w:rsidRPr="00EF4B63" w:rsidRDefault="00FA6971" w:rsidP="00EF4B63">
            <w:pPr>
              <w:widowControl w:val="0"/>
              <w:autoSpaceDE w:val="0"/>
              <w:autoSpaceDN w:val="0"/>
              <w:adjustRightInd w:val="0"/>
              <w:jc w:val="center"/>
              <w:rPr>
                <w:rFonts w:ascii="Arial" w:hAnsi="Arial" w:cs="Arial"/>
                <w:b/>
                <w:color w:val="000000" w:themeColor="text1"/>
                <w:sz w:val="16"/>
                <w:szCs w:val="16"/>
                <w:lang w:val="es-ES"/>
              </w:rPr>
            </w:pPr>
            <w:r w:rsidRPr="00EF4B63">
              <w:rPr>
                <w:rFonts w:ascii="Arial" w:hAnsi="Arial" w:cs="Arial"/>
                <w:b/>
                <w:color w:val="000000" w:themeColor="text1"/>
                <w:sz w:val="16"/>
                <w:szCs w:val="16"/>
                <w:lang w:val="es-ES"/>
              </w:rPr>
              <w:t>Nº de pacientes</w:t>
            </w:r>
          </w:p>
        </w:tc>
        <w:tc>
          <w:tcPr>
            <w:tcW w:w="2835" w:type="dxa"/>
            <w:tcBorders>
              <w:top w:val="nil"/>
              <w:bottom w:val="nil"/>
            </w:tcBorders>
            <w:shd w:val="clear" w:color="auto" w:fill="E0E0E0"/>
          </w:tcPr>
          <w:p w14:paraId="0855B061" w14:textId="77777777" w:rsidR="00FA6971" w:rsidRPr="00772651" w:rsidRDefault="00FA6971" w:rsidP="00EF4B63">
            <w:pPr>
              <w:widowControl w:val="0"/>
              <w:autoSpaceDE w:val="0"/>
              <w:autoSpaceDN w:val="0"/>
              <w:adjustRightInd w:val="0"/>
              <w:jc w:val="center"/>
              <w:rPr>
                <w:rFonts w:ascii="Arial" w:hAnsi="Arial" w:cs="Arial"/>
                <w:b/>
                <w:color w:val="000000" w:themeColor="text1"/>
                <w:sz w:val="18"/>
                <w:szCs w:val="18"/>
                <w:lang w:val="es-ES"/>
              </w:rPr>
            </w:pPr>
            <w:r w:rsidRPr="00772651">
              <w:rPr>
                <w:rFonts w:ascii="Arial" w:hAnsi="Arial" w:cs="Arial"/>
                <w:b/>
                <w:color w:val="000000" w:themeColor="text1"/>
                <w:sz w:val="18"/>
                <w:szCs w:val="18"/>
                <w:lang w:val="es-ES"/>
              </w:rPr>
              <w:t>Dosis y esquema</w:t>
            </w:r>
          </w:p>
        </w:tc>
        <w:tc>
          <w:tcPr>
            <w:tcW w:w="1134" w:type="dxa"/>
            <w:tcBorders>
              <w:top w:val="nil"/>
              <w:bottom w:val="nil"/>
            </w:tcBorders>
            <w:shd w:val="clear" w:color="auto" w:fill="E0E0E0"/>
          </w:tcPr>
          <w:p w14:paraId="5A5C24FF" w14:textId="77777777" w:rsidR="00FA6971" w:rsidRPr="00772651" w:rsidRDefault="00FA6971" w:rsidP="00EF4B63">
            <w:pPr>
              <w:widowControl w:val="0"/>
              <w:autoSpaceDE w:val="0"/>
              <w:autoSpaceDN w:val="0"/>
              <w:adjustRightInd w:val="0"/>
              <w:jc w:val="center"/>
              <w:rPr>
                <w:rFonts w:ascii="Arial" w:hAnsi="Arial" w:cs="Arial"/>
                <w:b/>
                <w:color w:val="000000" w:themeColor="text1"/>
                <w:sz w:val="18"/>
                <w:szCs w:val="18"/>
                <w:lang w:val="es-ES"/>
              </w:rPr>
            </w:pPr>
            <w:r w:rsidRPr="00772651">
              <w:rPr>
                <w:rFonts w:ascii="Arial" w:hAnsi="Arial" w:cs="Arial"/>
                <w:b/>
                <w:color w:val="000000" w:themeColor="text1"/>
                <w:sz w:val="18"/>
                <w:szCs w:val="18"/>
                <w:lang w:val="es-ES"/>
              </w:rPr>
              <w:t>Respuesta completa</w:t>
            </w:r>
          </w:p>
        </w:tc>
        <w:tc>
          <w:tcPr>
            <w:tcW w:w="993" w:type="dxa"/>
            <w:tcBorders>
              <w:top w:val="nil"/>
              <w:bottom w:val="nil"/>
            </w:tcBorders>
            <w:shd w:val="clear" w:color="auto" w:fill="E0E0E0"/>
          </w:tcPr>
          <w:p w14:paraId="1C04277A" w14:textId="77777777" w:rsidR="00FA6971" w:rsidRPr="00772651" w:rsidRDefault="00FA6971" w:rsidP="00EF4B63">
            <w:pPr>
              <w:widowControl w:val="0"/>
              <w:autoSpaceDE w:val="0"/>
              <w:autoSpaceDN w:val="0"/>
              <w:adjustRightInd w:val="0"/>
              <w:jc w:val="center"/>
              <w:rPr>
                <w:rFonts w:ascii="Arial" w:hAnsi="Arial" w:cs="Arial"/>
                <w:b/>
                <w:color w:val="000000" w:themeColor="text1"/>
                <w:sz w:val="18"/>
                <w:szCs w:val="18"/>
                <w:lang w:val="es-ES"/>
              </w:rPr>
            </w:pPr>
            <w:r w:rsidRPr="00772651">
              <w:rPr>
                <w:rFonts w:ascii="Arial" w:hAnsi="Arial" w:cs="Arial"/>
                <w:b/>
                <w:color w:val="000000" w:themeColor="text1"/>
                <w:sz w:val="18"/>
                <w:szCs w:val="18"/>
                <w:lang w:val="es-ES"/>
              </w:rPr>
              <w:t>% EMR negativa</w:t>
            </w:r>
          </w:p>
        </w:tc>
        <w:tc>
          <w:tcPr>
            <w:tcW w:w="1331" w:type="dxa"/>
            <w:tcBorders>
              <w:top w:val="nil"/>
              <w:bottom w:val="nil"/>
            </w:tcBorders>
            <w:shd w:val="clear" w:color="auto" w:fill="E0E0E0"/>
          </w:tcPr>
          <w:p w14:paraId="666B28D1" w14:textId="77777777" w:rsidR="00FA6971" w:rsidRPr="00EF4B63" w:rsidRDefault="003309EF" w:rsidP="003309EF">
            <w:pPr>
              <w:widowControl w:val="0"/>
              <w:autoSpaceDE w:val="0"/>
              <w:autoSpaceDN w:val="0"/>
              <w:adjustRightInd w:val="0"/>
              <w:jc w:val="center"/>
              <w:rPr>
                <w:rFonts w:ascii="Arial" w:hAnsi="Arial" w:cs="Arial"/>
                <w:b/>
                <w:color w:val="000000" w:themeColor="text1"/>
                <w:sz w:val="16"/>
                <w:szCs w:val="16"/>
                <w:lang w:val="es-ES"/>
              </w:rPr>
            </w:pPr>
            <w:r>
              <w:rPr>
                <w:rFonts w:ascii="Arial" w:hAnsi="Arial" w:cs="Arial"/>
                <w:b/>
                <w:color w:val="000000" w:themeColor="text1"/>
                <w:sz w:val="16"/>
                <w:szCs w:val="16"/>
                <w:lang w:val="es-ES"/>
              </w:rPr>
              <w:t>S</w:t>
            </w:r>
            <w:r w:rsidR="00FA6971" w:rsidRPr="00EF4B63">
              <w:rPr>
                <w:rFonts w:ascii="Arial" w:hAnsi="Arial" w:cs="Arial"/>
                <w:b/>
                <w:color w:val="000000" w:themeColor="text1"/>
                <w:sz w:val="16"/>
                <w:szCs w:val="16"/>
                <w:lang w:val="es-ES"/>
              </w:rPr>
              <w:t>upervivencia global en meses</w:t>
            </w:r>
          </w:p>
        </w:tc>
      </w:tr>
      <w:tr w:rsidR="00EF4B63" w14:paraId="7B1618B9" w14:textId="77777777" w:rsidTr="00DC60BC">
        <w:tc>
          <w:tcPr>
            <w:tcW w:w="1951" w:type="dxa"/>
            <w:tcBorders>
              <w:top w:val="nil"/>
              <w:bottom w:val="nil"/>
            </w:tcBorders>
          </w:tcPr>
          <w:p w14:paraId="6B3BCA17" w14:textId="77777777" w:rsidR="00FA6971" w:rsidRPr="00772651" w:rsidRDefault="00FA6971" w:rsidP="00056526">
            <w:pPr>
              <w:widowControl w:val="0"/>
              <w:autoSpaceDE w:val="0"/>
              <w:autoSpaceDN w:val="0"/>
              <w:adjustRightInd w:val="0"/>
              <w:jc w:val="both"/>
              <w:rPr>
                <w:rFonts w:ascii="Arial" w:hAnsi="Arial" w:cs="Arial"/>
                <w:color w:val="000000" w:themeColor="text1"/>
                <w:sz w:val="18"/>
                <w:szCs w:val="18"/>
                <w:lang w:val="es-ES"/>
              </w:rPr>
            </w:pPr>
            <w:r w:rsidRPr="00772651">
              <w:rPr>
                <w:rFonts w:ascii="Arial" w:hAnsi="Arial" w:cs="Arial"/>
                <w:color w:val="000000" w:themeColor="text1"/>
                <w:sz w:val="18"/>
                <w:szCs w:val="18"/>
                <w:lang w:val="es-ES"/>
              </w:rPr>
              <w:t>Dosis única (Fase II)</w:t>
            </w:r>
            <w:r w:rsidR="00415C49">
              <w:rPr>
                <w:rFonts w:ascii="Arial" w:hAnsi="Arial" w:cs="Arial"/>
                <w:color w:val="000000" w:themeColor="text1"/>
                <w:sz w:val="18"/>
                <w:szCs w:val="18"/>
                <w:lang w:val="es-ES"/>
              </w:rPr>
              <w:fldChar w:fldCharType="begin" w:fldLock="1"/>
            </w:r>
            <w:r w:rsidR="00AB2A28">
              <w:rPr>
                <w:rFonts w:ascii="Arial" w:hAnsi="Arial" w:cs="Arial"/>
                <w:color w:val="000000" w:themeColor="text1"/>
                <w:sz w:val="18"/>
                <w:szCs w:val="18"/>
                <w:lang w:val="es-ES"/>
              </w:rPr>
              <w:instrText>ADDIN CSL_CITATION {"citationItems":[{"id":"ITEM-1","itemData":{"DOI":"10.1016/S1470-2045(11)70386-2","ISSN":"14702045","abstract":"Background: The outlook for patients with refractory and relapsed acute lymphocytic leukaemia (ALL) is poor. CD22 is highly expressed in patients with ALL. Inotuzumab ozogamicin is a CD22 monoclonal antibody conjugated to the toxin calecheamicin. We did a phase 2 study to assess the efficacy of this antibody. Methods: We recruited patients at the MD Anderson Cancer Center, Houston, TX, USA, between June, 2010, and March, 2011. Adults and children with refractory and relapsed ALL were eligible. Ten adults were treated before enrolment of children started. Patients were given 1·8 mg/m 2 inotuzumab ozogamicin intravenously over 1 h every 3-4 weeks (the first three adults and three children received 1·3 mg/m 2 in the first course). The primary endpoint was overall response (complete response or marrow complete response with no recovery of platelet count or incomplete recovery of neutrophil and platelet counts). Analysis was done by intention to treat. This study is registered, number NCT01134575. Findings: 49 patients were enrolled and treated. Median age was 36 years (range 6-80). CD22 was expressed in more than 50% of blasts in all patients. The median number of courses was two (range one to five) and the median time between courses was 3 weeks (range 3-6). Nine (18%) patients had complete response, 19 (39%) had marrow complete response, 19 (39%) had resistant disease, and two (4%) died within 4 weeks of starting treatment. The overall response rate was 57% (95% CI 42-71). The most frequent adverse events during course one of treatment were fever (grade 1-2 in 20 patients, grade 3-4 in nine), hypotension (grade 1-2 in 12 patients, grade 3 in one), and liver-related toxic effects (bilirubin: grade 1-2 in 12 patients, grade 3 in two; raised aminotransferase concentration: grade 1-2 in 27 patients, grade 3 in one). Interpretation: Inotuzumab ozogamicin shows promise as a treatment for refractory and relapsed ALL. Funding: Pfizer. © 2012 Elsevier Ltd.","author":[{"dropping-particle":"","family":"Kantarjian","given":"Hagop","non-dropping-particle":"","parse-names":false,"suffix":""},{"dropping-particle":"","family":"Thomas","given":"Deborah","non-dropping-particle":"","parse-names":false,"suffix":""},{"dropping-particle":"","family":"Jorgensen","given":"Jeffrey","non-dropping-particle":"","parse-names":false,"suffix":""},{"dropping-particle":"","family":"Jabbour","given":"Elias","non-dropping-particle":"","parse-names":false,"suffix":""},{"dropping-particle":"","family":"Kebriaei","given":"Partow","non-dropping-particle":"","parse-names":false,"suffix":""},{"dropping-particle":"","family":"Rytting","given":"Michael","non-dropping-particle":"","parse-names":false,"suffix":""},{"dropping-particle":"","family":"York","given":"Sergernne","non-dropping-particle":"","parse-names":false,"suffix":""},{"dropping-particle":"","family":"Ravandi","given":"Farhad","non-dropping-particle":"","parse-names":false,"suffix":""},{"dropping-particle":"","family":"Kwari","given":"Monica","non-dropping-particle":"","parse-names":false,"suffix":""},{"dropping-particle":"","family":"Faderl","given":"Stefan","non-dropping-particle":"","parse-names":false,"suffix":""},{"dropping-particle":"","family":"Rios","given":"Mary Beth","non-dropping-particle":"","parse-names":false,"suffix":""},{"dropping-particle":"","family":"Cortes","given":"Jorge","non-dropping-particle":"","parse-names":false,"suffix":""},{"dropping-particle":"","family":"Fayad","given":"Luis","non-dropping-particle":"","parse-names":false,"suffix":""},{"dropping-particle":"","family":"Tarnai","given":"Robert","non-dropping-particle":"","parse-names":false,"suffix":""},{"dropping-particle":"","family":"Wang","given":"Sa A.","non-dropping-particle":"","parse-names":false,"suffix":""},{"dropping-particle":"","family":"Champlin","given":"Richard","non-dropping-particle":"","parse-names":false,"suffix":""},{"dropping-particle":"","family":"Advani","given":"Anjali","non-dropping-particle":"","parse-names":false,"suffix":""},{"dropping-particle":"","family":"O'Brien","given":"Susan","non-dropping-particle":"","parse-names":false,"suffix":""}],"container-title":"The Lancet Oncology","id":"ITEM-1","issue":"4","issued":{"date-parts":[["2012"]]},"page":"403-411","title":"Inotuzumab ozogamicin, an anti-CD22-calecheamicin conjugate, for refractory and relapsed acute lymphocytic leukaemia: A phase 2 study","type":"article-journal","volume":"13"},"uris":["http://www.mendeley.com/documents/?uuid=84303781-2df5-4dc0-b247-7b0ddb994e1c"]}],"mendeley":{"formattedCitation":"(62)","plainTextFormattedCitation":"(62)","previouslyFormattedCitation":"(62)"},"properties":{"noteIndex":0},"schema":"https://github.com/citation-style-language/schema/raw/master/csl-citation.json"}</w:instrText>
            </w:r>
            <w:r w:rsidR="00415C49">
              <w:rPr>
                <w:rFonts w:ascii="Arial" w:hAnsi="Arial" w:cs="Arial"/>
                <w:color w:val="000000" w:themeColor="text1"/>
                <w:sz w:val="18"/>
                <w:szCs w:val="18"/>
                <w:lang w:val="es-ES"/>
              </w:rPr>
              <w:fldChar w:fldCharType="separate"/>
            </w:r>
            <w:r w:rsidR="007D1ABA" w:rsidRPr="007D1ABA">
              <w:rPr>
                <w:rFonts w:ascii="Arial" w:hAnsi="Arial" w:cs="Arial"/>
                <w:noProof/>
                <w:color w:val="000000" w:themeColor="text1"/>
                <w:sz w:val="18"/>
                <w:szCs w:val="18"/>
                <w:lang w:val="es-ES"/>
              </w:rPr>
              <w:t>(62)</w:t>
            </w:r>
            <w:r w:rsidR="00415C49">
              <w:rPr>
                <w:rFonts w:ascii="Arial" w:hAnsi="Arial" w:cs="Arial"/>
                <w:color w:val="000000" w:themeColor="text1"/>
                <w:sz w:val="18"/>
                <w:szCs w:val="18"/>
                <w:lang w:val="es-ES"/>
              </w:rPr>
              <w:fldChar w:fldCharType="end"/>
            </w:r>
          </w:p>
        </w:tc>
        <w:tc>
          <w:tcPr>
            <w:tcW w:w="992" w:type="dxa"/>
            <w:tcBorders>
              <w:top w:val="nil"/>
              <w:bottom w:val="nil"/>
            </w:tcBorders>
          </w:tcPr>
          <w:p w14:paraId="6FC4D30E" w14:textId="77777777" w:rsidR="00FA6971" w:rsidRPr="00772651" w:rsidRDefault="00FA6971" w:rsidP="00EF4B63">
            <w:pPr>
              <w:widowControl w:val="0"/>
              <w:autoSpaceDE w:val="0"/>
              <w:autoSpaceDN w:val="0"/>
              <w:adjustRightInd w:val="0"/>
              <w:jc w:val="center"/>
              <w:rPr>
                <w:rFonts w:ascii="Arial" w:hAnsi="Arial" w:cs="Arial"/>
                <w:color w:val="000000" w:themeColor="text1"/>
                <w:sz w:val="18"/>
                <w:szCs w:val="18"/>
                <w:lang w:val="es-ES"/>
              </w:rPr>
            </w:pPr>
            <w:r w:rsidRPr="00772651">
              <w:rPr>
                <w:rFonts w:ascii="Arial" w:hAnsi="Arial" w:cs="Arial"/>
                <w:color w:val="000000" w:themeColor="text1"/>
                <w:sz w:val="18"/>
                <w:szCs w:val="18"/>
                <w:lang w:val="es-ES"/>
              </w:rPr>
              <w:t>49</w:t>
            </w:r>
          </w:p>
        </w:tc>
        <w:tc>
          <w:tcPr>
            <w:tcW w:w="2835" w:type="dxa"/>
            <w:tcBorders>
              <w:top w:val="nil"/>
              <w:bottom w:val="nil"/>
            </w:tcBorders>
          </w:tcPr>
          <w:p w14:paraId="6CE1C648" w14:textId="77777777" w:rsidR="00FA6971" w:rsidRPr="00023DF8" w:rsidRDefault="00FA6971" w:rsidP="00430A6B">
            <w:pPr>
              <w:widowControl w:val="0"/>
              <w:autoSpaceDE w:val="0"/>
              <w:autoSpaceDN w:val="0"/>
              <w:adjustRightInd w:val="0"/>
              <w:jc w:val="both"/>
              <w:rPr>
                <w:rFonts w:ascii="Arial" w:hAnsi="Arial" w:cs="Arial"/>
                <w:color w:val="000000" w:themeColor="text1"/>
                <w:sz w:val="16"/>
                <w:szCs w:val="16"/>
                <w:lang w:val="es-ES"/>
              </w:rPr>
            </w:pPr>
            <w:r w:rsidRPr="00023DF8">
              <w:rPr>
                <w:rFonts w:ascii="Arial" w:hAnsi="Arial" w:cs="Arial"/>
                <w:color w:val="000000" w:themeColor="text1"/>
                <w:sz w:val="16"/>
                <w:szCs w:val="16"/>
                <w:lang w:val="es-ES"/>
              </w:rPr>
              <w:t>1,8 mg/m</w:t>
            </w:r>
            <w:r w:rsidRPr="00023DF8">
              <w:rPr>
                <w:rFonts w:ascii="Arial" w:hAnsi="Arial" w:cs="Arial"/>
                <w:color w:val="000000" w:themeColor="text1"/>
                <w:sz w:val="16"/>
                <w:szCs w:val="16"/>
                <w:vertAlign w:val="superscript"/>
                <w:lang w:val="es-ES"/>
              </w:rPr>
              <w:t>2</w:t>
            </w:r>
            <w:r w:rsidRPr="00023DF8">
              <w:rPr>
                <w:rFonts w:ascii="Arial" w:hAnsi="Arial" w:cs="Arial"/>
                <w:color w:val="000000" w:themeColor="text1"/>
                <w:sz w:val="16"/>
                <w:szCs w:val="16"/>
                <w:lang w:val="es-ES"/>
              </w:rPr>
              <w:t>. Día 1 c/ 3-4 semanas</w:t>
            </w:r>
          </w:p>
        </w:tc>
        <w:tc>
          <w:tcPr>
            <w:tcW w:w="1134" w:type="dxa"/>
            <w:tcBorders>
              <w:top w:val="nil"/>
              <w:bottom w:val="nil"/>
            </w:tcBorders>
          </w:tcPr>
          <w:p w14:paraId="2C809E49" w14:textId="77777777" w:rsidR="00FA6971" w:rsidRPr="00772651" w:rsidRDefault="00FA6971" w:rsidP="00EF4B63">
            <w:pPr>
              <w:widowControl w:val="0"/>
              <w:autoSpaceDE w:val="0"/>
              <w:autoSpaceDN w:val="0"/>
              <w:adjustRightInd w:val="0"/>
              <w:jc w:val="center"/>
              <w:rPr>
                <w:rFonts w:ascii="Arial" w:hAnsi="Arial" w:cs="Arial"/>
                <w:color w:val="000000" w:themeColor="text1"/>
                <w:sz w:val="18"/>
                <w:szCs w:val="18"/>
                <w:lang w:val="es-ES"/>
              </w:rPr>
            </w:pPr>
            <w:r w:rsidRPr="00772651">
              <w:rPr>
                <w:rFonts w:ascii="Arial" w:hAnsi="Arial" w:cs="Arial"/>
                <w:color w:val="000000" w:themeColor="text1"/>
                <w:sz w:val="18"/>
                <w:szCs w:val="18"/>
                <w:lang w:val="es-ES"/>
              </w:rPr>
              <w:t>18%</w:t>
            </w:r>
          </w:p>
        </w:tc>
        <w:tc>
          <w:tcPr>
            <w:tcW w:w="993" w:type="dxa"/>
            <w:tcBorders>
              <w:top w:val="nil"/>
              <w:bottom w:val="nil"/>
            </w:tcBorders>
          </w:tcPr>
          <w:p w14:paraId="5D45202C" w14:textId="77777777" w:rsidR="00FA6971" w:rsidRPr="00772651" w:rsidRDefault="00FA6971" w:rsidP="00EF4B63">
            <w:pPr>
              <w:widowControl w:val="0"/>
              <w:autoSpaceDE w:val="0"/>
              <w:autoSpaceDN w:val="0"/>
              <w:adjustRightInd w:val="0"/>
              <w:jc w:val="center"/>
              <w:rPr>
                <w:rFonts w:ascii="Arial" w:hAnsi="Arial" w:cs="Arial"/>
                <w:color w:val="000000" w:themeColor="text1"/>
                <w:sz w:val="18"/>
                <w:szCs w:val="18"/>
                <w:lang w:val="es-ES"/>
              </w:rPr>
            </w:pPr>
            <w:r w:rsidRPr="00772651">
              <w:rPr>
                <w:rFonts w:ascii="Arial" w:hAnsi="Arial" w:cs="Arial"/>
                <w:color w:val="000000" w:themeColor="text1"/>
                <w:sz w:val="18"/>
                <w:szCs w:val="18"/>
                <w:lang w:val="es-ES"/>
              </w:rPr>
              <w:t>68%</w:t>
            </w:r>
          </w:p>
        </w:tc>
        <w:tc>
          <w:tcPr>
            <w:tcW w:w="1331" w:type="dxa"/>
            <w:tcBorders>
              <w:top w:val="nil"/>
              <w:bottom w:val="nil"/>
            </w:tcBorders>
          </w:tcPr>
          <w:p w14:paraId="3FF02707" w14:textId="77777777" w:rsidR="00FA6971" w:rsidRPr="00772651" w:rsidRDefault="00FA6971" w:rsidP="00EF4B63">
            <w:pPr>
              <w:widowControl w:val="0"/>
              <w:autoSpaceDE w:val="0"/>
              <w:autoSpaceDN w:val="0"/>
              <w:adjustRightInd w:val="0"/>
              <w:jc w:val="center"/>
              <w:rPr>
                <w:rFonts w:ascii="Arial" w:hAnsi="Arial" w:cs="Arial"/>
                <w:color w:val="000000" w:themeColor="text1"/>
                <w:sz w:val="18"/>
                <w:szCs w:val="18"/>
                <w:lang w:val="es-ES"/>
              </w:rPr>
            </w:pPr>
            <w:r w:rsidRPr="00772651">
              <w:rPr>
                <w:rFonts w:ascii="Arial" w:hAnsi="Arial" w:cs="Arial"/>
                <w:color w:val="000000" w:themeColor="text1"/>
                <w:sz w:val="18"/>
                <w:szCs w:val="18"/>
                <w:lang w:val="es-ES"/>
              </w:rPr>
              <w:t>5</w:t>
            </w:r>
          </w:p>
        </w:tc>
      </w:tr>
      <w:tr w:rsidR="00EF4B63" w14:paraId="611D0AFB" w14:textId="77777777" w:rsidTr="003B29C3">
        <w:tc>
          <w:tcPr>
            <w:tcW w:w="1951" w:type="dxa"/>
            <w:tcBorders>
              <w:top w:val="nil"/>
              <w:bottom w:val="nil"/>
            </w:tcBorders>
            <w:shd w:val="clear" w:color="auto" w:fill="F3F3F3"/>
          </w:tcPr>
          <w:p w14:paraId="19BF619A" w14:textId="77777777" w:rsidR="00FA6971" w:rsidRPr="00772651" w:rsidRDefault="00FA6971" w:rsidP="00430A6B">
            <w:pPr>
              <w:widowControl w:val="0"/>
              <w:autoSpaceDE w:val="0"/>
              <w:autoSpaceDN w:val="0"/>
              <w:adjustRightInd w:val="0"/>
              <w:jc w:val="both"/>
              <w:rPr>
                <w:rFonts w:ascii="Arial" w:hAnsi="Arial" w:cs="Arial"/>
                <w:color w:val="000000" w:themeColor="text1"/>
                <w:sz w:val="18"/>
                <w:szCs w:val="18"/>
                <w:lang w:val="es-ES"/>
              </w:rPr>
            </w:pPr>
            <w:r w:rsidRPr="00772651">
              <w:rPr>
                <w:rFonts w:ascii="Arial" w:hAnsi="Arial" w:cs="Arial"/>
                <w:color w:val="000000" w:themeColor="text1"/>
                <w:sz w:val="18"/>
                <w:szCs w:val="18"/>
                <w:lang w:val="es-ES"/>
              </w:rPr>
              <w:t>Dosis semanal (Fase II)</w:t>
            </w:r>
            <w:r w:rsidR="00415C49">
              <w:rPr>
                <w:rFonts w:ascii="Arial" w:hAnsi="Arial" w:cs="Arial"/>
                <w:color w:val="000000" w:themeColor="text1"/>
                <w:sz w:val="18"/>
                <w:szCs w:val="18"/>
                <w:lang w:val="es-ES"/>
              </w:rPr>
              <w:fldChar w:fldCharType="begin" w:fldLock="1"/>
            </w:r>
            <w:r w:rsidR="00AB2A28">
              <w:rPr>
                <w:rFonts w:ascii="Arial" w:hAnsi="Arial" w:cs="Arial"/>
                <w:color w:val="000000" w:themeColor="text1"/>
                <w:sz w:val="18"/>
                <w:szCs w:val="18"/>
                <w:lang w:val="es-ES"/>
              </w:rPr>
              <w:instrText>ADDIN CSL_CITATION {"citationItems":[{"id":"ITEM-1","itemData":{"DOI":"10.1002/cncr.28136","ISSN":"0008543X","abstract":"BACKGROUND CD22 expression occurs in  &gt; 90% of patients with acute lymphocytic leukemia (ALL). Inotuzumab ozogamicin, a CD22 monoclonal antibody bound to calicheamicin, is active in ALL. METHODS Patients with refractory-relapsed ALL received treatment with inotuzumab. The first 49 patients received single-dose, intravenous inotuzumab at doses of 1.3 to 1.8 mg/m2 every 3 to 4 weeks. In the next 41 patients, the schedule was modified to inotuzumab weekly at a dose of 0.8 mg/m2 on day 1 and at a dose of 0.5 mg/m2 on days 8 and 15, every 3 to 4 weeks, based on higher in vitro efficacy with more frequent exposure. RESULTS Ninety patients were treated; 68% were in salvage 2 or beyond. Overall, 17 patients (19%) achieved a complete response (CR), 27 (30%) had a CR with no platelet recovery (CRp), and 8 (9%) had a bone marrow CR (no recovery of counts), for an overall response rate of 58%. Response rates were similar for single-dose and weekly dose inotuzumab (57% vs 59%, respectively). The median survival was 6.2 months overall, 5.0 months with the single-dose schedule, and 7.3 months with the weekly dose schedule. The median survival was 9.2 months for patients in salvage 1 (37% at 1 year), 4.3 months for patients in salvage 2, and 6.6 months for patients in salvage 3 or later. The median remission duration was 7 months. Reversible bilirubin elevation, fever, and hypotension were observed less frequently on the weekly dose. In total, 36 of 90 patients (40%) underwent allogeneic stem cell transplantation. Veno-occlusive disease was noted in 6 of 36 patients after stem cell transplantation (17%), was less frequent after the weekly schedule (7%), and with less alkylators in the preparative regimen. CONCLUSIONS Inotuzumab single-agent therapy was highly active, safe, and convenient in patients with refractory-relapsed ALL. A weekly dose schedule appeared to be equally effective and less toxic than a single-dose schedule. © 2013 American Cancer Society.","author":[{"dropping-particle":"","family":"Kantarjian","given":"Hagop","non-dropping-particle":"","parse-names":false,"suffix":""},{"dropping-particle":"","family":"Thomas","given":"Deborah","non-dropping-particle":"","parse-names":false,"suffix":""},{"dropping-particle":"","family":"Jorgensen","given":"Jeffrey","non-dropping-particle":"","parse-names":false,"suffix":""},{"dropping-particle":"","family":"Kebriaei","given":"Partow","non-dropping-particle":"","parse-names":false,"suffix":""},{"dropping-particle":"","family":"Jabbour","given":"Elias","non-dropping-particle":"","parse-names":false,"suffix":""},{"dropping-particle":"","family":"Rytting","given":"Michael","non-dropping-particle":"","parse-names":false,"suffix":""},{"dropping-particle":"","family":"York","given":"Sergernne","non-dropping-particle":"","parse-names":false,"suffix":""},{"dropping-particle":"","family":"Ravandi","given":"Farhad","non-dropping-particle":"","parse-names":false,"suffix":""},{"dropping-particle":"","family":"Garris","given":"Rebecca","non-dropping-particle":"","parse-names":false,"suffix":""},{"dropping-particle":"","family":"Kwari","given":"Monica","non-dropping-particle":"","parse-names":false,"suffix":""},{"dropping-particle":"","family":"Faderl","given":"Stefan","non-dropping-particle":"","parse-names":false,"suffix":""},{"dropping-particle":"","family":"Cortes","given":"Jorge","non-dropping-particle":"","parse-names":false,"suffix":""},{"dropping-particle":"","family":"Champlin","given":"Richard","non-dropping-particle":"","parse-names":false,"suffix":""},{"dropping-particle":"","family":"O'Brien","given":"Susan","non-dropping-particle":"","parse-names":false,"suffix":""}],"container-title":"Cancer","id":"ITEM-1","issue":"15","issued":{"date-parts":[["2013"]]},"page":"2728-2736","title":"Results of inotuzumab ozogamicin, a CD22 monoclonal antibody, in refractory and relapsed acute lymphocytic leukemia","type":"article-journal","volume":"119"},"uris":["http://www.mendeley.com/documents/?uuid=24affbf4-70f1-4504-9c90-ed70102f0f74"]}],"mendeley":{"formattedCitation":"(63)","plainTextFormattedCitation":"(63)","previouslyFormattedCitation":"(63)"},"properties":{"noteIndex":0},"schema":"https://github.com/citation-style-language/schema/raw/master/csl-citation.json"}</w:instrText>
            </w:r>
            <w:r w:rsidR="00415C49">
              <w:rPr>
                <w:rFonts w:ascii="Arial" w:hAnsi="Arial" w:cs="Arial"/>
                <w:color w:val="000000" w:themeColor="text1"/>
                <w:sz w:val="18"/>
                <w:szCs w:val="18"/>
                <w:lang w:val="es-ES"/>
              </w:rPr>
              <w:fldChar w:fldCharType="separate"/>
            </w:r>
            <w:r w:rsidR="007D1ABA" w:rsidRPr="007D1ABA">
              <w:rPr>
                <w:rFonts w:ascii="Arial" w:hAnsi="Arial" w:cs="Arial"/>
                <w:noProof/>
                <w:color w:val="000000" w:themeColor="text1"/>
                <w:sz w:val="18"/>
                <w:szCs w:val="18"/>
                <w:lang w:val="es-ES"/>
              </w:rPr>
              <w:t>(63)</w:t>
            </w:r>
            <w:r w:rsidR="00415C49">
              <w:rPr>
                <w:rFonts w:ascii="Arial" w:hAnsi="Arial" w:cs="Arial"/>
                <w:color w:val="000000" w:themeColor="text1"/>
                <w:sz w:val="18"/>
                <w:szCs w:val="18"/>
                <w:lang w:val="es-ES"/>
              </w:rPr>
              <w:fldChar w:fldCharType="end"/>
            </w:r>
          </w:p>
        </w:tc>
        <w:tc>
          <w:tcPr>
            <w:tcW w:w="992" w:type="dxa"/>
            <w:tcBorders>
              <w:top w:val="nil"/>
              <w:bottom w:val="nil"/>
            </w:tcBorders>
            <w:shd w:val="clear" w:color="auto" w:fill="F3F3F3"/>
          </w:tcPr>
          <w:p w14:paraId="5E10161A" w14:textId="77777777" w:rsidR="00FA6971" w:rsidRPr="00772651" w:rsidRDefault="00772651"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41</w:t>
            </w:r>
          </w:p>
        </w:tc>
        <w:tc>
          <w:tcPr>
            <w:tcW w:w="2835" w:type="dxa"/>
            <w:tcBorders>
              <w:top w:val="nil"/>
              <w:bottom w:val="nil"/>
            </w:tcBorders>
            <w:shd w:val="clear" w:color="auto" w:fill="F3F3F3"/>
          </w:tcPr>
          <w:p w14:paraId="2A2CD663" w14:textId="77777777" w:rsidR="00FA6971" w:rsidRPr="00023DF8" w:rsidRDefault="00772651" w:rsidP="00430A6B">
            <w:pPr>
              <w:widowControl w:val="0"/>
              <w:autoSpaceDE w:val="0"/>
              <w:autoSpaceDN w:val="0"/>
              <w:adjustRightInd w:val="0"/>
              <w:jc w:val="both"/>
              <w:rPr>
                <w:rFonts w:ascii="Arial" w:hAnsi="Arial" w:cs="Arial"/>
                <w:color w:val="000000" w:themeColor="text1"/>
                <w:sz w:val="16"/>
                <w:szCs w:val="16"/>
                <w:lang w:val="es-ES"/>
              </w:rPr>
            </w:pPr>
            <w:r w:rsidRPr="00023DF8">
              <w:rPr>
                <w:rFonts w:ascii="Arial" w:hAnsi="Arial" w:cs="Arial"/>
                <w:color w:val="000000" w:themeColor="text1"/>
                <w:sz w:val="16"/>
                <w:szCs w:val="16"/>
                <w:lang w:val="es-ES"/>
              </w:rPr>
              <w:t>0,8 mg/m</w:t>
            </w:r>
            <w:r w:rsidRPr="00023DF8">
              <w:rPr>
                <w:rFonts w:ascii="Arial" w:hAnsi="Arial" w:cs="Arial"/>
                <w:color w:val="000000" w:themeColor="text1"/>
                <w:sz w:val="16"/>
                <w:szCs w:val="16"/>
                <w:vertAlign w:val="superscript"/>
                <w:lang w:val="es-ES"/>
              </w:rPr>
              <w:t>2</w:t>
            </w:r>
            <w:r w:rsidRPr="00023DF8">
              <w:rPr>
                <w:rFonts w:ascii="Arial" w:hAnsi="Arial" w:cs="Arial"/>
                <w:color w:val="000000" w:themeColor="text1"/>
                <w:sz w:val="16"/>
                <w:szCs w:val="16"/>
                <w:lang w:val="es-ES"/>
              </w:rPr>
              <w:t xml:space="preserve"> día 1 y 0,5 mg/m</w:t>
            </w:r>
            <w:r w:rsidRPr="00023DF8">
              <w:rPr>
                <w:rFonts w:ascii="Arial" w:hAnsi="Arial" w:cs="Arial"/>
                <w:color w:val="000000" w:themeColor="text1"/>
                <w:sz w:val="16"/>
                <w:szCs w:val="16"/>
                <w:vertAlign w:val="superscript"/>
                <w:lang w:val="es-ES"/>
              </w:rPr>
              <w:t>2</w:t>
            </w:r>
            <w:r w:rsidRPr="00023DF8">
              <w:rPr>
                <w:rFonts w:ascii="Arial" w:hAnsi="Arial" w:cs="Arial"/>
                <w:color w:val="000000" w:themeColor="text1"/>
                <w:sz w:val="16"/>
                <w:szCs w:val="16"/>
                <w:lang w:val="es-ES"/>
              </w:rPr>
              <w:t xml:space="preserve"> día 8 y 15.</w:t>
            </w:r>
          </w:p>
        </w:tc>
        <w:tc>
          <w:tcPr>
            <w:tcW w:w="1134" w:type="dxa"/>
            <w:tcBorders>
              <w:top w:val="nil"/>
              <w:bottom w:val="nil"/>
            </w:tcBorders>
            <w:shd w:val="clear" w:color="auto" w:fill="F3F3F3"/>
          </w:tcPr>
          <w:p w14:paraId="15295FDF" w14:textId="77777777" w:rsidR="00FA6971" w:rsidRPr="00772651" w:rsidRDefault="00772651"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20%</w:t>
            </w:r>
          </w:p>
        </w:tc>
        <w:tc>
          <w:tcPr>
            <w:tcW w:w="993" w:type="dxa"/>
            <w:tcBorders>
              <w:top w:val="nil"/>
              <w:bottom w:val="nil"/>
            </w:tcBorders>
            <w:shd w:val="clear" w:color="auto" w:fill="F3F3F3"/>
          </w:tcPr>
          <w:p w14:paraId="6F4FA18F" w14:textId="77777777" w:rsidR="00FA6971" w:rsidRPr="00772651" w:rsidRDefault="00772651"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71%</w:t>
            </w:r>
          </w:p>
        </w:tc>
        <w:tc>
          <w:tcPr>
            <w:tcW w:w="1331" w:type="dxa"/>
            <w:tcBorders>
              <w:top w:val="nil"/>
              <w:bottom w:val="nil"/>
            </w:tcBorders>
            <w:shd w:val="clear" w:color="auto" w:fill="F3F3F3"/>
          </w:tcPr>
          <w:p w14:paraId="5CF5E9F4" w14:textId="77777777" w:rsidR="00FA6971" w:rsidRPr="00772651" w:rsidRDefault="00772651"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7,3</w:t>
            </w:r>
          </w:p>
        </w:tc>
      </w:tr>
      <w:tr w:rsidR="00EF4B63" w14:paraId="21ECE01D" w14:textId="77777777" w:rsidTr="003B29C3">
        <w:tc>
          <w:tcPr>
            <w:tcW w:w="1951" w:type="dxa"/>
            <w:tcBorders>
              <w:top w:val="nil"/>
              <w:bottom w:val="nil"/>
            </w:tcBorders>
            <w:shd w:val="clear" w:color="auto" w:fill="FFFFFF"/>
          </w:tcPr>
          <w:p w14:paraId="323B3B1E" w14:textId="77777777" w:rsidR="00FA6971" w:rsidRPr="00772651" w:rsidRDefault="00FA6971" w:rsidP="00430A6B">
            <w:pPr>
              <w:widowControl w:val="0"/>
              <w:autoSpaceDE w:val="0"/>
              <w:autoSpaceDN w:val="0"/>
              <w:adjustRightInd w:val="0"/>
              <w:jc w:val="both"/>
              <w:rPr>
                <w:rFonts w:ascii="Arial" w:hAnsi="Arial" w:cs="Arial"/>
                <w:color w:val="000000" w:themeColor="text1"/>
                <w:sz w:val="18"/>
                <w:szCs w:val="18"/>
                <w:lang w:val="es-ES"/>
              </w:rPr>
            </w:pPr>
            <w:r w:rsidRPr="00772651">
              <w:rPr>
                <w:rFonts w:ascii="Arial" w:hAnsi="Arial" w:cs="Arial"/>
                <w:color w:val="000000" w:themeColor="text1"/>
                <w:sz w:val="18"/>
                <w:szCs w:val="18"/>
                <w:lang w:val="es-ES"/>
              </w:rPr>
              <w:t>INO-VATE (Fase III)</w:t>
            </w:r>
            <w:r w:rsidR="00415C49">
              <w:rPr>
                <w:rFonts w:ascii="Arial" w:hAnsi="Arial" w:cs="Arial"/>
                <w:color w:val="000000" w:themeColor="text1"/>
                <w:sz w:val="18"/>
                <w:szCs w:val="18"/>
                <w:lang w:val="es-ES"/>
              </w:rPr>
              <w:fldChar w:fldCharType="begin" w:fldLock="1"/>
            </w:r>
            <w:r w:rsidR="00AB2A28">
              <w:rPr>
                <w:rFonts w:ascii="Arial" w:hAnsi="Arial" w:cs="Arial"/>
                <w:color w:val="000000" w:themeColor="text1"/>
                <w:sz w:val="18"/>
                <w:szCs w:val="18"/>
                <w:lang w:val="es-ES"/>
              </w:rPr>
              <w:instrText>ADDIN CSL_CITATION {"citationItems":[{"id":"ITEM-1","itemData":{"DOI":"10.1056/NEJMoa1509277","ISSN":"0028-4793","abstract":"Copyright © 2016 Massachusetts Medical Society. BACKGROUND: The prognosis for adults with relapsed acute lymphoblastic leukemia is poor. We sought to determine whether inotuzumab ozogamicin, an anti-CD22 antibody conjugated to calicheamicin, results in better outcomes in patients with relapsed or refractory acute lymphoblastic leukemia than does standard therapy. METHODS: In this phase 3 trial, we randomly assigned adults with relapsed or refractory acute lymphoblastic leukemia to receive either inotuzumab ozogamicin (inotuzumab ozogamicin group) or standard intensive chemotherapy (standard-therapy group). The primary end points were complete remission (including complete remission with incomplete hematologic recovery) and overall survival. RESULTS: Of the 326 patients who underwent randomization, the first 218 (109 in each group) were included in the primary intention-to-treat analysis of complete remission. The rate of complete remission was significantly higher in the inotuzumab ozogamicin group than in the standard-therapy group (80.7% [95% confidence interval {CI}, 72.1 to 87.7] vs. 29.4% [95% CI, 21.0 to 38.8] , P &lt; 0.001). Among the patients who had complete remission, a higher percentage in the inotuzumab ozogamicin group had results below the threshold for minimal residual disease (0.01% marrow blasts) (78.4% vs. 28.1%, P &lt; 0.001); the duration of remission was longer in the inotuzumab ozogamicin group (median, 4.6 months [95% CI, 3.9 to 5.4] vs. 3.1 months [95% CI, 1.4 to 4.9] ; hazard ratio, 0.55 [95% CI, 0.31 to 0.96]; P = 0.03). In the survival analysis, which included all 326 patients, progression-free survival was significantly longer in the inotuzumab ozogamicin group (median, 5.0 months [95% CI, 3.7 to 5.6]  vs. 1.8 months [95% CI, 1.5 to 2.2]; hazard ratio, 0.45 [97.5% CI, 0.34 to 0.61] ; P &lt; 0.001); the median overall survival was 7.7 months (95% CI, 6.0 to 9.2) versus 6.7 months (95% CI, 4.9 to 8.3), and the hazard ratio was 0.77 (97.5% CI, 0.58 to 1.03) (P = 0.04). In the safety population, the most frequent grade 3 or higher nonhematologic adverse events with inotuzumab ozogamicin were liver-related. Veno-occlusive liver disease of any grade occurred in 15 patients (11%) who received inotuzumab ozogamicin and in 1 patient (1%) who received standard therapy. CONCLUSIONS: The rate of complete remission was higher with inotuzumab ozogamicin than with standard therapy, and a higher percentage of patients in the inotuzumab ozogamicin gr…","author":[{"dropping-particle":"","family":"Kantarjian","given":"Hagop M.","non-dropping-particle":"","parse-names":false,"suffix":""},{"dropping-particle":"","family":"DeAngelo","given":"Daniel J.","non-dropping-particle":"","parse-names":false,"suffix":""},{"dropping-particle":"","family":"Stelljes","given":"Matthias","non-dropping-particle":"","parse-names":false,"suffix":""},{"dropping-particle":"","family":"Martinelli","given":"Giovanni","non-dropping-particle":"","parse-names":false,"suffix":""},{"dropping-particle":"","family":"Liedtke","given":"Michaela","non-dropping-particle":"","parse-names":false,"suffix":""},{"dropping-particle":"","family":"Stock","given":"Wendy","non-dropping-particle":"","parse-names":false,"suffix":""},{"dropping-particle":"","family":"Gökbuget","given":"Nicola","non-dropping-particle":"","parse-names":false,"suffix":""},{"dropping-particle":"","family":"O’Brien","given":"Susan","non-dropping-particle":"","parse-names":false,"suffix":""},{"dropping-particle":"","family":"Wang","given":"Kongming","non-dropping-particle":"","parse-names":false,"suffix":""},{"dropping-particle":"","family":"Wang","given":"Tao","non-dropping-particle":"","parse-names":false,"suffix":""},{"dropping-particle":"","family":"Paccagnella","given":"M. Luisa","non-dropping-particle":"","parse-names":false,"suffix":""},{"dropping-particle":"","family":"Sleight","given":"Barbara","non-dropping-particle":"","parse-names":false,"suffix":""},{"dropping-particle":"","family":"Vandendries","given":"Erik","non-dropping-particle":"","parse-names":false,"suffix":""},{"dropping-particle":"","family":"Advani","given":"Anjali S.","non-dropping-particle":"","parse-names":false,"suffix":""}],"container-title":"New England Journal of Medicine","id":"ITEM-1","issue":"8","issued":{"date-parts":[["2016"]]},"page":"740-753","title":"Inotuzumab Ozogamicin versus Standard Therapy for Acute Lymphoblastic Leukemia","type":"article-journal","volume":"375"},"uris":["http://www.mendeley.com/documents/?uuid=7704c69d-9825-4048-afed-b2f14befc72c"]}],"mendeley":{"formattedCitation":"(64)","plainTextFormattedCitation":"(64)","previouslyFormattedCitation":"(64)"},"properties":{"noteIndex":0},"schema":"https://github.com/citation-style-language/schema/raw/master/csl-citation.json"}</w:instrText>
            </w:r>
            <w:r w:rsidR="00415C49">
              <w:rPr>
                <w:rFonts w:ascii="Arial" w:hAnsi="Arial" w:cs="Arial"/>
                <w:color w:val="000000" w:themeColor="text1"/>
                <w:sz w:val="18"/>
                <w:szCs w:val="18"/>
                <w:lang w:val="es-ES"/>
              </w:rPr>
              <w:fldChar w:fldCharType="separate"/>
            </w:r>
            <w:r w:rsidR="007D1ABA" w:rsidRPr="007D1ABA">
              <w:rPr>
                <w:rFonts w:ascii="Arial" w:hAnsi="Arial" w:cs="Arial"/>
                <w:noProof/>
                <w:color w:val="000000" w:themeColor="text1"/>
                <w:sz w:val="18"/>
                <w:szCs w:val="18"/>
                <w:lang w:val="es-ES"/>
              </w:rPr>
              <w:t>(64)</w:t>
            </w:r>
            <w:r w:rsidR="00415C49">
              <w:rPr>
                <w:rFonts w:ascii="Arial" w:hAnsi="Arial" w:cs="Arial"/>
                <w:color w:val="000000" w:themeColor="text1"/>
                <w:sz w:val="18"/>
                <w:szCs w:val="18"/>
                <w:lang w:val="es-ES"/>
              </w:rPr>
              <w:fldChar w:fldCharType="end"/>
            </w:r>
          </w:p>
        </w:tc>
        <w:tc>
          <w:tcPr>
            <w:tcW w:w="992" w:type="dxa"/>
            <w:tcBorders>
              <w:top w:val="nil"/>
              <w:bottom w:val="nil"/>
            </w:tcBorders>
            <w:shd w:val="clear" w:color="auto" w:fill="FFFFFF"/>
          </w:tcPr>
          <w:p w14:paraId="2557B203"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109</w:t>
            </w:r>
          </w:p>
        </w:tc>
        <w:tc>
          <w:tcPr>
            <w:tcW w:w="2835" w:type="dxa"/>
            <w:tcBorders>
              <w:top w:val="nil"/>
              <w:bottom w:val="nil"/>
            </w:tcBorders>
            <w:shd w:val="clear" w:color="auto" w:fill="FFFFFF"/>
          </w:tcPr>
          <w:p w14:paraId="3054D4D6" w14:textId="77777777" w:rsidR="00FA6971" w:rsidRPr="00023DF8" w:rsidRDefault="00EF4B63" w:rsidP="00430A6B">
            <w:pPr>
              <w:widowControl w:val="0"/>
              <w:autoSpaceDE w:val="0"/>
              <w:autoSpaceDN w:val="0"/>
              <w:adjustRightInd w:val="0"/>
              <w:jc w:val="both"/>
              <w:rPr>
                <w:rFonts w:ascii="Arial" w:hAnsi="Arial" w:cs="Arial"/>
                <w:color w:val="000000" w:themeColor="text1"/>
                <w:sz w:val="16"/>
                <w:szCs w:val="16"/>
                <w:lang w:val="es-ES"/>
              </w:rPr>
            </w:pPr>
            <w:r w:rsidRPr="00023DF8">
              <w:rPr>
                <w:rFonts w:ascii="Arial" w:hAnsi="Arial" w:cs="Arial"/>
                <w:color w:val="000000" w:themeColor="text1"/>
                <w:sz w:val="16"/>
                <w:szCs w:val="16"/>
                <w:lang w:val="es-ES"/>
              </w:rPr>
              <w:t>0,8 mg/m</w:t>
            </w:r>
            <w:r w:rsidRPr="00023DF8">
              <w:rPr>
                <w:rFonts w:ascii="Arial" w:hAnsi="Arial" w:cs="Arial"/>
                <w:color w:val="000000" w:themeColor="text1"/>
                <w:sz w:val="16"/>
                <w:szCs w:val="16"/>
                <w:vertAlign w:val="superscript"/>
                <w:lang w:val="es-ES"/>
              </w:rPr>
              <w:t>2</w:t>
            </w:r>
            <w:r w:rsidRPr="00023DF8">
              <w:rPr>
                <w:rFonts w:ascii="Arial" w:hAnsi="Arial" w:cs="Arial"/>
                <w:color w:val="000000" w:themeColor="text1"/>
                <w:sz w:val="16"/>
                <w:szCs w:val="16"/>
                <w:lang w:val="es-ES"/>
              </w:rPr>
              <w:t xml:space="preserve"> día 1 y 0,5 mg/m</w:t>
            </w:r>
            <w:r w:rsidRPr="00023DF8">
              <w:rPr>
                <w:rFonts w:ascii="Arial" w:hAnsi="Arial" w:cs="Arial"/>
                <w:color w:val="000000" w:themeColor="text1"/>
                <w:sz w:val="16"/>
                <w:szCs w:val="16"/>
                <w:vertAlign w:val="superscript"/>
                <w:lang w:val="es-ES"/>
              </w:rPr>
              <w:t>2</w:t>
            </w:r>
            <w:r w:rsidRPr="00023DF8">
              <w:rPr>
                <w:rFonts w:ascii="Arial" w:hAnsi="Arial" w:cs="Arial"/>
                <w:color w:val="000000" w:themeColor="text1"/>
                <w:sz w:val="16"/>
                <w:szCs w:val="16"/>
                <w:lang w:val="es-ES"/>
              </w:rPr>
              <w:t xml:space="preserve"> día 8 y 15.</w:t>
            </w:r>
          </w:p>
        </w:tc>
        <w:tc>
          <w:tcPr>
            <w:tcW w:w="1134" w:type="dxa"/>
            <w:tcBorders>
              <w:top w:val="nil"/>
              <w:bottom w:val="nil"/>
            </w:tcBorders>
            <w:shd w:val="clear" w:color="auto" w:fill="FFFFFF"/>
          </w:tcPr>
          <w:p w14:paraId="4175F4FA"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36%</w:t>
            </w:r>
          </w:p>
        </w:tc>
        <w:tc>
          <w:tcPr>
            <w:tcW w:w="993" w:type="dxa"/>
            <w:tcBorders>
              <w:top w:val="nil"/>
              <w:bottom w:val="nil"/>
            </w:tcBorders>
            <w:shd w:val="clear" w:color="auto" w:fill="FFFFFF"/>
          </w:tcPr>
          <w:p w14:paraId="6543EF7D"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78%</w:t>
            </w:r>
          </w:p>
        </w:tc>
        <w:tc>
          <w:tcPr>
            <w:tcW w:w="1331" w:type="dxa"/>
            <w:tcBorders>
              <w:top w:val="nil"/>
              <w:bottom w:val="nil"/>
            </w:tcBorders>
            <w:shd w:val="clear" w:color="auto" w:fill="FFFFFF"/>
          </w:tcPr>
          <w:p w14:paraId="7A4771FD"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7,7</w:t>
            </w:r>
          </w:p>
        </w:tc>
      </w:tr>
      <w:tr w:rsidR="00EF4B63" w14:paraId="72560664" w14:textId="77777777" w:rsidTr="003B29C3">
        <w:tc>
          <w:tcPr>
            <w:tcW w:w="1951" w:type="dxa"/>
            <w:tcBorders>
              <w:top w:val="nil"/>
              <w:bottom w:val="nil"/>
            </w:tcBorders>
            <w:shd w:val="clear" w:color="auto" w:fill="F3F3F3"/>
          </w:tcPr>
          <w:p w14:paraId="175E6CEA" w14:textId="77777777" w:rsidR="00FA6971" w:rsidRPr="00772651" w:rsidRDefault="00023DF8" w:rsidP="00430A6B">
            <w:pPr>
              <w:widowControl w:val="0"/>
              <w:autoSpaceDE w:val="0"/>
              <w:autoSpaceDN w:val="0"/>
              <w:adjustRightInd w:val="0"/>
              <w:jc w:val="both"/>
              <w:rPr>
                <w:rFonts w:ascii="Arial" w:hAnsi="Arial" w:cs="Arial"/>
                <w:color w:val="000000" w:themeColor="text1"/>
                <w:sz w:val="18"/>
                <w:szCs w:val="18"/>
                <w:lang w:val="es-ES"/>
              </w:rPr>
            </w:pPr>
            <w:r>
              <w:rPr>
                <w:rFonts w:ascii="Arial" w:hAnsi="Arial" w:cs="Arial"/>
                <w:color w:val="000000" w:themeColor="text1"/>
                <w:sz w:val="18"/>
                <w:szCs w:val="18"/>
                <w:lang w:val="es-ES"/>
              </w:rPr>
              <w:t>INO+</w:t>
            </w:r>
            <w:r w:rsidR="00FA6971" w:rsidRPr="00772651">
              <w:rPr>
                <w:rFonts w:ascii="Arial" w:hAnsi="Arial" w:cs="Arial"/>
                <w:color w:val="000000" w:themeColor="text1"/>
                <w:sz w:val="18"/>
                <w:szCs w:val="18"/>
                <w:lang w:val="es-ES"/>
              </w:rPr>
              <w:t>Mini-Hyp</w:t>
            </w:r>
            <w:r>
              <w:rPr>
                <w:rFonts w:ascii="Arial" w:hAnsi="Arial" w:cs="Arial"/>
                <w:color w:val="000000" w:themeColor="text1"/>
                <w:sz w:val="18"/>
                <w:szCs w:val="18"/>
                <w:lang w:val="es-ES"/>
              </w:rPr>
              <w:t>er</w:t>
            </w:r>
            <w:r w:rsidR="00FA6971" w:rsidRPr="00772651">
              <w:rPr>
                <w:rFonts w:ascii="Arial" w:hAnsi="Arial" w:cs="Arial"/>
                <w:color w:val="000000" w:themeColor="text1"/>
                <w:sz w:val="18"/>
                <w:szCs w:val="18"/>
                <w:lang w:val="es-ES"/>
              </w:rPr>
              <w:t xml:space="preserve">CVD </w:t>
            </w:r>
            <w:r w:rsidR="00FA6971" w:rsidRPr="00772651">
              <w:rPr>
                <w:rFonts w:ascii="Arial" w:hAnsi="Arial" w:cs="Arial"/>
                <w:color w:val="000000" w:themeColor="text1"/>
                <w:sz w:val="18"/>
                <w:szCs w:val="18"/>
                <w:lang w:val="es-ES"/>
              </w:rPr>
              <w:lastRenderedPageBreak/>
              <w:t>recaído/refractario</w:t>
            </w:r>
            <w:r w:rsidR="00415C49">
              <w:rPr>
                <w:rFonts w:ascii="Arial" w:hAnsi="Arial" w:cs="Arial"/>
                <w:color w:val="000000" w:themeColor="text1"/>
                <w:sz w:val="18"/>
                <w:szCs w:val="18"/>
                <w:lang w:val="es-ES"/>
              </w:rPr>
              <w:fldChar w:fldCharType="begin" w:fldLock="1"/>
            </w:r>
            <w:r w:rsidR="00AB2A28">
              <w:rPr>
                <w:rFonts w:ascii="Arial" w:hAnsi="Arial" w:cs="Arial"/>
                <w:color w:val="000000" w:themeColor="text1"/>
                <w:sz w:val="18"/>
                <w:szCs w:val="18"/>
                <w:lang w:val="es-ES"/>
              </w:rPr>
              <w:instrText>ADDIN CSL_CITATION {"citationItems":[{"id":"ITEM-1","itemData":{"DOI":"10.1001/jamaoncol.2017.2380","ISSN":"23742445","abstract":"© 2017 American Medical Association. All rights reserved. IMPORTANCE The outcome of patients with relapsed or refractory (R/R) acute lymphoblastic leukemia (ALL) is poor. Inotuzumab ozogamicin, a CD22 monoclonal antibody bound to calicheamicin, has single-agent activity in R/R ALL. OBJECTIVE To evaluate the efficacy and safety of inotuzumab ozogamicin plus low-intensity chemotherapy in patients with R/R ALL. DESIGN, SETTING, AND PARTICIPANTS A single-arm, phase 2 study of adults with R/R B-cell ALL conducted at The University of Texas MD Anderson Cancer Center, Houston. INTERVENTIONS The chemotherapy used was lower intensity than hyper-CVAD (cyclophosphamide, vincristine, doxorubicin [trade name, Adriamycin; Pfizer], and dexamethasone) and is referred to as mini-hyper-CVD (mini-HCVD: cyclophosphamide and dexamethasone at 50% dose reduction, no anthracycline,methotrexate at 75%dose reduction, and cytarabine at 0.5 g/m2 × 4 doses). Inotuzumab was given on day 3 of the first 4 courses at 1.8 to 1.3mg/m2 for cycle 1 followed by 1.3 to 1.0mg/m2 for subsequent cycles. MAIN OUTCOMES AND MEASURES The primary end pointswere the overall response rate and overall survival (OS). Secondary end points included safety, relapse-free survival (RFS), the rate of allogeneic stem cell transplantation (ASCT), and the minimal residual disease (MRD) negativity rate. RESULTS Fifty-nine patients (30 women and 29 men) with a median age of 35 years (range, 18-87 years) were treated. Overall, 46 patients (78%) responded, 35 of them (59%) achieving complete response. The overall MRD negativity rate among responders was 82%. Twenty-six patients (44%) received ASCT. Grade 3 to 4 toxic effects included prolonged thrombocytopenia (81%; n = 48), infections (73%; n = 43), and hyperbilirubinemia (14%; n = 8). Veno-occlusive disease (VOD) occurred in 9 patients (15%). With a median follow-up of 24 months, the median RFS and OS were 8 and 11 months, respectively. The 1-year RFS and OS rates were 40% and 46%, respectively. The 1-year OS rates for patients treated in salvage 1, salvage 2, and salvage 3 or beyond were 57%, 26%, and 39%, respectively (P = .03). CONCLUSIONS AND RELEVANCE The combination of inotuzumab with low-intensity mini-HCVD chemotherapy shows encouraging results in R/R ALL. The risk of VOD should be considered carefully in patients with previous liver damage and among transplant candidates.","author":[{"dropping-particle":"","family":"Jabbour","given":"Elias","non-dropping-particle":"","parse-names":false,"suffix":""},{"dropping-particle":"","family":"Ravandi","given":"Farhad","non-dropping-particle":"","parse-names":false,"suffix":""},{"dropping-particle":"","family":"Kebriaei","given":"Partow","non-dropping-particle":"","parse-names":false,"suffix":""},{"dropping-particle":"","family":"Huang","given":"Xuelin","non-dropping-particle":"","parse-names":false,"suffix":""},{"dropping-particle":"","family":"Short","given":"Nicholas J.","non-dropping-particle":"","parse-names":false,"suffix":""},{"dropping-particle":"","family":"Thomas","given":"Deborah","non-dropping-particle":"","parse-names":false,"suffix":""},{"dropping-particle":"","family":"Sasaki","given":"Koji","non-dropping-particle":"","parse-names":false,"suffix":""},{"dropping-particle":"","family":"Rytting","given":"Michael","non-dropping-particle":"","parse-names":false,"suffix":""},{"dropping-particle":"","family":"Jain","given":"Nitin","non-dropping-particle":"","parse-names":false,"suffix":""},{"dropping-particle":"","family":"Konopleva","given":"Marina","non-dropping-particle":"","parse-names":false,"suffix":""},{"dropping-particle":"","family":"Garcia-Manero","given":"Guillermo","non-dropping-particle":"","parse-names":false,"suffix":""},{"dropping-particle":"","family":"Champlin","given":"Richard","non-dropping-particle":"","parse-names":false,"suffix":""},{"dropping-particle":"","family":"Marin","given":"David","non-dropping-particle":"","parse-names":false,"suffix":""},{"dropping-particle":"","family":"Kadia","given":"Tapan","non-dropping-particle":"","parse-names":false,"suffix":""},{"dropping-particle":"","family":"Cortes","given":"Jorge","non-dropping-particle":"","parse-names":false,"suffix":""},{"dropping-particle":"","family":"Estrov","given":"Zeev","non-dropping-particle":"","parse-names":false,"suffix":""},{"dropping-particle":"","family":"Takahashi","given":"Koichi","non-dropping-particle":"","parse-names":false,"suffix":""},{"dropping-particle":"","family":"Patel","given":"Yogin","non-dropping-particle":"","parse-names":false,"suffix":""},{"dropping-particle":"","family":"Khouri","given":"Maria R.","non-dropping-particle":"","parse-names":false,"suffix":""},{"dropping-particle":"","family":"Jacob","given":"Jovitta","non-dropping-particle":"","parse-names":false,"suffix":""},{"dropping-particle":"","family":"Garris","given":"Rebecca","non-dropping-particle":"","parse-names":false,"suffix":""},{"dropping-particle":"","family":"O'Brien","given":"Susan","non-dropping-particle":"","parse-names":false,"suffix":""},{"dropping-particle":"","family":"Kantarjian","given":"Hagop","non-dropping-particle":"","parse-names":false,"suffix":""}],"container-title":"JAMA Oncology","id":"ITEM-1","issue":"2","issued":{"date-parts":[["2018"]]},"page":"230-234","title":"Salvage chemoimmunotherapy with inotuzumab ozogamicin combined with mini-hyper-CVD for patients with relapsed or refractory philadelphia chromosome-negative acute lymphoblastic leukemia: A phase 2 clinical trial","type":"article-journal","volume":"4"},"uris":["http://www.mendeley.com/documents/?uuid=91f1679b-07f5-4087-ad28-5b1a0e511cd2"]}],"mendeley":{"formattedCitation":"(65)","plainTextFormattedCitation":"(65)","previouslyFormattedCitation":"(65)"},"properties":{"noteIndex":0},"schema":"https://github.com/citation-style-language/schema/raw/master/csl-citation.json"}</w:instrText>
            </w:r>
            <w:r w:rsidR="00415C49">
              <w:rPr>
                <w:rFonts w:ascii="Arial" w:hAnsi="Arial" w:cs="Arial"/>
                <w:color w:val="000000" w:themeColor="text1"/>
                <w:sz w:val="18"/>
                <w:szCs w:val="18"/>
                <w:lang w:val="es-ES"/>
              </w:rPr>
              <w:fldChar w:fldCharType="separate"/>
            </w:r>
            <w:r w:rsidR="007D1ABA" w:rsidRPr="007D1ABA">
              <w:rPr>
                <w:rFonts w:ascii="Arial" w:hAnsi="Arial" w:cs="Arial"/>
                <w:noProof/>
                <w:color w:val="000000" w:themeColor="text1"/>
                <w:sz w:val="18"/>
                <w:szCs w:val="18"/>
                <w:lang w:val="es-ES"/>
              </w:rPr>
              <w:t>(65)</w:t>
            </w:r>
            <w:r w:rsidR="00415C49">
              <w:rPr>
                <w:rFonts w:ascii="Arial" w:hAnsi="Arial" w:cs="Arial"/>
                <w:color w:val="000000" w:themeColor="text1"/>
                <w:sz w:val="18"/>
                <w:szCs w:val="18"/>
                <w:lang w:val="es-ES"/>
              </w:rPr>
              <w:fldChar w:fldCharType="end"/>
            </w:r>
          </w:p>
        </w:tc>
        <w:tc>
          <w:tcPr>
            <w:tcW w:w="992" w:type="dxa"/>
            <w:tcBorders>
              <w:top w:val="nil"/>
              <w:bottom w:val="nil"/>
            </w:tcBorders>
            <w:shd w:val="clear" w:color="auto" w:fill="F3F3F3"/>
          </w:tcPr>
          <w:p w14:paraId="1C84FF36" w14:textId="77777777" w:rsidR="00FA6971" w:rsidRPr="00772651" w:rsidRDefault="00904B3E"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lastRenderedPageBreak/>
              <w:t>59</w:t>
            </w:r>
          </w:p>
        </w:tc>
        <w:tc>
          <w:tcPr>
            <w:tcW w:w="2835" w:type="dxa"/>
            <w:tcBorders>
              <w:top w:val="nil"/>
              <w:bottom w:val="nil"/>
            </w:tcBorders>
            <w:shd w:val="clear" w:color="auto" w:fill="F3F3F3"/>
          </w:tcPr>
          <w:p w14:paraId="353F88EB" w14:textId="77777777" w:rsidR="00FA6971" w:rsidRPr="00023DF8" w:rsidRDefault="00EF4B63" w:rsidP="00EF4B63">
            <w:pPr>
              <w:widowControl w:val="0"/>
              <w:autoSpaceDE w:val="0"/>
              <w:autoSpaceDN w:val="0"/>
              <w:adjustRightInd w:val="0"/>
              <w:ind w:right="-198"/>
              <w:rPr>
                <w:rFonts w:ascii="Arial" w:hAnsi="Arial" w:cs="Arial"/>
                <w:color w:val="000000" w:themeColor="text1"/>
                <w:sz w:val="16"/>
                <w:szCs w:val="16"/>
                <w:lang w:val="es-ES"/>
              </w:rPr>
            </w:pPr>
            <w:r w:rsidRPr="00023DF8">
              <w:rPr>
                <w:rFonts w:ascii="Arial" w:hAnsi="Arial" w:cs="Arial"/>
                <w:sz w:val="16"/>
                <w:szCs w:val="16"/>
                <w:lang w:val="es-ES"/>
              </w:rPr>
              <w:t>1,3-1,8 mg/m</w:t>
            </w:r>
            <w:r w:rsidRPr="00023DF8">
              <w:rPr>
                <w:rFonts w:ascii="Arial" w:hAnsi="Arial" w:cs="Arial"/>
                <w:sz w:val="16"/>
                <w:szCs w:val="16"/>
                <w:vertAlign w:val="superscript"/>
                <w:lang w:val="es-ES"/>
              </w:rPr>
              <w:t>2</w:t>
            </w:r>
            <w:r w:rsidRPr="00023DF8">
              <w:rPr>
                <w:rFonts w:ascii="Arial" w:hAnsi="Arial" w:cs="Arial"/>
                <w:sz w:val="16"/>
                <w:szCs w:val="16"/>
                <w:lang w:val="es-ES"/>
              </w:rPr>
              <w:t xml:space="preserve"> en el ciclo 1, luego 1,0-</w:t>
            </w:r>
            <w:r w:rsidRPr="00023DF8">
              <w:rPr>
                <w:rFonts w:ascii="Arial" w:hAnsi="Arial" w:cs="Arial"/>
                <w:sz w:val="16"/>
                <w:szCs w:val="16"/>
                <w:lang w:val="es-ES"/>
              </w:rPr>
              <w:lastRenderedPageBreak/>
              <w:t>1,3 mg/m</w:t>
            </w:r>
            <w:r w:rsidRPr="00023DF8">
              <w:rPr>
                <w:rFonts w:ascii="Arial" w:hAnsi="Arial" w:cs="Arial"/>
                <w:sz w:val="16"/>
                <w:szCs w:val="16"/>
                <w:vertAlign w:val="superscript"/>
                <w:lang w:val="es-ES"/>
              </w:rPr>
              <w:t>2</w:t>
            </w:r>
            <w:r w:rsidRPr="00023DF8">
              <w:rPr>
                <w:rFonts w:ascii="Arial" w:hAnsi="Arial" w:cs="Arial"/>
                <w:sz w:val="16"/>
                <w:szCs w:val="16"/>
                <w:lang w:val="es-ES"/>
              </w:rPr>
              <w:t xml:space="preserve"> para ciclos 2 a 4</w:t>
            </w:r>
          </w:p>
        </w:tc>
        <w:tc>
          <w:tcPr>
            <w:tcW w:w="1134" w:type="dxa"/>
            <w:tcBorders>
              <w:top w:val="nil"/>
              <w:bottom w:val="nil"/>
            </w:tcBorders>
            <w:shd w:val="clear" w:color="auto" w:fill="F3F3F3"/>
          </w:tcPr>
          <w:p w14:paraId="61747217"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lastRenderedPageBreak/>
              <w:t>59%</w:t>
            </w:r>
          </w:p>
        </w:tc>
        <w:tc>
          <w:tcPr>
            <w:tcW w:w="993" w:type="dxa"/>
            <w:tcBorders>
              <w:top w:val="nil"/>
              <w:bottom w:val="nil"/>
            </w:tcBorders>
            <w:shd w:val="clear" w:color="auto" w:fill="F3F3F3"/>
          </w:tcPr>
          <w:p w14:paraId="4B49CA93" w14:textId="77777777" w:rsidR="00FA6971" w:rsidRPr="00772651" w:rsidRDefault="00691A60"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82</w:t>
            </w:r>
            <w:r w:rsidR="00EF4B63">
              <w:rPr>
                <w:rFonts w:ascii="Arial" w:hAnsi="Arial" w:cs="Arial"/>
                <w:color w:val="000000" w:themeColor="text1"/>
                <w:sz w:val="18"/>
                <w:szCs w:val="18"/>
                <w:lang w:val="es-ES"/>
              </w:rPr>
              <w:t>%</w:t>
            </w:r>
          </w:p>
        </w:tc>
        <w:tc>
          <w:tcPr>
            <w:tcW w:w="1331" w:type="dxa"/>
            <w:tcBorders>
              <w:top w:val="nil"/>
              <w:bottom w:val="nil"/>
            </w:tcBorders>
            <w:shd w:val="clear" w:color="auto" w:fill="F3F3F3"/>
          </w:tcPr>
          <w:p w14:paraId="68ED4AA8"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11</w:t>
            </w:r>
          </w:p>
        </w:tc>
      </w:tr>
      <w:tr w:rsidR="00EF4B63" w14:paraId="480F0D04" w14:textId="77777777" w:rsidTr="003B29C3">
        <w:tc>
          <w:tcPr>
            <w:tcW w:w="1951" w:type="dxa"/>
            <w:tcBorders>
              <w:top w:val="nil"/>
              <w:bottom w:val="single" w:sz="4" w:space="0" w:color="auto"/>
            </w:tcBorders>
            <w:shd w:val="clear" w:color="auto" w:fill="FFFFFF"/>
          </w:tcPr>
          <w:p w14:paraId="694011BA" w14:textId="77777777" w:rsidR="00FA6971" w:rsidRPr="00023DF8" w:rsidRDefault="00FA6971" w:rsidP="00430A6B">
            <w:pPr>
              <w:widowControl w:val="0"/>
              <w:autoSpaceDE w:val="0"/>
              <w:autoSpaceDN w:val="0"/>
              <w:adjustRightInd w:val="0"/>
              <w:jc w:val="both"/>
              <w:rPr>
                <w:rFonts w:ascii="Arial" w:hAnsi="Arial" w:cs="Arial"/>
                <w:color w:val="000000" w:themeColor="text1"/>
                <w:sz w:val="16"/>
                <w:szCs w:val="16"/>
                <w:lang w:val="es-ES"/>
              </w:rPr>
            </w:pPr>
            <w:r w:rsidRPr="00023DF8">
              <w:rPr>
                <w:rFonts w:ascii="Arial" w:hAnsi="Arial" w:cs="Arial"/>
                <w:color w:val="000000" w:themeColor="text1"/>
                <w:sz w:val="16"/>
                <w:szCs w:val="16"/>
                <w:lang w:val="es-ES"/>
              </w:rPr>
              <w:lastRenderedPageBreak/>
              <w:t>INO + Mini-HyperCVD. Primera línea en pacientes mayores</w:t>
            </w:r>
            <w:r w:rsidR="00415C49">
              <w:rPr>
                <w:rFonts w:ascii="Arial" w:hAnsi="Arial" w:cs="Arial"/>
                <w:color w:val="000000" w:themeColor="text1"/>
                <w:sz w:val="16"/>
                <w:szCs w:val="16"/>
                <w:lang w:val="es-ES"/>
              </w:rPr>
              <w:fldChar w:fldCharType="begin" w:fldLock="1"/>
            </w:r>
            <w:r w:rsidR="00AB2A28">
              <w:rPr>
                <w:rFonts w:ascii="Arial" w:hAnsi="Arial" w:cs="Arial"/>
                <w:color w:val="000000" w:themeColor="text1"/>
                <w:sz w:val="16"/>
                <w:szCs w:val="16"/>
                <w:lang w:val="es-ES"/>
              </w:rPr>
              <w:instrText>ADDIN CSL_CITATION {"citationItems":[{"id":"ITEM-1","itemData":{"DOI":"10.1016/S1470-2045(18)30011-1","ISSN":"1474-5488","PMID":"29352703","abstract":"BACKGROUND Inotuzumab ozogamicin, an anti-CD22 monoclonal antibody bound to a toxin, calicheamicin, has shown single-agent activity in relapsed or refractory acute lymphoblastic leukaemia. We aimed to assess the activity and safety of inotuzumab ozogamicin in combination with low-intensity chemotherapy in older patients with acute lymphoblastic leukaemia. METHODS We did a single-arm, phase 2 study at the MD Anderson Cancer Center (Houston, TX, USA). Eligible patients were aged 60 years or older and had newly diagnosed, Philadelphia chromosome-negative, acute lymphoblastic leukaemia, and an Eastern Cooperative Oncology Group performance status of 3 or lower. The induction chemotherapy regimen used was mini-hyper-CVD (a lower intensity version of the conventional hyper-CVAD). Odd-numbered cycles (1,3, 5, and 7) comprised intravenous cyclophosphamide (150 mg/m2 every 12 h on days 1-3) and oral or intravenous dexamethasone (20 mg per day on days 1-4 and days 11-14); no anthracycline was administered. Intravenous vincristine (2 mg flat dose) was given on days 1 and 8. Even-numbered cycles comprised intravenous methotrexate (250 mg/m2 on day 1) and intravenous cytarabine (0·5 g/m2 given every 12 h on days 2 and 3). Intravenous inotuzumab ozogamicin was given on day 3 of the first four cycles at the dose of 1·3-1·8 mg/m2 at cycle 1, followed by 1·0 -1·3 mg/m2 in subsequent cycles. Maintenance therapy with dose-reduced POMP (purinethol [6-mercaptopurine], oncovin [vincristine sulfate], methotrexate, and prednisone) was given for 3 years. The primary endpoint of this study was progression-free survival at 2 years. Analyses were by intention to treat. The study is ongoing, recruiting patients for an approved expansion phase with a modified treatment plan by protocol amendment. The trial is registered with ClinicalTrials.gov, number NCT01371630. FINDINGS Between Nov 12, 2011, and April 22, 2017, 52 patients with a median age of 68 years (IQR 64-72) were enrolled. With a median follow-up of 29 months (IQR 13-48), 2-year progression-free survival was 59% (95% CI 43-72). The most frequent grade 3-4 adverse events were prolonged thrombocytopenia (42 [81%] patients), infections during induction (27 [52%]) and consolidation chemotherapy (36 [69%]), hyperglycaemia (28 [54%]), hypokalaemia (16 [31%]), increased aminotransferases (ten [19%]), hyperbilirubinaemia (nine [17%]), and haemorrhage (seven [15%]). Veno-occlusive disease occurred in four (8%) patients. Six (12%) pa…","author":[{"dropping-particle":"","family":"Kantarjian","given":"Hagop","non-dropping-particle":"","parse-names":false,"suffix":""},{"dropping-particle":"","family":"Ravandi","given":"Farhad","non-dropping-particle":"","parse-names":false,"suffix":""},{"dropping-particle":"","family":"Short","given":"Nicholas J.","non-dropping-particle":"","parse-names":false,"suffix":""},{"dropping-particle":"","family":"Huang","given":"Xuelin","non-dropping-particle":"","parse-names":false,"suffix":""},{"dropping-particle":"","family":"Jain","given":"Nitin","non-dropping-particle":"","parse-names":false,"suffix":""},{"dropping-particle":"","family":"Sasaki","given":"Koji","non-dropping-particle":"","parse-names":false,"suffix":""},{"dropping-particle":"","family":"Daver","given":"Naval","non-dropping-particle":"","parse-names":false,"suffix":""},{"dropping-particle":"","family":"Pemmaraju","given":"Naveen","non-dropping-particle":"","parse-names":false,"suffix":""},{"dropping-particle":"","family":"Khoury","given":"Joseph D.","non-dropping-particle":"","parse-names":false,"suffix":""},{"dropping-particle":"","family":"Jorgensen","given":"Jeffrey","non-dropping-particle":"","parse-names":false,"suffix":""},{"dropping-particle":"","family":"Alvarado","given":"Yesid","non-dropping-particle":"","parse-names":false,"suffix":""},{"dropping-particle":"","family":"Konopleva","given":"Marina","non-dropping-particle":"","parse-names":false,"suffix":""},{"dropping-particle":"","family":"Garcia-Manero","given":"Guillermo","non-dropping-particle":"","parse-names":false,"suffix":""},{"dropping-particle":"","family":"Kadia","given":"Tapan","non-dropping-particle":"","parse-names":false,"suffix":""},{"dropping-particle":"","family":"Yilmaz","given":"Musa","non-dropping-particle":"","parse-names":false,"suffix":""},{"dropping-particle":"","family":"Bortakhur","given":"Gautam","non-dropping-particle":"","parse-names":false,"suffix":""},{"dropping-particle":"","family":"Burger","given":"Jan","non-dropping-particle":"","parse-names":false,"suffix":""},{"dropping-particle":"","family":"Kornblau","given":"Steven","non-dropping-particle":"","parse-names":false,"suffix":""},{"dropping-particle":"","family":"Wierda","given":"William","non-dropping-particle":"","parse-names":false,"suffix":""},{"dropping-particle":"","family":"DiNardo","given":"Courtney","non-dropping-particle":"","parse-names":false,"suffix":""},{"dropping-particle":"","family":"Ferrajoli","given":"Alessandra","non-dropping-particle":"","parse-names":false,"suffix":""},{"dropping-particle":"","family":"Jacob","given":"Jovitta","non-dropping-particle":"","parse-names":false,"suffix":""},{"dropping-particle":"","family":"Garris","given":"Rebecca","non-dropping-particle":"","parse-names":false,"suffix":""},{"dropping-particle":"","family":"O'Brien","given":"Susan","non-dropping-particle":"","parse-names":false,"suffix":""},{"dropping-particle":"","family":"Jabbour","given":"Elias","non-dropping-particle":"","parse-names":false,"suffix":""}],"container-title":"The Lancet. Oncology","id":"ITEM-1","issue":"2","issued":{"date-parts":[["2018"]]},"page":"240-248","publisher":"Elsevier Ltd","title":"Inotuzumab ozogamicin in combination with low-intensity chemotherapy for older patients with Philadelphia chromosome-negative acute lymphoblastic leukaemia: a single-arm, phase 2 study.","type":"article-journal","volume":"19"},"uris":["http://www.mendeley.com/documents/?uuid=e189c4cd-6b00-4f23-8433-96e0cc4dfa79"]}],"mendeley":{"formattedCitation":"(66)","plainTextFormattedCitation":"(66)","previouslyFormattedCitation":"(66)"},"properties":{"noteIndex":0},"schema":"https://github.com/citation-style-language/schema/raw/master/csl-citation.json"}</w:instrText>
            </w:r>
            <w:r w:rsidR="00415C49">
              <w:rPr>
                <w:rFonts w:ascii="Arial" w:hAnsi="Arial" w:cs="Arial"/>
                <w:color w:val="000000" w:themeColor="text1"/>
                <w:sz w:val="16"/>
                <w:szCs w:val="16"/>
                <w:lang w:val="es-ES"/>
              </w:rPr>
              <w:fldChar w:fldCharType="separate"/>
            </w:r>
            <w:r w:rsidR="007D1ABA" w:rsidRPr="007D1ABA">
              <w:rPr>
                <w:rFonts w:ascii="Arial" w:hAnsi="Arial" w:cs="Arial"/>
                <w:noProof/>
                <w:color w:val="000000" w:themeColor="text1"/>
                <w:sz w:val="16"/>
                <w:szCs w:val="16"/>
                <w:lang w:val="es-ES"/>
              </w:rPr>
              <w:t>(66)</w:t>
            </w:r>
            <w:r w:rsidR="00415C49">
              <w:rPr>
                <w:rFonts w:ascii="Arial" w:hAnsi="Arial" w:cs="Arial"/>
                <w:color w:val="000000" w:themeColor="text1"/>
                <w:sz w:val="16"/>
                <w:szCs w:val="16"/>
                <w:lang w:val="es-ES"/>
              </w:rPr>
              <w:fldChar w:fldCharType="end"/>
            </w:r>
          </w:p>
        </w:tc>
        <w:tc>
          <w:tcPr>
            <w:tcW w:w="992" w:type="dxa"/>
            <w:tcBorders>
              <w:top w:val="nil"/>
              <w:bottom w:val="single" w:sz="4" w:space="0" w:color="auto"/>
            </w:tcBorders>
            <w:shd w:val="clear" w:color="auto" w:fill="FFFFFF"/>
          </w:tcPr>
          <w:p w14:paraId="59F4FFE2"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52</w:t>
            </w:r>
          </w:p>
        </w:tc>
        <w:tc>
          <w:tcPr>
            <w:tcW w:w="2835" w:type="dxa"/>
            <w:tcBorders>
              <w:top w:val="nil"/>
              <w:bottom w:val="single" w:sz="4" w:space="0" w:color="auto"/>
            </w:tcBorders>
            <w:shd w:val="clear" w:color="auto" w:fill="FFFFFF"/>
          </w:tcPr>
          <w:p w14:paraId="27096FD9" w14:textId="77777777" w:rsidR="00EF4B63" w:rsidRPr="00023DF8" w:rsidRDefault="00EF4B63" w:rsidP="00EF4B63">
            <w:pPr>
              <w:widowControl w:val="0"/>
              <w:autoSpaceDE w:val="0"/>
              <w:autoSpaceDN w:val="0"/>
              <w:adjustRightInd w:val="0"/>
              <w:ind w:right="-198"/>
              <w:rPr>
                <w:rFonts w:ascii="Arial" w:hAnsi="Arial" w:cs="Arial"/>
                <w:sz w:val="16"/>
                <w:szCs w:val="16"/>
                <w:lang w:val="es-ES"/>
              </w:rPr>
            </w:pPr>
            <w:r w:rsidRPr="00023DF8">
              <w:rPr>
                <w:rFonts w:ascii="Arial" w:hAnsi="Arial" w:cs="Arial"/>
                <w:sz w:val="16"/>
                <w:szCs w:val="16"/>
                <w:lang w:val="es-ES"/>
              </w:rPr>
              <w:t>1,3-1,8 mg/m</w:t>
            </w:r>
            <w:r w:rsidRPr="00023DF8">
              <w:rPr>
                <w:rFonts w:ascii="Arial" w:hAnsi="Arial" w:cs="Arial"/>
                <w:sz w:val="16"/>
                <w:szCs w:val="16"/>
                <w:vertAlign w:val="superscript"/>
                <w:lang w:val="es-ES"/>
              </w:rPr>
              <w:t>2</w:t>
            </w:r>
            <w:r w:rsidRPr="00023DF8">
              <w:rPr>
                <w:rFonts w:ascii="Arial" w:hAnsi="Arial" w:cs="Arial"/>
                <w:sz w:val="16"/>
                <w:szCs w:val="16"/>
                <w:lang w:val="es-ES"/>
              </w:rPr>
              <w:t xml:space="preserve"> en el ciclo 1, luego 1,0-1,3 mg/m</w:t>
            </w:r>
            <w:r w:rsidRPr="00023DF8">
              <w:rPr>
                <w:rFonts w:ascii="Arial" w:hAnsi="Arial" w:cs="Arial"/>
                <w:sz w:val="16"/>
                <w:szCs w:val="16"/>
                <w:vertAlign w:val="superscript"/>
                <w:lang w:val="es-ES"/>
              </w:rPr>
              <w:t>2</w:t>
            </w:r>
            <w:r w:rsidRPr="00023DF8">
              <w:rPr>
                <w:rFonts w:ascii="Arial" w:hAnsi="Arial" w:cs="Arial"/>
                <w:sz w:val="16"/>
                <w:szCs w:val="16"/>
                <w:lang w:val="es-ES"/>
              </w:rPr>
              <w:t xml:space="preserve"> para ciclos 2 a 4</w:t>
            </w:r>
          </w:p>
          <w:p w14:paraId="30149D24" w14:textId="77777777" w:rsidR="00FA6971" w:rsidRPr="00023DF8" w:rsidRDefault="00FA6971" w:rsidP="00430A6B">
            <w:pPr>
              <w:widowControl w:val="0"/>
              <w:autoSpaceDE w:val="0"/>
              <w:autoSpaceDN w:val="0"/>
              <w:adjustRightInd w:val="0"/>
              <w:jc w:val="both"/>
              <w:rPr>
                <w:rFonts w:ascii="Arial" w:hAnsi="Arial" w:cs="Arial"/>
                <w:color w:val="000000" w:themeColor="text1"/>
                <w:sz w:val="16"/>
                <w:szCs w:val="16"/>
                <w:lang w:val="es-ES"/>
              </w:rPr>
            </w:pPr>
          </w:p>
        </w:tc>
        <w:tc>
          <w:tcPr>
            <w:tcW w:w="1134" w:type="dxa"/>
            <w:tcBorders>
              <w:top w:val="nil"/>
              <w:bottom w:val="single" w:sz="4" w:space="0" w:color="auto"/>
            </w:tcBorders>
            <w:shd w:val="clear" w:color="auto" w:fill="FFFFFF"/>
          </w:tcPr>
          <w:p w14:paraId="21DD4898"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80%</w:t>
            </w:r>
          </w:p>
        </w:tc>
        <w:tc>
          <w:tcPr>
            <w:tcW w:w="993" w:type="dxa"/>
            <w:tcBorders>
              <w:top w:val="nil"/>
              <w:bottom w:val="single" w:sz="4" w:space="0" w:color="auto"/>
            </w:tcBorders>
            <w:shd w:val="clear" w:color="auto" w:fill="FFFFFF"/>
          </w:tcPr>
          <w:p w14:paraId="4136B2E1" w14:textId="77777777" w:rsidR="00FA6971" w:rsidRPr="00772651" w:rsidRDefault="00EF4B63"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96%</w:t>
            </w:r>
          </w:p>
        </w:tc>
        <w:tc>
          <w:tcPr>
            <w:tcW w:w="1331" w:type="dxa"/>
            <w:tcBorders>
              <w:top w:val="nil"/>
              <w:bottom w:val="single" w:sz="4" w:space="0" w:color="auto"/>
            </w:tcBorders>
            <w:shd w:val="clear" w:color="auto" w:fill="FFFFFF"/>
          </w:tcPr>
          <w:p w14:paraId="6A793C66" w14:textId="77777777" w:rsidR="00FA6971" w:rsidRPr="00772651" w:rsidRDefault="003309EF" w:rsidP="00EF4B63">
            <w:pPr>
              <w:widowControl w:val="0"/>
              <w:autoSpaceDE w:val="0"/>
              <w:autoSpaceDN w:val="0"/>
              <w:adjustRightInd w:val="0"/>
              <w:jc w:val="center"/>
              <w:rPr>
                <w:rFonts w:ascii="Arial" w:hAnsi="Arial" w:cs="Arial"/>
                <w:color w:val="000000" w:themeColor="text1"/>
                <w:sz w:val="18"/>
                <w:szCs w:val="18"/>
                <w:lang w:val="es-ES"/>
              </w:rPr>
            </w:pPr>
            <w:r>
              <w:rPr>
                <w:rFonts w:ascii="Arial" w:hAnsi="Arial" w:cs="Arial"/>
                <w:color w:val="000000" w:themeColor="text1"/>
                <w:sz w:val="18"/>
                <w:szCs w:val="18"/>
                <w:lang w:val="es-ES"/>
              </w:rPr>
              <w:t xml:space="preserve">Mediana </w:t>
            </w:r>
            <w:r w:rsidR="00EF4B63">
              <w:rPr>
                <w:rFonts w:ascii="Arial" w:hAnsi="Arial" w:cs="Arial"/>
                <w:color w:val="000000" w:themeColor="text1"/>
                <w:sz w:val="18"/>
                <w:szCs w:val="18"/>
                <w:lang w:val="es-ES"/>
              </w:rPr>
              <w:t>No alcanzada</w:t>
            </w:r>
            <w:r>
              <w:rPr>
                <w:rFonts w:ascii="Arial" w:hAnsi="Arial" w:cs="Arial"/>
                <w:color w:val="000000" w:themeColor="text1"/>
                <w:sz w:val="18"/>
                <w:szCs w:val="18"/>
                <w:lang w:val="es-ES"/>
              </w:rPr>
              <w:t xml:space="preserve"> a 29 meses</w:t>
            </w:r>
          </w:p>
        </w:tc>
      </w:tr>
    </w:tbl>
    <w:p w14:paraId="047324E1" w14:textId="77777777" w:rsidR="00FA6971" w:rsidRDefault="00FA6971" w:rsidP="00430A6B">
      <w:pPr>
        <w:widowControl w:val="0"/>
        <w:autoSpaceDE w:val="0"/>
        <w:autoSpaceDN w:val="0"/>
        <w:adjustRightInd w:val="0"/>
        <w:spacing w:after="0"/>
        <w:jc w:val="both"/>
        <w:rPr>
          <w:rFonts w:ascii="Arial" w:hAnsi="Arial" w:cs="Arial"/>
          <w:color w:val="000000" w:themeColor="text1"/>
          <w:sz w:val="20"/>
          <w:szCs w:val="20"/>
          <w:lang w:val="es-ES"/>
        </w:rPr>
      </w:pPr>
    </w:p>
    <w:p w14:paraId="505A77B8" w14:textId="77777777" w:rsidR="00764944" w:rsidRDefault="00764944" w:rsidP="00764944">
      <w:pPr>
        <w:widowControl w:val="0"/>
        <w:autoSpaceDE w:val="0"/>
        <w:autoSpaceDN w:val="0"/>
        <w:adjustRightInd w:val="0"/>
        <w:spacing w:after="0" w:line="276" w:lineRule="auto"/>
        <w:jc w:val="both"/>
        <w:rPr>
          <w:rFonts w:ascii="Arial" w:hAnsi="Arial" w:cs="Arial"/>
          <w:color w:val="000000" w:themeColor="text1"/>
          <w:sz w:val="20"/>
          <w:szCs w:val="20"/>
          <w:lang w:val="es-ES"/>
        </w:rPr>
      </w:pPr>
    </w:p>
    <w:p w14:paraId="39AFBF96" w14:textId="77777777" w:rsidR="00DA6DB4" w:rsidRDefault="00764944" w:rsidP="001E4F12">
      <w:pPr>
        <w:widowControl w:val="0"/>
        <w:autoSpaceDE w:val="0"/>
        <w:autoSpaceDN w:val="0"/>
        <w:adjustRightInd w:val="0"/>
        <w:spacing w:after="0" w:line="276" w:lineRule="auto"/>
        <w:jc w:val="both"/>
        <w:rPr>
          <w:rFonts w:ascii="Arial" w:hAnsi="Arial" w:cs="Arial"/>
          <w:color w:val="000000" w:themeColor="text1"/>
          <w:sz w:val="20"/>
          <w:szCs w:val="20"/>
          <w:lang w:val="es-ES"/>
        </w:rPr>
      </w:pPr>
      <w:r>
        <w:rPr>
          <w:rFonts w:ascii="Arial" w:hAnsi="Arial" w:cs="Arial"/>
          <w:color w:val="000000" w:themeColor="text1"/>
          <w:sz w:val="20"/>
          <w:szCs w:val="20"/>
          <w:lang w:val="es-ES"/>
        </w:rPr>
        <w:t xml:space="preserve">La terapia celular </w:t>
      </w:r>
      <w:r w:rsidR="00A97097">
        <w:rPr>
          <w:rFonts w:ascii="Arial" w:hAnsi="Arial" w:cs="Arial"/>
          <w:color w:val="000000" w:themeColor="text1"/>
          <w:sz w:val="20"/>
          <w:szCs w:val="20"/>
          <w:lang w:val="es-ES"/>
        </w:rPr>
        <w:t xml:space="preserve">es otro esquema terapéutico que </w:t>
      </w:r>
      <w:r>
        <w:rPr>
          <w:rFonts w:ascii="Arial" w:hAnsi="Arial" w:cs="Arial"/>
          <w:color w:val="000000" w:themeColor="text1"/>
          <w:sz w:val="20"/>
          <w:szCs w:val="20"/>
          <w:lang w:val="es-ES"/>
        </w:rPr>
        <w:t>ha tomado fuerza en los últimos años. Las células T modificadas con receptor antígeno quimérico (CAR T-Cells: Chimericantigen receptor –</w:t>
      </w:r>
      <w:r w:rsidR="00A97097">
        <w:rPr>
          <w:rFonts w:ascii="Arial" w:hAnsi="Arial" w:cs="Arial"/>
          <w:color w:val="000000" w:themeColor="text1"/>
          <w:sz w:val="20"/>
          <w:szCs w:val="20"/>
          <w:lang w:val="es-ES"/>
        </w:rPr>
        <w:t>modified T cells</w:t>
      </w:r>
      <w:r w:rsidR="00494118">
        <w:rPr>
          <w:rFonts w:ascii="Arial" w:hAnsi="Arial" w:cs="Arial"/>
          <w:color w:val="000000" w:themeColor="text1"/>
          <w:sz w:val="20"/>
          <w:szCs w:val="20"/>
          <w:lang w:val="es-ES"/>
        </w:rPr>
        <w:t xml:space="preserve"> – </w:t>
      </w:r>
      <w:r w:rsidR="00DD4537">
        <w:rPr>
          <w:rFonts w:ascii="Arial" w:hAnsi="Arial" w:cs="Arial"/>
          <w:color w:val="000000" w:themeColor="text1"/>
          <w:sz w:val="20"/>
          <w:szCs w:val="20"/>
          <w:lang w:val="es-ES"/>
        </w:rPr>
        <w:t>molécula</w:t>
      </w:r>
      <w:r w:rsidR="00EC149A">
        <w:rPr>
          <w:rFonts w:ascii="Arial" w:hAnsi="Arial" w:cs="Arial"/>
          <w:color w:val="000000" w:themeColor="text1"/>
          <w:sz w:val="20"/>
          <w:szCs w:val="20"/>
          <w:lang w:val="es-ES"/>
        </w:rPr>
        <w:t xml:space="preserve"> actualmente</w:t>
      </w:r>
      <w:r w:rsidR="00494118">
        <w:rPr>
          <w:rFonts w:ascii="Arial" w:hAnsi="Arial" w:cs="Arial"/>
          <w:color w:val="000000" w:themeColor="text1"/>
          <w:sz w:val="20"/>
          <w:szCs w:val="20"/>
          <w:lang w:val="es-ES"/>
        </w:rPr>
        <w:t xml:space="preserve"> no aprobad</w:t>
      </w:r>
      <w:r w:rsidR="00EC149A">
        <w:rPr>
          <w:rFonts w:ascii="Arial" w:hAnsi="Arial" w:cs="Arial"/>
          <w:color w:val="000000" w:themeColor="text1"/>
          <w:sz w:val="20"/>
          <w:szCs w:val="20"/>
          <w:lang w:val="es-ES"/>
        </w:rPr>
        <w:t>a</w:t>
      </w:r>
      <w:r w:rsidR="00494118">
        <w:rPr>
          <w:rFonts w:ascii="Arial" w:hAnsi="Arial" w:cs="Arial"/>
          <w:color w:val="000000" w:themeColor="text1"/>
          <w:sz w:val="20"/>
          <w:szCs w:val="20"/>
          <w:lang w:val="es-ES"/>
        </w:rPr>
        <w:t xml:space="preserve"> en Colombia -</w:t>
      </w:r>
      <w:r w:rsidR="00A97097">
        <w:rPr>
          <w:rFonts w:ascii="Arial" w:hAnsi="Arial" w:cs="Arial"/>
          <w:color w:val="000000" w:themeColor="text1"/>
          <w:sz w:val="20"/>
          <w:szCs w:val="20"/>
          <w:lang w:val="es-ES"/>
        </w:rPr>
        <w:t xml:space="preserve">) </w:t>
      </w:r>
      <w:r>
        <w:rPr>
          <w:rFonts w:ascii="Arial" w:hAnsi="Arial" w:cs="Arial"/>
          <w:color w:val="000000" w:themeColor="text1"/>
          <w:sz w:val="20"/>
          <w:szCs w:val="20"/>
          <w:lang w:val="es-ES"/>
        </w:rPr>
        <w:t xml:space="preserve">son células T modificadas mediante ingeniería genética para expresar un dominio </w:t>
      </w:r>
      <w:r w:rsidR="00A97097">
        <w:rPr>
          <w:rFonts w:ascii="Arial" w:hAnsi="Arial" w:cs="Arial"/>
          <w:color w:val="000000" w:themeColor="text1"/>
          <w:sz w:val="20"/>
          <w:szCs w:val="20"/>
          <w:lang w:val="es-ES"/>
        </w:rPr>
        <w:t>de inmunoglobulina para</w:t>
      </w:r>
      <w:r>
        <w:rPr>
          <w:rFonts w:ascii="Arial" w:hAnsi="Arial" w:cs="Arial"/>
          <w:color w:val="000000" w:themeColor="text1"/>
          <w:sz w:val="20"/>
          <w:szCs w:val="20"/>
          <w:lang w:val="es-ES"/>
        </w:rPr>
        <w:t xml:space="preserve"> unión a un antígeno</w:t>
      </w:r>
      <w:r w:rsidR="00A97097">
        <w:rPr>
          <w:rFonts w:ascii="Arial" w:hAnsi="Arial" w:cs="Arial"/>
          <w:color w:val="000000" w:themeColor="text1"/>
          <w:sz w:val="20"/>
          <w:szCs w:val="20"/>
          <w:lang w:val="es-ES"/>
        </w:rPr>
        <w:t>,ligado</w:t>
      </w:r>
      <w:r>
        <w:rPr>
          <w:rFonts w:ascii="Arial" w:hAnsi="Arial" w:cs="Arial"/>
          <w:color w:val="000000" w:themeColor="text1"/>
          <w:sz w:val="20"/>
          <w:szCs w:val="20"/>
          <w:lang w:val="es-ES"/>
        </w:rPr>
        <w:t xml:space="preserve"> a un dominio transmembrana con capacidad de señalización intracelular en la célula T. Esto permite a </w:t>
      </w:r>
      <w:r w:rsidR="00A97097">
        <w:rPr>
          <w:rFonts w:ascii="Arial" w:hAnsi="Arial" w:cs="Arial"/>
          <w:color w:val="000000" w:themeColor="text1"/>
          <w:sz w:val="20"/>
          <w:szCs w:val="20"/>
          <w:lang w:val="es-ES"/>
        </w:rPr>
        <w:t>estas reconocer los antígeno</w:t>
      </w:r>
      <w:r>
        <w:rPr>
          <w:rFonts w:ascii="Arial" w:hAnsi="Arial" w:cs="Arial"/>
          <w:color w:val="000000" w:themeColor="text1"/>
          <w:sz w:val="20"/>
          <w:szCs w:val="20"/>
          <w:lang w:val="es-ES"/>
        </w:rPr>
        <w:t xml:space="preserve">s y activar el complejo mayor de histocompatibilidad de una forma independiente. Las CAR-T de primera generación contienen una señalización intracelular derivada solo del complejo de receptor de célula T-CD3. Por otra parte, las CAR-T de segunda generación, incluyen factores co-estimulatorias en los constructos genéticos del receptor antígeno </w:t>
      </w:r>
      <w:r w:rsidR="00E50297">
        <w:rPr>
          <w:rFonts w:ascii="Arial" w:hAnsi="Arial" w:cs="Arial"/>
          <w:color w:val="000000" w:themeColor="text1"/>
          <w:sz w:val="20"/>
          <w:szCs w:val="20"/>
          <w:lang w:val="es-ES"/>
        </w:rPr>
        <w:t xml:space="preserve">quimérico. Más recientemente una cuarta generación de CAR-T han sido diseñadas para incluir la expresión de cassette de citoquinas. </w:t>
      </w:r>
    </w:p>
    <w:p w14:paraId="2655ACFE" w14:textId="77777777" w:rsidR="00DA6DB4" w:rsidRDefault="00DA6DB4" w:rsidP="001E4F12">
      <w:pPr>
        <w:widowControl w:val="0"/>
        <w:autoSpaceDE w:val="0"/>
        <w:autoSpaceDN w:val="0"/>
        <w:adjustRightInd w:val="0"/>
        <w:spacing w:after="0" w:line="276" w:lineRule="auto"/>
        <w:jc w:val="both"/>
        <w:rPr>
          <w:rFonts w:ascii="Arial" w:hAnsi="Arial" w:cs="Arial"/>
          <w:color w:val="000000" w:themeColor="text1"/>
          <w:sz w:val="20"/>
          <w:szCs w:val="20"/>
          <w:lang w:val="es-ES"/>
        </w:rPr>
      </w:pPr>
    </w:p>
    <w:p w14:paraId="3FDA5B66" w14:textId="5169F6D0" w:rsidR="001E4F12" w:rsidRDefault="00E50297" w:rsidP="001E4F12">
      <w:pPr>
        <w:widowControl w:val="0"/>
        <w:autoSpaceDE w:val="0"/>
        <w:autoSpaceDN w:val="0"/>
        <w:adjustRightInd w:val="0"/>
        <w:spacing w:after="0" w:line="276" w:lineRule="auto"/>
        <w:jc w:val="both"/>
        <w:rPr>
          <w:rFonts w:ascii="Arial" w:hAnsi="Arial" w:cs="Arial"/>
          <w:color w:val="000000" w:themeColor="text1"/>
          <w:sz w:val="20"/>
          <w:szCs w:val="20"/>
          <w:lang w:val="es-ES"/>
        </w:rPr>
      </w:pPr>
      <w:r>
        <w:rPr>
          <w:rFonts w:ascii="Arial" w:hAnsi="Arial" w:cs="Arial"/>
          <w:color w:val="000000" w:themeColor="text1"/>
          <w:sz w:val="20"/>
          <w:szCs w:val="20"/>
          <w:lang w:val="es-ES"/>
        </w:rPr>
        <w:t>El procesamiento de las CAR-T requiere de colectar las células T del paciente, introducir el constructo de</w:t>
      </w:r>
      <w:r w:rsidR="00A97097">
        <w:rPr>
          <w:rFonts w:ascii="Arial" w:hAnsi="Arial" w:cs="Arial"/>
          <w:color w:val="000000" w:themeColor="text1"/>
          <w:sz w:val="20"/>
          <w:szCs w:val="20"/>
          <w:lang w:val="es-ES"/>
        </w:rPr>
        <w:t>l</w:t>
      </w:r>
      <w:r>
        <w:rPr>
          <w:rFonts w:ascii="Arial" w:hAnsi="Arial" w:cs="Arial"/>
          <w:color w:val="000000" w:themeColor="text1"/>
          <w:sz w:val="20"/>
          <w:szCs w:val="20"/>
          <w:lang w:val="es-ES"/>
        </w:rPr>
        <w:t xml:space="preserve"> receptor de antígeno quimérico y luego retornar las células al propio paciente (trasplante </w:t>
      </w:r>
      <w:r w:rsidR="00C86459">
        <w:rPr>
          <w:rFonts w:ascii="Arial" w:hAnsi="Arial" w:cs="Arial"/>
          <w:color w:val="000000" w:themeColor="text1"/>
          <w:sz w:val="20"/>
          <w:szCs w:val="20"/>
          <w:lang w:val="es-ES"/>
        </w:rPr>
        <w:t>autólogo</w:t>
      </w:r>
      <w:r>
        <w:rPr>
          <w:rFonts w:ascii="Arial" w:hAnsi="Arial" w:cs="Arial"/>
          <w:color w:val="000000" w:themeColor="text1"/>
          <w:sz w:val="20"/>
          <w:szCs w:val="20"/>
          <w:lang w:val="es-ES"/>
        </w:rPr>
        <w:t xml:space="preserve"> de células T modificadas). Las opciones para la modificación genética incluyen vectores virales, generalmente virus RNA</w:t>
      </w:r>
      <w:r w:rsidR="00FF19CB">
        <w:rPr>
          <w:rFonts w:ascii="Arial" w:hAnsi="Arial" w:cs="Arial"/>
          <w:color w:val="000000" w:themeColor="text1"/>
          <w:sz w:val="20"/>
          <w:szCs w:val="20"/>
          <w:lang w:val="es-ES"/>
        </w:rPr>
        <w:t xml:space="preserve"> (retrovirus / lentivirus)</w:t>
      </w:r>
      <w:r>
        <w:rPr>
          <w:rFonts w:ascii="Arial" w:hAnsi="Arial" w:cs="Arial"/>
          <w:color w:val="000000" w:themeColor="text1"/>
          <w:sz w:val="20"/>
          <w:szCs w:val="20"/>
          <w:lang w:val="es-ES"/>
        </w:rPr>
        <w:t xml:space="preserve">. Usando un vector viral, se obtiene el beneficio de introducir de forma permanente la expresión génica y ofrecer una actividad anti tumoral permanente, </w:t>
      </w:r>
      <w:r w:rsidR="00C86459">
        <w:rPr>
          <w:rFonts w:ascii="Arial" w:hAnsi="Arial" w:cs="Arial"/>
          <w:color w:val="000000" w:themeColor="text1"/>
          <w:sz w:val="20"/>
          <w:szCs w:val="20"/>
          <w:lang w:val="es-ES"/>
        </w:rPr>
        <w:t>mientras persistan las células T modificadas. El target de blastos linfoides tumorales más frecuentemente utilizado en las CAR-T es el CD19. Los datos sugieren por ahora que el principal rol de las CAR-T, está en el tratamiento de la LLA recaída refractaria, como puente a trasplante alogénico para poder alcanzar remisiones duraderas. Las limitaciones incluyen la expansión de las clonas CD19 negativas de los blastos tumorales, la pérdida de persistencia de CAR-T in vivo con una sola infusión y el síndrome de liberación de citoquinas.</w:t>
      </w:r>
      <w:r w:rsidR="001E4F12">
        <w:rPr>
          <w:rFonts w:ascii="Arial" w:hAnsi="Arial" w:cs="Arial"/>
          <w:color w:val="000000" w:themeColor="text1"/>
          <w:sz w:val="20"/>
          <w:szCs w:val="20"/>
          <w:lang w:val="es-ES"/>
        </w:rPr>
        <w:t xml:space="preserve"> Las tasas de respuesta globales son del 61% aproximadamente, con respuestas </w:t>
      </w:r>
      <w:r w:rsidR="00534004">
        <w:rPr>
          <w:rFonts w:ascii="Arial" w:hAnsi="Arial" w:cs="Arial"/>
          <w:color w:val="000000" w:themeColor="text1"/>
          <w:sz w:val="20"/>
          <w:szCs w:val="20"/>
          <w:lang w:val="es-ES"/>
        </w:rPr>
        <w:t>completas</w:t>
      </w:r>
      <w:r w:rsidR="001E4F12">
        <w:rPr>
          <w:rFonts w:ascii="Arial" w:hAnsi="Arial" w:cs="Arial"/>
          <w:color w:val="000000" w:themeColor="text1"/>
          <w:sz w:val="20"/>
          <w:szCs w:val="20"/>
          <w:lang w:val="es-ES"/>
        </w:rPr>
        <w:t xml:space="preserve"> de 42% en pacientes con LLA </w:t>
      </w:r>
      <w:r w:rsidR="00534004">
        <w:rPr>
          <w:rFonts w:ascii="Arial" w:hAnsi="Arial" w:cs="Arial"/>
          <w:color w:val="000000" w:themeColor="text1"/>
          <w:sz w:val="20"/>
          <w:szCs w:val="20"/>
          <w:lang w:val="es-ES"/>
        </w:rPr>
        <w:t>recaída</w:t>
      </w:r>
      <w:r w:rsidR="001E4F12">
        <w:rPr>
          <w:rFonts w:ascii="Arial" w:hAnsi="Arial" w:cs="Arial"/>
          <w:color w:val="000000" w:themeColor="text1"/>
          <w:sz w:val="20"/>
          <w:szCs w:val="20"/>
          <w:lang w:val="es-ES"/>
        </w:rPr>
        <w:t xml:space="preserve"> / refr</w:t>
      </w:r>
      <w:r w:rsidR="000B75EB">
        <w:rPr>
          <w:rFonts w:ascii="Arial" w:hAnsi="Arial" w:cs="Arial"/>
          <w:color w:val="000000" w:themeColor="text1"/>
          <w:sz w:val="20"/>
          <w:szCs w:val="20"/>
          <w:lang w:val="es-ES"/>
        </w:rPr>
        <w:t>actaria. Los eventos adversos má</w:t>
      </w:r>
      <w:r w:rsidR="001E4F12">
        <w:rPr>
          <w:rFonts w:ascii="Arial" w:hAnsi="Arial" w:cs="Arial"/>
          <w:color w:val="000000" w:themeColor="text1"/>
          <w:sz w:val="20"/>
          <w:szCs w:val="20"/>
          <w:lang w:val="es-ES"/>
        </w:rPr>
        <w:t xml:space="preserve">s frecuentemente presentados con las CAR-T son, síndrome de liberación de citoquinas 33%, neurotoxicidad 33% y aplasia de células B en un 54% </w:t>
      </w:r>
      <w:r w:rsidR="00415C49">
        <w:rPr>
          <w:rFonts w:ascii="Arial" w:hAnsi="Arial" w:cs="Arial"/>
          <w:color w:val="000000" w:themeColor="text1"/>
          <w:sz w:val="20"/>
          <w:szCs w:val="20"/>
          <w:lang w:val="es-ES"/>
        </w:rPr>
        <w:fldChar w:fldCharType="begin" w:fldLock="1"/>
      </w:r>
      <w:r w:rsidR="00A673ED">
        <w:rPr>
          <w:rFonts w:ascii="Arial" w:hAnsi="Arial" w:cs="Arial"/>
          <w:color w:val="000000" w:themeColor="text1"/>
          <w:sz w:val="20"/>
          <w:szCs w:val="20"/>
          <w:lang w:val="es-ES"/>
        </w:rPr>
        <w:instrText>ADDIN CSL_CITATION {"citationItems":[{"id":"ITEM-1","itemData":{"DOI":"10.2217/imt-2017-0062","ISSN":"17507448","abstract":"© 2017 Future Medicine Ltd. Chimeric antigen receptor modified T cells targeting CD19 and CD20 have shown activity in Phase I, II trials of patients with hematological malignancies. We conducted a systematic review and meta-analysis of all published clinical trials studying the role of efficacy as well as safety of CD-19 and CD-20 chimeric antigen receptor-T therapy for B-cell hematologic malignancies. A total of 16 studies with 195 patients were identified. The pooled analysis showed an overall response rate of 61% (118/195) with complete response of 42% (81/195) and partial response of 19% (37/195). Major adverse events were cytokine release syndrome 33%, neurotoxicity 33% and B-cell aplasia 54%. Collectively, the results indicate encouraging response in relapsed/refractory B lymphoma and leukemia, especially in acute lymphoblastic leukemia (ALL) patients.","author":[{"dropping-particle":"Bin","family":"Riaz","given":"Irbaz","non-dropping-particle":"","parse-names":false,"suffix":""},{"dropping-particle":"","family":"Zahid","given":"Umar","non-dropping-particle":"","parse-names":false,"suffix":""},{"dropping-particle":"","family":"Kamal","given":"Muhammad Umar","non-dropping-particle":"","parse-names":false,"suffix":""},{"dropping-particle":"","family":"Husnain","given":"Muhammad","non-dropping-particle":"","parse-names":false,"suffix":""},{"dropping-particle":"","family":"McBride","given":"Ali","non-dropping-particle":"","parse-names":false,"suffix":""},{"dropping-particle":"","family":"Hua","given":"Anh","non-dropping-particle":"","parse-names":false,"suffix":""},{"dropping-particle":"","family":"Hamadani","given":"Auon Abbas","non-dropping-particle":"","parse-names":false,"suffix":""},{"dropping-particle":"","family":"George","given":"Laeth","non-dropping-particle":"","parse-names":false,"suffix":""},{"dropping-particle":"","family":"Zeeshan","given":"Ali","non-dropping-particle":"","parse-names":false,"suffix":""},{"dropping-particle":"","family":"Sipra","given":"Qurat Ul Ain Riaz","non-dropping-particle":"","parse-names":false,"suffix":""},{"dropping-particle":"","family":"Raina","given":"Ammad","non-dropping-particle":"","parse-names":false,"suffix":""},{"dropping-particle":"","family":"Rahman","given":"Bushra","non-dropping-particle":"","parse-names":false,"suffix":""},{"dropping-particle":"","family":"Puvvada","given":"Soham","non-dropping-particle":"","parse-names":false,"suffix":""},{"dropping-particle":"","family":"Anwer","given":"Faiz","non-dropping-particle":"","parse-names":false,"suffix":""}],"container-title":"Immunotherapy","id":"ITEM-1","issue":"12","issued":{"date-parts":[["2017"]]},"page":"979-993","title":"Anti-CD 19 and anti-CD 20 CAR-modified T cells for B-cell malignancies: A systematic review and meta-analysis","type":"article-journal","volume":"9"},"uris":["http://www.mendeley.com/documents/?uuid=9e206c38-ea78-4cea-9512-cff0dda945a9"]},{"id":"ITEM-2","itemData":{"DOI":"10.1038/bcj.2017.53","ISSN":"20445385","abstract":"Acute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journal","id":"ITEM-2","issue":"6","issued":{"date-parts":[["2017"]]},"page":"e577","title":"Acute lymphoblastic leukemia: a comprehensive review and 2017 update","type":"article-journal","volume":"7"},"uris":["http://www.mendeley.com/documents/?uuid=17337d9b-8837-4c6e-9832-47e254d34ef1"]}],"mendeley":{"formattedCitation":"(2,68)","plainTextFormattedCitation":"(2,68)","previouslyFormattedCitation":"(2,68)"},"properties":{"noteIndex":0},"schema":"https://github.com/citation-style-language/schema/raw/master/csl-citation.json"}</w:instrText>
      </w:r>
      <w:r w:rsidR="00415C49">
        <w:rPr>
          <w:rFonts w:ascii="Arial" w:hAnsi="Arial" w:cs="Arial"/>
          <w:color w:val="000000" w:themeColor="text1"/>
          <w:sz w:val="20"/>
          <w:szCs w:val="20"/>
          <w:lang w:val="es-ES"/>
        </w:rPr>
        <w:fldChar w:fldCharType="separate"/>
      </w:r>
      <w:r w:rsidR="001E4F12" w:rsidRPr="001E4F12">
        <w:rPr>
          <w:rFonts w:ascii="Arial" w:hAnsi="Arial" w:cs="Arial"/>
          <w:noProof/>
          <w:color w:val="000000" w:themeColor="text1"/>
          <w:sz w:val="20"/>
          <w:szCs w:val="20"/>
          <w:lang w:val="es-ES"/>
        </w:rPr>
        <w:t>(2,68)</w:t>
      </w:r>
      <w:r w:rsidR="00415C49">
        <w:rPr>
          <w:rFonts w:ascii="Arial" w:hAnsi="Arial" w:cs="Arial"/>
          <w:color w:val="000000" w:themeColor="text1"/>
          <w:sz w:val="20"/>
          <w:szCs w:val="20"/>
          <w:lang w:val="es-ES"/>
        </w:rPr>
        <w:fldChar w:fldCharType="end"/>
      </w:r>
      <w:r w:rsidR="001E4F12">
        <w:rPr>
          <w:rFonts w:ascii="Arial" w:hAnsi="Arial" w:cs="Arial"/>
          <w:color w:val="000000" w:themeColor="text1"/>
          <w:sz w:val="20"/>
          <w:szCs w:val="20"/>
          <w:lang w:val="es-ES"/>
        </w:rPr>
        <w:t>.</w:t>
      </w:r>
    </w:p>
    <w:p w14:paraId="36F12AB4" w14:textId="77777777" w:rsidR="009C704C" w:rsidRDefault="009C704C" w:rsidP="001E4F12">
      <w:pPr>
        <w:widowControl w:val="0"/>
        <w:autoSpaceDE w:val="0"/>
        <w:autoSpaceDN w:val="0"/>
        <w:adjustRightInd w:val="0"/>
        <w:spacing w:after="0" w:line="276" w:lineRule="auto"/>
        <w:jc w:val="both"/>
        <w:rPr>
          <w:rFonts w:ascii="Arial" w:hAnsi="Arial" w:cs="Arial"/>
          <w:color w:val="000000" w:themeColor="text1"/>
          <w:sz w:val="20"/>
          <w:szCs w:val="20"/>
          <w:lang w:val="es-ES"/>
        </w:rPr>
      </w:pPr>
    </w:p>
    <w:p w14:paraId="5CFFFC47" w14:textId="0B876FED" w:rsidR="00160AFF" w:rsidRDefault="009C704C" w:rsidP="009C704C">
      <w:pPr>
        <w:widowControl w:val="0"/>
        <w:autoSpaceDE w:val="0"/>
        <w:autoSpaceDN w:val="0"/>
        <w:adjustRightInd w:val="0"/>
        <w:spacing w:after="0" w:line="276" w:lineRule="auto"/>
        <w:jc w:val="both"/>
        <w:rPr>
          <w:rFonts w:ascii="Arial" w:hAnsi="Arial" w:cs="Arial"/>
          <w:color w:val="131413"/>
          <w:sz w:val="20"/>
          <w:szCs w:val="20"/>
          <w:lang w:val="es-ES"/>
        </w:rPr>
      </w:pPr>
      <w:r w:rsidRPr="009C704C">
        <w:rPr>
          <w:rFonts w:ascii="Arial" w:hAnsi="Arial" w:cs="Arial"/>
          <w:sz w:val="20"/>
          <w:szCs w:val="20"/>
          <w:lang w:val="es-ES"/>
        </w:rPr>
        <w:t xml:space="preserve">El síndrome de liberación de citoquinas (SLC) es el resultado de una producción masiva de citoquinas que excede los niveles fisiológicos y esta propiciada por la activación de las células T efectoras y su interacción con los blancos terapéuticos. </w:t>
      </w:r>
      <w:r w:rsidR="00850FE7">
        <w:rPr>
          <w:rFonts w:ascii="Arial" w:hAnsi="Arial" w:cs="Arial"/>
          <w:sz w:val="20"/>
          <w:szCs w:val="20"/>
          <w:lang w:val="es-ES"/>
        </w:rPr>
        <w:t xml:space="preserve">Es una complicación frecuente con las nuevas terapias disponibles para LLA, como Blinatumomab o CAR-T cells. </w:t>
      </w:r>
      <w:r w:rsidR="00B36210">
        <w:rPr>
          <w:rFonts w:ascii="Arial" w:hAnsi="Arial" w:cs="Arial"/>
          <w:sz w:val="20"/>
          <w:szCs w:val="20"/>
          <w:lang w:val="es-ES"/>
        </w:rPr>
        <w:t>La Interleucina 6 (IL</w:t>
      </w:r>
      <w:r w:rsidRPr="009C704C">
        <w:rPr>
          <w:rFonts w:ascii="Arial" w:hAnsi="Arial" w:cs="Arial"/>
          <w:sz w:val="20"/>
          <w:szCs w:val="20"/>
          <w:lang w:val="es-ES"/>
        </w:rPr>
        <w:t xml:space="preserve">-6) es el pilar central en el SLC, sin </w:t>
      </w:r>
      <w:r w:rsidR="000B75EB" w:rsidRPr="009C704C">
        <w:rPr>
          <w:rFonts w:ascii="Arial" w:hAnsi="Arial" w:cs="Arial"/>
          <w:sz w:val="20"/>
          <w:szCs w:val="20"/>
          <w:lang w:val="es-ES"/>
        </w:rPr>
        <w:t>embargo,</w:t>
      </w:r>
      <w:r w:rsidRPr="009C704C">
        <w:rPr>
          <w:rFonts w:ascii="Arial" w:hAnsi="Arial" w:cs="Arial"/>
          <w:sz w:val="20"/>
          <w:szCs w:val="20"/>
          <w:lang w:val="es-ES"/>
        </w:rPr>
        <w:t xml:space="preserve"> otras citoquinas se encuentran elevadas durante el SLC como IL-2, Interferon-</w:t>
      </w:r>
      <w:r w:rsidRPr="009C704C">
        <w:rPr>
          <w:rFonts w:ascii="Arial" w:hAnsi="Arial" w:cs="Arial"/>
          <w:color w:val="131413"/>
          <w:sz w:val="20"/>
          <w:szCs w:val="20"/>
          <w:lang w:val="es-ES"/>
        </w:rPr>
        <w:t xml:space="preserve">ɣ, factor de necrosis tumoral, </w:t>
      </w:r>
      <w:r w:rsidR="000B75EB" w:rsidRPr="009C704C">
        <w:rPr>
          <w:rFonts w:ascii="Arial" w:hAnsi="Arial" w:cs="Arial"/>
          <w:color w:val="131413"/>
          <w:sz w:val="20"/>
          <w:szCs w:val="20"/>
          <w:lang w:val="es-ES"/>
        </w:rPr>
        <w:t>factor estimulante</w:t>
      </w:r>
      <w:r w:rsidRPr="009C704C">
        <w:rPr>
          <w:rFonts w:ascii="Arial" w:hAnsi="Arial" w:cs="Arial"/>
          <w:color w:val="131413"/>
          <w:sz w:val="20"/>
          <w:szCs w:val="20"/>
          <w:lang w:val="es-ES"/>
        </w:rPr>
        <w:t xml:space="preserve"> de colonias </w:t>
      </w:r>
      <w:r w:rsidR="00702AAE" w:rsidRPr="009C704C">
        <w:rPr>
          <w:rFonts w:ascii="Arial" w:hAnsi="Arial" w:cs="Arial"/>
          <w:color w:val="131413"/>
          <w:sz w:val="20"/>
          <w:szCs w:val="20"/>
          <w:lang w:val="es-ES"/>
        </w:rPr>
        <w:t>granulocito</w:t>
      </w:r>
      <w:r w:rsidR="00B36210">
        <w:rPr>
          <w:rFonts w:ascii="Arial" w:hAnsi="Arial" w:cs="Arial"/>
          <w:color w:val="131413"/>
          <w:sz w:val="20"/>
          <w:szCs w:val="20"/>
          <w:lang w:val="es-ES"/>
        </w:rPr>
        <w:t>-macrófago (GM-CSF), IL-5, IL-8 e</w:t>
      </w:r>
      <w:r w:rsidRPr="009C704C">
        <w:rPr>
          <w:rFonts w:ascii="Arial" w:hAnsi="Arial" w:cs="Arial"/>
          <w:color w:val="131413"/>
          <w:sz w:val="20"/>
          <w:szCs w:val="20"/>
          <w:lang w:val="es-ES"/>
        </w:rPr>
        <w:t xml:space="preserve"> IL-10. Además de esto los pacientes con SLC severo tienen coagulopatía de consumo, trombocitopenia. La reducción en la incidencia de SLC se ha logrado la introducción de dosis escalonadas </w:t>
      </w:r>
      <w:r w:rsidR="00B36210">
        <w:rPr>
          <w:rFonts w:ascii="Arial" w:hAnsi="Arial" w:cs="Arial"/>
          <w:color w:val="131413"/>
          <w:sz w:val="20"/>
          <w:szCs w:val="20"/>
          <w:lang w:val="es-ES"/>
        </w:rPr>
        <w:t xml:space="preserve">de Blinatumomab </w:t>
      </w:r>
      <w:r w:rsidRPr="009C704C">
        <w:rPr>
          <w:rFonts w:ascii="Arial" w:hAnsi="Arial" w:cs="Arial"/>
          <w:color w:val="131413"/>
          <w:sz w:val="20"/>
          <w:szCs w:val="20"/>
          <w:lang w:val="es-ES"/>
        </w:rPr>
        <w:t>en el primer ciclo cuando el paciente tiene enferm</w:t>
      </w:r>
      <w:r w:rsidR="00B36210">
        <w:rPr>
          <w:rFonts w:ascii="Arial" w:hAnsi="Arial" w:cs="Arial"/>
          <w:color w:val="131413"/>
          <w:sz w:val="20"/>
          <w:szCs w:val="20"/>
          <w:lang w:val="es-ES"/>
        </w:rPr>
        <w:t xml:space="preserve">edad activa. </w:t>
      </w:r>
    </w:p>
    <w:p w14:paraId="637E152B" w14:textId="39D2CC46" w:rsidR="00160AFF" w:rsidRDefault="000B75EB" w:rsidP="009C704C">
      <w:pPr>
        <w:widowControl w:val="0"/>
        <w:autoSpaceDE w:val="0"/>
        <w:autoSpaceDN w:val="0"/>
        <w:adjustRightInd w:val="0"/>
        <w:spacing w:after="0" w:line="276" w:lineRule="auto"/>
        <w:jc w:val="both"/>
        <w:rPr>
          <w:rFonts w:ascii="Arial" w:hAnsi="Arial" w:cs="Arial"/>
          <w:color w:val="131413"/>
          <w:sz w:val="20"/>
          <w:szCs w:val="20"/>
          <w:lang w:val="es-ES"/>
        </w:rPr>
      </w:pPr>
      <w:r>
        <w:rPr>
          <w:rFonts w:ascii="Arial" w:hAnsi="Arial" w:cs="Arial"/>
          <w:color w:val="131413"/>
          <w:sz w:val="20"/>
          <w:szCs w:val="20"/>
          <w:lang w:val="es-ES"/>
        </w:rPr>
        <w:t>Además,</w:t>
      </w:r>
      <w:r w:rsidR="00B36210">
        <w:rPr>
          <w:rFonts w:ascii="Arial" w:hAnsi="Arial" w:cs="Arial"/>
          <w:color w:val="131413"/>
          <w:sz w:val="20"/>
          <w:szCs w:val="20"/>
          <w:lang w:val="es-ES"/>
        </w:rPr>
        <w:t xml:space="preserve"> la pre-medic</w:t>
      </w:r>
      <w:r w:rsidR="00B36210" w:rsidRPr="009C704C">
        <w:rPr>
          <w:rFonts w:ascii="Arial" w:hAnsi="Arial" w:cs="Arial"/>
          <w:color w:val="131413"/>
          <w:sz w:val="20"/>
          <w:szCs w:val="20"/>
          <w:lang w:val="es-ES"/>
        </w:rPr>
        <w:t>ación</w:t>
      </w:r>
      <w:r w:rsidR="009C704C" w:rsidRPr="009C704C">
        <w:rPr>
          <w:rFonts w:ascii="Arial" w:hAnsi="Arial" w:cs="Arial"/>
          <w:color w:val="131413"/>
          <w:sz w:val="20"/>
          <w:szCs w:val="20"/>
          <w:lang w:val="es-ES"/>
        </w:rPr>
        <w:t xml:space="preserve"> con dexametasona, previo inicio de </w:t>
      </w:r>
      <w:r w:rsidR="00702AAE" w:rsidRPr="009C704C">
        <w:rPr>
          <w:rFonts w:ascii="Arial" w:hAnsi="Arial" w:cs="Arial"/>
          <w:color w:val="131413"/>
          <w:sz w:val="20"/>
          <w:szCs w:val="20"/>
          <w:lang w:val="es-ES"/>
        </w:rPr>
        <w:t>Blinatumomab</w:t>
      </w:r>
      <w:r w:rsidR="009C704C" w:rsidRPr="009C704C">
        <w:rPr>
          <w:rFonts w:ascii="Arial" w:hAnsi="Arial" w:cs="Arial"/>
          <w:color w:val="131413"/>
          <w:sz w:val="20"/>
          <w:szCs w:val="20"/>
          <w:lang w:val="es-ES"/>
        </w:rPr>
        <w:t xml:space="preserve"> es otra intervención que ha permitido la disminución de aparición de SLC severo. </w:t>
      </w:r>
    </w:p>
    <w:p w14:paraId="76FF099B" w14:textId="77777777" w:rsidR="00160AFF" w:rsidRDefault="00160AFF" w:rsidP="009C704C">
      <w:pPr>
        <w:widowControl w:val="0"/>
        <w:autoSpaceDE w:val="0"/>
        <w:autoSpaceDN w:val="0"/>
        <w:adjustRightInd w:val="0"/>
        <w:spacing w:after="0" w:line="276" w:lineRule="auto"/>
        <w:jc w:val="both"/>
        <w:rPr>
          <w:rFonts w:ascii="Arial" w:hAnsi="Arial" w:cs="Arial"/>
          <w:color w:val="131413"/>
          <w:sz w:val="20"/>
          <w:szCs w:val="20"/>
          <w:lang w:val="es-ES"/>
        </w:rPr>
      </w:pPr>
    </w:p>
    <w:p w14:paraId="31206A3C" w14:textId="77777777" w:rsidR="009C704C" w:rsidRDefault="009C704C" w:rsidP="009C704C">
      <w:pPr>
        <w:widowControl w:val="0"/>
        <w:autoSpaceDE w:val="0"/>
        <w:autoSpaceDN w:val="0"/>
        <w:adjustRightInd w:val="0"/>
        <w:spacing w:after="0" w:line="276" w:lineRule="auto"/>
        <w:jc w:val="both"/>
        <w:rPr>
          <w:rFonts w:ascii="Arial" w:hAnsi="Arial" w:cs="Arial"/>
          <w:color w:val="131413"/>
          <w:sz w:val="20"/>
          <w:szCs w:val="20"/>
          <w:lang w:val="es-ES"/>
        </w:rPr>
      </w:pPr>
      <w:r w:rsidRPr="009C704C">
        <w:rPr>
          <w:rFonts w:ascii="Arial" w:hAnsi="Arial" w:cs="Arial"/>
          <w:color w:val="131413"/>
          <w:sz w:val="20"/>
          <w:szCs w:val="20"/>
          <w:lang w:val="es-ES"/>
        </w:rPr>
        <w:t xml:space="preserve">No se ha demostrado que la dexametasona limite la acción de las células T efectos y que reduzca la eficacia del </w:t>
      </w:r>
      <w:r w:rsidR="00702AAE" w:rsidRPr="009C704C">
        <w:rPr>
          <w:rFonts w:ascii="Arial" w:hAnsi="Arial" w:cs="Arial"/>
          <w:color w:val="131413"/>
          <w:sz w:val="20"/>
          <w:szCs w:val="20"/>
          <w:lang w:val="es-ES"/>
        </w:rPr>
        <w:t>Blinatumomab</w:t>
      </w:r>
      <w:r w:rsidRPr="009C704C">
        <w:rPr>
          <w:rFonts w:ascii="Arial" w:hAnsi="Arial" w:cs="Arial"/>
          <w:color w:val="131413"/>
          <w:sz w:val="20"/>
          <w:szCs w:val="20"/>
          <w:lang w:val="es-ES"/>
        </w:rPr>
        <w:t xml:space="preserve">. En los CAR-T el ajuste en la intensidad de la linfodepleción en relación a la carga tumoral ha permitido disminuir la incidencia de SLC severo. El tratamiento de SLC en Blinatumomab inicia por la suspensión de la infusión. La vida media del Blinatumomab de aproximadamente 2 horas, </w:t>
      </w:r>
      <w:r w:rsidR="00B36210">
        <w:rPr>
          <w:rFonts w:ascii="Arial" w:hAnsi="Arial" w:cs="Arial"/>
          <w:color w:val="131413"/>
          <w:sz w:val="20"/>
          <w:szCs w:val="20"/>
          <w:lang w:val="es-ES"/>
        </w:rPr>
        <w:t xml:space="preserve">lo que </w:t>
      </w:r>
      <w:r w:rsidRPr="009C704C">
        <w:rPr>
          <w:rFonts w:ascii="Arial" w:hAnsi="Arial" w:cs="Arial"/>
          <w:color w:val="131413"/>
          <w:sz w:val="20"/>
          <w:szCs w:val="20"/>
          <w:lang w:val="es-ES"/>
        </w:rPr>
        <w:t xml:space="preserve">permite una </w:t>
      </w:r>
      <w:r w:rsidR="00702AAE" w:rsidRPr="009C704C">
        <w:rPr>
          <w:rFonts w:ascii="Arial" w:hAnsi="Arial" w:cs="Arial"/>
          <w:color w:val="131413"/>
          <w:sz w:val="20"/>
          <w:szCs w:val="20"/>
          <w:lang w:val="es-ES"/>
        </w:rPr>
        <w:t>rápida</w:t>
      </w:r>
      <w:r w:rsidRPr="009C704C">
        <w:rPr>
          <w:rFonts w:ascii="Arial" w:hAnsi="Arial" w:cs="Arial"/>
          <w:color w:val="131413"/>
          <w:sz w:val="20"/>
          <w:szCs w:val="20"/>
          <w:lang w:val="es-ES"/>
        </w:rPr>
        <w:t xml:space="preserve"> resolución del </w:t>
      </w:r>
      <w:r w:rsidR="00702AAE" w:rsidRPr="009C704C">
        <w:rPr>
          <w:rFonts w:ascii="Arial" w:hAnsi="Arial" w:cs="Arial"/>
          <w:color w:val="131413"/>
          <w:sz w:val="20"/>
          <w:szCs w:val="20"/>
          <w:lang w:val="es-ES"/>
        </w:rPr>
        <w:t>síndrome</w:t>
      </w:r>
      <w:r w:rsidRPr="009C704C">
        <w:rPr>
          <w:rFonts w:ascii="Arial" w:hAnsi="Arial" w:cs="Arial"/>
          <w:color w:val="131413"/>
          <w:sz w:val="20"/>
          <w:szCs w:val="20"/>
          <w:lang w:val="es-ES"/>
        </w:rPr>
        <w:t xml:space="preserve"> con o sin intervenciones adicionales. Sin embargo, con las CAR-T no ocurre lo mismo. Una vez infundidas las células no pueden retirarse, por lo que en los casos de SLC leves, antipiréticos, antibióticos o vasopresores y/o flujos de oxígeno pueden ser utilizados según sea el caso. El Tocilizumab un anti IL-6, es usualmente requerido </w:t>
      </w:r>
      <w:r w:rsidRPr="009C704C">
        <w:rPr>
          <w:rFonts w:ascii="Arial" w:hAnsi="Arial" w:cs="Arial"/>
          <w:color w:val="131413"/>
          <w:sz w:val="20"/>
          <w:szCs w:val="20"/>
          <w:lang w:val="es-ES"/>
        </w:rPr>
        <w:lastRenderedPageBreak/>
        <w:t xml:space="preserve">en casos de SLC severos, como </w:t>
      </w:r>
      <w:r w:rsidR="00B36210">
        <w:rPr>
          <w:rFonts w:ascii="Arial" w:hAnsi="Arial" w:cs="Arial"/>
          <w:color w:val="131413"/>
          <w:sz w:val="20"/>
          <w:szCs w:val="20"/>
          <w:lang w:val="es-ES"/>
        </w:rPr>
        <w:t xml:space="preserve">en </w:t>
      </w:r>
      <w:r w:rsidRPr="009C704C">
        <w:rPr>
          <w:rFonts w:ascii="Arial" w:hAnsi="Arial" w:cs="Arial"/>
          <w:color w:val="131413"/>
          <w:sz w:val="20"/>
          <w:szCs w:val="20"/>
          <w:lang w:val="es-ES"/>
        </w:rPr>
        <w:t>casos de hipotensión refractaria o pacientes con alto requerimiento de vasopresor</w:t>
      </w:r>
      <w:r w:rsidR="00415C49">
        <w:rPr>
          <w:rFonts w:ascii="Arial" w:hAnsi="Arial" w:cs="Arial"/>
          <w:color w:val="131413"/>
          <w:sz w:val="20"/>
          <w:szCs w:val="20"/>
          <w:lang w:val="es-ES"/>
        </w:rPr>
        <w:fldChar w:fldCharType="begin" w:fldLock="1"/>
      </w:r>
      <w:r w:rsidR="00FB2B82">
        <w:rPr>
          <w:rFonts w:ascii="Arial" w:hAnsi="Arial" w:cs="Arial"/>
          <w:color w:val="131413"/>
          <w:sz w:val="20"/>
          <w:szCs w:val="20"/>
          <w:lang w:val="es-ES"/>
        </w:rPr>
        <w:instrText>ADDIN CSL_CITATION {"citationItems":[{"id":"ITEM-1","itemData":{"DOI":"10.1080/10428194.2017.1354372","ISSN":"10292403","abstract":"© 2017 Informa UK Limited, trading as Taylor  &amp;  Francis Group Progress in adult acute lymphoblastic leukemia (ALL) treatment has been met with challenge until recently. A steady improvement in outcomes is being witnessed among adults with ALL, and it will be enhanced further with early referral of newly diagnosed ALL patients to specialized centers, enrolling more ALL adults in clinical trials, adopting pediatric-inspired ALL regimens in younger adults, tailoring treatments according to minimal residual disease response and disease genetics, incorporating novel therapies and tyrosine kinase inhibitors in frontline regimens, early referral to transplant when indicated, expanding the donor pool, and developing more effective salvage therapies for relapsed/refractory ALL. In this review, we will discuss the most significant advances in treating adult ALL observed in the last five years that have the potential to enhance adult ALL treatment and outcome.","author":[{"dropping-particle":"","family":"Aldoss","given":"Ibrahim","non-dropping-particle":"","parse-names":false,"suffix":""},{"dropping-particle":"","family":"Stein","given":"Anthony S.","non-dropping-particle":"","parse-names":false,"suffix":""}],"container-title":"Leukemia and Lymphoma","id":"ITEM-1","issue":"5","issued":{"date-parts":[["2018"]]},"page":"1033-1050","publisher":"Informa Healthcare USA, Inc","title":"Advances in adult acute lymphoblastic leukemia therapy","type":"article-journal","volume":"59"},"uris":["http://www.mendeley.com/documents/?uuid=0fffd2ca-2e89-4d09-a768-4b5fc6552d72"]},{"id":"ITEM-2","itemData":{"DOI":"10.1007/s11912-019-0753-y","ISSN":"15346269","abstract":"T cell-based therapies (blinatumomab and CAR T cell therapy) have produced unprecedented responses in relapsed and refractory (r/r) acute lymphoblastic leukemia (ALL) but is accompanied with significant toxicities, of which one of the most common and serious is cytokine release syndrome (CRS). Here we will review the pathophysiology, prevention, and treatment of CRS.","author":[{"dropping-particle":"","family":"Aldoss","given":"Ibrahim","non-dropping-particle":"","parse-names":false,"suffix":""},{"dropping-particle":"","family":"Khaled","given":"Samer K.","non-dropping-particle":"","parse-names":false,"suffix":""},{"dropping-particle":"","family":"Budde","given":"Elizabeth","non-dropping-particle":"","parse-names":false,"suffix":""},{"dropping-particle":"","family":"Stein","given":"Anthony S.","non-dropping-particle":"","parse-names":false,"suffix":""}],"container-title":"Current Oncology Reports","id":"ITEM-2","issue":"1","issued":{"date-parts":[["2019"]]},"publisher":"Current Oncology Reports","title":"Cytokine Release Syndrome With the Novel Treatments of Acute Lymphoblastic Leukemia: Pathophysiology, Prevention, and Treatment","type":"article-journal","volume":"21"},"uris":["http://www.mendeley.com/documents/?uuid=cc400e1d-3951-4ec7-8329-02f81aa8a440"]},{"id":"ITEM-3","itemData":{"DOI":"10.1038/bcj.2017.53","ISSN":"20445385","abstract":"Acute lymphoblastic leukemia: a comprehensive review and 2017 update","author":[{"dropping-particle":"","family":"Terwilliger","given":"T.","non-dropping-particle":"","parse-names":false,"suffix":""},{"dropping-particle":"","family":"Abdul-Hay","given":"M.","non-dropping-particle":"","parse-names":false,"suffix":""}],"container-title":"Blood cancer journal","id":"ITEM-3","issue":"6","issued":{"date-parts":[["2017"]]},"page":"e577","title":"Acute lymphoblastic leukemia: a comprehensive review and 2017 update","type":"article-journal","volume":"7"},"uris":["http://www.mendeley.com/documents/?uuid=17337d9b-8837-4c6e-9832-47e254d34ef1"]},{"id":"ITEM-4","itemData":{"DOI":"10.1016/j.pharmthera.2012.07.013","ISSN":"01637258","abstract":"For decades, chemotherapy has been the backbone for the treatment of patients with B cell malignancies. Depending on the individual disease, monoclonal antibodies, irradiation and/or hematopoietic stem cell transplantation are added. However, the current standard of care - particularly for patients with relapsed disease - is often not sufficient to achieve durable remissions. A highly promising new drug candidate in late-stage clinical development for treatment of B cell malignancies is blinatumomab (MT103 or AMG 103). This bispecific antibody construct has dual specificity for CD19 and CD3 and belongs to the class of bispecific T cell engager (BiTE®) antibodies, which can potentially engage all cytotoxic T cells of a patient for redirected lysis of tumor cells. Here, we review how blinatumomab has so far been pre-clinically and clinically developed for the treatment of patients with non-Hodgkin's lymphoma and acute lymphoblastic leukemia. © 2012 Elsevier Inc. All rights reserved.","author":[{"dropping-particle":"","family":"Nagorsen","given":"Dirk","non-dropping-particle":"","parse-names":false,"suffix":""},{"dropping-particle":"","family":"Kufer","given":"Peter","non-dropping-particle":"","parse-names":false,"suffix":""},{"dropping-particle":"","family":"Baeuerle","given":"Patrick A.","non-dropping-particle":"","parse-names":false,"suffix":""},{"dropping-particle":"","family":"Bargou","given":"Ralf","non-dropping-particle":"","parse-names":false,"suffix":""}],"container-title":"Pharmacology and Therapeutics","id":"ITEM-4","issue":"3","issued":{"date-parts":[["2012"]]},"page":"334-342","publisher":"Elsevier Inc.","title":"Blinatumomab: A historical perspective","type":"article-journal","volume":"136"},"uris":["http://www.mendeley.com/documents/?uuid=1aa9f93c-bd64-4f1b-a3b9-dad75a616621"]}],"mendeley":{"formattedCitation":"(2,19,50,69)","plainTextFormattedCitation":"(2,19,50,69)","previouslyFormattedCitation":"(2,19,50,69)"},"properties":{"noteIndex":0},"schema":"https://github.com/citation-style-language/schema/raw/master/csl-citation.json"}</w:instrText>
      </w:r>
      <w:r w:rsidR="00415C49">
        <w:rPr>
          <w:rFonts w:ascii="Arial" w:hAnsi="Arial" w:cs="Arial"/>
          <w:color w:val="131413"/>
          <w:sz w:val="20"/>
          <w:szCs w:val="20"/>
          <w:lang w:val="es-ES"/>
        </w:rPr>
        <w:fldChar w:fldCharType="separate"/>
      </w:r>
      <w:r w:rsidR="00A673ED" w:rsidRPr="00A673ED">
        <w:rPr>
          <w:rFonts w:ascii="Arial" w:hAnsi="Arial" w:cs="Arial"/>
          <w:noProof/>
          <w:color w:val="131413"/>
          <w:sz w:val="20"/>
          <w:szCs w:val="20"/>
          <w:lang w:val="es-ES"/>
        </w:rPr>
        <w:t>(2,19,50,69)</w:t>
      </w:r>
      <w:r w:rsidR="00415C49">
        <w:rPr>
          <w:rFonts w:ascii="Arial" w:hAnsi="Arial" w:cs="Arial"/>
          <w:color w:val="131413"/>
          <w:sz w:val="20"/>
          <w:szCs w:val="20"/>
          <w:lang w:val="es-ES"/>
        </w:rPr>
        <w:fldChar w:fldCharType="end"/>
      </w:r>
      <w:r w:rsidRPr="009C704C">
        <w:rPr>
          <w:rFonts w:ascii="Arial" w:hAnsi="Arial" w:cs="Arial"/>
          <w:color w:val="131413"/>
          <w:sz w:val="20"/>
          <w:szCs w:val="20"/>
          <w:lang w:val="es-ES"/>
        </w:rPr>
        <w:t>.</w:t>
      </w:r>
    </w:p>
    <w:p w14:paraId="43983B11" w14:textId="77777777" w:rsidR="000D18F0" w:rsidRDefault="000D18F0" w:rsidP="009C704C">
      <w:pPr>
        <w:widowControl w:val="0"/>
        <w:autoSpaceDE w:val="0"/>
        <w:autoSpaceDN w:val="0"/>
        <w:adjustRightInd w:val="0"/>
        <w:spacing w:after="0" w:line="276" w:lineRule="auto"/>
        <w:jc w:val="both"/>
        <w:rPr>
          <w:rFonts w:ascii="Arial" w:hAnsi="Arial" w:cs="Arial"/>
          <w:color w:val="131413"/>
          <w:sz w:val="20"/>
          <w:szCs w:val="20"/>
          <w:lang w:val="es-ES"/>
        </w:rPr>
      </w:pPr>
    </w:p>
    <w:p w14:paraId="421EC8A7" w14:textId="77777777" w:rsidR="000D18F0" w:rsidRDefault="000D18F0" w:rsidP="009C704C">
      <w:pPr>
        <w:widowControl w:val="0"/>
        <w:autoSpaceDE w:val="0"/>
        <w:autoSpaceDN w:val="0"/>
        <w:adjustRightInd w:val="0"/>
        <w:spacing w:after="0" w:line="276" w:lineRule="auto"/>
        <w:jc w:val="both"/>
        <w:rPr>
          <w:rFonts w:ascii="Arial" w:hAnsi="Arial" w:cs="Arial"/>
          <w:color w:val="131413"/>
          <w:sz w:val="20"/>
          <w:szCs w:val="20"/>
          <w:lang w:val="es-ES"/>
        </w:rPr>
      </w:pPr>
    </w:p>
    <w:p w14:paraId="32048177" w14:textId="77777777" w:rsidR="000D18F0" w:rsidRDefault="000D18F0" w:rsidP="009C704C">
      <w:pPr>
        <w:widowControl w:val="0"/>
        <w:autoSpaceDE w:val="0"/>
        <w:autoSpaceDN w:val="0"/>
        <w:adjustRightInd w:val="0"/>
        <w:spacing w:after="0" w:line="276" w:lineRule="auto"/>
        <w:jc w:val="both"/>
        <w:rPr>
          <w:rFonts w:ascii="Arial" w:hAnsi="Arial" w:cs="Arial"/>
          <w:b/>
          <w:color w:val="131413"/>
          <w:sz w:val="20"/>
          <w:szCs w:val="20"/>
          <w:lang w:val="es-ES"/>
        </w:rPr>
      </w:pPr>
      <w:r w:rsidRPr="000D18F0">
        <w:rPr>
          <w:rFonts w:ascii="Arial" w:hAnsi="Arial" w:cs="Arial"/>
          <w:b/>
          <w:color w:val="131413"/>
          <w:sz w:val="20"/>
          <w:szCs w:val="20"/>
          <w:lang w:val="es-ES"/>
        </w:rPr>
        <w:t xml:space="preserve">TRASPLANTE ALOGÉNICO DE </w:t>
      </w:r>
      <w:r>
        <w:rPr>
          <w:rFonts w:ascii="Arial" w:hAnsi="Arial" w:cs="Arial"/>
          <w:b/>
          <w:color w:val="131413"/>
          <w:sz w:val="20"/>
          <w:szCs w:val="20"/>
          <w:lang w:val="es-ES"/>
        </w:rPr>
        <w:t>PROGENITORES HEMATOPOYETICOS</w:t>
      </w:r>
    </w:p>
    <w:p w14:paraId="71E7810D" w14:textId="77777777" w:rsidR="000D18F0" w:rsidRDefault="000D18F0" w:rsidP="009C704C">
      <w:pPr>
        <w:widowControl w:val="0"/>
        <w:autoSpaceDE w:val="0"/>
        <w:autoSpaceDN w:val="0"/>
        <w:adjustRightInd w:val="0"/>
        <w:spacing w:after="0" w:line="276" w:lineRule="auto"/>
        <w:jc w:val="both"/>
        <w:rPr>
          <w:rFonts w:ascii="Arial" w:hAnsi="Arial" w:cs="Arial"/>
          <w:b/>
          <w:color w:val="131413"/>
          <w:sz w:val="20"/>
          <w:szCs w:val="20"/>
          <w:lang w:val="es-ES"/>
        </w:rPr>
      </w:pPr>
    </w:p>
    <w:p w14:paraId="594ED338" w14:textId="77777777" w:rsidR="000D18F0" w:rsidRDefault="000D18F0" w:rsidP="009C704C">
      <w:pPr>
        <w:widowControl w:val="0"/>
        <w:autoSpaceDE w:val="0"/>
        <w:autoSpaceDN w:val="0"/>
        <w:adjustRightInd w:val="0"/>
        <w:spacing w:after="0" w:line="276" w:lineRule="auto"/>
        <w:jc w:val="both"/>
        <w:rPr>
          <w:rFonts w:ascii="Arial" w:hAnsi="Arial" w:cs="Arial"/>
          <w:color w:val="131413"/>
          <w:sz w:val="20"/>
          <w:szCs w:val="20"/>
          <w:lang w:val="es-ES"/>
        </w:rPr>
      </w:pPr>
      <w:r>
        <w:rPr>
          <w:rFonts w:ascii="Arial" w:hAnsi="Arial" w:cs="Arial"/>
          <w:color w:val="131413"/>
          <w:sz w:val="20"/>
          <w:szCs w:val="20"/>
          <w:lang w:val="es-ES"/>
        </w:rPr>
        <w:t>Las indicaciones de trasplante alogénico de médula ósea han cambiado en el tiempo, actualmente se consideran las siguientes como indicaciones absolutas para trasplante:</w:t>
      </w:r>
    </w:p>
    <w:p w14:paraId="400A0328" w14:textId="77777777" w:rsidR="000D18F0" w:rsidRDefault="000D18F0" w:rsidP="009C704C">
      <w:pPr>
        <w:widowControl w:val="0"/>
        <w:autoSpaceDE w:val="0"/>
        <w:autoSpaceDN w:val="0"/>
        <w:adjustRightInd w:val="0"/>
        <w:spacing w:after="0" w:line="276" w:lineRule="auto"/>
        <w:jc w:val="both"/>
        <w:rPr>
          <w:rFonts w:ascii="Arial" w:hAnsi="Arial" w:cs="Arial"/>
          <w:color w:val="131413"/>
          <w:sz w:val="20"/>
          <w:szCs w:val="20"/>
          <w:lang w:val="es-ES"/>
        </w:rPr>
      </w:pPr>
    </w:p>
    <w:p w14:paraId="5B27DA04"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1) Mayores de 40 años</w:t>
      </w:r>
    </w:p>
    <w:p w14:paraId="22E3A60B" w14:textId="2291BE2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2) Leucocitos mayores de 30 x 10</w:t>
      </w:r>
      <w:r w:rsidRPr="000D18F0">
        <w:rPr>
          <w:rFonts w:ascii="Arial" w:hAnsi="Arial" w:cs="Arial"/>
          <w:sz w:val="20"/>
          <w:szCs w:val="20"/>
          <w:vertAlign w:val="superscript"/>
          <w:lang w:val="es-ES"/>
        </w:rPr>
        <w:t>9</w:t>
      </w:r>
      <w:r>
        <w:rPr>
          <w:rFonts w:ascii="Arial" w:hAnsi="Arial" w:cs="Arial"/>
          <w:sz w:val="20"/>
          <w:szCs w:val="20"/>
          <w:lang w:val="es-ES"/>
        </w:rPr>
        <w:t xml:space="preserve"> en LLA-B al </w:t>
      </w:r>
      <w:r w:rsidRPr="000D18F0">
        <w:rPr>
          <w:rFonts w:ascii="Arial" w:hAnsi="Arial" w:cs="Arial"/>
          <w:sz w:val="20"/>
          <w:szCs w:val="20"/>
          <w:lang w:val="es-ES"/>
        </w:rPr>
        <w:t xml:space="preserve">diagnóstico o </w:t>
      </w:r>
      <w:r w:rsidR="000B75EB" w:rsidRPr="000D18F0">
        <w:rPr>
          <w:rFonts w:ascii="Arial" w:hAnsi="Arial" w:cs="Arial"/>
          <w:sz w:val="20"/>
          <w:szCs w:val="20"/>
          <w:lang w:val="es-ES"/>
        </w:rPr>
        <w:t>más</w:t>
      </w:r>
      <w:r w:rsidRPr="000D18F0">
        <w:rPr>
          <w:rFonts w:ascii="Arial" w:hAnsi="Arial" w:cs="Arial"/>
          <w:sz w:val="20"/>
          <w:szCs w:val="20"/>
          <w:lang w:val="es-ES"/>
        </w:rPr>
        <w:t xml:space="preserve"> de 100 x 10</w:t>
      </w:r>
      <w:r w:rsidRPr="000D18F0">
        <w:rPr>
          <w:rFonts w:ascii="Arial" w:hAnsi="Arial" w:cs="Arial"/>
          <w:sz w:val="20"/>
          <w:szCs w:val="20"/>
          <w:vertAlign w:val="superscript"/>
          <w:lang w:val="es-ES"/>
        </w:rPr>
        <w:t>9</w:t>
      </w:r>
      <w:r w:rsidRPr="000D18F0">
        <w:rPr>
          <w:rFonts w:ascii="Arial" w:hAnsi="Arial" w:cs="Arial"/>
          <w:sz w:val="20"/>
          <w:szCs w:val="20"/>
          <w:lang w:val="es-ES"/>
        </w:rPr>
        <w:t xml:space="preserve"> en LLA-T</w:t>
      </w:r>
    </w:p>
    <w:p w14:paraId="1265BEA1"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3) Cromosoma filadelfia positivo</w:t>
      </w:r>
    </w:p>
    <w:p w14:paraId="644ED6AA" w14:textId="3A2858FA"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 xml:space="preserve">4) </w:t>
      </w:r>
      <w:r w:rsidR="000B75EB" w:rsidRPr="000D18F0">
        <w:rPr>
          <w:rFonts w:ascii="Arial" w:hAnsi="Arial" w:cs="Arial"/>
          <w:sz w:val="20"/>
          <w:szCs w:val="20"/>
          <w:lang w:val="es-ES"/>
        </w:rPr>
        <w:t>t (</w:t>
      </w:r>
      <w:r w:rsidRPr="000D18F0">
        <w:rPr>
          <w:rFonts w:ascii="Arial" w:hAnsi="Arial" w:cs="Arial"/>
          <w:sz w:val="20"/>
          <w:szCs w:val="20"/>
          <w:lang w:val="es-ES"/>
        </w:rPr>
        <w:t>4;</w:t>
      </w:r>
      <w:r w:rsidR="000B75EB" w:rsidRPr="000D18F0">
        <w:rPr>
          <w:rFonts w:ascii="Arial" w:hAnsi="Arial" w:cs="Arial"/>
          <w:sz w:val="20"/>
          <w:szCs w:val="20"/>
          <w:lang w:val="es-ES"/>
        </w:rPr>
        <w:t>11) (</w:t>
      </w:r>
      <w:r w:rsidRPr="000D18F0">
        <w:rPr>
          <w:rFonts w:ascii="Arial" w:hAnsi="Arial" w:cs="Arial"/>
          <w:sz w:val="20"/>
          <w:szCs w:val="20"/>
          <w:lang w:val="es-ES"/>
        </w:rPr>
        <w:t>q</w:t>
      </w:r>
      <w:r w:rsidR="000B75EB" w:rsidRPr="000D18F0">
        <w:rPr>
          <w:rFonts w:ascii="Arial" w:hAnsi="Arial" w:cs="Arial"/>
          <w:sz w:val="20"/>
          <w:szCs w:val="20"/>
          <w:lang w:val="es-ES"/>
        </w:rPr>
        <w:t>21; q</w:t>
      </w:r>
      <w:r w:rsidRPr="000D18F0">
        <w:rPr>
          <w:rFonts w:ascii="Arial" w:hAnsi="Arial" w:cs="Arial"/>
          <w:sz w:val="20"/>
          <w:szCs w:val="20"/>
          <w:lang w:val="es-ES"/>
        </w:rPr>
        <w:t>23)</w:t>
      </w:r>
    </w:p>
    <w:p w14:paraId="3F8E3018" w14:textId="06171725"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 xml:space="preserve">5) </w:t>
      </w:r>
      <w:r w:rsidR="000B75EB" w:rsidRPr="000D18F0">
        <w:rPr>
          <w:rFonts w:ascii="Arial" w:hAnsi="Arial" w:cs="Arial"/>
          <w:sz w:val="20"/>
          <w:szCs w:val="20"/>
          <w:lang w:val="es-ES"/>
        </w:rPr>
        <w:t>t (</w:t>
      </w:r>
      <w:r w:rsidRPr="000D18F0">
        <w:rPr>
          <w:rFonts w:ascii="Arial" w:hAnsi="Arial" w:cs="Arial"/>
          <w:sz w:val="20"/>
          <w:szCs w:val="20"/>
          <w:lang w:val="es-ES"/>
        </w:rPr>
        <w:t>8;</w:t>
      </w:r>
      <w:r w:rsidR="000B75EB" w:rsidRPr="000D18F0">
        <w:rPr>
          <w:rFonts w:ascii="Arial" w:hAnsi="Arial" w:cs="Arial"/>
          <w:sz w:val="20"/>
          <w:szCs w:val="20"/>
          <w:lang w:val="es-ES"/>
        </w:rPr>
        <w:t>14) (</w:t>
      </w:r>
      <w:r w:rsidRPr="000D18F0">
        <w:rPr>
          <w:rFonts w:ascii="Arial" w:hAnsi="Arial" w:cs="Arial"/>
          <w:sz w:val="20"/>
          <w:szCs w:val="20"/>
          <w:lang w:val="es-ES"/>
        </w:rPr>
        <w:t>q24,</w:t>
      </w:r>
      <w:r w:rsidR="000B75EB" w:rsidRPr="000D18F0">
        <w:rPr>
          <w:rFonts w:ascii="Arial" w:hAnsi="Arial" w:cs="Arial"/>
          <w:sz w:val="20"/>
          <w:szCs w:val="20"/>
          <w:lang w:val="es-ES"/>
        </w:rPr>
        <w:t>1; q</w:t>
      </w:r>
      <w:r w:rsidRPr="000D18F0">
        <w:rPr>
          <w:rFonts w:ascii="Arial" w:hAnsi="Arial" w:cs="Arial"/>
          <w:sz w:val="20"/>
          <w:szCs w:val="20"/>
          <w:lang w:val="es-ES"/>
        </w:rPr>
        <w:t>32)</w:t>
      </w:r>
    </w:p>
    <w:p w14:paraId="4CD7D79E"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6) Cariotipo complejo</w:t>
      </w:r>
    </w:p>
    <w:p w14:paraId="0F77AC82"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7) Baja hipodiploidia / cercanía a la triploidia</w:t>
      </w:r>
    </w:p>
    <w:p w14:paraId="7D219E1C"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 xml:space="preserve">8) LLA-T temprana </w:t>
      </w:r>
    </w:p>
    <w:p w14:paraId="0DBBA2CB"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Pr>
          <w:rFonts w:ascii="Arial" w:hAnsi="Arial" w:cs="Arial"/>
          <w:sz w:val="20"/>
          <w:szCs w:val="20"/>
          <w:lang w:val="es-ES"/>
        </w:rPr>
        <w:t>9) Ph-like: deleció</w:t>
      </w:r>
      <w:r w:rsidRPr="000D18F0">
        <w:rPr>
          <w:rFonts w:ascii="Arial" w:hAnsi="Arial" w:cs="Arial"/>
          <w:sz w:val="20"/>
          <w:szCs w:val="20"/>
          <w:lang w:val="es-ES"/>
        </w:rPr>
        <w:t xml:space="preserve">n IKZF1 en LLA-B </w:t>
      </w:r>
    </w:p>
    <w:p w14:paraId="7260FAB8"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10) NOTCH1/FBXW7; N/K-RAS, PETN en LLA-T</w:t>
      </w:r>
    </w:p>
    <w:p w14:paraId="0D7F4ECC"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11) EMR positiva &gt; 1 x 10</w:t>
      </w:r>
      <w:r w:rsidRPr="000D18F0">
        <w:rPr>
          <w:rFonts w:ascii="Arial" w:hAnsi="Arial" w:cs="Arial"/>
          <w:sz w:val="20"/>
          <w:szCs w:val="20"/>
          <w:vertAlign w:val="superscript"/>
          <w:lang w:val="es-ES"/>
        </w:rPr>
        <w:t>-4</w:t>
      </w:r>
      <w:r w:rsidRPr="000D18F0">
        <w:rPr>
          <w:rFonts w:ascii="Arial" w:hAnsi="Arial" w:cs="Arial"/>
          <w:sz w:val="20"/>
          <w:szCs w:val="20"/>
          <w:lang w:val="es-ES"/>
        </w:rPr>
        <w:t xml:space="preserve"> después de dos ciclos de quimioterapia</w:t>
      </w:r>
    </w:p>
    <w:p w14:paraId="67FE9597" w14:textId="77777777" w:rsidR="000D18F0" w:rsidRPr="000D18F0" w:rsidRDefault="000D18F0" w:rsidP="000D18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0"/>
          <w:szCs w:val="20"/>
          <w:lang w:val="es-ES"/>
        </w:rPr>
      </w:pPr>
      <w:r w:rsidRPr="000D18F0">
        <w:rPr>
          <w:rFonts w:ascii="Arial" w:hAnsi="Arial" w:cs="Arial"/>
          <w:sz w:val="20"/>
          <w:szCs w:val="20"/>
          <w:lang w:val="es-ES"/>
        </w:rPr>
        <w:t>12) Reaparición de EMR</w:t>
      </w:r>
    </w:p>
    <w:p w14:paraId="2CBDA583" w14:textId="77777777" w:rsidR="000D18F0" w:rsidRDefault="000D18F0" w:rsidP="000D18F0">
      <w:pPr>
        <w:widowControl w:val="0"/>
        <w:autoSpaceDE w:val="0"/>
        <w:autoSpaceDN w:val="0"/>
        <w:adjustRightInd w:val="0"/>
        <w:spacing w:after="0" w:line="276" w:lineRule="auto"/>
        <w:jc w:val="both"/>
        <w:rPr>
          <w:rFonts w:ascii="Arial" w:hAnsi="Arial" w:cs="Arial"/>
          <w:sz w:val="20"/>
          <w:szCs w:val="20"/>
          <w:lang w:val="es-ES"/>
        </w:rPr>
      </w:pPr>
      <w:r w:rsidRPr="000D18F0">
        <w:rPr>
          <w:rFonts w:ascii="Arial" w:hAnsi="Arial" w:cs="Arial"/>
          <w:sz w:val="20"/>
          <w:szCs w:val="20"/>
          <w:lang w:val="es-ES"/>
        </w:rPr>
        <w:t>13) Falla en mantener la respuesta completa durante las primeras 4 semanas después de terapia</w:t>
      </w:r>
      <w:r w:rsidR="00415C49">
        <w:rPr>
          <w:rFonts w:ascii="Arial" w:hAnsi="Arial" w:cs="Arial"/>
          <w:sz w:val="20"/>
          <w:szCs w:val="20"/>
          <w:lang w:val="es-ES"/>
        </w:rPr>
        <w:fldChar w:fldCharType="begin" w:fldLock="1"/>
      </w:r>
      <w:r w:rsidR="006362B7">
        <w:rPr>
          <w:rFonts w:ascii="Arial" w:hAnsi="Arial" w:cs="Arial"/>
          <w:sz w:val="20"/>
          <w:szCs w:val="20"/>
          <w:lang w:val="es-ES"/>
        </w:rPr>
        <w:instrText>ADDIN CSL_CITATION {"citationItems":[{"id":"ITEM-1","itemData":{"ISBN":"9783030022778","abstract":"7th edition.","author":[{"dropping-particle":"","family":"European Society for Blood and Marrow Transplantation (EBMT)","given":"","non-dropping-particle":"","parse-names":false,"suffix":""}],"id":"ITEM-1","issued":{"date-parts":[["2019"]]},"number-of-pages":"1-688","title":"The EBMT Handbook Hematopoietic Stem Cell Transplantation and Cellular Therapies","type":"book"},"uris":["http://www.mendeley.com/documents/?uuid=0a99c2a1-7bba-4ec5-bf10-2a3166ebc33b"]}],"mendeley":{"formattedCitation":"(70)","plainTextFormattedCitation":"(70)"},"properties":{"noteIndex":0},"schema":"https://github.com/citation-style-language/schema/raw/master/csl-citation.json"}</w:instrText>
      </w:r>
      <w:r w:rsidR="00415C49">
        <w:rPr>
          <w:rFonts w:ascii="Arial" w:hAnsi="Arial" w:cs="Arial"/>
          <w:sz w:val="20"/>
          <w:szCs w:val="20"/>
          <w:lang w:val="es-ES"/>
        </w:rPr>
        <w:fldChar w:fldCharType="separate"/>
      </w:r>
      <w:r w:rsidR="006362B7" w:rsidRPr="006362B7">
        <w:rPr>
          <w:rFonts w:ascii="Arial" w:hAnsi="Arial" w:cs="Arial"/>
          <w:noProof/>
          <w:sz w:val="20"/>
          <w:szCs w:val="20"/>
          <w:lang w:val="es-ES"/>
        </w:rPr>
        <w:t>(70)</w:t>
      </w:r>
      <w:r w:rsidR="00415C49">
        <w:rPr>
          <w:rFonts w:ascii="Arial" w:hAnsi="Arial" w:cs="Arial"/>
          <w:sz w:val="20"/>
          <w:szCs w:val="20"/>
          <w:lang w:val="es-ES"/>
        </w:rPr>
        <w:fldChar w:fldCharType="end"/>
      </w:r>
      <w:r w:rsidR="006362B7">
        <w:rPr>
          <w:rFonts w:ascii="Arial" w:hAnsi="Arial" w:cs="Arial"/>
          <w:sz w:val="20"/>
          <w:szCs w:val="20"/>
          <w:lang w:val="es-ES"/>
        </w:rPr>
        <w:t>.</w:t>
      </w:r>
    </w:p>
    <w:p w14:paraId="02835C66" w14:textId="77777777" w:rsidR="00A92D9C" w:rsidRDefault="00A92D9C" w:rsidP="000D18F0">
      <w:pPr>
        <w:widowControl w:val="0"/>
        <w:autoSpaceDE w:val="0"/>
        <w:autoSpaceDN w:val="0"/>
        <w:adjustRightInd w:val="0"/>
        <w:spacing w:after="0" w:line="276" w:lineRule="auto"/>
        <w:jc w:val="both"/>
        <w:rPr>
          <w:rFonts w:ascii="Arial" w:hAnsi="Arial" w:cs="Arial"/>
          <w:sz w:val="20"/>
          <w:szCs w:val="20"/>
          <w:lang w:val="es-ES"/>
        </w:rPr>
      </w:pPr>
    </w:p>
    <w:p w14:paraId="047C6550" w14:textId="77777777" w:rsidR="00C86C4F" w:rsidRDefault="00C86C4F" w:rsidP="00A32203">
      <w:pPr>
        <w:widowControl w:val="0"/>
        <w:autoSpaceDE w:val="0"/>
        <w:autoSpaceDN w:val="0"/>
        <w:adjustRightInd w:val="0"/>
        <w:spacing w:after="0" w:line="276" w:lineRule="auto"/>
        <w:jc w:val="both"/>
        <w:rPr>
          <w:rFonts w:ascii="Arial" w:hAnsi="Arial" w:cs="Arial"/>
          <w:sz w:val="20"/>
          <w:szCs w:val="20"/>
          <w:lang w:val="es-ES"/>
        </w:rPr>
      </w:pPr>
    </w:p>
    <w:p w14:paraId="14CDB906" w14:textId="77777777" w:rsidR="006B01BD" w:rsidRDefault="006B01BD" w:rsidP="00A32203">
      <w:pPr>
        <w:widowControl w:val="0"/>
        <w:autoSpaceDE w:val="0"/>
        <w:autoSpaceDN w:val="0"/>
        <w:adjustRightInd w:val="0"/>
        <w:spacing w:after="0" w:line="276" w:lineRule="auto"/>
        <w:jc w:val="both"/>
        <w:rPr>
          <w:rFonts w:ascii="Arial" w:hAnsi="Arial" w:cs="Arial"/>
          <w:sz w:val="20"/>
          <w:szCs w:val="20"/>
          <w:lang w:val="es-ES"/>
        </w:rPr>
      </w:pPr>
    </w:p>
    <w:p w14:paraId="333FE4E9" w14:textId="77777777" w:rsidR="006B01BD" w:rsidRDefault="006B01BD" w:rsidP="00A32203">
      <w:pPr>
        <w:widowControl w:val="0"/>
        <w:autoSpaceDE w:val="0"/>
        <w:autoSpaceDN w:val="0"/>
        <w:adjustRightInd w:val="0"/>
        <w:spacing w:after="0" w:line="276" w:lineRule="auto"/>
        <w:jc w:val="both"/>
        <w:rPr>
          <w:rFonts w:ascii="Arial" w:hAnsi="Arial" w:cs="Arial"/>
          <w:sz w:val="20"/>
          <w:szCs w:val="20"/>
          <w:lang w:val="es-ES"/>
        </w:rPr>
      </w:pPr>
    </w:p>
    <w:p w14:paraId="353D8E4B" w14:textId="77777777" w:rsidR="006B01BD" w:rsidRDefault="006B01BD" w:rsidP="00A32203">
      <w:pPr>
        <w:widowControl w:val="0"/>
        <w:autoSpaceDE w:val="0"/>
        <w:autoSpaceDN w:val="0"/>
        <w:adjustRightInd w:val="0"/>
        <w:spacing w:after="0" w:line="276" w:lineRule="auto"/>
        <w:jc w:val="both"/>
        <w:rPr>
          <w:rFonts w:ascii="Arial" w:hAnsi="Arial" w:cs="Arial"/>
          <w:b/>
          <w:sz w:val="20"/>
          <w:szCs w:val="20"/>
          <w:lang w:val="es-ES"/>
        </w:rPr>
      </w:pPr>
      <w:r w:rsidRPr="006B01BD">
        <w:rPr>
          <w:rFonts w:ascii="Arial" w:hAnsi="Arial" w:cs="Arial"/>
          <w:b/>
          <w:sz w:val="20"/>
          <w:szCs w:val="20"/>
          <w:lang w:val="es-ES"/>
        </w:rPr>
        <w:t>LECTURAS RECOMENDADAS</w:t>
      </w:r>
    </w:p>
    <w:p w14:paraId="1588B04F" w14:textId="77777777" w:rsidR="001409B1" w:rsidRDefault="001409B1" w:rsidP="00A32203">
      <w:pPr>
        <w:widowControl w:val="0"/>
        <w:autoSpaceDE w:val="0"/>
        <w:autoSpaceDN w:val="0"/>
        <w:adjustRightInd w:val="0"/>
        <w:spacing w:after="0" w:line="276" w:lineRule="auto"/>
        <w:jc w:val="both"/>
        <w:rPr>
          <w:rFonts w:ascii="Arial" w:hAnsi="Arial" w:cs="Arial"/>
          <w:b/>
          <w:sz w:val="20"/>
          <w:szCs w:val="20"/>
          <w:lang w:val="es-ES"/>
        </w:rPr>
      </w:pPr>
    </w:p>
    <w:p w14:paraId="37E0911B" w14:textId="77777777" w:rsidR="001409B1" w:rsidRDefault="00415C49" w:rsidP="001409B1">
      <w:pPr>
        <w:pStyle w:val="Prrafodelista"/>
        <w:widowControl w:val="0"/>
        <w:numPr>
          <w:ilvl w:val="0"/>
          <w:numId w:val="7"/>
        </w:numPr>
        <w:autoSpaceDE w:val="0"/>
        <w:autoSpaceDN w:val="0"/>
        <w:adjustRightInd w:val="0"/>
        <w:spacing w:after="0" w:line="276" w:lineRule="auto"/>
        <w:jc w:val="both"/>
        <w:rPr>
          <w:rFonts w:ascii="Arial" w:hAnsi="Arial" w:cs="Arial"/>
          <w:noProof/>
          <w:sz w:val="20"/>
          <w:lang w:val="es-ES"/>
        </w:rPr>
      </w:pPr>
      <w:r w:rsidRPr="00403F96">
        <w:rPr>
          <w:rFonts w:ascii="Arial" w:hAnsi="Arial" w:cs="Arial"/>
          <w:noProof/>
          <w:sz w:val="20"/>
          <w:lang w:val="en-US"/>
        </w:rPr>
        <w:t xml:space="preserve">Terwilliger T, Abdul-Hay M. Acute lymphoblastic leukemia: a comprehensive review and 2017 update. </w:t>
      </w:r>
      <w:r w:rsidR="001409B1" w:rsidRPr="001409B1">
        <w:rPr>
          <w:rFonts w:ascii="Arial" w:hAnsi="Arial" w:cs="Arial"/>
          <w:noProof/>
          <w:sz w:val="20"/>
          <w:lang w:val="es-ES"/>
        </w:rPr>
        <w:t>Blood Cancer J. 2017;7(6):e577.</w:t>
      </w:r>
    </w:p>
    <w:p w14:paraId="3D2B7A72" w14:textId="77777777" w:rsidR="001409B1" w:rsidRPr="001409B1" w:rsidRDefault="001409B1" w:rsidP="001409B1">
      <w:pPr>
        <w:pStyle w:val="Prrafodelista"/>
        <w:widowControl w:val="0"/>
        <w:autoSpaceDE w:val="0"/>
        <w:autoSpaceDN w:val="0"/>
        <w:adjustRightInd w:val="0"/>
        <w:spacing w:after="0" w:line="276" w:lineRule="auto"/>
        <w:jc w:val="both"/>
        <w:rPr>
          <w:rFonts w:ascii="Arial" w:hAnsi="Arial" w:cs="Arial"/>
          <w:noProof/>
          <w:sz w:val="20"/>
          <w:lang w:val="es-ES"/>
        </w:rPr>
      </w:pPr>
    </w:p>
    <w:p w14:paraId="480545C0" w14:textId="77777777" w:rsidR="001409B1" w:rsidRPr="00446C80" w:rsidRDefault="00415C49" w:rsidP="001409B1">
      <w:pPr>
        <w:pStyle w:val="Prrafodelista"/>
        <w:widowControl w:val="0"/>
        <w:numPr>
          <w:ilvl w:val="0"/>
          <w:numId w:val="7"/>
        </w:numPr>
        <w:autoSpaceDE w:val="0"/>
        <w:autoSpaceDN w:val="0"/>
        <w:adjustRightInd w:val="0"/>
        <w:spacing w:after="0" w:line="276" w:lineRule="auto"/>
        <w:jc w:val="both"/>
        <w:rPr>
          <w:rFonts w:ascii="Arial" w:hAnsi="Arial" w:cs="Arial"/>
          <w:sz w:val="20"/>
          <w:szCs w:val="20"/>
          <w:lang w:val="en-US"/>
        </w:rPr>
      </w:pPr>
      <w:r w:rsidRPr="00403F96">
        <w:rPr>
          <w:rFonts w:ascii="Arial" w:hAnsi="Arial" w:cs="Arial"/>
          <w:noProof/>
          <w:sz w:val="20"/>
          <w:lang w:val="en-US"/>
        </w:rPr>
        <w:t xml:space="preserve">Aldoss I, Stein AS. Advances in adult acute lymphoblastic leukemia therapy. </w:t>
      </w:r>
      <w:r w:rsidR="001409B1" w:rsidRPr="00446C80">
        <w:rPr>
          <w:rFonts w:ascii="Arial" w:hAnsi="Arial" w:cs="Arial"/>
          <w:noProof/>
          <w:sz w:val="20"/>
          <w:lang w:val="en-US"/>
        </w:rPr>
        <w:t>Leuk Lymphoma [Internet]. 2018;59(5):1033–50.</w:t>
      </w:r>
    </w:p>
    <w:p w14:paraId="0D51A487" w14:textId="77777777" w:rsidR="001409B1" w:rsidRPr="00446C80" w:rsidRDefault="001409B1" w:rsidP="001409B1">
      <w:pPr>
        <w:widowControl w:val="0"/>
        <w:autoSpaceDE w:val="0"/>
        <w:autoSpaceDN w:val="0"/>
        <w:adjustRightInd w:val="0"/>
        <w:spacing w:after="0" w:line="276" w:lineRule="auto"/>
        <w:jc w:val="both"/>
        <w:rPr>
          <w:rFonts w:ascii="Arial" w:hAnsi="Arial" w:cs="Arial"/>
          <w:sz w:val="20"/>
          <w:szCs w:val="20"/>
          <w:lang w:val="en-US"/>
        </w:rPr>
      </w:pPr>
    </w:p>
    <w:p w14:paraId="1021975A" w14:textId="77777777" w:rsidR="001409B1" w:rsidRPr="00403F96" w:rsidRDefault="00415C49" w:rsidP="001409B1">
      <w:pPr>
        <w:pStyle w:val="Prrafodelista"/>
        <w:widowControl w:val="0"/>
        <w:numPr>
          <w:ilvl w:val="0"/>
          <w:numId w:val="7"/>
        </w:numPr>
        <w:autoSpaceDE w:val="0"/>
        <w:autoSpaceDN w:val="0"/>
        <w:adjustRightInd w:val="0"/>
        <w:spacing w:after="0" w:line="276" w:lineRule="auto"/>
        <w:jc w:val="both"/>
        <w:rPr>
          <w:rFonts w:ascii="Arial" w:hAnsi="Arial" w:cs="Arial"/>
          <w:sz w:val="20"/>
          <w:szCs w:val="20"/>
          <w:lang w:val="en-US"/>
        </w:rPr>
      </w:pPr>
      <w:r w:rsidRPr="00403F96">
        <w:rPr>
          <w:rFonts w:ascii="Arial" w:hAnsi="Arial" w:cs="Arial"/>
          <w:noProof/>
          <w:sz w:val="20"/>
          <w:lang w:val="en-US"/>
        </w:rPr>
        <w:t>Acute Lymphoblastic Leukemia. Natl Compr Cancer Network NCCN Clin Pract Guidel Oncol (NCCN Guidel [Internet]. 2019;2(May 15):1–115. Available from: https://www.nccn.org/professionals/physician_gls/pdf/all.pdf</w:t>
      </w:r>
    </w:p>
    <w:p w14:paraId="73B81608" w14:textId="77777777" w:rsidR="001409B1" w:rsidRPr="00403F96" w:rsidRDefault="001409B1" w:rsidP="00A32203">
      <w:pPr>
        <w:widowControl w:val="0"/>
        <w:autoSpaceDE w:val="0"/>
        <w:autoSpaceDN w:val="0"/>
        <w:adjustRightInd w:val="0"/>
        <w:spacing w:after="0" w:line="276" w:lineRule="auto"/>
        <w:jc w:val="both"/>
        <w:rPr>
          <w:rFonts w:ascii="Arial" w:hAnsi="Arial" w:cs="Arial"/>
          <w:color w:val="000000"/>
          <w:sz w:val="28"/>
          <w:szCs w:val="28"/>
          <w:lang w:val="en-US"/>
        </w:rPr>
      </w:pPr>
    </w:p>
    <w:p w14:paraId="783235E7" w14:textId="77777777" w:rsidR="00A32203" w:rsidRPr="00403F96" w:rsidRDefault="00415C49" w:rsidP="00655417">
      <w:pPr>
        <w:widowControl w:val="0"/>
        <w:autoSpaceDE w:val="0"/>
        <w:autoSpaceDN w:val="0"/>
        <w:adjustRightInd w:val="0"/>
        <w:spacing w:after="0" w:line="276" w:lineRule="auto"/>
        <w:jc w:val="both"/>
        <w:rPr>
          <w:rFonts w:ascii="Arial" w:hAnsi="Arial" w:cs="Arial"/>
          <w:b/>
          <w:color w:val="000000"/>
          <w:sz w:val="20"/>
          <w:szCs w:val="20"/>
          <w:lang w:val="en-US"/>
        </w:rPr>
      </w:pPr>
      <w:r w:rsidRPr="00403F96">
        <w:rPr>
          <w:rFonts w:ascii="Arial" w:hAnsi="Arial" w:cs="Arial"/>
          <w:b/>
          <w:color w:val="000000"/>
          <w:sz w:val="20"/>
          <w:szCs w:val="20"/>
          <w:lang w:val="en-US"/>
        </w:rPr>
        <w:t>REFERENCIAS</w:t>
      </w:r>
    </w:p>
    <w:p w14:paraId="394AC8A4" w14:textId="77777777" w:rsidR="00E4639F" w:rsidRPr="00403F96" w:rsidRDefault="00E4639F" w:rsidP="00655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Arial" w:hAnsi="Arial" w:cs="Arial"/>
          <w:sz w:val="20"/>
          <w:szCs w:val="20"/>
          <w:lang w:val="en-US"/>
        </w:rPr>
      </w:pPr>
    </w:p>
    <w:p w14:paraId="050020CF"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655417">
        <w:rPr>
          <w:rFonts w:ascii="Arial" w:hAnsi="Arial" w:cs="Arial"/>
          <w:sz w:val="20"/>
          <w:szCs w:val="20"/>
        </w:rPr>
        <w:fldChar w:fldCharType="begin" w:fldLock="1"/>
      </w:r>
      <w:r w:rsidRPr="00403F96">
        <w:rPr>
          <w:rFonts w:ascii="Arial" w:hAnsi="Arial" w:cs="Arial"/>
          <w:sz w:val="20"/>
          <w:szCs w:val="20"/>
          <w:lang w:val="en-US"/>
        </w:rPr>
        <w:instrText xml:space="preserve">ADDIN Mendeley Bibliography CSL_BIBLIOGRAPHY </w:instrText>
      </w:r>
      <w:r w:rsidRPr="00655417">
        <w:rPr>
          <w:rFonts w:ascii="Arial" w:hAnsi="Arial" w:cs="Arial"/>
          <w:sz w:val="20"/>
          <w:szCs w:val="20"/>
        </w:rPr>
        <w:fldChar w:fldCharType="separate"/>
      </w:r>
      <w:r w:rsidRPr="00403F96">
        <w:rPr>
          <w:rFonts w:ascii="Arial" w:hAnsi="Arial" w:cs="Arial"/>
          <w:noProof/>
          <w:sz w:val="20"/>
          <w:lang w:val="en-US"/>
        </w:rPr>
        <w:t xml:space="preserve">1. </w:t>
      </w:r>
      <w:r w:rsidRPr="00403F96">
        <w:rPr>
          <w:rFonts w:ascii="Arial" w:hAnsi="Arial" w:cs="Arial"/>
          <w:noProof/>
          <w:sz w:val="20"/>
          <w:lang w:val="en-US"/>
        </w:rPr>
        <w:tab/>
        <w:t xml:space="preserve">Serdlow SH, Campo E, Harris NL, Jaffe ES, Pileri SA, Stein H, et al. World Health Organization Classification of Tumours Haematopoietic and Lymphoid Tissues. 2017. 585 p. </w:t>
      </w:r>
    </w:p>
    <w:p w14:paraId="70F767E2"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 </w:t>
      </w:r>
      <w:r w:rsidRPr="00403F96">
        <w:rPr>
          <w:rFonts w:ascii="Arial" w:hAnsi="Arial" w:cs="Arial"/>
          <w:noProof/>
          <w:sz w:val="20"/>
          <w:lang w:val="en-US"/>
        </w:rPr>
        <w:tab/>
        <w:t xml:space="preserve">Terwilliger T, Abdul-Hay M. Acute lymphoblastic leukemia: a comprehensive review and 2017 update. Blood Cancer J. 2017;7(6):e577. </w:t>
      </w:r>
    </w:p>
    <w:p w14:paraId="5E593C44"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3. </w:t>
      </w:r>
      <w:r w:rsidRPr="00403F96">
        <w:rPr>
          <w:rFonts w:ascii="Arial" w:hAnsi="Arial" w:cs="Arial"/>
          <w:noProof/>
          <w:sz w:val="20"/>
          <w:lang w:val="en-US"/>
        </w:rPr>
        <w:tab/>
        <w:t>Howlader N, Noone AM, Krapcho M, Miller D, Bishop K, Altekruse SF, Kosary CL, Yu M, Ruhl J, Tatalovich Z, Mariotto A, Lewis DR, Chen HS, Feuer EJ CK (eds). SEER Cancer Statistics Review 1975-2013 National Cancer Institute SEER Cancer Statistics Review 1975-2013 National Cancer Institute. SEER Cancer Stat Rev 1975-2013, Natl Cancer Institute Bethesda, MD, http//seer.cancer.gov/csr/1975_2013/, based Novemb 2015 SEER data submission, posted to SEER web site, April 2016 [Internet]. 2016;1992–2013. Available from: http://seer.cancer.gov/csr/1975%7B_%7D2013/results%7B_%7Dmerged/sect%7B_%7D24%7B_%7Dstomach.pdf</w:t>
      </w:r>
    </w:p>
    <w:p w14:paraId="2069DD96" w14:textId="77777777" w:rsidR="006362B7" w:rsidRPr="00403F96" w:rsidRDefault="006362B7" w:rsidP="006362B7">
      <w:pPr>
        <w:widowControl w:val="0"/>
        <w:autoSpaceDE w:val="0"/>
        <w:autoSpaceDN w:val="0"/>
        <w:adjustRightInd w:val="0"/>
        <w:ind w:left="640" w:hanging="640"/>
        <w:rPr>
          <w:rFonts w:ascii="Arial" w:hAnsi="Arial" w:cs="Arial"/>
          <w:noProof/>
          <w:sz w:val="20"/>
          <w:lang w:val="en-US"/>
        </w:rPr>
      </w:pPr>
      <w:r w:rsidRPr="006362B7">
        <w:rPr>
          <w:rFonts w:ascii="Arial" w:hAnsi="Arial" w:cs="Arial"/>
          <w:noProof/>
          <w:sz w:val="20"/>
          <w:lang w:val="es-ES"/>
        </w:rPr>
        <w:t xml:space="preserve">4. </w:t>
      </w:r>
      <w:r w:rsidRPr="006362B7">
        <w:rPr>
          <w:rFonts w:ascii="Arial" w:hAnsi="Arial" w:cs="Arial"/>
          <w:noProof/>
          <w:sz w:val="20"/>
          <w:lang w:val="es-ES"/>
        </w:rPr>
        <w:tab/>
        <w:t xml:space="preserve">CAC. Indicadores de gestión del riesgo en adultos con leucemia linfoide y leucemia mieloide </w:t>
      </w:r>
      <w:r w:rsidRPr="006362B7">
        <w:rPr>
          <w:rFonts w:ascii="Arial" w:hAnsi="Arial" w:cs="Arial"/>
          <w:noProof/>
          <w:sz w:val="20"/>
          <w:lang w:val="es-ES"/>
        </w:rPr>
        <w:lastRenderedPageBreak/>
        <w:t xml:space="preserve">aguda en Colombia [Internet]. </w:t>
      </w:r>
      <w:r w:rsidR="00415C49" w:rsidRPr="00403F96">
        <w:rPr>
          <w:rFonts w:ascii="Arial" w:hAnsi="Arial" w:cs="Arial"/>
          <w:noProof/>
          <w:sz w:val="20"/>
          <w:lang w:val="en-US"/>
        </w:rPr>
        <w:t>2018. Available from: https://cuentadealtocosto.org/site/images/Publicaciones/2018/Libro_Consenso_Leucemias_2018.pdf</w:t>
      </w:r>
    </w:p>
    <w:p w14:paraId="18669804"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 </w:t>
      </w:r>
      <w:r w:rsidRPr="00403F96">
        <w:rPr>
          <w:rFonts w:ascii="Arial" w:hAnsi="Arial" w:cs="Arial"/>
          <w:noProof/>
          <w:sz w:val="20"/>
          <w:lang w:val="en-US"/>
        </w:rPr>
        <w:tab/>
        <w:t xml:space="preserve">Kantarjian H, Thomas D, O’Brien S, Cortes J, Giles F, Jeha S, et al. Long-term follow-up results of hyperfractionated cyclophosphamide, vincristine, doxorubicin, and dexamethasone (Hyper-CVAD), a dose-intensive regimen, in adult acute lymphocytic leukemia. Cancer. 2004;101(12):2788–801. </w:t>
      </w:r>
    </w:p>
    <w:p w14:paraId="32E280BC"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 </w:t>
      </w:r>
      <w:r w:rsidRPr="00403F96">
        <w:rPr>
          <w:rFonts w:ascii="Arial" w:hAnsi="Arial" w:cs="Arial"/>
          <w:noProof/>
          <w:sz w:val="20"/>
          <w:lang w:val="en-US"/>
        </w:rPr>
        <w:tab/>
        <w:t xml:space="preserve">Huguet F, Leguay T, Raffoux E, Thomas X, Beldjord K, Delabesse E, et al. Pediatric-inspired therapy in adults with philadelphia chromosome-negative acute lymphoblastic leukemia: The GRAALL-2003 study. J Clin Oncol. 2009;27(6):911–8. </w:t>
      </w:r>
    </w:p>
    <w:p w14:paraId="36717760"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7. </w:t>
      </w:r>
      <w:r w:rsidRPr="00403F96">
        <w:rPr>
          <w:rFonts w:ascii="Arial" w:hAnsi="Arial" w:cs="Arial"/>
          <w:noProof/>
          <w:sz w:val="20"/>
          <w:lang w:val="en-US"/>
        </w:rPr>
        <w:tab/>
        <w:t xml:space="preserve">Gökbuget N, Dombret H, Ribera JM, Fielding AK, Advani A, Bassan R, et al. International reference analysis of outcomes in adults with B-precursor Ph-negative relapsed/refractor y acute lymphoblastic leukemia. Haematologica. 2016;101(12):1524–33. </w:t>
      </w:r>
    </w:p>
    <w:p w14:paraId="39FD77DD"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8. </w:t>
      </w:r>
      <w:r w:rsidRPr="00403F96">
        <w:rPr>
          <w:rFonts w:ascii="Arial" w:hAnsi="Arial" w:cs="Arial"/>
          <w:noProof/>
          <w:sz w:val="20"/>
          <w:lang w:val="en-US"/>
        </w:rPr>
        <w:tab/>
        <w:t xml:space="preserve">Bennett JM, Catovsky D, Daniel M </w:t>
      </w:r>
      <w:r w:rsidRPr="00403F96">
        <w:rPr>
          <w:rFonts w:ascii="Palatino Linotype" w:hAnsi="Palatino Linotype" w:cs="Palatino Linotype"/>
          <w:noProof/>
          <w:sz w:val="20"/>
          <w:lang w:val="en-US"/>
        </w:rPr>
        <w:t>‐</w:t>
      </w:r>
      <w:r w:rsidRPr="00403F96">
        <w:rPr>
          <w:rFonts w:ascii="Arial" w:hAnsi="Arial" w:cs="Arial"/>
          <w:noProof/>
          <w:sz w:val="20"/>
          <w:lang w:val="en-US"/>
        </w:rPr>
        <w:t>T, Flandrin G, Galton DAG, Gralnick HR, et al. Proposals for the Classification of the Acute Leukaemias French</w:t>
      </w:r>
      <w:r w:rsidRPr="00403F96">
        <w:rPr>
          <w:rFonts w:ascii="Palatino Linotype" w:hAnsi="Palatino Linotype" w:cs="Palatino Linotype"/>
          <w:noProof/>
          <w:sz w:val="20"/>
          <w:lang w:val="en-US"/>
        </w:rPr>
        <w:t>‐</w:t>
      </w:r>
      <w:r w:rsidRPr="00403F96">
        <w:rPr>
          <w:rFonts w:ascii="Arial" w:hAnsi="Arial" w:cs="Arial"/>
          <w:noProof/>
          <w:sz w:val="20"/>
          <w:lang w:val="en-US"/>
        </w:rPr>
        <w:t>American</w:t>
      </w:r>
      <w:r w:rsidRPr="00403F96">
        <w:rPr>
          <w:rFonts w:ascii="Palatino Linotype" w:hAnsi="Palatino Linotype" w:cs="Palatino Linotype"/>
          <w:noProof/>
          <w:sz w:val="20"/>
          <w:lang w:val="en-US"/>
        </w:rPr>
        <w:t>‐</w:t>
      </w:r>
      <w:r w:rsidRPr="00403F96">
        <w:rPr>
          <w:rFonts w:ascii="Arial" w:hAnsi="Arial" w:cs="Arial"/>
          <w:noProof/>
          <w:sz w:val="20"/>
          <w:lang w:val="en-US"/>
        </w:rPr>
        <w:t>British (FAB) Co</w:t>
      </w:r>
      <w:r w:rsidRPr="00403F96">
        <w:rPr>
          <w:rFonts w:ascii="Palatino Linotype" w:hAnsi="Palatino Linotype" w:cs="Palatino Linotype"/>
          <w:noProof/>
          <w:sz w:val="20"/>
          <w:lang w:val="en-US"/>
        </w:rPr>
        <w:t>‐</w:t>
      </w:r>
      <w:r w:rsidRPr="00403F96">
        <w:rPr>
          <w:rFonts w:ascii="Arial" w:hAnsi="Arial" w:cs="Arial"/>
          <w:noProof/>
          <w:sz w:val="20"/>
          <w:lang w:val="en-US"/>
        </w:rPr>
        <w:t xml:space="preserve">operative Group. Br J Haematol. 1976;33(4):451–8. </w:t>
      </w:r>
    </w:p>
    <w:p w14:paraId="4BEC38E5"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9. </w:t>
      </w:r>
      <w:r w:rsidRPr="00403F96">
        <w:rPr>
          <w:rFonts w:ascii="Arial" w:hAnsi="Arial" w:cs="Arial"/>
          <w:noProof/>
          <w:sz w:val="20"/>
          <w:lang w:val="en-US"/>
        </w:rPr>
        <w:tab/>
        <w:t xml:space="preserve">Harris NL, Jaffe ES, Diebold J, Flandrin G, Muller-Hermelink HK, Vardiman J, et al. The World Health Organization Classification of Neoplastic Diseases of the Hematopoietic and Lymphoid Tissues. Ann Oncol. 2002;10(12):1419–32. </w:t>
      </w:r>
    </w:p>
    <w:p w14:paraId="404F7A57"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10. </w:t>
      </w:r>
      <w:r w:rsidRPr="00403F96">
        <w:rPr>
          <w:rFonts w:ascii="Arial" w:hAnsi="Arial" w:cs="Arial"/>
          <w:noProof/>
          <w:sz w:val="20"/>
          <w:lang w:val="en-US"/>
        </w:rPr>
        <w:tab/>
        <w:t xml:space="preserve">Vardiman JW, Thiele J, Arber DA, Brunning RD, Borowitz MJ, Porwit A, et al. The 2008 revision of the World Health Organization (WHO) classification of myeloid neoplasms and acute leukemia: Rationale and important changes. Blood. 2009;114(5):937–51. </w:t>
      </w:r>
    </w:p>
    <w:p w14:paraId="44152A94"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11. </w:t>
      </w:r>
      <w:r w:rsidRPr="00403F96">
        <w:rPr>
          <w:rFonts w:ascii="Arial" w:hAnsi="Arial" w:cs="Arial"/>
          <w:noProof/>
          <w:sz w:val="20"/>
          <w:lang w:val="en-US"/>
        </w:rPr>
        <w:tab/>
        <w:t xml:space="preserve">Vardiman JW, Arber DA, Orazi A, Hasserjian R, Borowitz MJ, Beau MM Le, et al. The 2016 revision to the World Health Organization classi fi cation of myeloid neoplasms and acute leukemia. Blood. 2016;127(20):2391–406. </w:t>
      </w:r>
    </w:p>
    <w:p w14:paraId="7B0F5AD6" w14:textId="77777777" w:rsidR="006362B7" w:rsidRPr="006362B7" w:rsidRDefault="00415C49" w:rsidP="006362B7">
      <w:pPr>
        <w:widowControl w:val="0"/>
        <w:autoSpaceDE w:val="0"/>
        <w:autoSpaceDN w:val="0"/>
        <w:adjustRightInd w:val="0"/>
        <w:ind w:left="640" w:hanging="640"/>
        <w:rPr>
          <w:rFonts w:ascii="Arial" w:hAnsi="Arial" w:cs="Arial"/>
          <w:noProof/>
          <w:sz w:val="20"/>
          <w:lang w:val="es-ES"/>
        </w:rPr>
      </w:pPr>
      <w:r w:rsidRPr="00403F96">
        <w:rPr>
          <w:rFonts w:ascii="Arial" w:hAnsi="Arial" w:cs="Arial"/>
          <w:noProof/>
          <w:sz w:val="20"/>
          <w:lang w:val="en-US"/>
        </w:rPr>
        <w:t xml:space="preserve">12. </w:t>
      </w:r>
      <w:r w:rsidRPr="00403F96">
        <w:rPr>
          <w:rFonts w:ascii="Arial" w:hAnsi="Arial" w:cs="Arial"/>
          <w:noProof/>
          <w:sz w:val="20"/>
          <w:lang w:val="en-US"/>
        </w:rPr>
        <w:tab/>
        <w:t xml:space="preserve">Rowe JM, Buck G, Burnett AK, Chopra R, Wiernik PH, Richards SM, et al. Induction therapy for adults ALL_MRC UKALL XII_ECOG E2993. </w:t>
      </w:r>
      <w:r w:rsidR="006362B7" w:rsidRPr="006362B7">
        <w:rPr>
          <w:rFonts w:ascii="Arial" w:hAnsi="Arial" w:cs="Arial"/>
          <w:noProof/>
          <w:sz w:val="20"/>
          <w:lang w:val="es-ES"/>
        </w:rPr>
        <w:t xml:space="preserve">Blood. 2005;106(12):3760–7. </w:t>
      </w:r>
    </w:p>
    <w:p w14:paraId="171CB33D" w14:textId="77777777" w:rsidR="006362B7" w:rsidRPr="00403F96" w:rsidRDefault="006362B7" w:rsidP="006362B7">
      <w:pPr>
        <w:widowControl w:val="0"/>
        <w:autoSpaceDE w:val="0"/>
        <w:autoSpaceDN w:val="0"/>
        <w:adjustRightInd w:val="0"/>
        <w:ind w:left="640" w:hanging="640"/>
        <w:rPr>
          <w:rFonts w:ascii="Arial" w:hAnsi="Arial" w:cs="Arial"/>
          <w:noProof/>
          <w:sz w:val="20"/>
          <w:lang w:val="en-US"/>
        </w:rPr>
      </w:pPr>
      <w:r w:rsidRPr="006362B7">
        <w:rPr>
          <w:rFonts w:ascii="Arial" w:hAnsi="Arial" w:cs="Arial"/>
          <w:noProof/>
          <w:sz w:val="20"/>
          <w:lang w:val="es-ES"/>
        </w:rPr>
        <w:t xml:space="preserve">13. </w:t>
      </w:r>
      <w:r w:rsidRPr="006362B7">
        <w:rPr>
          <w:rFonts w:ascii="Arial" w:hAnsi="Arial" w:cs="Arial"/>
          <w:noProof/>
          <w:sz w:val="20"/>
          <w:lang w:val="es-ES"/>
        </w:rPr>
        <w:tab/>
        <w:t xml:space="preserve">Bassan R, Spinelli O, Oldani E, Intermesoli T, Tosi M, Peruta B, et al. </w:t>
      </w:r>
      <w:r w:rsidR="00415C49" w:rsidRPr="00403F96">
        <w:rPr>
          <w:rFonts w:ascii="Arial" w:hAnsi="Arial" w:cs="Arial"/>
          <w:noProof/>
          <w:sz w:val="20"/>
          <w:lang w:val="en-US"/>
        </w:rPr>
        <w:t xml:space="preserve">Improved risk classification for risk-specific therapy based on the molecular study of MRD in adult ALL. Blood. 2009;113(18):1–11. </w:t>
      </w:r>
    </w:p>
    <w:p w14:paraId="4314E96D"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14. </w:t>
      </w:r>
      <w:r w:rsidRPr="00403F96">
        <w:rPr>
          <w:rFonts w:ascii="Arial" w:hAnsi="Arial" w:cs="Arial"/>
          <w:noProof/>
          <w:sz w:val="20"/>
          <w:lang w:val="en-US"/>
        </w:rPr>
        <w:tab/>
        <w:t xml:space="preserve">Faderl S, Jeha S, Kantarjian HM. The biology and therapy of adult acute lymphoblastic leukemia. Cancer. 2003;98(7):1337–54. </w:t>
      </w:r>
    </w:p>
    <w:p w14:paraId="144BD244"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15. </w:t>
      </w:r>
      <w:r w:rsidRPr="00403F96">
        <w:rPr>
          <w:rFonts w:ascii="Arial" w:hAnsi="Arial" w:cs="Arial"/>
          <w:noProof/>
          <w:sz w:val="20"/>
          <w:lang w:val="en-US"/>
        </w:rPr>
        <w:tab/>
        <w:t xml:space="preserve">Moorman A V., Harrison CJ, Buck GAN, Richards SM, Secker-Walker LM, Martineau M, et al. Karyotype is an independent prognostic factor in adult acute lymphoblastic leukemia (ALL): Analysis of cytogenetic data from patients treated on the Medical Research Council (MRC) UKALLXII/Eastern Cooperative Oncology Group (ECOG) 2993 trial. Blood. 2007;109(8):3189–97. </w:t>
      </w:r>
    </w:p>
    <w:p w14:paraId="3BCE421C"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16. </w:t>
      </w:r>
      <w:r w:rsidRPr="00403F96">
        <w:rPr>
          <w:rFonts w:ascii="Arial" w:hAnsi="Arial" w:cs="Arial"/>
          <w:noProof/>
          <w:sz w:val="20"/>
          <w:lang w:val="en-US"/>
        </w:rPr>
        <w:tab/>
        <w:t>Pui C-H, Relling M V., Downing JR. Acute Lymphoblastic Leukemia. N Engl J Med [Internet]. 2004 Apr 8;350(15):1535–48. Available from: http://www.nejm.org/doi/abs/10.1056/NEJMra023001</w:t>
      </w:r>
    </w:p>
    <w:p w14:paraId="72CB09FB"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17. </w:t>
      </w:r>
      <w:r w:rsidRPr="00403F96">
        <w:rPr>
          <w:rFonts w:ascii="Arial" w:hAnsi="Arial" w:cs="Arial"/>
          <w:noProof/>
          <w:sz w:val="20"/>
          <w:lang w:val="en-US"/>
        </w:rPr>
        <w:tab/>
        <w:t xml:space="preserve">Pullarkat V, Forman SJ, Slovak ML, Appelbaum FR, Kopecky KJ. Impact of cytogenetics on the outcome of adult acute lymphoblastic leukemia: results of Southwest Oncology Group 9400 study. Blood. 2007;111(5):2563–72. </w:t>
      </w:r>
    </w:p>
    <w:p w14:paraId="724ACBE8"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18. </w:t>
      </w:r>
      <w:r w:rsidRPr="00403F96">
        <w:rPr>
          <w:rFonts w:ascii="Arial" w:hAnsi="Arial" w:cs="Arial"/>
          <w:noProof/>
          <w:sz w:val="20"/>
          <w:lang w:val="en-US"/>
        </w:rPr>
        <w:tab/>
        <w:t xml:space="preserve">Hunger SP, Mullighan CG. Redefining ALL classification: Toward detecting high-risk ALL and implementing precision medicine. Blood. 2015;125(26):3977–87. </w:t>
      </w:r>
    </w:p>
    <w:p w14:paraId="3A7D6883"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19. </w:t>
      </w:r>
      <w:r w:rsidRPr="00403F96">
        <w:rPr>
          <w:rFonts w:ascii="Arial" w:hAnsi="Arial" w:cs="Arial"/>
          <w:noProof/>
          <w:sz w:val="20"/>
          <w:lang w:val="en-US"/>
        </w:rPr>
        <w:tab/>
        <w:t xml:space="preserve">Aldoss I, Stein AS. Advances in adult acute lymphoblastic leukemia therapy. Leuk Lymphoma [Internet]. 2018;59(5):1033–50. Available from: </w:t>
      </w:r>
      <w:r w:rsidRPr="00403F96">
        <w:rPr>
          <w:rFonts w:ascii="Arial" w:hAnsi="Arial" w:cs="Arial"/>
          <w:noProof/>
          <w:sz w:val="20"/>
          <w:lang w:val="en-US"/>
        </w:rPr>
        <w:lastRenderedPageBreak/>
        <w:t>https://doi.org/10.1080/10428194.2017.1354372</w:t>
      </w:r>
    </w:p>
    <w:p w14:paraId="781F2C59"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20. </w:t>
      </w:r>
      <w:r w:rsidRPr="00403F96">
        <w:rPr>
          <w:rFonts w:ascii="Arial" w:hAnsi="Arial" w:cs="Arial"/>
          <w:noProof/>
          <w:sz w:val="20"/>
          <w:lang w:val="en-US"/>
        </w:rPr>
        <w:tab/>
        <w:t>Jain N, Roberts KG, Jabbour E, Patel K, Eterovic AK, Chen K, et al. Ph-like acute lymphoblastic leukemia: a high-risk subtype in adults. Blood [Internet]. 2017;129(5):572–81. Available from: http://www.ncbi.nlm.nih.gov/pubmed/27919910%0Ahttp://www.pubmedcentral.nih.gov/articlerender.fcgi?artid=PMC5290985</w:t>
      </w:r>
    </w:p>
    <w:p w14:paraId="5EF54C77"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21. </w:t>
      </w:r>
      <w:r w:rsidRPr="00403F96">
        <w:rPr>
          <w:rFonts w:ascii="Arial" w:hAnsi="Arial" w:cs="Arial"/>
          <w:noProof/>
          <w:sz w:val="20"/>
          <w:lang w:val="en-US"/>
        </w:rPr>
        <w:tab/>
        <w:t xml:space="preserve">Roberts KG, Li Y, Payne-Turner D, Harvey RC, Yang Y-L, Pei D, et al. Targetable Kinase-Activating Lesions in Ph-like Acute Lymphoblastic Leukemia. N Engl J Med. 2015;371(11):1005–15. </w:t>
      </w:r>
    </w:p>
    <w:p w14:paraId="03834E12"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22. </w:t>
      </w:r>
      <w:r w:rsidRPr="00403F96">
        <w:rPr>
          <w:rFonts w:ascii="Arial" w:hAnsi="Arial" w:cs="Arial"/>
          <w:noProof/>
          <w:sz w:val="20"/>
          <w:lang w:val="en-US"/>
        </w:rPr>
        <w:tab/>
        <w:t xml:space="preserve">Bassan R, Brüggemann M, Radcliffe H-S, Hartfield E, Kreuzbauer G, Wetten S. A systematic literature review and meta-analysis of minimal residual disease as a prognostic indicator in adult B-cell acute lymphoblastic leukemia. Haematologica. 2019;haematol.2018.201053. </w:t>
      </w:r>
    </w:p>
    <w:p w14:paraId="5F56BE09"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23. </w:t>
      </w:r>
      <w:r w:rsidRPr="00403F96">
        <w:rPr>
          <w:rFonts w:ascii="Arial" w:hAnsi="Arial" w:cs="Arial"/>
          <w:noProof/>
          <w:sz w:val="20"/>
          <w:lang w:val="en-US"/>
        </w:rPr>
        <w:tab/>
        <w:t>Gottlieb AJ, Weinberg V, Ellison RR, Henderson ES, Terebelo H, Rafla S, et al. Efficacy of daunorubicin in the therapy of adult acute lymphocytic leukemia: a prospective randomized trial by cancer and leukemia group B. Blood [Internet]. 1984 Jul;64(1):267–74. Available from: http://www.ncbi.nlm.nih.gov/pubmed/6375760</w:t>
      </w:r>
    </w:p>
    <w:p w14:paraId="1DC553A3"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24. </w:t>
      </w:r>
      <w:r w:rsidRPr="00403F96">
        <w:rPr>
          <w:rFonts w:ascii="Arial" w:hAnsi="Arial" w:cs="Arial"/>
          <w:noProof/>
          <w:sz w:val="20"/>
          <w:lang w:val="en-US"/>
        </w:rPr>
        <w:tab/>
        <w:t>Rijneveld AW, Van Der Holt B, Daenen SMGJ, Biemond BJ, De Weerdt O, Muus P, et al. Intensified chemotherapy inspired by a pediatric regimen combined with allogeneic transplantation in adult patients with acute lymphoblastic leukemia up to the age of 40. Leukemia [Internet]. 2011;25(11):1697–703. Available from: http://dx.doi.org/10.1038/leu.2011.141</w:t>
      </w:r>
    </w:p>
    <w:p w14:paraId="36264B10"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25. </w:t>
      </w:r>
      <w:r w:rsidRPr="00403F96">
        <w:rPr>
          <w:rFonts w:ascii="Arial" w:hAnsi="Arial" w:cs="Arial"/>
          <w:noProof/>
          <w:sz w:val="20"/>
          <w:lang w:val="en-US"/>
        </w:rPr>
        <w:tab/>
        <w:t>DeAngelo DJ, Stevenson KE, Dahlberg SE, Silverman LB, Couban S, Supko JG, et al. Long-term outcome of a pediatric-inspired regimen used for adults aged 18-50 years with newly diagnosed acute lymphoblastic leukemia. Leukemia [Internet]. 2015;29(3):526–34. Available from: http://dx.doi.org/10.1038/leu.2014.229</w:t>
      </w:r>
    </w:p>
    <w:p w14:paraId="761A7D26"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26. </w:t>
      </w:r>
      <w:r w:rsidRPr="00403F96">
        <w:rPr>
          <w:rFonts w:ascii="Arial" w:hAnsi="Arial" w:cs="Arial"/>
          <w:noProof/>
          <w:sz w:val="20"/>
          <w:lang w:val="en-US"/>
        </w:rPr>
        <w:tab/>
        <w:t xml:space="preserve">Stock W, La M, Sanford B, Bloomfield CD, Vardiman JW, Gaynon P, et al. AYA ALL - CCG vs CALGB. Young. 2008;112(5):1646–54. </w:t>
      </w:r>
    </w:p>
    <w:p w14:paraId="714020EC"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27. </w:t>
      </w:r>
      <w:r w:rsidRPr="00403F96">
        <w:rPr>
          <w:rFonts w:ascii="Arial" w:hAnsi="Arial" w:cs="Arial"/>
          <w:noProof/>
          <w:sz w:val="20"/>
          <w:lang w:val="en-US"/>
        </w:rPr>
        <w:tab/>
        <w:t xml:space="preserve">Douer D, Aldoss I, Lunning MA, Burke PW, Ramezani L, Mark L, et al. Pharmacokinetics-based integration of multiple doses of intravenous pegaspargase in a pediatric regimen for adults with newly diagnosed acute lymphoblastic leukemia. J Clin Oncol. 2014;32(9):905–11. </w:t>
      </w:r>
    </w:p>
    <w:p w14:paraId="443C0355"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28. </w:t>
      </w:r>
      <w:r w:rsidRPr="00403F96">
        <w:rPr>
          <w:rFonts w:ascii="Arial" w:hAnsi="Arial" w:cs="Arial"/>
          <w:noProof/>
          <w:sz w:val="20"/>
          <w:lang w:val="en-US"/>
        </w:rPr>
        <w:tab/>
        <w:t>Acute Lymphoblastic Leukemia. Natl Compr Cancer Network NCCN Clin Pract Guidel Oncol (NCCN Guidel [Internet]. 2019;2(May 15):1–115. Available from: https://www.nccn.org/professionals/physician_gls/pdf/all.pdf</w:t>
      </w:r>
    </w:p>
    <w:p w14:paraId="4D58A89F" w14:textId="77777777" w:rsidR="006362B7" w:rsidRPr="006362B7" w:rsidRDefault="00415C49" w:rsidP="006362B7">
      <w:pPr>
        <w:widowControl w:val="0"/>
        <w:autoSpaceDE w:val="0"/>
        <w:autoSpaceDN w:val="0"/>
        <w:adjustRightInd w:val="0"/>
        <w:ind w:left="640" w:hanging="640"/>
        <w:rPr>
          <w:rFonts w:ascii="Arial" w:hAnsi="Arial" w:cs="Arial"/>
          <w:noProof/>
          <w:sz w:val="20"/>
          <w:lang w:val="es-ES"/>
        </w:rPr>
      </w:pPr>
      <w:r w:rsidRPr="00403F96">
        <w:rPr>
          <w:rFonts w:ascii="Arial" w:hAnsi="Arial" w:cs="Arial"/>
          <w:noProof/>
          <w:sz w:val="20"/>
          <w:lang w:val="en-US"/>
        </w:rPr>
        <w:t xml:space="preserve">29. </w:t>
      </w:r>
      <w:r w:rsidRPr="00403F96">
        <w:rPr>
          <w:rFonts w:ascii="Arial" w:hAnsi="Arial" w:cs="Arial"/>
          <w:noProof/>
          <w:sz w:val="20"/>
          <w:lang w:val="en-US"/>
        </w:rPr>
        <w:tab/>
        <w:t xml:space="preserve">Bleyer A. Adolescent and young Adult (AYA) oncology: The first A. Pediatr Hematol Oncol. </w:t>
      </w:r>
      <w:r w:rsidR="006362B7" w:rsidRPr="006362B7">
        <w:rPr>
          <w:rFonts w:ascii="Arial" w:hAnsi="Arial" w:cs="Arial"/>
          <w:noProof/>
          <w:sz w:val="20"/>
          <w:lang w:val="es-ES"/>
        </w:rPr>
        <w:t xml:space="preserve">2007;24(5):325–36. </w:t>
      </w:r>
    </w:p>
    <w:p w14:paraId="5D49C64F" w14:textId="77777777" w:rsidR="006362B7" w:rsidRPr="00403F96" w:rsidRDefault="006362B7" w:rsidP="006362B7">
      <w:pPr>
        <w:widowControl w:val="0"/>
        <w:autoSpaceDE w:val="0"/>
        <w:autoSpaceDN w:val="0"/>
        <w:adjustRightInd w:val="0"/>
        <w:ind w:left="640" w:hanging="640"/>
        <w:rPr>
          <w:rFonts w:ascii="Arial" w:hAnsi="Arial" w:cs="Arial"/>
          <w:noProof/>
          <w:sz w:val="20"/>
          <w:lang w:val="en-US"/>
        </w:rPr>
      </w:pPr>
      <w:r w:rsidRPr="006362B7">
        <w:rPr>
          <w:rFonts w:ascii="Arial" w:hAnsi="Arial" w:cs="Arial"/>
          <w:noProof/>
          <w:sz w:val="20"/>
          <w:lang w:val="es-ES"/>
        </w:rPr>
        <w:t xml:space="preserve">30. </w:t>
      </w:r>
      <w:r w:rsidRPr="006362B7">
        <w:rPr>
          <w:rFonts w:ascii="Arial" w:hAnsi="Arial" w:cs="Arial"/>
          <w:noProof/>
          <w:sz w:val="20"/>
          <w:lang w:val="es-ES"/>
        </w:rPr>
        <w:tab/>
        <w:t xml:space="preserve">Ribera JM, Oriol A, Sanz MA, Tormo M, Fernández-Abellán P, Del Potro E, et al. </w:t>
      </w:r>
      <w:r w:rsidR="00415C49" w:rsidRPr="00403F96">
        <w:rPr>
          <w:rFonts w:ascii="Arial" w:hAnsi="Arial" w:cs="Arial"/>
          <w:noProof/>
          <w:sz w:val="20"/>
          <w:lang w:val="en-US"/>
        </w:rPr>
        <w:t xml:space="preserve">Comparison of the results of the treatment of adolescents and young adults with standard-risk acute lymphoblastic leukemia with the programa Español de tratamiento en hematología pediatric-based protocol ALL-96. J Clin Oncol. 2008;26(11):1843–9. </w:t>
      </w:r>
    </w:p>
    <w:p w14:paraId="7249A9C6"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31. </w:t>
      </w:r>
      <w:r w:rsidRPr="00403F96">
        <w:rPr>
          <w:rFonts w:ascii="Arial" w:hAnsi="Arial" w:cs="Arial"/>
          <w:noProof/>
          <w:sz w:val="20"/>
          <w:lang w:val="en-US"/>
        </w:rPr>
        <w:tab/>
        <w:t xml:space="preserve">Rytting ME, Thomas DA, O’Brien SM, Ravandi-Kashani F, Jabbour EJ, Franklin AR, et al. Augmented Berlin-Frankfurt-Münster therapy in adolescents and young adults (AYAs) with acute lymphoblastic leukemia (ALL). Cancer. 2014;120(23):3660–8. </w:t>
      </w:r>
    </w:p>
    <w:p w14:paraId="0F031269"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32. </w:t>
      </w:r>
      <w:r w:rsidRPr="00403F96">
        <w:rPr>
          <w:rFonts w:ascii="Arial" w:hAnsi="Arial" w:cs="Arial"/>
          <w:noProof/>
          <w:sz w:val="20"/>
          <w:lang w:val="en-US"/>
        </w:rPr>
        <w:tab/>
        <w:t>Larson RA, Dodge RK, Linker CA, Stone RM, Powell BL, Lee EJ, et al. A randomized controlled trial of filgrastim during remission induction and consolidation chemotherapy for adults with acute lymphoblastic leukemia: CALGB study 9111. Blood [Internet]. 1998;92(5):1556–64. Available from: http://www.ncbi.nlm.nih.gov/pubmed/9716583</w:t>
      </w:r>
    </w:p>
    <w:p w14:paraId="03E5F4D4" w14:textId="77777777" w:rsidR="006362B7" w:rsidRPr="006362B7" w:rsidRDefault="00415C49" w:rsidP="006362B7">
      <w:pPr>
        <w:widowControl w:val="0"/>
        <w:autoSpaceDE w:val="0"/>
        <w:autoSpaceDN w:val="0"/>
        <w:adjustRightInd w:val="0"/>
        <w:ind w:left="640" w:hanging="640"/>
        <w:rPr>
          <w:rFonts w:ascii="Arial" w:hAnsi="Arial" w:cs="Arial"/>
          <w:noProof/>
          <w:sz w:val="20"/>
          <w:lang w:val="es-ES"/>
        </w:rPr>
      </w:pPr>
      <w:r w:rsidRPr="00403F96">
        <w:rPr>
          <w:rFonts w:ascii="Arial" w:hAnsi="Arial" w:cs="Arial"/>
          <w:noProof/>
          <w:sz w:val="20"/>
          <w:lang w:val="en-US"/>
        </w:rPr>
        <w:t xml:space="preserve">33. </w:t>
      </w:r>
      <w:r w:rsidRPr="00403F96">
        <w:rPr>
          <w:rFonts w:ascii="Arial" w:hAnsi="Arial" w:cs="Arial"/>
          <w:noProof/>
          <w:sz w:val="20"/>
          <w:lang w:val="en-US"/>
        </w:rPr>
        <w:tab/>
        <w:t xml:space="preserve">Boissel N, Auclerc MF, Lhéritier V, Perel Y, Thomas X, Leblanc T, et al. Should adolescents with acute lymphoblastic leukemia be treated as old children or young adults? Comparison of </w:t>
      </w:r>
      <w:r w:rsidRPr="00403F96">
        <w:rPr>
          <w:rFonts w:ascii="Arial" w:hAnsi="Arial" w:cs="Arial"/>
          <w:noProof/>
          <w:sz w:val="20"/>
          <w:lang w:val="en-US"/>
        </w:rPr>
        <w:lastRenderedPageBreak/>
        <w:t xml:space="preserve">the French FRALLE-93 and LALA-94 trials. J Clin Oncol. </w:t>
      </w:r>
      <w:r w:rsidR="006362B7" w:rsidRPr="006362B7">
        <w:rPr>
          <w:rFonts w:ascii="Arial" w:hAnsi="Arial" w:cs="Arial"/>
          <w:noProof/>
          <w:sz w:val="20"/>
          <w:lang w:val="es-ES"/>
        </w:rPr>
        <w:t xml:space="preserve">2003;21(5):774–80. </w:t>
      </w:r>
    </w:p>
    <w:p w14:paraId="27EE22B6" w14:textId="77777777" w:rsidR="006362B7" w:rsidRPr="006362B7" w:rsidRDefault="006362B7" w:rsidP="006362B7">
      <w:pPr>
        <w:widowControl w:val="0"/>
        <w:autoSpaceDE w:val="0"/>
        <w:autoSpaceDN w:val="0"/>
        <w:adjustRightInd w:val="0"/>
        <w:ind w:left="640" w:hanging="640"/>
        <w:rPr>
          <w:rFonts w:ascii="Arial" w:hAnsi="Arial" w:cs="Arial"/>
          <w:noProof/>
          <w:sz w:val="20"/>
          <w:lang w:val="es-ES"/>
        </w:rPr>
      </w:pPr>
      <w:r w:rsidRPr="006362B7">
        <w:rPr>
          <w:rFonts w:ascii="Arial" w:hAnsi="Arial" w:cs="Arial"/>
          <w:noProof/>
          <w:sz w:val="20"/>
          <w:lang w:val="es-ES"/>
        </w:rPr>
        <w:t xml:space="preserve">34. </w:t>
      </w:r>
      <w:r w:rsidRPr="006362B7">
        <w:rPr>
          <w:rFonts w:ascii="Arial" w:hAnsi="Arial" w:cs="Arial"/>
          <w:noProof/>
          <w:sz w:val="20"/>
          <w:lang w:val="es-ES"/>
        </w:rPr>
        <w:tab/>
        <w:t xml:space="preserve">Instituto Nacional de Cancerología, Social M de S y P, Departamento Administrativo de Ciencia T e I en S-C. Guía de práctica clínica (GPC) para la detección, tratamiento y seguimiento de leucemias linfoblástica y mieloide en población mayor de 18 años. GPC 2017-. COLCIENCIAS, editor. Bogotá, Colombia: Ministerio de salud y protección social. Departamento administrativo de ciencia tecnología e innovación en salud; 2014. p. 985. </w:t>
      </w:r>
    </w:p>
    <w:p w14:paraId="75B674B5" w14:textId="77777777" w:rsidR="006362B7" w:rsidRPr="006362B7" w:rsidRDefault="006362B7" w:rsidP="006362B7">
      <w:pPr>
        <w:widowControl w:val="0"/>
        <w:autoSpaceDE w:val="0"/>
        <w:autoSpaceDN w:val="0"/>
        <w:adjustRightInd w:val="0"/>
        <w:ind w:left="640" w:hanging="640"/>
        <w:rPr>
          <w:rFonts w:ascii="Arial" w:hAnsi="Arial" w:cs="Arial"/>
          <w:noProof/>
          <w:sz w:val="20"/>
          <w:lang w:val="es-ES"/>
        </w:rPr>
      </w:pPr>
      <w:r w:rsidRPr="006362B7">
        <w:rPr>
          <w:rFonts w:ascii="Arial" w:hAnsi="Arial" w:cs="Arial"/>
          <w:noProof/>
          <w:sz w:val="20"/>
          <w:lang w:val="es-ES"/>
        </w:rPr>
        <w:t xml:space="preserve">35. </w:t>
      </w:r>
      <w:r w:rsidRPr="006362B7">
        <w:rPr>
          <w:rFonts w:ascii="Arial" w:hAnsi="Arial" w:cs="Arial"/>
          <w:noProof/>
          <w:sz w:val="20"/>
          <w:lang w:val="es-ES"/>
        </w:rPr>
        <w:tab/>
        <w:t xml:space="preserve">Combariza JF, Casas CP, Rodriguez M, Cardona AF, Ospina E, Grajales M. Supervivencia en adultos con leucemia linfoide aguda de novo tratados con el esquema HyperCVAD en el Instituto Nacional de Cancerología ( Colombia ), entre enero de 2001 y junio de 200. Rev Colomb Cancerlogía. 2005;11(9):92–3. </w:t>
      </w:r>
    </w:p>
    <w:p w14:paraId="73A846BA" w14:textId="77777777" w:rsidR="006362B7" w:rsidRPr="00403F96" w:rsidRDefault="006362B7" w:rsidP="006362B7">
      <w:pPr>
        <w:widowControl w:val="0"/>
        <w:autoSpaceDE w:val="0"/>
        <w:autoSpaceDN w:val="0"/>
        <w:adjustRightInd w:val="0"/>
        <w:ind w:left="640" w:hanging="640"/>
        <w:rPr>
          <w:rFonts w:ascii="Arial" w:hAnsi="Arial" w:cs="Arial"/>
          <w:noProof/>
          <w:sz w:val="20"/>
          <w:lang w:val="en-US"/>
        </w:rPr>
      </w:pPr>
      <w:r w:rsidRPr="006362B7">
        <w:rPr>
          <w:rFonts w:ascii="Arial" w:hAnsi="Arial" w:cs="Arial"/>
          <w:noProof/>
          <w:sz w:val="20"/>
          <w:lang w:val="es-ES"/>
        </w:rPr>
        <w:t xml:space="preserve">36. </w:t>
      </w:r>
      <w:r w:rsidRPr="006362B7">
        <w:rPr>
          <w:rFonts w:ascii="Arial" w:hAnsi="Arial" w:cs="Arial"/>
          <w:noProof/>
          <w:sz w:val="20"/>
          <w:lang w:val="es-ES"/>
        </w:rPr>
        <w:tab/>
        <w:t xml:space="preserve">Sossa C, Peña A, Jimenez S, Salazar L, Rosales M, Chalela C, et al. </w:t>
      </w:r>
      <w:r w:rsidR="00415C49" w:rsidRPr="00403F96">
        <w:rPr>
          <w:rFonts w:ascii="Arial" w:hAnsi="Arial" w:cs="Arial"/>
          <w:noProof/>
          <w:sz w:val="20"/>
          <w:lang w:val="en-US"/>
        </w:rPr>
        <w:t>Survival of Acute Lymphoblastic Leukemia: Experience of a Single Center in Colombia. Clin Lymphoma Myeloma Leuk [Internet]. 2018;18(March 2017):S190. Available from: http://dx.doi.org/10.1016/j.clml.2018.07.028</w:t>
      </w:r>
    </w:p>
    <w:p w14:paraId="19AE3AE5"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37. </w:t>
      </w:r>
      <w:r w:rsidRPr="00403F96">
        <w:rPr>
          <w:rFonts w:ascii="Arial" w:hAnsi="Arial" w:cs="Arial"/>
          <w:noProof/>
          <w:sz w:val="20"/>
          <w:lang w:val="en-US"/>
        </w:rPr>
        <w:tab/>
        <w:t xml:space="preserve">Faderl S, Kantarjian HM, Thomas DA, Cortes J, Giles F, Pierce S, et al. Outcome of Philadelphia Chromosome-Positive Adult Acute Lymphoblastic Leukemia Outcome of Philadelphia Chromosome-Positive Adult Acute Lymphoblastic Leukemia. Leuk Lymphoma. 2000;36(3–4):263–73. </w:t>
      </w:r>
    </w:p>
    <w:p w14:paraId="4C161744"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38. </w:t>
      </w:r>
      <w:r w:rsidRPr="00403F96">
        <w:rPr>
          <w:rFonts w:ascii="Arial" w:hAnsi="Arial" w:cs="Arial"/>
          <w:noProof/>
          <w:sz w:val="20"/>
          <w:lang w:val="en-US"/>
        </w:rPr>
        <w:tab/>
        <w:t>Thomas D, Faderl S, Cortes J, O’Brien S, Giles F, Kornblau S, et al. Treatment of Philadelphia chromosome-positive acute lymphocytic leukemia with hyper-CVAD and imatinib mesylate. Blood [Internet]. 2004;103(12):4396–407. Available from: http://www.embase.com/search/results?subaction=viewrecord&amp;from=export&amp;id=L38745962%0Ahttp://dx.doi.org/10.1182/blood-2003-08-2958</w:t>
      </w:r>
    </w:p>
    <w:p w14:paraId="06876EC3"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39. </w:t>
      </w:r>
      <w:r w:rsidRPr="00403F96">
        <w:rPr>
          <w:rFonts w:ascii="Arial" w:hAnsi="Arial" w:cs="Arial"/>
          <w:noProof/>
          <w:sz w:val="20"/>
          <w:lang w:val="en-US"/>
        </w:rPr>
        <w:tab/>
        <w:t xml:space="preserve">Ravandi F, O’Brien SM, Cortes JE, Thomas DM, Garris R, Faderl S, et al. Long-term follow-up of a phase 2 study of chemotherapy plus dasatinib for the initial treatment of patients with Philadelphia chromosome-positive acute lymphoblastic leukemia. Cancer. 2015;121(23):4158–64. </w:t>
      </w:r>
    </w:p>
    <w:p w14:paraId="14B0E744" w14:textId="77777777" w:rsidR="006362B7" w:rsidRPr="006362B7" w:rsidRDefault="00415C49" w:rsidP="006362B7">
      <w:pPr>
        <w:widowControl w:val="0"/>
        <w:autoSpaceDE w:val="0"/>
        <w:autoSpaceDN w:val="0"/>
        <w:adjustRightInd w:val="0"/>
        <w:ind w:left="640" w:hanging="640"/>
        <w:rPr>
          <w:rFonts w:ascii="Arial" w:hAnsi="Arial" w:cs="Arial"/>
          <w:noProof/>
          <w:sz w:val="20"/>
          <w:lang w:val="es-ES"/>
        </w:rPr>
      </w:pPr>
      <w:r w:rsidRPr="00403F96">
        <w:rPr>
          <w:rFonts w:ascii="Arial" w:hAnsi="Arial" w:cs="Arial"/>
          <w:noProof/>
          <w:sz w:val="20"/>
          <w:lang w:val="en-US"/>
        </w:rPr>
        <w:t xml:space="preserve">40. </w:t>
      </w:r>
      <w:r w:rsidRPr="00403F96">
        <w:rPr>
          <w:rFonts w:ascii="Arial" w:hAnsi="Arial" w:cs="Arial"/>
          <w:noProof/>
          <w:sz w:val="20"/>
          <w:lang w:val="en-US"/>
        </w:rPr>
        <w:tab/>
        <w:t xml:space="preserve">Ravandi F, O’Brien S, Thomas D, Faderl S, Jones D, Garris R, et al. First report of phase 2 study of dasatinib with hyper-CVAD for the frontline treatment of patients with Philadelphia chromosome-positive (Ph +) acute lymphoblastic leukemia. </w:t>
      </w:r>
      <w:r w:rsidR="006362B7" w:rsidRPr="006362B7">
        <w:rPr>
          <w:rFonts w:ascii="Arial" w:hAnsi="Arial" w:cs="Arial"/>
          <w:noProof/>
          <w:sz w:val="20"/>
          <w:lang w:val="es-ES"/>
        </w:rPr>
        <w:t xml:space="preserve">Blood. 2010;116(12):2070–7. </w:t>
      </w:r>
    </w:p>
    <w:p w14:paraId="61A4C68F" w14:textId="77777777" w:rsidR="006362B7" w:rsidRPr="006362B7" w:rsidRDefault="006362B7" w:rsidP="006362B7">
      <w:pPr>
        <w:widowControl w:val="0"/>
        <w:autoSpaceDE w:val="0"/>
        <w:autoSpaceDN w:val="0"/>
        <w:adjustRightInd w:val="0"/>
        <w:ind w:left="640" w:hanging="640"/>
        <w:rPr>
          <w:rFonts w:ascii="Arial" w:hAnsi="Arial" w:cs="Arial"/>
          <w:noProof/>
          <w:sz w:val="20"/>
          <w:lang w:val="es-ES"/>
        </w:rPr>
      </w:pPr>
      <w:r w:rsidRPr="006362B7">
        <w:rPr>
          <w:rFonts w:ascii="Arial" w:hAnsi="Arial" w:cs="Arial"/>
          <w:noProof/>
          <w:sz w:val="20"/>
          <w:lang w:val="es-ES"/>
        </w:rPr>
        <w:t xml:space="preserve">41. </w:t>
      </w:r>
      <w:r w:rsidRPr="006362B7">
        <w:rPr>
          <w:rFonts w:ascii="Arial" w:hAnsi="Arial" w:cs="Arial"/>
          <w:noProof/>
          <w:sz w:val="20"/>
          <w:lang w:val="es-ES"/>
        </w:rPr>
        <w:tab/>
        <w:t xml:space="preserve">Bautista Toloza L, Martínez H, Bonell Patiño O. Hematoma intraparenquimatoso del sistema nervioso central asociado con dasatinib en el tratamiento de leucemia mieloide crónica en fase acelerada. Presentación de dos casos y revisión de la literatura. Rev Colomb Cancerol. 2017;22(4):151–6. </w:t>
      </w:r>
    </w:p>
    <w:p w14:paraId="09625842" w14:textId="77777777" w:rsidR="006362B7" w:rsidRPr="00403F96" w:rsidRDefault="006362B7" w:rsidP="006362B7">
      <w:pPr>
        <w:widowControl w:val="0"/>
        <w:autoSpaceDE w:val="0"/>
        <w:autoSpaceDN w:val="0"/>
        <w:adjustRightInd w:val="0"/>
        <w:ind w:left="640" w:hanging="640"/>
        <w:rPr>
          <w:rFonts w:ascii="Arial" w:hAnsi="Arial" w:cs="Arial"/>
          <w:noProof/>
          <w:sz w:val="20"/>
          <w:lang w:val="en-US"/>
        </w:rPr>
      </w:pPr>
      <w:r w:rsidRPr="006362B7">
        <w:rPr>
          <w:rFonts w:ascii="Arial" w:hAnsi="Arial" w:cs="Arial"/>
          <w:noProof/>
          <w:sz w:val="20"/>
          <w:lang w:val="es-ES"/>
        </w:rPr>
        <w:t xml:space="preserve">42. </w:t>
      </w:r>
      <w:r w:rsidRPr="006362B7">
        <w:rPr>
          <w:rFonts w:ascii="Arial" w:hAnsi="Arial" w:cs="Arial"/>
          <w:noProof/>
          <w:sz w:val="20"/>
          <w:lang w:val="es-ES"/>
        </w:rPr>
        <w:tab/>
        <w:t xml:space="preserve">Martínez-Cordero H, Enciso-Olivera L, Patiño-Escobar B, Otero de la Hoz DM, Sánchez PS, Chinchilla SI, et al. </w:t>
      </w:r>
      <w:r w:rsidR="00415C49" w:rsidRPr="00403F96">
        <w:rPr>
          <w:rFonts w:ascii="Arial" w:hAnsi="Arial" w:cs="Arial"/>
          <w:noProof/>
          <w:sz w:val="20"/>
          <w:lang w:val="en-US"/>
        </w:rPr>
        <w:t xml:space="preserve">Myelomastocytic Blast Cell Crisis in Resistant Tyrosine Kinase Inhibitor Chronic Myelogenous Leukemia: Case Report and Review of Literature. Clin Lymphoma Myeloma Leuk. 2018;18(5):S225. </w:t>
      </w:r>
    </w:p>
    <w:p w14:paraId="1CE09C91"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43. </w:t>
      </w:r>
      <w:r w:rsidRPr="00403F96">
        <w:rPr>
          <w:rFonts w:ascii="Arial" w:hAnsi="Arial" w:cs="Arial"/>
          <w:noProof/>
          <w:sz w:val="20"/>
          <w:lang w:val="en-US"/>
        </w:rPr>
        <w:tab/>
        <w:t>Tanguy-Schmidt A, Rousselot P, Chalandon Y, Cayuela JM, Hayette S, Vekemans MC, et al. Long-Term Follow-Up of the Imatinib GRAAPH-2003 Study in Newly Diagnosed Patients with De Novo Philadelphia Chromosome-Positive Acute Lymphoblastic Leukemia: A GRAALL Study. Biol Blood Marrow Transplant [Internet]. 2013;19(1):150–5. Available from: http://dx.doi.org/10.1016/j.bbmt.2012.08.021</w:t>
      </w:r>
    </w:p>
    <w:p w14:paraId="6FE3302E"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44. </w:t>
      </w:r>
      <w:r w:rsidRPr="00403F96">
        <w:rPr>
          <w:rFonts w:ascii="Arial" w:hAnsi="Arial" w:cs="Arial"/>
          <w:noProof/>
          <w:sz w:val="20"/>
          <w:lang w:val="en-US"/>
        </w:rPr>
        <w:tab/>
        <w:t>Chalandon Y, Thomas X, Hayette S, Cayuela J-M, Abbal C, Huguet F, et al. Randomized study of reduced-intensity chemotherapy combined with imatinib in adults with Ph-positive acute lymphoblastic leukemia. Blood [Internet]. 2015 Jun 11;125(24):3711–9. Available from: http://www.bloodjournal.org/cgi/doi/10.1182/blood-2015-02-627935</w:t>
      </w:r>
    </w:p>
    <w:p w14:paraId="79BC35D1"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45. </w:t>
      </w:r>
      <w:r w:rsidRPr="00403F96">
        <w:rPr>
          <w:rFonts w:ascii="Arial" w:hAnsi="Arial" w:cs="Arial"/>
          <w:noProof/>
          <w:sz w:val="20"/>
          <w:lang w:val="en-US"/>
        </w:rPr>
        <w:tab/>
        <w:t xml:space="preserve">Jabbour E, Short NJ, Ravandi F, Huang X, Daver N, DiNardo CD, et al. Combination of hyper-CVAD with ponatinib as first-line therapy for patients with Philadelphia chromosome-positive acute lymphoblastic leukaemia: long-term follow-up of a single-centre, phase 2 study. Lancet </w:t>
      </w:r>
      <w:r w:rsidRPr="00403F96">
        <w:rPr>
          <w:rFonts w:ascii="Arial" w:hAnsi="Arial" w:cs="Arial"/>
          <w:noProof/>
          <w:sz w:val="20"/>
          <w:lang w:val="en-US"/>
        </w:rPr>
        <w:lastRenderedPageBreak/>
        <w:t>Haematol [Internet]. 2018;5(12):e618–27. Available from: http://dx.doi.org/10.1016/S2352-3026(18)30176-5</w:t>
      </w:r>
    </w:p>
    <w:p w14:paraId="44697C5A" w14:textId="77777777" w:rsidR="006362B7" w:rsidRPr="006362B7" w:rsidRDefault="00415C49" w:rsidP="006362B7">
      <w:pPr>
        <w:widowControl w:val="0"/>
        <w:autoSpaceDE w:val="0"/>
        <w:autoSpaceDN w:val="0"/>
        <w:adjustRightInd w:val="0"/>
        <w:ind w:left="640" w:hanging="640"/>
        <w:rPr>
          <w:rFonts w:ascii="Arial" w:hAnsi="Arial" w:cs="Arial"/>
          <w:noProof/>
          <w:sz w:val="20"/>
          <w:lang w:val="es-ES"/>
        </w:rPr>
      </w:pPr>
      <w:r w:rsidRPr="00403F96">
        <w:rPr>
          <w:rFonts w:ascii="Arial" w:hAnsi="Arial" w:cs="Arial"/>
          <w:noProof/>
          <w:sz w:val="20"/>
          <w:lang w:val="en-US"/>
        </w:rPr>
        <w:t xml:space="preserve">46. </w:t>
      </w:r>
      <w:r w:rsidRPr="00403F96">
        <w:rPr>
          <w:rFonts w:ascii="Arial" w:hAnsi="Arial" w:cs="Arial"/>
          <w:noProof/>
          <w:sz w:val="20"/>
          <w:lang w:val="en-US"/>
        </w:rPr>
        <w:tab/>
        <w:t xml:space="preserve">Gökbuget N. How should we treat a patient with relapsed Ph-negative B-ALL and what novel approaches are being investigated? </w:t>
      </w:r>
      <w:r w:rsidR="006362B7" w:rsidRPr="006362B7">
        <w:rPr>
          <w:rFonts w:ascii="Arial" w:hAnsi="Arial" w:cs="Arial"/>
          <w:noProof/>
          <w:sz w:val="20"/>
          <w:lang w:val="es-ES"/>
        </w:rPr>
        <w:t xml:space="preserve">Best Pract Res Clin Haematol. 2017;30(3):261–74. </w:t>
      </w:r>
    </w:p>
    <w:p w14:paraId="1DD4520D" w14:textId="77777777" w:rsidR="006362B7" w:rsidRPr="00403F96" w:rsidRDefault="006362B7" w:rsidP="006362B7">
      <w:pPr>
        <w:widowControl w:val="0"/>
        <w:autoSpaceDE w:val="0"/>
        <w:autoSpaceDN w:val="0"/>
        <w:adjustRightInd w:val="0"/>
        <w:ind w:left="640" w:hanging="640"/>
        <w:rPr>
          <w:rFonts w:ascii="Arial" w:hAnsi="Arial" w:cs="Arial"/>
          <w:noProof/>
          <w:sz w:val="20"/>
          <w:lang w:val="en-US"/>
        </w:rPr>
      </w:pPr>
      <w:r w:rsidRPr="006362B7">
        <w:rPr>
          <w:rFonts w:ascii="Arial" w:hAnsi="Arial" w:cs="Arial"/>
          <w:noProof/>
          <w:sz w:val="20"/>
          <w:lang w:val="es-ES"/>
        </w:rPr>
        <w:t xml:space="preserve">47. </w:t>
      </w:r>
      <w:r w:rsidRPr="006362B7">
        <w:rPr>
          <w:rFonts w:ascii="Arial" w:hAnsi="Arial" w:cs="Arial"/>
          <w:noProof/>
          <w:sz w:val="20"/>
          <w:lang w:val="es-ES"/>
        </w:rPr>
        <w:tab/>
        <w:t xml:space="preserve">Enciso LJ, Carreño JA, Suárez ML, Bermúdez CD, Arango M, Samudio I, et al. Tratamiento de rescate de leucemia aguda refractaria o en recaída con el régimen IDA-FLAG: experiencia en la rutina de los servicios. </w:t>
      </w:r>
      <w:r w:rsidR="00415C49" w:rsidRPr="00403F96">
        <w:rPr>
          <w:rFonts w:ascii="Arial" w:hAnsi="Arial" w:cs="Arial"/>
          <w:noProof/>
          <w:sz w:val="20"/>
          <w:lang w:val="en-US"/>
        </w:rPr>
        <w:t xml:space="preserve">Rev Colomb Cancerol. 2014;18(2):53–61. </w:t>
      </w:r>
    </w:p>
    <w:p w14:paraId="755C8FE4"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48. </w:t>
      </w:r>
      <w:r w:rsidRPr="00403F96">
        <w:rPr>
          <w:rFonts w:ascii="Arial" w:hAnsi="Arial" w:cs="Arial"/>
          <w:noProof/>
          <w:sz w:val="20"/>
          <w:lang w:val="en-US"/>
        </w:rPr>
        <w:tab/>
        <w:t xml:space="preserve">O’Brien S, Schiller G, Lister J, Damon L, Goldberg S, Aulitzky W, et al. High-dose vincristine sulfate liposome injection for advanced, relapsed, and refractory adult philadelphia chromosome-negative acute lymphoblastic leukemia. J Clin Oncol. 2013;31(6):676–83. </w:t>
      </w:r>
    </w:p>
    <w:p w14:paraId="7B090F7E"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49. </w:t>
      </w:r>
      <w:r w:rsidRPr="00403F96">
        <w:rPr>
          <w:rFonts w:ascii="Arial" w:hAnsi="Arial" w:cs="Arial"/>
          <w:noProof/>
          <w:sz w:val="20"/>
          <w:lang w:val="en-US"/>
        </w:rPr>
        <w:tab/>
        <w:t xml:space="preserve">Cortes JE, Kim DW, Pinilla-Ibarz J, le Coutre PD, Paquette R, Chuah C, et al. Ponatinib efficacy and safety in Philadelphia chromosome–positive leukemia: final 5-year results of the phase 2 PACE trial. Blood. 2018;132(4):393–404. </w:t>
      </w:r>
    </w:p>
    <w:p w14:paraId="25A443BF"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50. </w:t>
      </w:r>
      <w:r w:rsidRPr="00403F96">
        <w:rPr>
          <w:rFonts w:ascii="Arial" w:hAnsi="Arial" w:cs="Arial"/>
          <w:noProof/>
          <w:sz w:val="20"/>
          <w:lang w:val="en-US"/>
        </w:rPr>
        <w:tab/>
        <w:t>Nagorsen D, Kufer P, Baeuerle PA, Bargou R. Blinatumomab: A historical perspective. Pharmacol Ther [Internet]. 2012;136(3):334–42. Available from: http://dx.doi.org/10.1016/j.pharmthera.2012.07.013</w:t>
      </w:r>
    </w:p>
    <w:p w14:paraId="29C7AA50"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51. </w:t>
      </w:r>
      <w:r w:rsidRPr="00403F96">
        <w:rPr>
          <w:rFonts w:ascii="Arial" w:hAnsi="Arial" w:cs="Arial"/>
          <w:noProof/>
          <w:sz w:val="20"/>
          <w:lang w:val="en-US"/>
        </w:rPr>
        <w:tab/>
        <w:t xml:space="preserve">Topp MS, Gökbuget N, Zugmaier G, Klappers P, Stelljes M, Neumann S, et al. Phase II trial of the anti-CD19 bispecific T cell-engager blinatumomab shows hematologic and molecular remissions in patients with relapsed or refractory B-precursor acute lymphoblastic leukemia. J Clin Oncol. 2014;32(36):4134–40. </w:t>
      </w:r>
    </w:p>
    <w:p w14:paraId="6BDD942E"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52. </w:t>
      </w:r>
      <w:r w:rsidRPr="00403F96">
        <w:rPr>
          <w:rFonts w:ascii="Arial" w:hAnsi="Arial" w:cs="Arial"/>
          <w:noProof/>
          <w:sz w:val="20"/>
          <w:lang w:val="en-US"/>
        </w:rPr>
        <w:tab/>
        <w:t xml:space="preserve">Topp MS, Gökbuget N, Stein AS, Zugmaier G, O’Brien S, Bargou RC, et al. Safety and activity of blinatumomab for adult patients with relapsed or refractory B-precursor acute lymphoblastic leukaemia: A multicentre, single-arm, phase 2 study. Lancet Oncol. 2015;16(1):57–66. </w:t>
      </w:r>
    </w:p>
    <w:p w14:paraId="2E8A8FBD"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53. </w:t>
      </w:r>
      <w:r w:rsidRPr="00403F96">
        <w:rPr>
          <w:rFonts w:ascii="Arial" w:hAnsi="Arial" w:cs="Arial"/>
          <w:noProof/>
          <w:sz w:val="20"/>
          <w:lang w:val="en-US"/>
        </w:rPr>
        <w:tab/>
        <w:t>Kantarjian H, Stein A, Gökbuget N, Fielding AK, Schuh AC, Ribera J-M, et al. Blinatumomab versus Chemotherapy for Advanced Acute Lymphoblastic Leukemia. N Engl J Med [Internet]. 2017;376(9):836–47. Available from: http://www.nejm.org/doi/10.1056/NEJMoa1609783</w:t>
      </w:r>
    </w:p>
    <w:p w14:paraId="14B91636"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54. </w:t>
      </w:r>
      <w:r w:rsidRPr="00403F96">
        <w:rPr>
          <w:rFonts w:ascii="Arial" w:hAnsi="Arial" w:cs="Arial"/>
          <w:noProof/>
          <w:sz w:val="20"/>
          <w:lang w:val="en-US"/>
        </w:rPr>
        <w:tab/>
        <w:t xml:space="preserve">Jen EY, Xu Q, Schetter A, Przepiorka D, Shen YL, Roscoe D, et al. FDA approval: Blinatumomab for Patients with B-cell Precursor Acute Lymphoblastic Leukemia in Morphologic Remission with Minimal Residual Disease. Clin Cancer Res. 2019;25(2):473–7. </w:t>
      </w:r>
    </w:p>
    <w:p w14:paraId="1B95D336"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55. </w:t>
      </w:r>
      <w:r w:rsidRPr="00403F96">
        <w:rPr>
          <w:rFonts w:ascii="Arial" w:hAnsi="Arial" w:cs="Arial"/>
          <w:noProof/>
          <w:sz w:val="20"/>
          <w:lang w:val="en-US"/>
        </w:rPr>
        <w:tab/>
        <w:t xml:space="preserve">Gökbuget N, Dombret H, Bonifacio M, Reichle A, Graux C, Faul C, et al. Blinatumomab for minimal residual disease in adults with B-cell precursor acute lymphoblastic leukemia. Blood. 2018;131(14):1522–31. </w:t>
      </w:r>
    </w:p>
    <w:p w14:paraId="5DD47DEE"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56. </w:t>
      </w:r>
      <w:r w:rsidRPr="00403F96">
        <w:rPr>
          <w:rFonts w:ascii="Arial" w:hAnsi="Arial" w:cs="Arial"/>
          <w:noProof/>
          <w:sz w:val="20"/>
          <w:lang w:val="en-US"/>
        </w:rPr>
        <w:tab/>
        <w:t>Martinelli G, Boissel N, Chevallier P, Ottmann O, Gökbuget N, Topp M, et al. Complete hematologic and molecular response in adult patients with relapsed/refractory philadelphia chromosome-positive B-precursor acute lymphoblastic leukemia following treatment with blinatumomab: Results from a phase II, single-arm, multicenter study. J Clin Oncol [Internet]. 2017;35(16):1795–802. Available from: http://www.embase.com/search/results?subaction=viewrecord&amp;from=export&amp;id=L618289559%0Ahttp://dx.doi.org/10.1200/JCO.2016.69.3531</w:t>
      </w:r>
    </w:p>
    <w:p w14:paraId="3BEFFFF5"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57. </w:t>
      </w:r>
      <w:r w:rsidRPr="00403F96">
        <w:rPr>
          <w:rFonts w:ascii="Arial" w:hAnsi="Arial" w:cs="Arial"/>
          <w:noProof/>
          <w:sz w:val="20"/>
          <w:lang w:val="en-US"/>
        </w:rPr>
        <w:tab/>
        <w:t>Assi R, Kantarjian H, Short NJ, Daver N, Takahashi K, Garcia-Manero G, et al. Safety and Efficacy of Blinatumomab in Combination With a Tyrosine Kinase Inhibitor for the Treatment of Relapsed Philadelphia Chromosome-positive Leukemia. Clin Lymphoma, Myeloma Leuk [Internet]. 2017;17(12):897–901. Available from: https://doi.org/10.1016/j.clml.2017.08.101</w:t>
      </w:r>
    </w:p>
    <w:p w14:paraId="013B3472"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58. </w:t>
      </w:r>
      <w:r w:rsidRPr="00403F96">
        <w:rPr>
          <w:rFonts w:ascii="Arial" w:hAnsi="Arial" w:cs="Arial"/>
          <w:noProof/>
          <w:sz w:val="20"/>
          <w:lang w:val="en-US"/>
        </w:rPr>
        <w:tab/>
        <w:t xml:space="preserve">Stein AS, Schiller G, Benjamin R, Jia C, Zhang A, Zhu M, et al. Neurologic adverse events in patients with relapsed/refractory acute lymphoblastic leukemia treated with blinatumomab: management and mitigating factors. Ann Hematol. 2019;98(1):159–67. </w:t>
      </w:r>
    </w:p>
    <w:p w14:paraId="5757B61B"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59. </w:t>
      </w:r>
      <w:r w:rsidRPr="00403F96">
        <w:rPr>
          <w:rFonts w:ascii="Arial" w:hAnsi="Arial" w:cs="Arial"/>
          <w:noProof/>
          <w:sz w:val="20"/>
          <w:lang w:val="en-US"/>
        </w:rPr>
        <w:tab/>
        <w:t xml:space="preserve">Gökbuget N, Dombret H, Giebel S, Bruggemann M, Doubek M, Foà R, et al. Minimal residual disease level predicts outcome in adults with Ph-negative B-precursor acute lymphoblastic </w:t>
      </w:r>
      <w:r w:rsidRPr="00403F96">
        <w:rPr>
          <w:rFonts w:ascii="Arial" w:hAnsi="Arial" w:cs="Arial"/>
          <w:noProof/>
          <w:sz w:val="20"/>
          <w:lang w:val="en-US"/>
        </w:rPr>
        <w:lastRenderedPageBreak/>
        <w:t xml:space="preserve">leukemia. Hematology. 2019;24(1):337–48. </w:t>
      </w:r>
    </w:p>
    <w:p w14:paraId="5AF20898" w14:textId="77777777" w:rsidR="006362B7" w:rsidRPr="006362B7" w:rsidRDefault="00415C49" w:rsidP="006362B7">
      <w:pPr>
        <w:widowControl w:val="0"/>
        <w:autoSpaceDE w:val="0"/>
        <w:autoSpaceDN w:val="0"/>
        <w:adjustRightInd w:val="0"/>
        <w:ind w:left="640" w:hanging="640"/>
        <w:rPr>
          <w:rFonts w:ascii="Arial" w:hAnsi="Arial" w:cs="Arial"/>
          <w:noProof/>
          <w:sz w:val="20"/>
          <w:lang w:val="es-ES"/>
        </w:rPr>
      </w:pPr>
      <w:r w:rsidRPr="00403F96">
        <w:rPr>
          <w:rFonts w:ascii="Arial" w:hAnsi="Arial" w:cs="Arial"/>
          <w:noProof/>
          <w:sz w:val="20"/>
          <w:lang w:val="en-US"/>
        </w:rPr>
        <w:t xml:space="preserve">60. </w:t>
      </w:r>
      <w:r w:rsidRPr="00403F96">
        <w:rPr>
          <w:rFonts w:ascii="Arial" w:hAnsi="Arial" w:cs="Arial"/>
          <w:noProof/>
          <w:sz w:val="20"/>
          <w:lang w:val="en-US"/>
        </w:rPr>
        <w:tab/>
        <w:t xml:space="preserve">Yu J, Wang W, Huang H. Efficacy and safety of bispecific T-cell engager (BiTE) antibody blinatumomab for the treatment of relapsed/refractory acute lymphoblastic leukemia and non-Hodgkin’s lymphoma: a systemic review and meta-analysis. </w:t>
      </w:r>
      <w:r w:rsidR="006362B7" w:rsidRPr="006362B7">
        <w:rPr>
          <w:rFonts w:ascii="Arial" w:hAnsi="Arial" w:cs="Arial"/>
          <w:noProof/>
          <w:sz w:val="20"/>
          <w:lang w:val="es-ES"/>
        </w:rPr>
        <w:t xml:space="preserve">Hematology. 2019;24(1):199–207. </w:t>
      </w:r>
    </w:p>
    <w:p w14:paraId="12408BE8" w14:textId="77777777" w:rsidR="006362B7" w:rsidRPr="00403F96" w:rsidRDefault="006362B7" w:rsidP="006362B7">
      <w:pPr>
        <w:widowControl w:val="0"/>
        <w:autoSpaceDE w:val="0"/>
        <w:autoSpaceDN w:val="0"/>
        <w:adjustRightInd w:val="0"/>
        <w:ind w:left="640" w:hanging="640"/>
        <w:rPr>
          <w:rFonts w:ascii="Arial" w:hAnsi="Arial" w:cs="Arial"/>
          <w:noProof/>
          <w:sz w:val="20"/>
          <w:lang w:val="en-US"/>
        </w:rPr>
      </w:pPr>
      <w:r w:rsidRPr="006362B7">
        <w:rPr>
          <w:rFonts w:ascii="Arial" w:hAnsi="Arial" w:cs="Arial"/>
          <w:noProof/>
          <w:sz w:val="20"/>
          <w:lang w:val="es-ES"/>
        </w:rPr>
        <w:t xml:space="preserve">61. </w:t>
      </w:r>
      <w:r w:rsidRPr="006362B7">
        <w:rPr>
          <w:rFonts w:ascii="Arial" w:hAnsi="Arial" w:cs="Arial"/>
          <w:noProof/>
          <w:sz w:val="20"/>
          <w:lang w:val="es-ES"/>
        </w:rPr>
        <w:tab/>
        <w:t xml:space="preserve">Jabbour E, O’Brien S, Thomas DA, Sasaki K, Garcia-Manero G, Ravandi F, et al. </w:t>
      </w:r>
      <w:r w:rsidR="00415C49" w:rsidRPr="00403F96">
        <w:rPr>
          <w:rFonts w:ascii="Arial" w:hAnsi="Arial" w:cs="Arial"/>
          <w:noProof/>
          <w:sz w:val="20"/>
          <w:lang w:val="en-US"/>
        </w:rPr>
        <w:t>Inotuzumab Ozogamicin in Combination with Low-Intensity Chemotherapy (mini-hyper-CVD) As Frontline Therapy for Older Patients (≥60 years) with Acute Lymphoblastic Leukemia (ALL). Blood [Internet]. 2014 Dec 6;124(21):794 LP – 794. Available from: http://www.bloodjournal.org/content/124/21/794.abstract</w:t>
      </w:r>
    </w:p>
    <w:p w14:paraId="51441135"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62. </w:t>
      </w:r>
      <w:r w:rsidRPr="00403F96">
        <w:rPr>
          <w:rFonts w:ascii="Arial" w:hAnsi="Arial" w:cs="Arial"/>
          <w:noProof/>
          <w:sz w:val="20"/>
          <w:lang w:val="en-US"/>
        </w:rPr>
        <w:tab/>
        <w:t xml:space="preserve">Kantarjian H, Thomas D, Jorgensen J, Jabbour E, Kebriaei P, Rytting M, et al. Inotuzumab ozogamicin, an anti-CD22-calecheamicin conjugate, for refractory and relapsed acute lymphocytic leukaemia: A phase 2 study. Lancet Oncol. 2012;13(4):403–11. </w:t>
      </w:r>
    </w:p>
    <w:p w14:paraId="3B54F47F"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63. </w:t>
      </w:r>
      <w:r w:rsidRPr="00403F96">
        <w:rPr>
          <w:rFonts w:ascii="Arial" w:hAnsi="Arial" w:cs="Arial"/>
          <w:noProof/>
          <w:sz w:val="20"/>
          <w:lang w:val="en-US"/>
        </w:rPr>
        <w:tab/>
        <w:t xml:space="preserve">Kantarjian H, Thomas D, Jorgensen J, Kebriaei P, Jabbour E, Rytting M, et al. Results of inotuzumab ozogamicin, a CD22 monoclonal antibody, in refractory and relapsed acute lymphocytic leukemia. Cancer. 2013;119(15):2728–36. </w:t>
      </w:r>
    </w:p>
    <w:p w14:paraId="45348899"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64. </w:t>
      </w:r>
      <w:r w:rsidRPr="00403F96">
        <w:rPr>
          <w:rFonts w:ascii="Arial" w:hAnsi="Arial" w:cs="Arial"/>
          <w:noProof/>
          <w:sz w:val="20"/>
          <w:lang w:val="en-US"/>
        </w:rPr>
        <w:tab/>
        <w:t>Kantarjian HM, DeAngelo DJ, Stelljes M, Martinelli G, Liedtke M, Stock W, et al. Inotuzumab Ozogamicin versus Standard Therapy for Acute Lymphoblastic Leukemia. N Engl J Med [Internet]. 2016;375(8):740–53. Available from: http://www.nejm.org/doi/10.1056/NEJMoa1509277</w:t>
      </w:r>
    </w:p>
    <w:p w14:paraId="0B6934F8"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65. </w:t>
      </w:r>
      <w:r w:rsidRPr="00403F96">
        <w:rPr>
          <w:rFonts w:ascii="Arial" w:hAnsi="Arial" w:cs="Arial"/>
          <w:noProof/>
          <w:sz w:val="20"/>
          <w:lang w:val="en-US"/>
        </w:rPr>
        <w:tab/>
        <w:t xml:space="preserve">Jabbour E, Ravandi F, Kebriaei P, Huang X, Short NJ, Thomas D, et al. Salvage chemoimmunotherapy with inotuzumab ozogamicin combined with mini-hyper-CVD for patients with relapsed or refractory philadelphia chromosome-negative acute lymphoblastic leukemia: A phase 2 clinical trial. JAMA Oncol. 2018;4(2):230–4. </w:t>
      </w:r>
    </w:p>
    <w:p w14:paraId="5E21CA56"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66. </w:t>
      </w:r>
      <w:r w:rsidRPr="00403F96">
        <w:rPr>
          <w:rFonts w:ascii="Arial" w:hAnsi="Arial" w:cs="Arial"/>
          <w:noProof/>
          <w:sz w:val="20"/>
          <w:lang w:val="en-US"/>
        </w:rPr>
        <w:tab/>
        <w:t>Kantarjian H, Ravandi F, Short NJ, Huang X, Jain N, Sasaki K, et al. Inotuzumab ozogamicin in combination with low-intensity chemotherapy for older patients with Philadelphia chromosome-negative acute lymphoblastic leukaemia: a single-arm, phase 2 study. Lancet Oncol [Internet]. 2018;19(2):240–8. Available from: http://dx.doi.org/10.1016/S1470-2045(18)30011-1</w:t>
      </w:r>
    </w:p>
    <w:p w14:paraId="515C2094"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67. </w:t>
      </w:r>
      <w:r w:rsidRPr="00403F96">
        <w:rPr>
          <w:rFonts w:ascii="Arial" w:hAnsi="Arial" w:cs="Arial"/>
          <w:noProof/>
          <w:sz w:val="20"/>
          <w:lang w:val="en-US"/>
        </w:rPr>
        <w:tab/>
        <w:t xml:space="preserve">Jabbour E, Sasaki K, Ravandi F, Huang X, Short NJ, Khouri M, et al. Chemoimmunotherapy with inotuzumab ozogamicin combined with mini-hyper-CVD, with or without blinatumomab, is highly effective in patients with Philadelphia chromosome–negative acute lymphoblastic leukemia in first salvage. Cancer. 2018;124(20):4044–55. </w:t>
      </w:r>
    </w:p>
    <w:p w14:paraId="565AB7B7"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68. </w:t>
      </w:r>
      <w:r w:rsidRPr="00403F96">
        <w:rPr>
          <w:rFonts w:ascii="Arial" w:hAnsi="Arial" w:cs="Arial"/>
          <w:noProof/>
          <w:sz w:val="20"/>
          <w:lang w:val="en-US"/>
        </w:rPr>
        <w:tab/>
        <w:t xml:space="preserve">Riaz I Bin, Zahid U, Kamal MU, Husnain M, McBride A, Hua A, et al. Anti-CD 19 and anti-CD 20 CAR-modified T cells for B-cell malignancies: A systematic review and meta-analysis. Immunotherapy. 2017;9(12):979–93. </w:t>
      </w:r>
    </w:p>
    <w:p w14:paraId="7146BB2C" w14:textId="77777777" w:rsidR="006362B7" w:rsidRPr="00403F96" w:rsidRDefault="00415C49" w:rsidP="006362B7">
      <w:pPr>
        <w:widowControl w:val="0"/>
        <w:autoSpaceDE w:val="0"/>
        <w:autoSpaceDN w:val="0"/>
        <w:adjustRightInd w:val="0"/>
        <w:ind w:left="640" w:hanging="640"/>
        <w:rPr>
          <w:rFonts w:ascii="Arial" w:hAnsi="Arial" w:cs="Arial"/>
          <w:noProof/>
          <w:sz w:val="20"/>
          <w:lang w:val="en-US"/>
        </w:rPr>
      </w:pPr>
      <w:r w:rsidRPr="00403F96">
        <w:rPr>
          <w:rFonts w:ascii="Arial" w:hAnsi="Arial" w:cs="Arial"/>
          <w:noProof/>
          <w:sz w:val="20"/>
          <w:lang w:val="en-US"/>
        </w:rPr>
        <w:t xml:space="preserve">69. </w:t>
      </w:r>
      <w:r w:rsidRPr="00403F96">
        <w:rPr>
          <w:rFonts w:ascii="Arial" w:hAnsi="Arial" w:cs="Arial"/>
          <w:noProof/>
          <w:sz w:val="20"/>
          <w:lang w:val="en-US"/>
        </w:rPr>
        <w:tab/>
        <w:t xml:space="preserve">Aldoss I, Khaled SK, Budde E, Stein AS. Cytokine Release Syndrome With the Novel Treatments of Acute Lymphoblastic Leukemia: Pathophysiology, Prevention, and Treatment. Curr Oncol Rep. 2019;21(1). </w:t>
      </w:r>
    </w:p>
    <w:p w14:paraId="41878311" w14:textId="77777777" w:rsidR="006362B7" w:rsidRPr="006362B7" w:rsidRDefault="00415C49" w:rsidP="006362B7">
      <w:pPr>
        <w:widowControl w:val="0"/>
        <w:autoSpaceDE w:val="0"/>
        <w:autoSpaceDN w:val="0"/>
        <w:adjustRightInd w:val="0"/>
        <w:ind w:left="640" w:hanging="640"/>
        <w:rPr>
          <w:rFonts w:ascii="Arial" w:hAnsi="Arial" w:cs="Arial"/>
          <w:noProof/>
          <w:sz w:val="20"/>
        </w:rPr>
      </w:pPr>
      <w:r w:rsidRPr="00403F96">
        <w:rPr>
          <w:rFonts w:ascii="Arial" w:hAnsi="Arial" w:cs="Arial"/>
          <w:noProof/>
          <w:sz w:val="20"/>
          <w:lang w:val="en-US"/>
        </w:rPr>
        <w:t xml:space="preserve">70. </w:t>
      </w:r>
      <w:r w:rsidRPr="00403F96">
        <w:rPr>
          <w:rFonts w:ascii="Arial" w:hAnsi="Arial" w:cs="Arial"/>
          <w:noProof/>
          <w:sz w:val="20"/>
          <w:lang w:val="en-US"/>
        </w:rPr>
        <w:tab/>
        <w:t xml:space="preserve">European Society for Blood and Marrow Transplantation (EBMT). The EBMT Handbook Hematopoietic Stem Cell Transplantation and Cellular Therapies [Internet]. </w:t>
      </w:r>
      <w:r w:rsidR="006362B7" w:rsidRPr="006362B7">
        <w:rPr>
          <w:rFonts w:ascii="Arial" w:hAnsi="Arial" w:cs="Arial"/>
          <w:noProof/>
          <w:sz w:val="20"/>
          <w:lang w:val="es-ES"/>
        </w:rPr>
        <w:t>2019. 1–688 p. Available from: 10.1007/978-3-030-02278-5</w:t>
      </w:r>
    </w:p>
    <w:p w14:paraId="06BBF53A" w14:textId="6E7F7324" w:rsidR="002055F3" w:rsidRDefault="00415C49" w:rsidP="006362B7">
      <w:pPr>
        <w:widowControl w:val="0"/>
        <w:autoSpaceDE w:val="0"/>
        <w:autoSpaceDN w:val="0"/>
        <w:adjustRightInd w:val="0"/>
        <w:ind w:left="640" w:hanging="640"/>
        <w:rPr>
          <w:rFonts w:ascii="Arial" w:hAnsi="Arial" w:cs="Arial"/>
          <w:sz w:val="20"/>
          <w:szCs w:val="20"/>
        </w:rPr>
      </w:pPr>
      <w:r w:rsidRPr="00655417">
        <w:rPr>
          <w:rFonts w:ascii="Arial" w:hAnsi="Arial" w:cs="Arial"/>
          <w:sz w:val="20"/>
          <w:szCs w:val="20"/>
        </w:rPr>
        <w:fldChar w:fldCharType="end"/>
      </w:r>
    </w:p>
    <w:p w14:paraId="2A7129BC" w14:textId="525ADC4D" w:rsidR="00446C80" w:rsidRDefault="00446C80" w:rsidP="006362B7">
      <w:pPr>
        <w:widowControl w:val="0"/>
        <w:autoSpaceDE w:val="0"/>
        <w:autoSpaceDN w:val="0"/>
        <w:adjustRightInd w:val="0"/>
        <w:ind w:left="640" w:hanging="640"/>
        <w:rPr>
          <w:rFonts w:ascii="Arial" w:hAnsi="Arial" w:cs="Arial"/>
          <w:sz w:val="20"/>
          <w:szCs w:val="20"/>
        </w:rPr>
      </w:pPr>
    </w:p>
    <w:p w14:paraId="02C248FF" w14:textId="72771C00" w:rsidR="00446C80" w:rsidRDefault="00446C80" w:rsidP="006362B7">
      <w:pPr>
        <w:widowControl w:val="0"/>
        <w:autoSpaceDE w:val="0"/>
        <w:autoSpaceDN w:val="0"/>
        <w:adjustRightInd w:val="0"/>
        <w:ind w:left="640" w:hanging="640"/>
        <w:rPr>
          <w:rFonts w:ascii="Arial" w:hAnsi="Arial" w:cs="Arial"/>
          <w:sz w:val="20"/>
          <w:szCs w:val="20"/>
        </w:rPr>
      </w:pPr>
    </w:p>
    <w:p w14:paraId="5E7A2323" w14:textId="0EA2DF4B" w:rsidR="00446C80" w:rsidRDefault="00446C80" w:rsidP="006362B7">
      <w:pPr>
        <w:widowControl w:val="0"/>
        <w:autoSpaceDE w:val="0"/>
        <w:autoSpaceDN w:val="0"/>
        <w:adjustRightInd w:val="0"/>
        <w:ind w:left="640" w:hanging="640"/>
        <w:rPr>
          <w:rFonts w:ascii="Arial" w:hAnsi="Arial" w:cs="Arial"/>
          <w:sz w:val="20"/>
          <w:szCs w:val="20"/>
        </w:rPr>
      </w:pPr>
    </w:p>
    <w:p w14:paraId="195CF11A" w14:textId="1D9A3668" w:rsidR="00446C80" w:rsidRDefault="00446C80" w:rsidP="006362B7">
      <w:pPr>
        <w:widowControl w:val="0"/>
        <w:autoSpaceDE w:val="0"/>
        <w:autoSpaceDN w:val="0"/>
        <w:adjustRightInd w:val="0"/>
        <w:ind w:left="640" w:hanging="640"/>
        <w:rPr>
          <w:rFonts w:ascii="Arial" w:hAnsi="Arial" w:cs="Arial"/>
          <w:sz w:val="20"/>
          <w:szCs w:val="20"/>
        </w:rPr>
      </w:pPr>
    </w:p>
    <w:p w14:paraId="402603F4" w14:textId="78AE6283" w:rsidR="00446C80" w:rsidRDefault="00446C80" w:rsidP="006362B7">
      <w:pPr>
        <w:widowControl w:val="0"/>
        <w:autoSpaceDE w:val="0"/>
        <w:autoSpaceDN w:val="0"/>
        <w:adjustRightInd w:val="0"/>
        <w:ind w:left="640" w:hanging="640"/>
        <w:rPr>
          <w:rFonts w:ascii="Arial" w:hAnsi="Arial" w:cs="Arial"/>
          <w:sz w:val="20"/>
          <w:szCs w:val="20"/>
        </w:rPr>
      </w:pPr>
      <w:r>
        <w:rPr>
          <w:rFonts w:ascii="Arial" w:hAnsi="Arial" w:cs="Arial"/>
          <w:sz w:val="20"/>
          <w:szCs w:val="20"/>
        </w:rPr>
        <w:lastRenderedPageBreak/>
        <w:t>Preguntas de evaluación</w:t>
      </w:r>
    </w:p>
    <w:p w14:paraId="06DCCFA2" w14:textId="60162C47" w:rsidR="00446C80" w:rsidRDefault="00446C80" w:rsidP="006362B7">
      <w:pPr>
        <w:widowControl w:val="0"/>
        <w:autoSpaceDE w:val="0"/>
        <w:autoSpaceDN w:val="0"/>
        <w:adjustRightInd w:val="0"/>
        <w:ind w:left="640" w:hanging="640"/>
        <w:rPr>
          <w:rFonts w:ascii="Arial" w:hAnsi="Arial" w:cs="Arial"/>
          <w:sz w:val="20"/>
          <w:szCs w:val="20"/>
        </w:rPr>
      </w:pPr>
    </w:p>
    <w:p w14:paraId="14875D5C" w14:textId="77777777" w:rsidR="00446C80" w:rsidRDefault="00446C80" w:rsidP="00446C80">
      <w:pPr>
        <w:widowControl w:val="0"/>
        <w:autoSpaceDE w:val="0"/>
        <w:autoSpaceDN w:val="0"/>
        <w:adjustRightInd w:val="0"/>
        <w:spacing w:after="0" w:line="276" w:lineRule="auto"/>
        <w:jc w:val="both"/>
        <w:rPr>
          <w:rFonts w:ascii="Arial" w:hAnsi="Arial" w:cs="Arial"/>
          <w:b/>
          <w:sz w:val="20"/>
          <w:szCs w:val="20"/>
          <w:lang w:val="es-ES"/>
        </w:rPr>
      </w:pPr>
      <w:r w:rsidRPr="00C86C4F">
        <w:rPr>
          <w:rFonts w:ascii="Arial" w:hAnsi="Arial" w:cs="Arial"/>
          <w:b/>
          <w:sz w:val="20"/>
          <w:szCs w:val="20"/>
          <w:lang w:val="es-ES"/>
        </w:rPr>
        <w:t>PREGUNTAS</w:t>
      </w:r>
    </w:p>
    <w:p w14:paraId="28155B67" w14:textId="77777777" w:rsidR="00446C80" w:rsidRDefault="00446C80" w:rsidP="00446C80">
      <w:pPr>
        <w:widowControl w:val="0"/>
        <w:autoSpaceDE w:val="0"/>
        <w:autoSpaceDN w:val="0"/>
        <w:adjustRightInd w:val="0"/>
        <w:spacing w:after="0" w:line="276" w:lineRule="auto"/>
        <w:jc w:val="both"/>
        <w:rPr>
          <w:rFonts w:ascii="Arial" w:hAnsi="Arial" w:cs="Arial"/>
          <w:b/>
          <w:sz w:val="20"/>
          <w:szCs w:val="20"/>
          <w:lang w:val="es-ES"/>
        </w:rPr>
      </w:pPr>
    </w:p>
    <w:p w14:paraId="5660551C" w14:textId="13158914" w:rsidR="00446C80" w:rsidRPr="0061119F" w:rsidRDefault="00446C80" w:rsidP="00446C80">
      <w:pPr>
        <w:widowControl w:val="0"/>
        <w:autoSpaceDE w:val="0"/>
        <w:autoSpaceDN w:val="0"/>
        <w:adjustRightInd w:val="0"/>
        <w:spacing w:after="0" w:line="276" w:lineRule="auto"/>
        <w:jc w:val="both"/>
        <w:rPr>
          <w:rFonts w:ascii="Arial" w:hAnsi="Arial" w:cs="Arial"/>
          <w:b/>
          <w:sz w:val="20"/>
          <w:szCs w:val="20"/>
          <w:lang w:val="es-ES"/>
        </w:rPr>
      </w:pPr>
      <w:r>
        <w:rPr>
          <w:rFonts w:ascii="Arial" w:hAnsi="Arial" w:cs="Arial"/>
          <w:b/>
          <w:sz w:val="20"/>
          <w:szCs w:val="20"/>
          <w:lang w:val="es-ES"/>
        </w:rPr>
        <w:t>1. ¿Cuál de los siguientes factores de riesgo es considerado de “alto riesgo” en LLA-T?</w:t>
      </w:r>
    </w:p>
    <w:p w14:paraId="48ADF314" w14:textId="77777777" w:rsidR="00446C80" w:rsidRDefault="00446C80" w:rsidP="00446C80">
      <w:pPr>
        <w:pStyle w:val="Prrafodelista"/>
        <w:widowControl w:val="0"/>
        <w:numPr>
          <w:ilvl w:val="0"/>
          <w:numId w:val="6"/>
        </w:numPr>
        <w:tabs>
          <w:tab w:val="left" w:pos="284"/>
          <w:tab w:val="left" w:pos="426"/>
        </w:tabs>
        <w:autoSpaceDE w:val="0"/>
        <w:autoSpaceDN w:val="0"/>
        <w:adjustRightInd w:val="0"/>
        <w:spacing w:after="0" w:line="276" w:lineRule="auto"/>
        <w:ind w:left="0" w:firstLine="0"/>
        <w:jc w:val="both"/>
        <w:rPr>
          <w:rFonts w:ascii="Arial" w:hAnsi="Arial" w:cs="Arial"/>
          <w:sz w:val="20"/>
          <w:szCs w:val="20"/>
          <w:lang w:val="es-ES"/>
        </w:rPr>
      </w:pPr>
      <w:r w:rsidRPr="00C86C4F">
        <w:rPr>
          <w:rFonts w:ascii="Arial" w:hAnsi="Arial" w:cs="Arial"/>
          <w:sz w:val="20"/>
          <w:szCs w:val="20"/>
          <w:lang w:val="es-ES"/>
        </w:rPr>
        <w:t>Edad &gt; 20 años</w:t>
      </w:r>
    </w:p>
    <w:p w14:paraId="54533349" w14:textId="609DDFEE" w:rsidR="00446C80" w:rsidRDefault="00446C80" w:rsidP="00446C80">
      <w:pPr>
        <w:pStyle w:val="Prrafodelista"/>
        <w:widowControl w:val="0"/>
        <w:numPr>
          <w:ilvl w:val="0"/>
          <w:numId w:val="6"/>
        </w:numPr>
        <w:tabs>
          <w:tab w:val="left" w:pos="284"/>
          <w:tab w:val="left" w:pos="426"/>
        </w:tabs>
        <w:autoSpaceDE w:val="0"/>
        <w:autoSpaceDN w:val="0"/>
        <w:adjustRightInd w:val="0"/>
        <w:spacing w:after="0" w:line="276" w:lineRule="auto"/>
        <w:ind w:left="0" w:firstLine="0"/>
        <w:jc w:val="both"/>
        <w:rPr>
          <w:rFonts w:ascii="Arial" w:hAnsi="Arial" w:cs="Arial"/>
          <w:sz w:val="20"/>
          <w:szCs w:val="20"/>
          <w:lang w:val="es-ES"/>
        </w:rPr>
      </w:pPr>
      <w:r w:rsidRPr="0061119F">
        <w:rPr>
          <w:rFonts w:ascii="Arial" w:hAnsi="Arial" w:cs="Arial"/>
          <w:sz w:val="20"/>
          <w:szCs w:val="20"/>
          <w:lang w:val="es-ES"/>
        </w:rPr>
        <w:t>Cromosoma filadelfio positivo</w:t>
      </w:r>
    </w:p>
    <w:p w14:paraId="16E35C60" w14:textId="77777777" w:rsidR="00446C80" w:rsidRPr="00446C80" w:rsidRDefault="00446C80" w:rsidP="00446C80">
      <w:pPr>
        <w:pStyle w:val="Prrafodelista"/>
        <w:widowControl w:val="0"/>
        <w:numPr>
          <w:ilvl w:val="0"/>
          <w:numId w:val="6"/>
        </w:numPr>
        <w:tabs>
          <w:tab w:val="left" w:pos="284"/>
          <w:tab w:val="left" w:pos="426"/>
        </w:tabs>
        <w:autoSpaceDE w:val="0"/>
        <w:autoSpaceDN w:val="0"/>
        <w:adjustRightInd w:val="0"/>
        <w:spacing w:after="0" w:line="276" w:lineRule="auto"/>
        <w:ind w:left="0" w:firstLine="0"/>
        <w:jc w:val="both"/>
        <w:rPr>
          <w:rFonts w:ascii="Arial" w:hAnsi="Arial" w:cs="Arial"/>
          <w:sz w:val="20"/>
          <w:szCs w:val="20"/>
          <w:u w:val="single"/>
          <w:lang w:val="es-ES"/>
        </w:rPr>
      </w:pPr>
      <w:r w:rsidRPr="00446C80">
        <w:rPr>
          <w:rFonts w:ascii="Arial" w:hAnsi="Arial" w:cs="Arial"/>
          <w:sz w:val="20"/>
          <w:szCs w:val="20"/>
          <w:u w:val="single"/>
          <w:lang w:val="es-ES"/>
        </w:rPr>
        <w:t>Leucocitos &gt; 30 x 10</w:t>
      </w:r>
      <w:r w:rsidRPr="00446C80">
        <w:rPr>
          <w:rFonts w:ascii="Arial" w:hAnsi="Arial" w:cs="Arial"/>
          <w:sz w:val="20"/>
          <w:szCs w:val="20"/>
          <w:u w:val="single"/>
          <w:vertAlign w:val="superscript"/>
          <w:lang w:val="es-ES"/>
        </w:rPr>
        <w:t>9</w:t>
      </w:r>
    </w:p>
    <w:p w14:paraId="2B5B9516" w14:textId="53398285" w:rsidR="00446C80" w:rsidRPr="0061119F" w:rsidRDefault="000B75EB" w:rsidP="00446C80">
      <w:pPr>
        <w:pStyle w:val="Prrafodelista"/>
        <w:widowControl w:val="0"/>
        <w:numPr>
          <w:ilvl w:val="0"/>
          <w:numId w:val="6"/>
        </w:numPr>
        <w:tabs>
          <w:tab w:val="left" w:pos="284"/>
          <w:tab w:val="left" w:pos="426"/>
        </w:tabs>
        <w:autoSpaceDE w:val="0"/>
        <w:autoSpaceDN w:val="0"/>
        <w:adjustRightInd w:val="0"/>
        <w:spacing w:after="0" w:line="276" w:lineRule="auto"/>
        <w:ind w:left="0" w:firstLine="0"/>
        <w:jc w:val="both"/>
        <w:rPr>
          <w:rFonts w:ascii="Arial" w:hAnsi="Arial" w:cs="Arial"/>
          <w:sz w:val="20"/>
          <w:szCs w:val="20"/>
          <w:lang w:val="es-ES"/>
        </w:rPr>
      </w:pPr>
      <w:r w:rsidRPr="0061119F">
        <w:rPr>
          <w:rFonts w:ascii="Arial" w:hAnsi="Arial" w:cs="Arial"/>
          <w:sz w:val="20"/>
          <w:szCs w:val="20"/>
          <w:lang w:val="es-ES"/>
        </w:rPr>
        <w:t>t (</w:t>
      </w:r>
      <w:r w:rsidR="00446C80" w:rsidRPr="0061119F">
        <w:rPr>
          <w:rFonts w:ascii="Arial" w:hAnsi="Arial" w:cs="Arial"/>
          <w:sz w:val="20"/>
          <w:szCs w:val="20"/>
          <w:lang w:val="es-ES"/>
        </w:rPr>
        <w:t>12;21)</w:t>
      </w:r>
    </w:p>
    <w:p w14:paraId="73732808"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p>
    <w:p w14:paraId="23D3C035" w14:textId="4B5AA8A9" w:rsidR="00446C80" w:rsidRDefault="00446C80" w:rsidP="00446C80">
      <w:pPr>
        <w:widowControl w:val="0"/>
        <w:autoSpaceDE w:val="0"/>
        <w:autoSpaceDN w:val="0"/>
        <w:adjustRightInd w:val="0"/>
        <w:spacing w:after="0" w:line="276" w:lineRule="auto"/>
        <w:jc w:val="both"/>
        <w:rPr>
          <w:rFonts w:ascii="Arial" w:hAnsi="Arial" w:cs="Arial"/>
          <w:b/>
          <w:sz w:val="20"/>
          <w:szCs w:val="20"/>
          <w:lang w:val="es-ES"/>
        </w:rPr>
      </w:pPr>
      <w:r w:rsidRPr="00A51A45">
        <w:rPr>
          <w:rFonts w:ascii="Arial" w:hAnsi="Arial" w:cs="Arial"/>
          <w:b/>
          <w:sz w:val="20"/>
          <w:szCs w:val="20"/>
          <w:lang w:val="es-ES"/>
        </w:rPr>
        <w:t>2. ¿Cuál es el punto de corte aceptado para detección de enfermedad mínima residual independiente del método utilizado?</w:t>
      </w:r>
    </w:p>
    <w:p w14:paraId="0D816A21"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vertAlign w:val="superscript"/>
          <w:lang w:val="es-ES"/>
        </w:rPr>
      </w:pPr>
      <w:r>
        <w:rPr>
          <w:rFonts w:ascii="Arial" w:hAnsi="Arial" w:cs="Arial"/>
          <w:sz w:val="20"/>
          <w:szCs w:val="20"/>
          <w:lang w:val="es-ES"/>
        </w:rPr>
        <w:t>a. 1 x 10</w:t>
      </w:r>
      <w:r>
        <w:rPr>
          <w:rFonts w:ascii="Arial" w:hAnsi="Arial" w:cs="Arial"/>
          <w:sz w:val="20"/>
          <w:szCs w:val="20"/>
          <w:vertAlign w:val="superscript"/>
          <w:lang w:val="es-ES"/>
        </w:rPr>
        <w:t>-3</w:t>
      </w:r>
    </w:p>
    <w:p w14:paraId="38D1224B"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vertAlign w:val="superscript"/>
          <w:lang w:val="es-ES"/>
        </w:rPr>
      </w:pPr>
      <w:r>
        <w:rPr>
          <w:rFonts w:ascii="Arial" w:hAnsi="Arial" w:cs="Arial"/>
          <w:sz w:val="20"/>
          <w:szCs w:val="20"/>
          <w:lang w:val="es-ES"/>
        </w:rPr>
        <w:t xml:space="preserve">b. </w:t>
      </w:r>
      <w:r w:rsidRPr="00446C80">
        <w:rPr>
          <w:rFonts w:ascii="Arial" w:hAnsi="Arial" w:cs="Arial"/>
          <w:sz w:val="20"/>
          <w:szCs w:val="20"/>
          <w:u w:val="single"/>
          <w:lang w:val="es-ES"/>
        </w:rPr>
        <w:t>1 x 10</w:t>
      </w:r>
      <w:r w:rsidRPr="00446C80">
        <w:rPr>
          <w:rFonts w:ascii="Arial" w:hAnsi="Arial" w:cs="Arial"/>
          <w:sz w:val="20"/>
          <w:szCs w:val="20"/>
          <w:u w:val="single"/>
          <w:vertAlign w:val="superscript"/>
          <w:lang w:val="es-ES"/>
        </w:rPr>
        <w:t>-4</w:t>
      </w:r>
    </w:p>
    <w:p w14:paraId="4A1D7AD3"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vertAlign w:val="superscript"/>
          <w:lang w:val="es-ES"/>
        </w:rPr>
      </w:pPr>
      <w:r>
        <w:rPr>
          <w:rFonts w:ascii="Arial" w:hAnsi="Arial" w:cs="Arial"/>
          <w:sz w:val="20"/>
          <w:szCs w:val="20"/>
          <w:lang w:val="es-ES"/>
        </w:rPr>
        <w:t>c. 1 x 10</w:t>
      </w:r>
      <w:r>
        <w:rPr>
          <w:rFonts w:ascii="Arial" w:hAnsi="Arial" w:cs="Arial"/>
          <w:sz w:val="20"/>
          <w:szCs w:val="20"/>
          <w:vertAlign w:val="superscript"/>
          <w:lang w:val="es-ES"/>
        </w:rPr>
        <w:t>-5</w:t>
      </w:r>
    </w:p>
    <w:p w14:paraId="67FDD9D9"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d. 1 x 10</w:t>
      </w:r>
      <w:r>
        <w:rPr>
          <w:rFonts w:ascii="Arial" w:hAnsi="Arial" w:cs="Arial"/>
          <w:sz w:val="20"/>
          <w:szCs w:val="20"/>
          <w:vertAlign w:val="superscript"/>
          <w:lang w:val="es-ES"/>
        </w:rPr>
        <w:t>-6</w:t>
      </w:r>
    </w:p>
    <w:p w14:paraId="109B5AF0"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p>
    <w:p w14:paraId="32FC5B64" w14:textId="4BCC8E82" w:rsidR="00446C80" w:rsidRDefault="00446C80" w:rsidP="00446C80">
      <w:pPr>
        <w:widowControl w:val="0"/>
        <w:autoSpaceDE w:val="0"/>
        <w:autoSpaceDN w:val="0"/>
        <w:adjustRightInd w:val="0"/>
        <w:spacing w:after="0" w:line="276" w:lineRule="auto"/>
        <w:jc w:val="both"/>
        <w:rPr>
          <w:rFonts w:ascii="Arial" w:hAnsi="Arial" w:cs="Arial"/>
          <w:b/>
          <w:sz w:val="20"/>
          <w:szCs w:val="20"/>
          <w:lang w:val="es-ES"/>
        </w:rPr>
      </w:pPr>
      <w:r w:rsidRPr="00A51A45">
        <w:rPr>
          <w:rFonts w:ascii="Arial" w:hAnsi="Arial" w:cs="Arial"/>
          <w:b/>
          <w:sz w:val="20"/>
          <w:szCs w:val="20"/>
          <w:lang w:val="es-ES"/>
        </w:rPr>
        <w:t>3. ¿Cuál de los siguientes NO está considerado como factor citogenético de alto riesgo?</w:t>
      </w:r>
    </w:p>
    <w:p w14:paraId="164AD9A2" w14:textId="12384AF0"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a. </w:t>
      </w:r>
      <w:r w:rsidR="000B75EB">
        <w:rPr>
          <w:rFonts w:ascii="Arial" w:hAnsi="Arial" w:cs="Arial"/>
          <w:sz w:val="20"/>
          <w:szCs w:val="20"/>
          <w:lang w:val="es-ES"/>
        </w:rPr>
        <w:t>t (</w:t>
      </w:r>
      <w:r>
        <w:rPr>
          <w:rFonts w:ascii="Arial" w:hAnsi="Arial" w:cs="Arial"/>
          <w:sz w:val="20"/>
          <w:szCs w:val="20"/>
          <w:lang w:val="es-ES"/>
        </w:rPr>
        <w:t>4;11)</w:t>
      </w:r>
    </w:p>
    <w:p w14:paraId="508BC835" w14:textId="72BAC298"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b. </w:t>
      </w:r>
      <w:r w:rsidR="000B75EB">
        <w:rPr>
          <w:rFonts w:ascii="Arial" w:hAnsi="Arial" w:cs="Arial"/>
          <w:sz w:val="20"/>
          <w:szCs w:val="20"/>
          <w:lang w:val="es-ES"/>
        </w:rPr>
        <w:t>t (</w:t>
      </w:r>
      <w:r>
        <w:rPr>
          <w:rFonts w:ascii="Arial" w:hAnsi="Arial" w:cs="Arial"/>
          <w:sz w:val="20"/>
          <w:szCs w:val="20"/>
          <w:lang w:val="es-ES"/>
        </w:rPr>
        <w:t>9;22)</w:t>
      </w:r>
    </w:p>
    <w:p w14:paraId="1D8C877A" w14:textId="608C5CAA"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c.</w:t>
      </w:r>
      <w:r w:rsidRPr="00446C80">
        <w:rPr>
          <w:rFonts w:ascii="Arial" w:hAnsi="Arial" w:cs="Arial"/>
          <w:sz w:val="20"/>
          <w:szCs w:val="20"/>
          <w:u w:val="single"/>
          <w:lang w:val="es-ES"/>
        </w:rPr>
        <w:t xml:space="preserve"> </w:t>
      </w:r>
      <w:r w:rsidR="000B75EB" w:rsidRPr="00446C80">
        <w:rPr>
          <w:rFonts w:ascii="Arial" w:hAnsi="Arial" w:cs="Arial"/>
          <w:sz w:val="20"/>
          <w:szCs w:val="20"/>
          <w:u w:val="single"/>
          <w:lang w:val="es-ES"/>
        </w:rPr>
        <w:t>t (</w:t>
      </w:r>
      <w:r w:rsidRPr="00446C80">
        <w:rPr>
          <w:rFonts w:ascii="Arial" w:hAnsi="Arial" w:cs="Arial"/>
          <w:sz w:val="20"/>
          <w:szCs w:val="20"/>
          <w:u w:val="single"/>
          <w:lang w:val="es-ES"/>
        </w:rPr>
        <w:t>12;21)</w:t>
      </w:r>
    </w:p>
    <w:p w14:paraId="33360E37"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d. Hipodiploidia</w:t>
      </w:r>
    </w:p>
    <w:p w14:paraId="3BCC24FB"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p>
    <w:p w14:paraId="21B37239" w14:textId="56B7E960" w:rsidR="00446C80" w:rsidRPr="00403F96" w:rsidRDefault="00446C80" w:rsidP="00446C80">
      <w:pPr>
        <w:widowControl w:val="0"/>
        <w:autoSpaceDE w:val="0"/>
        <w:autoSpaceDN w:val="0"/>
        <w:adjustRightInd w:val="0"/>
        <w:spacing w:after="0" w:line="276" w:lineRule="auto"/>
        <w:jc w:val="both"/>
        <w:rPr>
          <w:rFonts w:ascii="Arial" w:hAnsi="Arial" w:cs="Arial"/>
          <w:b/>
          <w:sz w:val="20"/>
          <w:szCs w:val="20"/>
          <w:lang w:val="es-CO"/>
        </w:rPr>
      </w:pPr>
      <w:r w:rsidRPr="00DC02FA">
        <w:rPr>
          <w:rFonts w:ascii="Arial" w:hAnsi="Arial" w:cs="Arial"/>
          <w:b/>
          <w:sz w:val="20"/>
          <w:szCs w:val="20"/>
          <w:lang w:val="es-ES"/>
        </w:rPr>
        <w:t xml:space="preserve">4. </w:t>
      </w:r>
      <w:r w:rsidR="000B75EB" w:rsidRPr="00DC02FA">
        <w:rPr>
          <w:rFonts w:ascii="Arial" w:hAnsi="Arial" w:cs="Arial"/>
          <w:b/>
          <w:sz w:val="20"/>
          <w:szCs w:val="20"/>
          <w:lang w:val="es-ES"/>
        </w:rPr>
        <w:t>¿Cuál</w:t>
      </w:r>
      <w:r w:rsidRPr="00DC02FA">
        <w:rPr>
          <w:rFonts w:ascii="Arial" w:hAnsi="Arial" w:cs="Arial"/>
          <w:b/>
          <w:sz w:val="20"/>
          <w:szCs w:val="20"/>
          <w:lang w:val="es-ES"/>
        </w:rPr>
        <w:t xml:space="preserve"> es el punto de corte de edad establecido para definir a los adultos jóvenes (AYA: </w:t>
      </w:r>
      <w:r w:rsidRPr="00403F96">
        <w:rPr>
          <w:rFonts w:ascii="Arial" w:hAnsi="Arial" w:cs="Arial"/>
          <w:b/>
          <w:sz w:val="20"/>
          <w:szCs w:val="20"/>
          <w:lang w:val="es-CO"/>
        </w:rPr>
        <w:t>Adolescents and Young adults)?</w:t>
      </w:r>
    </w:p>
    <w:p w14:paraId="7C31C1A8" w14:textId="77777777" w:rsidR="00446C80" w:rsidRPr="00DC02FA" w:rsidRDefault="00446C80" w:rsidP="00446C80">
      <w:pPr>
        <w:widowControl w:val="0"/>
        <w:autoSpaceDE w:val="0"/>
        <w:autoSpaceDN w:val="0"/>
        <w:adjustRightInd w:val="0"/>
        <w:spacing w:after="0" w:line="276" w:lineRule="auto"/>
        <w:jc w:val="both"/>
        <w:rPr>
          <w:rFonts w:ascii="Arial" w:hAnsi="Arial" w:cs="Arial"/>
          <w:sz w:val="20"/>
          <w:szCs w:val="20"/>
        </w:rPr>
      </w:pPr>
      <w:r w:rsidRPr="00DC02FA">
        <w:rPr>
          <w:rFonts w:ascii="Arial" w:hAnsi="Arial" w:cs="Arial"/>
          <w:sz w:val="20"/>
          <w:szCs w:val="20"/>
        </w:rPr>
        <w:t>a. 20 años</w:t>
      </w:r>
    </w:p>
    <w:p w14:paraId="1BDF38C7" w14:textId="77777777" w:rsidR="00446C80" w:rsidRPr="00DC02FA" w:rsidRDefault="00446C80" w:rsidP="00446C80">
      <w:pPr>
        <w:widowControl w:val="0"/>
        <w:autoSpaceDE w:val="0"/>
        <w:autoSpaceDN w:val="0"/>
        <w:adjustRightInd w:val="0"/>
        <w:spacing w:after="0" w:line="276" w:lineRule="auto"/>
        <w:jc w:val="both"/>
        <w:rPr>
          <w:rFonts w:ascii="Arial" w:hAnsi="Arial" w:cs="Arial"/>
          <w:sz w:val="20"/>
          <w:szCs w:val="20"/>
        </w:rPr>
      </w:pPr>
      <w:r w:rsidRPr="00DC02FA">
        <w:rPr>
          <w:rFonts w:ascii="Arial" w:hAnsi="Arial" w:cs="Arial"/>
          <w:sz w:val="20"/>
          <w:szCs w:val="20"/>
        </w:rPr>
        <w:t>b. 35 años</w:t>
      </w:r>
    </w:p>
    <w:p w14:paraId="5D91EFC0" w14:textId="77777777" w:rsidR="00446C80" w:rsidRPr="00DC02FA" w:rsidRDefault="00446C80" w:rsidP="00446C80">
      <w:pPr>
        <w:widowControl w:val="0"/>
        <w:autoSpaceDE w:val="0"/>
        <w:autoSpaceDN w:val="0"/>
        <w:adjustRightInd w:val="0"/>
        <w:spacing w:after="0" w:line="276" w:lineRule="auto"/>
        <w:jc w:val="both"/>
        <w:rPr>
          <w:rFonts w:ascii="Arial" w:hAnsi="Arial" w:cs="Arial"/>
          <w:sz w:val="20"/>
          <w:szCs w:val="20"/>
        </w:rPr>
      </w:pPr>
      <w:r w:rsidRPr="00DC02FA">
        <w:rPr>
          <w:rFonts w:ascii="Arial" w:hAnsi="Arial" w:cs="Arial"/>
          <w:sz w:val="20"/>
          <w:szCs w:val="20"/>
        </w:rPr>
        <w:t xml:space="preserve">c. </w:t>
      </w:r>
      <w:r w:rsidRPr="00446C80">
        <w:rPr>
          <w:rFonts w:ascii="Arial" w:hAnsi="Arial" w:cs="Arial"/>
          <w:sz w:val="20"/>
          <w:szCs w:val="20"/>
          <w:u w:val="single"/>
        </w:rPr>
        <w:t>40 años</w:t>
      </w:r>
    </w:p>
    <w:p w14:paraId="42A78133"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sidRPr="00DC02FA">
        <w:rPr>
          <w:rFonts w:ascii="Arial" w:hAnsi="Arial" w:cs="Arial"/>
          <w:sz w:val="20"/>
          <w:szCs w:val="20"/>
        </w:rPr>
        <w:t>d. 45 años</w:t>
      </w:r>
    </w:p>
    <w:p w14:paraId="2F14634F"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p>
    <w:p w14:paraId="3C32A91D" w14:textId="17089CE3" w:rsidR="00446C80" w:rsidRDefault="00446C80" w:rsidP="00446C80">
      <w:pPr>
        <w:widowControl w:val="0"/>
        <w:autoSpaceDE w:val="0"/>
        <w:autoSpaceDN w:val="0"/>
        <w:adjustRightInd w:val="0"/>
        <w:spacing w:after="0" w:line="276" w:lineRule="auto"/>
        <w:jc w:val="both"/>
        <w:rPr>
          <w:rFonts w:ascii="Arial" w:hAnsi="Arial" w:cs="Arial"/>
          <w:b/>
          <w:sz w:val="20"/>
          <w:szCs w:val="20"/>
        </w:rPr>
      </w:pPr>
      <w:r w:rsidRPr="00DC02FA">
        <w:rPr>
          <w:rFonts w:ascii="Arial" w:hAnsi="Arial" w:cs="Arial"/>
          <w:b/>
          <w:sz w:val="20"/>
          <w:szCs w:val="20"/>
        </w:rPr>
        <w:t xml:space="preserve">5. </w:t>
      </w:r>
      <w:r w:rsidR="000B75EB" w:rsidRPr="00DC02FA">
        <w:rPr>
          <w:rFonts w:ascii="Arial" w:hAnsi="Arial" w:cs="Arial"/>
          <w:b/>
          <w:sz w:val="20"/>
          <w:szCs w:val="20"/>
        </w:rPr>
        <w:t>¿Los</w:t>
      </w:r>
      <w:r w:rsidRPr="00DC02FA">
        <w:rPr>
          <w:rFonts w:ascii="Arial" w:hAnsi="Arial" w:cs="Arial"/>
          <w:b/>
          <w:sz w:val="20"/>
          <w:szCs w:val="20"/>
        </w:rPr>
        <w:t xml:space="preserve"> </w:t>
      </w:r>
      <w:r w:rsidR="000B75EB" w:rsidRPr="00DC02FA">
        <w:rPr>
          <w:rFonts w:ascii="Arial" w:hAnsi="Arial" w:cs="Arial"/>
          <w:b/>
          <w:sz w:val="20"/>
          <w:szCs w:val="20"/>
        </w:rPr>
        <w:t>regímenes</w:t>
      </w:r>
      <w:r w:rsidRPr="00DC02FA">
        <w:rPr>
          <w:rFonts w:ascii="Arial" w:hAnsi="Arial" w:cs="Arial"/>
          <w:b/>
          <w:sz w:val="20"/>
          <w:szCs w:val="20"/>
        </w:rPr>
        <w:t xml:space="preserve"> inspirados en protocolos pediátricos se basan principalmente </w:t>
      </w:r>
      <w:r w:rsidR="000B75EB" w:rsidRPr="00DC02FA">
        <w:rPr>
          <w:rFonts w:ascii="Arial" w:hAnsi="Arial" w:cs="Arial"/>
          <w:b/>
          <w:sz w:val="20"/>
          <w:szCs w:val="20"/>
        </w:rPr>
        <w:t>cuál</w:t>
      </w:r>
      <w:r w:rsidRPr="00DC02FA">
        <w:rPr>
          <w:rFonts w:ascii="Arial" w:hAnsi="Arial" w:cs="Arial"/>
          <w:b/>
          <w:sz w:val="20"/>
          <w:szCs w:val="20"/>
        </w:rPr>
        <w:t xml:space="preserve"> de los siguientes </w:t>
      </w:r>
      <w:r w:rsidR="000B75EB" w:rsidRPr="00DC02FA">
        <w:rPr>
          <w:rFonts w:ascii="Arial" w:hAnsi="Arial" w:cs="Arial"/>
          <w:b/>
          <w:sz w:val="20"/>
          <w:szCs w:val="20"/>
        </w:rPr>
        <w:t>fármacos?</w:t>
      </w:r>
    </w:p>
    <w:p w14:paraId="7E8E8816"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a. Doxorrubicina y ciclofosfamida</w:t>
      </w:r>
    </w:p>
    <w:p w14:paraId="3D07A9EE"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 xml:space="preserve">b. </w:t>
      </w:r>
      <w:r w:rsidRPr="00446C80">
        <w:rPr>
          <w:rFonts w:ascii="Arial" w:hAnsi="Arial" w:cs="Arial"/>
          <w:sz w:val="20"/>
          <w:szCs w:val="20"/>
          <w:u w:val="single"/>
        </w:rPr>
        <w:t>Asparaginasa y corticosteroides</w:t>
      </w:r>
    </w:p>
    <w:p w14:paraId="6A0EE5B3"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c. Blinatumomab e Inhibidores de tirosina quinasa</w:t>
      </w:r>
    </w:p>
    <w:p w14:paraId="588F06DA"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d. Vincristina liposomal y Clofarabina</w:t>
      </w:r>
    </w:p>
    <w:p w14:paraId="0206B895"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p>
    <w:p w14:paraId="56E3E85F" w14:textId="3ED341E3" w:rsidR="00446C80" w:rsidRPr="007D4D33" w:rsidRDefault="00446C80" w:rsidP="00446C80">
      <w:pPr>
        <w:widowControl w:val="0"/>
        <w:autoSpaceDE w:val="0"/>
        <w:autoSpaceDN w:val="0"/>
        <w:adjustRightInd w:val="0"/>
        <w:spacing w:after="0" w:line="276" w:lineRule="auto"/>
        <w:jc w:val="both"/>
        <w:rPr>
          <w:rFonts w:ascii="Arial" w:hAnsi="Arial" w:cs="Arial"/>
          <w:b/>
          <w:sz w:val="20"/>
          <w:szCs w:val="20"/>
        </w:rPr>
      </w:pPr>
      <w:r w:rsidRPr="007D4D33">
        <w:rPr>
          <w:rFonts w:ascii="Arial" w:hAnsi="Arial" w:cs="Arial"/>
          <w:b/>
          <w:sz w:val="20"/>
          <w:szCs w:val="20"/>
        </w:rPr>
        <w:t xml:space="preserve">6. </w:t>
      </w:r>
      <w:r w:rsidR="000B75EB" w:rsidRPr="007D4D33">
        <w:rPr>
          <w:rFonts w:ascii="Arial" w:hAnsi="Arial" w:cs="Arial"/>
          <w:b/>
          <w:sz w:val="20"/>
          <w:szCs w:val="20"/>
        </w:rPr>
        <w:t>¿Cuál</w:t>
      </w:r>
      <w:r w:rsidRPr="007D4D33">
        <w:rPr>
          <w:rFonts w:ascii="Arial" w:hAnsi="Arial" w:cs="Arial"/>
          <w:b/>
          <w:sz w:val="20"/>
          <w:szCs w:val="20"/>
        </w:rPr>
        <w:t xml:space="preserve"> de los siguientes inhibidores de tirosina quinasa puede inhibir la agregación plaquetaria y atraviesa la barrera </w:t>
      </w:r>
      <w:r w:rsidR="000B75EB" w:rsidRPr="007D4D33">
        <w:rPr>
          <w:rFonts w:ascii="Arial" w:hAnsi="Arial" w:cs="Arial"/>
          <w:b/>
          <w:sz w:val="20"/>
          <w:szCs w:val="20"/>
        </w:rPr>
        <w:t>hematoencefalica?</w:t>
      </w:r>
    </w:p>
    <w:p w14:paraId="00565FDB"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a. Imatinib</w:t>
      </w:r>
    </w:p>
    <w:p w14:paraId="0CA808C9"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b. Nilotinib</w:t>
      </w:r>
    </w:p>
    <w:p w14:paraId="2565D1A7"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 xml:space="preserve">c. </w:t>
      </w:r>
      <w:r w:rsidRPr="00446C80">
        <w:rPr>
          <w:rFonts w:ascii="Arial" w:hAnsi="Arial" w:cs="Arial"/>
          <w:sz w:val="20"/>
          <w:szCs w:val="20"/>
          <w:u w:val="single"/>
        </w:rPr>
        <w:t>Dasatinib</w:t>
      </w:r>
    </w:p>
    <w:p w14:paraId="4E28B239"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d. Ponatinib</w:t>
      </w:r>
    </w:p>
    <w:p w14:paraId="0A4A1901"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p>
    <w:p w14:paraId="57ADE087" w14:textId="499388F1" w:rsidR="00446C80" w:rsidRPr="00B454C9" w:rsidRDefault="00446C80" w:rsidP="00446C80">
      <w:pPr>
        <w:widowControl w:val="0"/>
        <w:autoSpaceDE w:val="0"/>
        <w:autoSpaceDN w:val="0"/>
        <w:adjustRightInd w:val="0"/>
        <w:spacing w:after="0" w:line="276" w:lineRule="auto"/>
        <w:jc w:val="both"/>
        <w:rPr>
          <w:rFonts w:ascii="Arial" w:hAnsi="Arial" w:cs="Arial"/>
          <w:b/>
          <w:sz w:val="20"/>
          <w:szCs w:val="20"/>
        </w:rPr>
      </w:pPr>
      <w:r w:rsidRPr="00B454C9">
        <w:rPr>
          <w:rFonts w:ascii="Arial" w:hAnsi="Arial" w:cs="Arial"/>
          <w:b/>
          <w:sz w:val="20"/>
          <w:szCs w:val="20"/>
        </w:rPr>
        <w:t>7. ¿</w:t>
      </w:r>
      <w:bookmarkStart w:id="0" w:name="_GoBack"/>
      <w:bookmarkEnd w:id="0"/>
      <w:r w:rsidRPr="00B454C9">
        <w:rPr>
          <w:rFonts w:ascii="Arial" w:hAnsi="Arial" w:cs="Arial"/>
          <w:b/>
          <w:sz w:val="20"/>
          <w:szCs w:val="20"/>
        </w:rPr>
        <w:t>Cuál de los siguientes protocolos de quimioterapia es ampliamente utilizado en Colombia como protocolo de rescate en LLA Ph-?</w:t>
      </w:r>
    </w:p>
    <w:p w14:paraId="448B787B" w14:textId="77777777" w:rsidR="00446C80" w:rsidRPr="00403F96" w:rsidRDefault="00446C80" w:rsidP="00446C80">
      <w:pPr>
        <w:widowControl w:val="0"/>
        <w:autoSpaceDE w:val="0"/>
        <w:autoSpaceDN w:val="0"/>
        <w:adjustRightInd w:val="0"/>
        <w:spacing w:after="0" w:line="276" w:lineRule="auto"/>
        <w:jc w:val="both"/>
        <w:rPr>
          <w:rFonts w:ascii="Arial" w:hAnsi="Arial" w:cs="Arial"/>
          <w:sz w:val="20"/>
          <w:szCs w:val="20"/>
          <w:lang w:val="en-US"/>
        </w:rPr>
      </w:pPr>
      <w:r w:rsidRPr="00403F96">
        <w:rPr>
          <w:rFonts w:ascii="Arial" w:hAnsi="Arial" w:cs="Arial"/>
          <w:sz w:val="20"/>
          <w:szCs w:val="20"/>
          <w:lang w:val="en-US"/>
        </w:rPr>
        <w:t>a. HyperCVAD</w:t>
      </w:r>
    </w:p>
    <w:p w14:paraId="3599CD91" w14:textId="77777777" w:rsidR="00446C80" w:rsidRPr="00403F96" w:rsidRDefault="00446C80" w:rsidP="00446C80">
      <w:pPr>
        <w:widowControl w:val="0"/>
        <w:autoSpaceDE w:val="0"/>
        <w:autoSpaceDN w:val="0"/>
        <w:adjustRightInd w:val="0"/>
        <w:spacing w:after="0" w:line="276" w:lineRule="auto"/>
        <w:jc w:val="both"/>
        <w:rPr>
          <w:rFonts w:ascii="Arial" w:hAnsi="Arial" w:cs="Arial"/>
          <w:sz w:val="20"/>
          <w:szCs w:val="20"/>
          <w:lang w:val="en-US"/>
        </w:rPr>
      </w:pPr>
      <w:r w:rsidRPr="00403F96">
        <w:rPr>
          <w:rFonts w:ascii="Arial" w:hAnsi="Arial" w:cs="Arial"/>
          <w:sz w:val="20"/>
          <w:szCs w:val="20"/>
          <w:lang w:val="en-US"/>
        </w:rPr>
        <w:t>b. GRAAPH2005</w:t>
      </w:r>
    </w:p>
    <w:p w14:paraId="68700712" w14:textId="77777777" w:rsidR="00446C80" w:rsidRPr="00403F96" w:rsidRDefault="00446C80" w:rsidP="00446C80">
      <w:pPr>
        <w:widowControl w:val="0"/>
        <w:autoSpaceDE w:val="0"/>
        <w:autoSpaceDN w:val="0"/>
        <w:adjustRightInd w:val="0"/>
        <w:spacing w:after="0" w:line="276" w:lineRule="auto"/>
        <w:jc w:val="both"/>
        <w:rPr>
          <w:rFonts w:ascii="Arial" w:hAnsi="Arial" w:cs="Arial"/>
          <w:sz w:val="20"/>
          <w:szCs w:val="20"/>
          <w:lang w:val="en-US"/>
        </w:rPr>
      </w:pPr>
      <w:r w:rsidRPr="00403F96">
        <w:rPr>
          <w:rFonts w:ascii="Arial" w:hAnsi="Arial" w:cs="Arial"/>
          <w:sz w:val="20"/>
          <w:szCs w:val="20"/>
          <w:lang w:val="en-US"/>
        </w:rPr>
        <w:t xml:space="preserve">c. </w:t>
      </w:r>
      <w:r w:rsidRPr="00446C80">
        <w:rPr>
          <w:rFonts w:ascii="Arial" w:hAnsi="Arial" w:cs="Arial"/>
          <w:sz w:val="20"/>
          <w:szCs w:val="20"/>
          <w:u w:val="single"/>
          <w:lang w:val="en-US"/>
        </w:rPr>
        <w:t>IDA-FLAG</w:t>
      </w:r>
    </w:p>
    <w:p w14:paraId="2CCC1DC0"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r>
        <w:rPr>
          <w:rFonts w:ascii="Arial" w:hAnsi="Arial" w:cs="Arial"/>
          <w:sz w:val="20"/>
          <w:szCs w:val="20"/>
        </w:rPr>
        <w:t>d. CAR-T cells</w:t>
      </w:r>
    </w:p>
    <w:p w14:paraId="2D9E0AEB"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rPr>
      </w:pPr>
    </w:p>
    <w:p w14:paraId="2315ADBE"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p>
    <w:p w14:paraId="11B719BC" w14:textId="5F29F530" w:rsidR="00446C80" w:rsidRDefault="00446C80" w:rsidP="00446C80">
      <w:pPr>
        <w:widowControl w:val="0"/>
        <w:autoSpaceDE w:val="0"/>
        <w:autoSpaceDN w:val="0"/>
        <w:adjustRightInd w:val="0"/>
        <w:spacing w:after="0" w:line="276" w:lineRule="auto"/>
        <w:jc w:val="both"/>
        <w:rPr>
          <w:rFonts w:ascii="Arial" w:hAnsi="Arial" w:cs="Arial"/>
          <w:b/>
          <w:sz w:val="20"/>
          <w:szCs w:val="20"/>
          <w:lang w:val="es-ES"/>
        </w:rPr>
      </w:pPr>
      <w:r w:rsidRPr="00971609">
        <w:rPr>
          <w:rFonts w:ascii="Arial" w:hAnsi="Arial" w:cs="Arial"/>
          <w:b/>
          <w:sz w:val="20"/>
          <w:szCs w:val="20"/>
          <w:lang w:val="es-ES"/>
        </w:rPr>
        <w:t xml:space="preserve">9. </w:t>
      </w:r>
      <w:r w:rsidR="000B75EB" w:rsidRPr="00971609">
        <w:rPr>
          <w:rFonts w:ascii="Arial" w:hAnsi="Arial" w:cs="Arial"/>
          <w:b/>
          <w:sz w:val="20"/>
          <w:szCs w:val="20"/>
          <w:lang w:val="es-ES"/>
        </w:rPr>
        <w:t>¿Cuál</w:t>
      </w:r>
      <w:r w:rsidRPr="00971609">
        <w:rPr>
          <w:rFonts w:ascii="Arial" w:hAnsi="Arial" w:cs="Arial"/>
          <w:b/>
          <w:sz w:val="20"/>
          <w:szCs w:val="20"/>
          <w:lang w:val="es-ES"/>
        </w:rPr>
        <w:t xml:space="preserve"> es el evento adverso </w:t>
      </w:r>
      <w:r>
        <w:rPr>
          <w:rFonts w:ascii="Arial" w:hAnsi="Arial" w:cs="Arial"/>
          <w:b/>
          <w:sz w:val="20"/>
          <w:szCs w:val="20"/>
          <w:lang w:val="es-ES"/>
        </w:rPr>
        <w:t xml:space="preserve">severo </w:t>
      </w:r>
      <w:r w:rsidRPr="00971609">
        <w:rPr>
          <w:rFonts w:ascii="Arial" w:hAnsi="Arial" w:cs="Arial"/>
          <w:b/>
          <w:sz w:val="20"/>
          <w:szCs w:val="20"/>
          <w:lang w:val="es-ES"/>
        </w:rPr>
        <w:t>más frecuente después de la toxicidad hematológica, que se presenta con Inotuzumab Ozogamicin?</w:t>
      </w:r>
    </w:p>
    <w:p w14:paraId="3862EE41"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a. Neurotoxicidad</w:t>
      </w:r>
    </w:p>
    <w:p w14:paraId="465B0CDA"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b. Síndrome de liberación de citoquinas</w:t>
      </w:r>
    </w:p>
    <w:p w14:paraId="2E08EDD9"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c. </w:t>
      </w:r>
      <w:r w:rsidRPr="00446C80">
        <w:rPr>
          <w:rFonts w:ascii="Arial" w:hAnsi="Arial" w:cs="Arial"/>
          <w:sz w:val="20"/>
          <w:szCs w:val="20"/>
          <w:u w:val="single"/>
          <w:lang w:val="es-ES"/>
        </w:rPr>
        <w:t>Síndrome veno-oclusivo</w:t>
      </w:r>
    </w:p>
    <w:p w14:paraId="279971D4"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d. Convulsiones</w:t>
      </w:r>
    </w:p>
    <w:p w14:paraId="44B09D3E" w14:textId="78DDB5CC" w:rsidR="00446C80" w:rsidRDefault="00446C80" w:rsidP="00446C80">
      <w:pPr>
        <w:widowControl w:val="0"/>
        <w:autoSpaceDE w:val="0"/>
        <w:autoSpaceDN w:val="0"/>
        <w:adjustRightInd w:val="0"/>
        <w:spacing w:after="0" w:line="276" w:lineRule="auto"/>
        <w:jc w:val="both"/>
        <w:rPr>
          <w:rFonts w:ascii="Arial" w:hAnsi="Arial" w:cs="Arial"/>
          <w:b/>
          <w:sz w:val="20"/>
          <w:szCs w:val="20"/>
          <w:lang w:val="es-ES"/>
        </w:rPr>
      </w:pPr>
      <w:r w:rsidRPr="007121A3">
        <w:rPr>
          <w:rFonts w:ascii="Arial" w:hAnsi="Arial" w:cs="Arial"/>
          <w:b/>
          <w:sz w:val="20"/>
          <w:szCs w:val="20"/>
          <w:lang w:val="es-ES"/>
        </w:rPr>
        <w:t>10.</w:t>
      </w:r>
      <w:r w:rsidRPr="001F2CB7">
        <w:rPr>
          <w:rFonts w:ascii="Arial" w:hAnsi="Arial" w:cs="Arial"/>
          <w:b/>
          <w:sz w:val="20"/>
          <w:szCs w:val="20"/>
          <w:lang w:val="es-ES"/>
        </w:rPr>
        <w:t xml:space="preserve"> </w:t>
      </w:r>
      <w:r w:rsidR="000B75EB" w:rsidRPr="001F2CB7">
        <w:rPr>
          <w:rFonts w:ascii="Arial" w:hAnsi="Arial" w:cs="Arial"/>
          <w:b/>
          <w:sz w:val="20"/>
          <w:szCs w:val="20"/>
          <w:lang w:val="es-ES"/>
        </w:rPr>
        <w:t>¿Cuál</w:t>
      </w:r>
      <w:r w:rsidRPr="001F2CB7">
        <w:rPr>
          <w:rFonts w:ascii="Arial" w:hAnsi="Arial" w:cs="Arial"/>
          <w:b/>
          <w:sz w:val="20"/>
          <w:szCs w:val="20"/>
          <w:lang w:val="es-ES"/>
        </w:rPr>
        <w:t xml:space="preserve"> es la medida </w:t>
      </w:r>
      <w:r w:rsidR="000B75EB" w:rsidRPr="001F2CB7">
        <w:rPr>
          <w:rFonts w:ascii="Arial" w:hAnsi="Arial" w:cs="Arial"/>
          <w:b/>
          <w:sz w:val="20"/>
          <w:szCs w:val="20"/>
          <w:lang w:val="es-ES"/>
        </w:rPr>
        <w:t>más</w:t>
      </w:r>
      <w:r w:rsidRPr="001F2CB7">
        <w:rPr>
          <w:rFonts w:ascii="Arial" w:hAnsi="Arial" w:cs="Arial"/>
          <w:b/>
          <w:sz w:val="20"/>
          <w:szCs w:val="20"/>
          <w:lang w:val="es-ES"/>
        </w:rPr>
        <w:t xml:space="preserve"> eficaz para el manejo de neurotoxicidad y síndrome de liberación de citoquinas asociado a la administración de </w:t>
      </w:r>
      <w:r w:rsidR="000B75EB" w:rsidRPr="001F2CB7">
        <w:rPr>
          <w:rFonts w:ascii="Arial" w:hAnsi="Arial" w:cs="Arial"/>
          <w:b/>
          <w:sz w:val="20"/>
          <w:szCs w:val="20"/>
          <w:lang w:val="es-ES"/>
        </w:rPr>
        <w:t>Blinatumomab?</w:t>
      </w:r>
    </w:p>
    <w:p w14:paraId="468D3B73"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a. Tocilizumab y flujos altos de oxigeno</w:t>
      </w:r>
    </w:p>
    <w:p w14:paraId="332E8225"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b. Vasopresores y antipiréticos</w:t>
      </w:r>
    </w:p>
    <w:p w14:paraId="1A439757"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 xml:space="preserve">d. </w:t>
      </w:r>
      <w:r w:rsidRPr="00446C80">
        <w:rPr>
          <w:rFonts w:ascii="Arial" w:hAnsi="Arial" w:cs="Arial"/>
          <w:sz w:val="20"/>
          <w:szCs w:val="20"/>
          <w:u w:val="single"/>
          <w:lang w:val="es-ES"/>
        </w:rPr>
        <w:t>Suspender Blinatumomab y administrar dexametasona</w:t>
      </w:r>
    </w:p>
    <w:p w14:paraId="2E11AC8A" w14:textId="77777777" w:rsidR="00446C80" w:rsidRDefault="00446C80" w:rsidP="00446C80">
      <w:pPr>
        <w:widowControl w:val="0"/>
        <w:autoSpaceDE w:val="0"/>
        <w:autoSpaceDN w:val="0"/>
        <w:adjustRightInd w:val="0"/>
        <w:spacing w:after="0" w:line="276" w:lineRule="auto"/>
        <w:jc w:val="both"/>
        <w:rPr>
          <w:rFonts w:ascii="Arial" w:hAnsi="Arial" w:cs="Arial"/>
          <w:sz w:val="20"/>
          <w:szCs w:val="20"/>
          <w:lang w:val="es-ES"/>
        </w:rPr>
      </w:pPr>
      <w:r>
        <w:rPr>
          <w:rFonts w:ascii="Arial" w:hAnsi="Arial" w:cs="Arial"/>
          <w:sz w:val="20"/>
          <w:szCs w:val="20"/>
          <w:lang w:val="es-ES"/>
        </w:rPr>
        <w:t>e. Tocilizumab y antibióticos</w:t>
      </w:r>
    </w:p>
    <w:p w14:paraId="4DAD82FF" w14:textId="77777777" w:rsidR="00446C80" w:rsidRPr="00655417" w:rsidRDefault="00446C80" w:rsidP="006362B7">
      <w:pPr>
        <w:widowControl w:val="0"/>
        <w:autoSpaceDE w:val="0"/>
        <w:autoSpaceDN w:val="0"/>
        <w:adjustRightInd w:val="0"/>
        <w:ind w:left="640" w:hanging="640"/>
        <w:rPr>
          <w:rFonts w:ascii="Arial" w:hAnsi="Arial" w:cs="Arial"/>
          <w:sz w:val="20"/>
          <w:szCs w:val="20"/>
        </w:rPr>
      </w:pPr>
    </w:p>
    <w:sectPr w:rsidR="00446C80" w:rsidRPr="00655417" w:rsidSect="00777E62">
      <w:pgSz w:w="11900" w:h="16840"/>
      <w:pgMar w:top="1440" w:right="1440" w:bottom="1440" w:left="1440" w:header="708" w:footer="708" w:gutter="0"/>
      <w:cols w:space="70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23C688" w16cid:durableId="20C0C366"/>
  <w16cid:commentId w16cid:paraId="4FBB7536" w16cid:durableId="20C7090C"/>
  <w16cid:commentId w16cid:paraId="05ED9F2D" w16cid:durableId="20C0C74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F5AD5" w14:textId="77777777" w:rsidR="002F0EF9" w:rsidRDefault="002F0EF9" w:rsidP="00293755">
      <w:pPr>
        <w:spacing w:after="0"/>
      </w:pPr>
      <w:r>
        <w:separator/>
      </w:r>
    </w:p>
  </w:endnote>
  <w:endnote w:type="continuationSeparator" w:id="0">
    <w:p w14:paraId="4FA61A12" w14:textId="77777777" w:rsidR="002F0EF9" w:rsidRDefault="002F0EF9" w:rsidP="002937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Times Roman">
    <w:altName w:val="Times New Roman"/>
    <w:charset w:val="00"/>
    <w:family w:val="auto"/>
    <w:pitch w:val="variable"/>
    <w:sig w:usb0="E00002FF" w:usb1="5000205A"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16CEA" w14:textId="77777777" w:rsidR="002F0EF9" w:rsidRDefault="002F0EF9" w:rsidP="00293755">
      <w:pPr>
        <w:spacing w:after="0"/>
      </w:pPr>
      <w:r>
        <w:separator/>
      </w:r>
    </w:p>
  </w:footnote>
  <w:footnote w:type="continuationSeparator" w:id="0">
    <w:p w14:paraId="1C36AA24" w14:textId="77777777" w:rsidR="002F0EF9" w:rsidRDefault="002F0EF9" w:rsidP="0029375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47D19"/>
    <w:multiLevelType w:val="hybridMultilevel"/>
    <w:tmpl w:val="3190C6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B03116"/>
    <w:multiLevelType w:val="hybridMultilevel"/>
    <w:tmpl w:val="8F9CFE3C"/>
    <w:lvl w:ilvl="0" w:tplc="F1640D1C">
      <w:start w:val="1"/>
      <w:numFmt w:val="bullet"/>
      <w:lvlText w:val="-"/>
      <w:lvlJc w:val="left"/>
      <w:pPr>
        <w:tabs>
          <w:tab w:val="num" w:pos="720"/>
        </w:tabs>
        <w:ind w:left="720" w:hanging="360"/>
      </w:pPr>
      <w:rPr>
        <w:rFonts w:ascii="Times New Roman" w:hAnsi="Times New Roman" w:hint="default"/>
      </w:rPr>
    </w:lvl>
    <w:lvl w:ilvl="1" w:tplc="65C0D34E" w:tentative="1">
      <w:start w:val="1"/>
      <w:numFmt w:val="bullet"/>
      <w:lvlText w:val="-"/>
      <w:lvlJc w:val="left"/>
      <w:pPr>
        <w:tabs>
          <w:tab w:val="num" w:pos="1440"/>
        </w:tabs>
        <w:ind w:left="1440" w:hanging="360"/>
      </w:pPr>
      <w:rPr>
        <w:rFonts w:ascii="Times New Roman" w:hAnsi="Times New Roman" w:hint="default"/>
      </w:rPr>
    </w:lvl>
    <w:lvl w:ilvl="2" w:tplc="D264BCB2" w:tentative="1">
      <w:start w:val="1"/>
      <w:numFmt w:val="bullet"/>
      <w:lvlText w:val="-"/>
      <w:lvlJc w:val="left"/>
      <w:pPr>
        <w:tabs>
          <w:tab w:val="num" w:pos="2160"/>
        </w:tabs>
        <w:ind w:left="2160" w:hanging="360"/>
      </w:pPr>
      <w:rPr>
        <w:rFonts w:ascii="Times New Roman" w:hAnsi="Times New Roman" w:hint="default"/>
      </w:rPr>
    </w:lvl>
    <w:lvl w:ilvl="3" w:tplc="6ACA51E0" w:tentative="1">
      <w:start w:val="1"/>
      <w:numFmt w:val="bullet"/>
      <w:lvlText w:val="-"/>
      <w:lvlJc w:val="left"/>
      <w:pPr>
        <w:tabs>
          <w:tab w:val="num" w:pos="2880"/>
        </w:tabs>
        <w:ind w:left="2880" w:hanging="360"/>
      </w:pPr>
      <w:rPr>
        <w:rFonts w:ascii="Times New Roman" w:hAnsi="Times New Roman" w:hint="default"/>
      </w:rPr>
    </w:lvl>
    <w:lvl w:ilvl="4" w:tplc="78F0EB5C" w:tentative="1">
      <w:start w:val="1"/>
      <w:numFmt w:val="bullet"/>
      <w:lvlText w:val="-"/>
      <w:lvlJc w:val="left"/>
      <w:pPr>
        <w:tabs>
          <w:tab w:val="num" w:pos="3600"/>
        </w:tabs>
        <w:ind w:left="3600" w:hanging="360"/>
      </w:pPr>
      <w:rPr>
        <w:rFonts w:ascii="Times New Roman" w:hAnsi="Times New Roman" w:hint="default"/>
      </w:rPr>
    </w:lvl>
    <w:lvl w:ilvl="5" w:tplc="D9FC3CC2" w:tentative="1">
      <w:start w:val="1"/>
      <w:numFmt w:val="bullet"/>
      <w:lvlText w:val="-"/>
      <w:lvlJc w:val="left"/>
      <w:pPr>
        <w:tabs>
          <w:tab w:val="num" w:pos="4320"/>
        </w:tabs>
        <w:ind w:left="4320" w:hanging="360"/>
      </w:pPr>
      <w:rPr>
        <w:rFonts w:ascii="Times New Roman" w:hAnsi="Times New Roman" w:hint="default"/>
      </w:rPr>
    </w:lvl>
    <w:lvl w:ilvl="6" w:tplc="4CBEA502" w:tentative="1">
      <w:start w:val="1"/>
      <w:numFmt w:val="bullet"/>
      <w:lvlText w:val="-"/>
      <w:lvlJc w:val="left"/>
      <w:pPr>
        <w:tabs>
          <w:tab w:val="num" w:pos="5040"/>
        </w:tabs>
        <w:ind w:left="5040" w:hanging="360"/>
      </w:pPr>
      <w:rPr>
        <w:rFonts w:ascii="Times New Roman" w:hAnsi="Times New Roman" w:hint="default"/>
      </w:rPr>
    </w:lvl>
    <w:lvl w:ilvl="7" w:tplc="B9ACAB9A" w:tentative="1">
      <w:start w:val="1"/>
      <w:numFmt w:val="bullet"/>
      <w:lvlText w:val="-"/>
      <w:lvlJc w:val="left"/>
      <w:pPr>
        <w:tabs>
          <w:tab w:val="num" w:pos="5760"/>
        </w:tabs>
        <w:ind w:left="5760" w:hanging="360"/>
      </w:pPr>
      <w:rPr>
        <w:rFonts w:ascii="Times New Roman" w:hAnsi="Times New Roman" w:hint="default"/>
      </w:rPr>
    </w:lvl>
    <w:lvl w:ilvl="8" w:tplc="A046057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E3775EE"/>
    <w:multiLevelType w:val="hybridMultilevel"/>
    <w:tmpl w:val="D8C0C08C"/>
    <w:lvl w:ilvl="0" w:tplc="2F80A66A">
      <w:start w:val="1"/>
      <w:numFmt w:val="bullet"/>
      <w:lvlText w:val="o"/>
      <w:lvlJc w:val="left"/>
      <w:pPr>
        <w:tabs>
          <w:tab w:val="num" w:pos="720"/>
        </w:tabs>
        <w:ind w:left="720" w:hanging="360"/>
      </w:pPr>
      <w:rPr>
        <w:rFonts w:ascii="Courier New" w:hAnsi="Courier New" w:hint="default"/>
      </w:rPr>
    </w:lvl>
    <w:lvl w:ilvl="1" w:tplc="B0CE70B4">
      <w:start w:val="1"/>
      <w:numFmt w:val="bullet"/>
      <w:lvlText w:val="o"/>
      <w:lvlJc w:val="left"/>
      <w:pPr>
        <w:tabs>
          <w:tab w:val="num" w:pos="1440"/>
        </w:tabs>
        <w:ind w:left="1440" w:hanging="360"/>
      </w:pPr>
      <w:rPr>
        <w:rFonts w:ascii="Courier New" w:hAnsi="Courier New" w:hint="default"/>
      </w:rPr>
    </w:lvl>
    <w:lvl w:ilvl="2" w:tplc="389050CE">
      <w:numFmt w:val="bullet"/>
      <w:lvlText w:val="•"/>
      <w:lvlJc w:val="left"/>
      <w:pPr>
        <w:tabs>
          <w:tab w:val="num" w:pos="2160"/>
        </w:tabs>
        <w:ind w:left="2160" w:hanging="360"/>
      </w:pPr>
      <w:rPr>
        <w:rFonts w:ascii="Arial" w:hAnsi="Arial" w:hint="default"/>
      </w:rPr>
    </w:lvl>
    <w:lvl w:ilvl="3" w:tplc="71649092" w:tentative="1">
      <w:start w:val="1"/>
      <w:numFmt w:val="bullet"/>
      <w:lvlText w:val="o"/>
      <w:lvlJc w:val="left"/>
      <w:pPr>
        <w:tabs>
          <w:tab w:val="num" w:pos="2880"/>
        </w:tabs>
        <w:ind w:left="2880" w:hanging="360"/>
      </w:pPr>
      <w:rPr>
        <w:rFonts w:ascii="Courier New" w:hAnsi="Courier New" w:hint="default"/>
      </w:rPr>
    </w:lvl>
    <w:lvl w:ilvl="4" w:tplc="D62AC9AA" w:tentative="1">
      <w:start w:val="1"/>
      <w:numFmt w:val="bullet"/>
      <w:lvlText w:val="o"/>
      <w:lvlJc w:val="left"/>
      <w:pPr>
        <w:tabs>
          <w:tab w:val="num" w:pos="3600"/>
        </w:tabs>
        <w:ind w:left="3600" w:hanging="360"/>
      </w:pPr>
      <w:rPr>
        <w:rFonts w:ascii="Courier New" w:hAnsi="Courier New" w:hint="default"/>
      </w:rPr>
    </w:lvl>
    <w:lvl w:ilvl="5" w:tplc="1EE471BE" w:tentative="1">
      <w:start w:val="1"/>
      <w:numFmt w:val="bullet"/>
      <w:lvlText w:val="o"/>
      <w:lvlJc w:val="left"/>
      <w:pPr>
        <w:tabs>
          <w:tab w:val="num" w:pos="4320"/>
        </w:tabs>
        <w:ind w:left="4320" w:hanging="360"/>
      </w:pPr>
      <w:rPr>
        <w:rFonts w:ascii="Courier New" w:hAnsi="Courier New" w:hint="default"/>
      </w:rPr>
    </w:lvl>
    <w:lvl w:ilvl="6" w:tplc="0456BFE6" w:tentative="1">
      <w:start w:val="1"/>
      <w:numFmt w:val="bullet"/>
      <w:lvlText w:val="o"/>
      <w:lvlJc w:val="left"/>
      <w:pPr>
        <w:tabs>
          <w:tab w:val="num" w:pos="5040"/>
        </w:tabs>
        <w:ind w:left="5040" w:hanging="360"/>
      </w:pPr>
      <w:rPr>
        <w:rFonts w:ascii="Courier New" w:hAnsi="Courier New" w:hint="default"/>
      </w:rPr>
    </w:lvl>
    <w:lvl w:ilvl="7" w:tplc="7848F774" w:tentative="1">
      <w:start w:val="1"/>
      <w:numFmt w:val="bullet"/>
      <w:lvlText w:val="o"/>
      <w:lvlJc w:val="left"/>
      <w:pPr>
        <w:tabs>
          <w:tab w:val="num" w:pos="5760"/>
        </w:tabs>
        <w:ind w:left="5760" w:hanging="360"/>
      </w:pPr>
      <w:rPr>
        <w:rFonts w:ascii="Courier New" w:hAnsi="Courier New" w:hint="default"/>
      </w:rPr>
    </w:lvl>
    <w:lvl w:ilvl="8" w:tplc="E98C343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3F01567F"/>
    <w:multiLevelType w:val="hybridMultilevel"/>
    <w:tmpl w:val="042A0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592A67"/>
    <w:multiLevelType w:val="hybridMultilevel"/>
    <w:tmpl w:val="DD525176"/>
    <w:lvl w:ilvl="0" w:tplc="AA76104C">
      <w:start w:val="1"/>
      <w:numFmt w:val="bullet"/>
      <w:lvlText w:val="•"/>
      <w:lvlJc w:val="left"/>
      <w:pPr>
        <w:tabs>
          <w:tab w:val="num" w:pos="720"/>
        </w:tabs>
        <w:ind w:left="720" w:hanging="360"/>
      </w:pPr>
      <w:rPr>
        <w:rFonts w:ascii="Arial" w:hAnsi="Arial" w:hint="default"/>
      </w:rPr>
    </w:lvl>
    <w:lvl w:ilvl="1" w:tplc="AE5441F0" w:tentative="1">
      <w:start w:val="1"/>
      <w:numFmt w:val="bullet"/>
      <w:lvlText w:val="•"/>
      <w:lvlJc w:val="left"/>
      <w:pPr>
        <w:tabs>
          <w:tab w:val="num" w:pos="1440"/>
        </w:tabs>
        <w:ind w:left="1440" w:hanging="360"/>
      </w:pPr>
      <w:rPr>
        <w:rFonts w:ascii="Arial" w:hAnsi="Arial" w:hint="default"/>
      </w:rPr>
    </w:lvl>
    <w:lvl w:ilvl="2" w:tplc="F24AC86C" w:tentative="1">
      <w:start w:val="1"/>
      <w:numFmt w:val="bullet"/>
      <w:lvlText w:val="•"/>
      <w:lvlJc w:val="left"/>
      <w:pPr>
        <w:tabs>
          <w:tab w:val="num" w:pos="2160"/>
        </w:tabs>
        <w:ind w:left="2160" w:hanging="360"/>
      </w:pPr>
      <w:rPr>
        <w:rFonts w:ascii="Arial" w:hAnsi="Arial" w:hint="default"/>
      </w:rPr>
    </w:lvl>
    <w:lvl w:ilvl="3" w:tplc="9336E298" w:tentative="1">
      <w:start w:val="1"/>
      <w:numFmt w:val="bullet"/>
      <w:lvlText w:val="•"/>
      <w:lvlJc w:val="left"/>
      <w:pPr>
        <w:tabs>
          <w:tab w:val="num" w:pos="2880"/>
        </w:tabs>
        <w:ind w:left="2880" w:hanging="360"/>
      </w:pPr>
      <w:rPr>
        <w:rFonts w:ascii="Arial" w:hAnsi="Arial" w:hint="default"/>
      </w:rPr>
    </w:lvl>
    <w:lvl w:ilvl="4" w:tplc="5E4AA0C4" w:tentative="1">
      <w:start w:val="1"/>
      <w:numFmt w:val="bullet"/>
      <w:lvlText w:val="•"/>
      <w:lvlJc w:val="left"/>
      <w:pPr>
        <w:tabs>
          <w:tab w:val="num" w:pos="3600"/>
        </w:tabs>
        <w:ind w:left="3600" w:hanging="360"/>
      </w:pPr>
      <w:rPr>
        <w:rFonts w:ascii="Arial" w:hAnsi="Arial" w:hint="default"/>
      </w:rPr>
    </w:lvl>
    <w:lvl w:ilvl="5" w:tplc="2014DF36" w:tentative="1">
      <w:start w:val="1"/>
      <w:numFmt w:val="bullet"/>
      <w:lvlText w:val="•"/>
      <w:lvlJc w:val="left"/>
      <w:pPr>
        <w:tabs>
          <w:tab w:val="num" w:pos="4320"/>
        </w:tabs>
        <w:ind w:left="4320" w:hanging="360"/>
      </w:pPr>
      <w:rPr>
        <w:rFonts w:ascii="Arial" w:hAnsi="Arial" w:hint="default"/>
      </w:rPr>
    </w:lvl>
    <w:lvl w:ilvl="6" w:tplc="A4362CF0" w:tentative="1">
      <w:start w:val="1"/>
      <w:numFmt w:val="bullet"/>
      <w:lvlText w:val="•"/>
      <w:lvlJc w:val="left"/>
      <w:pPr>
        <w:tabs>
          <w:tab w:val="num" w:pos="5040"/>
        </w:tabs>
        <w:ind w:left="5040" w:hanging="360"/>
      </w:pPr>
      <w:rPr>
        <w:rFonts w:ascii="Arial" w:hAnsi="Arial" w:hint="default"/>
      </w:rPr>
    </w:lvl>
    <w:lvl w:ilvl="7" w:tplc="694CFB50" w:tentative="1">
      <w:start w:val="1"/>
      <w:numFmt w:val="bullet"/>
      <w:lvlText w:val="•"/>
      <w:lvlJc w:val="left"/>
      <w:pPr>
        <w:tabs>
          <w:tab w:val="num" w:pos="5760"/>
        </w:tabs>
        <w:ind w:left="5760" w:hanging="360"/>
      </w:pPr>
      <w:rPr>
        <w:rFonts w:ascii="Arial" w:hAnsi="Arial" w:hint="default"/>
      </w:rPr>
    </w:lvl>
    <w:lvl w:ilvl="8" w:tplc="C58048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DB52E4"/>
    <w:multiLevelType w:val="hybridMultilevel"/>
    <w:tmpl w:val="CD8ABD02"/>
    <w:lvl w:ilvl="0" w:tplc="402C6DD4">
      <w:start w:val="1"/>
      <w:numFmt w:val="decimal"/>
      <w:lvlText w:val="%1)"/>
      <w:lvlJc w:val="left"/>
      <w:pPr>
        <w:ind w:left="720" w:hanging="360"/>
      </w:pPr>
      <w:rPr>
        <w:rFonts w:ascii="Arial" w:hAnsi="Arial" w:cs="Arial"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117C89"/>
    <w:multiLevelType w:val="hybridMultilevel"/>
    <w:tmpl w:val="6C1ABE2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81"/>
    <w:rsid w:val="00002D78"/>
    <w:rsid w:val="00005A41"/>
    <w:rsid w:val="00014F82"/>
    <w:rsid w:val="00023DF8"/>
    <w:rsid w:val="00035E68"/>
    <w:rsid w:val="00052F1A"/>
    <w:rsid w:val="00056526"/>
    <w:rsid w:val="00061B17"/>
    <w:rsid w:val="000709D6"/>
    <w:rsid w:val="000A0046"/>
    <w:rsid w:val="000B75EB"/>
    <w:rsid w:val="000C641A"/>
    <w:rsid w:val="000D0F0E"/>
    <w:rsid w:val="000D18F0"/>
    <w:rsid w:val="000D3667"/>
    <w:rsid w:val="000D67B4"/>
    <w:rsid w:val="000E0FAC"/>
    <w:rsid w:val="000F2F91"/>
    <w:rsid w:val="00121604"/>
    <w:rsid w:val="0013153F"/>
    <w:rsid w:val="00134824"/>
    <w:rsid w:val="00134C21"/>
    <w:rsid w:val="001362F5"/>
    <w:rsid w:val="001409B1"/>
    <w:rsid w:val="001554FD"/>
    <w:rsid w:val="00155F83"/>
    <w:rsid w:val="00156134"/>
    <w:rsid w:val="00160AFF"/>
    <w:rsid w:val="00163FF8"/>
    <w:rsid w:val="001653F5"/>
    <w:rsid w:val="001A6BF5"/>
    <w:rsid w:val="001C753A"/>
    <w:rsid w:val="001D0E20"/>
    <w:rsid w:val="001D2EF1"/>
    <w:rsid w:val="001D5732"/>
    <w:rsid w:val="001D5A47"/>
    <w:rsid w:val="001E4F12"/>
    <w:rsid w:val="001F2CB7"/>
    <w:rsid w:val="00200E92"/>
    <w:rsid w:val="002055F3"/>
    <w:rsid w:val="00205EF2"/>
    <w:rsid w:val="00211D19"/>
    <w:rsid w:val="00217FEA"/>
    <w:rsid w:val="00223A4F"/>
    <w:rsid w:val="00241408"/>
    <w:rsid w:val="002637B3"/>
    <w:rsid w:val="00264753"/>
    <w:rsid w:val="0026653B"/>
    <w:rsid w:val="002767D2"/>
    <w:rsid w:val="00276B74"/>
    <w:rsid w:val="00287278"/>
    <w:rsid w:val="00293755"/>
    <w:rsid w:val="002A38CF"/>
    <w:rsid w:val="002D3D87"/>
    <w:rsid w:val="002D5BD7"/>
    <w:rsid w:val="002E58FA"/>
    <w:rsid w:val="002F0EF9"/>
    <w:rsid w:val="002F5B3C"/>
    <w:rsid w:val="00307868"/>
    <w:rsid w:val="0031734B"/>
    <w:rsid w:val="00321CE3"/>
    <w:rsid w:val="003309EF"/>
    <w:rsid w:val="00337A88"/>
    <w:rsid w:val="00343B32"/>
    <w:rsid w:val="0034658B"/>
    <w:rsid w:val="00352148"/>
    <w:rsid w:val="00366AF4"/>
    <w:rsid w:val="003B29C3"/>
    <w:rsid w:val="003B54E2"/>
    <w:rsid w:val="003C4862"/>
    <w:rsid w:val="003C773C"/>
    <w:rsid w:val="00403F96"/>
    <w:rsid w:val="004061FF"/>
    <w:rsid w:val="00415C49"/>
    <w:rsid w:val="00417707"/>
    <w:rsid w:val="00430A6B"/>
    <w:rsid w:val="00446C80"/>
    <w:rsid w:val="00462D36"/>
    <w:rsid w:val="00467A44"/>
    <w:rsid w:val="00480E99"/>
    <w:rsid w:val="004857F6"/>
    <w:rsid w:val="00494118"/>
    <w:rsid w:val="004A2746"/>
    <w:rsid w:val="004B3CE9"/>
    <w:rsid w:val="004C0EFF"/>
    <w:rsid w:val="004C54BD"/>
    <w:rsid w:val="004E4D14"/>
    <w:rsid w:val="0050029B"/>
    <w:rsid w:val="0050133F"/>
    <w:rsid w:val="00502D2B"/>
    <w:rsid w:val="00512A80"/>
    <w:rsid w:val="00513A92"/>
    <w:rsid w:val="0052606C"/>
    <w:rsid w:val="00526C23"/>
    <w:rsid w:val="005273B4"/>
    <w:rsid w:val="00533A01"/>
    <w:rsid w:val="00534004"/>
    <w:rsid w:val="00534B15"/>
    <w:rsid w:val="00540545"/>
    <w:rsid w:val="00552232"/>
    <w:rsid w:val="00553CF4"/>
    <w:rsid w:val="00556A63"/>
    <w:rsid w:val="00560448"/>
    <w:rsid w:val="00560F43"/>
    <w:rsid w:val="00564A20"/>
    <w:rsid w:val="005713E7"/>
    <w:rsid w:val="00577678"/>
    <w:rsid w:val="00586B24"/>
    <w:rsid w:val="005B1316"/>
    <w:rsid w:val="005C5399"/>
    <w:rsid w:val="005C77EF"/>
    <w:rsid w:val="005E3655"/>
    <w:rsid w:val="005F08B3"/>
    <w:rsid w:val="005F4F41"/>
    <w:rsid w:val="005F5CFE"/>
    <w:rsid w:val="005F6D13"/>
    <w:rsid w:val="00601785"/>
    <w:rsid w:val="00603D09"/>
    <w:rsid w:val="00606671"/>
    <w:rsid w:val="0061119F"/>
    <w:rsid w:val="006250E8"/>
    <w:rsid w:val="006362B7"/>
    <w:rsid w:val="00655417"/>
    <w:rsid w:val="00657F07"/>
    <w:rsid w:val="00663DA5"/>
    <w:rsid w:val="0066743E"/>
    <w:rsid w:val="00674977"/>
    <w:rsid w:val="00677DAB"/>
    <w:rsid w:val="0068052A"/>
    <w:rsid w:val="00691A60"/>
    <w:rsid w:val="006A29E5"/>
    <w:rsid w:val="006B01BD"/>
    <w:rsid w:val="006C5D5E"/>
    <w:rsid w:val="006D1032"/>
    <w:rsid w:val="006D162B"/>
    <w:rsid w:val="006E1D24"/>
    <w:rsid w:val="006E2113"/>
    <w:rsid w:val="006F455D"/>
    <w:rsid w:val="006F5185"/>
    <w:rsid w:val="00700608"/>
    <w:rsid w:val="00702AAE"/>
    <w:rsid w:val="00704EDC"/>
    <w:rsid w:val="007121A3"/>
    <w:rsid w:val="00716114"/>
    <w:rsid w:val="007173F0"/>
    <w:rsid w:val="007607F5"/>
    <w:rsid w:val="00764944"/>
    <w:rsid w:val="00764FD2"/>
    <w:rsid w:val="00772651"/>
    <w:rsid w:val="00777E62"/>
    <w:rsid w:val="007843B4"/>
    <w:rsid w:val="00791F6B"/>
    <w:rsid w:val="007925BC"/>
    <w:rsid w:val="007A1026"/>
    <w:rsid w:val="007B07C5"/>
    <w:rsid w:val="007B1B3F"/>
    <w:rsid w:val="007B256E"/>
    <w:rsid w:val="007B3C64"/>
    <w:rsid w:val="007C5C02"/>
    <w:rsid w:val="007D1ABA"/>
    <w:rsid w:val="007D4D33"/>
    <w:rsid w:val="007E0E01"/>
    <w:rsid w:val="007E591A"/>
    <w:rsid w:val="00811B90"/>
    <w:rsid w:val="00823D3E"/>
    <w:rsid w:val="00826412"/>
    <w:rsid w:val="00827280"/>
    <w:rsid w:val="00837F99"/>
    <w:rsid w:val="00842F0D"/>
    <w:rsid w:val="008466D3"/>
    <w:rsid w:val="00850F49"/>
    <w:rsid w:val="00850FE7"/>
    <w:rsid w:val="008529C9"/>
    <w:rsid w:val="00852A15"/>
    <w:rsid w:val="00854125"/>
    <w:rsid w:val="008665DB"/>
    <w:rsid w:val="00874871"/>
    <w:rsid w:val="0088113C"/>
    <w:rsid w:val="00883FAC"/>
    <w:rsid w:val="008B2690"/>
    <w:rsid w:val="008E6FBD"/>
    <w:rsid w:val="00904B3E"/>
    <w:rsid w:val="0092095C"/>
    <w:rsid w:val="009269C1"/>
    <w:rsid w:val="00927612"/>
    <w:rsid w:val="00942D31"/>
    <w:rsid w:val="0095394B"/>
    <w:rsid w:val="0096463C"/>
    <w:rsid w:val="00970BED"/>
    <w:rsid w:val="00971609"/>
    <w:rsid w:val="0097166E"/>
    <w:rsid w:val="009769BF"/>
    <w:rsid w:val="00991714"/>
    <w:rsid w:val="00995F5B"/>
    <w:rsid w:val="009A56EE"/>
    <w:rsid w:val="009C3622"/>
    <w:rsid w:val="009C704C"/>
    <w:rsid w:val="009D484E"/>
    <w:rsid w:val="009D6EEE"/>
    <w:rsid w:val="009D7805"/>
    <w:rsid w:val="009E4A1D"/>
    <w:rsid w:val="009E6FE5"/>
    <w:rsid w:val="00A02AED"/>
    <w:rsid w:val="00A15078"/>
    <w:rsid w:val="00A236AD"/>
    <w:rsid w:val="00A2568D"/>
    <w:rsid w:val="00A32203"/>
    <w:rsid w:val="00A40960"/>
    <w:rsid w:val="00A44775"/>
    <w:rsid w:val="00A46EE9"/>
    <w:rsid w:val="00A47635"/>
    <w:rsid w:val="00A51A45"/>
    <w:rsid w:val="00A568D0"/>
    <w:rsid w:val="00A56ED5"/>
    <w:rsid w:val="00A673ED"/>
    <w:rsid w:val="00A774C7"/>
    <w:rsid w:val="00A92D9C"/>
    <w:rsid w:val="00A931D0"/>
    <w:rsid w:val="00A95727"/>
    <w:rsid w:val="00A97097"/>
    <w:rsid w:val="00AA0F6B"/>
    <w:rsid w:val="00AB2A28"/>
    <w:rsid w:val="00AB6609"/>
    <w:rsid w:val="00AC171A"/>
    <w:rsid w:val="00AC6193"/>
    <w:rsid w:val="00AC65D0"/>
    <w:rsid w:val="00AD39FA"/>
    <w:rsid w:val="00AF3C39"/>
    <w:rsid w:val="00B017C3"/>
    <w:rsid w:val="00B2612A"/>
    <w:rsid w:val="00B36210"/>
    <w:rsid w:val="00B454C9"/>
    <w:rsid w:val="00B470E9"/>
    <w:rsid w:val="00B56FEB"/>
    <w:rsid w:val="00BB0EBC"/>
    <w:rsid w:val="00BB6054"/>
    <w:rsid w:val="00BE15DB"/>
    <w:rsid w:val="00BF703F"/>
    <w:rsid w:val="00C03200"/>
    <w:rsid w:val="00C3322E"/>
    <w:rsid w:val="00C53043"/>
    <w:rsid w:val="00C74D97"/>
    <w:rsid w:val="00C8352A"/>
    <w:rsid w:val="00C86459"/>
    <w:rsid w:val="00C86C4F"/>
    <w:rsid w:val="00C91C9B"/>
    <w:rsid w:val="00C93AA7"/>
    <w:rsid w:val="00C972E6"/>
    <w:rsid w:val="00CE3F95"/>
    <w:rsid w:val="00CE536F"/>
    <w:rsid w:val="00CF2362"/>
    <w:rsid w:val="00D14684"/>
    <w:rsid w:val="00D1572E"/>
    <w:rsid w:val="00D16A0B"/>
    <w:rsid w:val="00D518A5"/>
    <w:rsid w:val="00D55F75"/>
    <w:rsid w:val="00D70730"/>
    <w:rsid w:val="00D71EF9"/>
    <w:rsid w:val="00D83EBC"/>
    <w:rsid w:val="00D91B64"/>
    <w:rsid w:val="00D93B5B"/>
    <w:rsid w:val="00D95745"/>
    <w:rsid w:val="00DA0E6A"/>
    <w:rsid w:val="00DA2223"/>
    <w:rsid w:val="00DA6DB4"/>
    <w:rsid w:val="00DC02FA"/>
    <w:rsid w:val="00DC60BC"/>
    <w:rsid w:val="00DC7377"/>
    <w:rsid w:val="00DD4537"/>
    <w:rsid w:val="00DD4E2E"/>
    <w:rsid w:val="00DD5DB8"/>
    <w:rsid w:val="00DF0DB9"/>
    <w:rsid w:val="00E07F98"/>
    <w:rsid w:val="00E13526"/>
    <w:rsid w:val="00E17243"/>
    <w:rsid w:val="00E256DF"/>
    <w:rsid w:val="00E270BA"/>
    <w:rsid w:val="00E4639F"/>
    <w:rsid w:val="00E50297"/>
    <w:rsid w:val="00E509D6"/>
    <w:rsid w:val="00E53245"/>
    <w:rsid w:val="00E57EA7"/>
    <w:rsid w:val="00E67516"/>
    <w:rsid w:val="00E80381"/>
    <w:rsid w:val="00E82037"/>
    <w:rsid w:val="00E82544"/>
    <w:rsid w:val="00E94701"/>
    <w:rsid w:val="00EA3058"/>
    <w:rsid w:val="00EA4332"/>
    <w:rsid w:val="00EB32F3"/>
    <w:rsid w:val="00EB41DE"/>
    <w:rsid w:val="00EB5D6A"/>
    <w:rsid w:val="00EC149A"/>
    <w:rsid w:val="00EF021A"/>
    <w:rsid w:val="00EF4B63"/>
    <w:rsid w:val="00F10AFD"/>
    <w:rsid w:val="00F12716"/>
    <w:rsid w:val="00F14BC6"/>
    <w:rsid w:val="00F14F96"/>
    <w:rsid w:val="00F20B09"/>
    <w:rsid w:val="00F25B23"/>
    <w:rsid w:val="00F31E14"/>
    <w:rsid w:val="00F32A7E"/>
    <w:rsid w:val="00F35879"/>
    <w:rsid w:val="00F36858"/>
    <w:rsid w:val="00F41555"/>
    <w:rsid w:val="00F440BB"/>
    <w:rsid w:val="00F61F74"/>
    <w:rsid w:val="00F65143"/>
    <w:rsid w:val="00F653BF"/>
    <w:rsid w:val="00F76EE5"/>
    <w:rsid w:val="00F8773C"/>
    <w:rsid w:val="00FA6971"/>
    <w:rsid w:val="00FB2B82"/>
    <w:rsid w:val="00FB67E2"/>
    <w:rsid w:val="00FC2276"/>
    <w:rsid w:val="00FC4FF7"/>
    <w:rsid w:val="00FC6194"/>
    <w:rsid w:val="00FF19CB"/>
  </w:rsids>
  <m:mathPr>
    <m:mathFont m:val="Cambria Math"/>
    <m:brkBin m:val="before"/>
    <m:brkBinSub m:val="--"/>
    <m:smallFrac m:val="0"/>
    <m:dispDef m:val="0"/>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B6AD2"/>
  <w15:docId w15:val="{983B6BED-507D-449E-B4AC-D5520690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F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55F3"/>
    <w:pPr>
      <w:ind w:left="720"/>
      <w:contextualSpacing/>
    </w:pPr>
  </w:style>
  <w:style w:type="table" w:styleId="Tablaconcuadrcula">
    <w:name w:val="Table Grid"/>
    <w:basedOn w:val="Tablanormal"/>
    <w:uiPriority w:val="59"/>
    <w:rsid w:val="00F20B0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34824"/>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4824"/>
    <w:rPr>
      <w:rFonts w:ascii="Lucida Grande" w:hAnsi="Lucida Grande" w:cs="Lucida Grande"/>
      <w:sz w:val="18"/>
      <w:szCs w:val="18"/>
    </w:rPr>
  </w:style>
  <w:style w:type="character" w:customStyle="1" w:styleId="nlm-surname">
    <w:name w:val="nlm-surname"/>
    <w:basedOn w:val="Fuentedeprrafopredeter"/>
    <w:rsid w:val="00C8352A"/>
  </w:style>
  <w:style w:type="character" w:customStyle="1" w:styleId="st">
    <w:name w:val="st"/>
    <w:basedOn w:val="Fuentedeprrafopredeter"/>
    <w:rsid w:val="00BB0EBC"/>
  </w:style>
  <w:style w:type="character" w:styleId="nfasis">
    <w:name w:val="Emphasis"/>
    <w:basedOn w:val="Fuentedeprrafopredeter"/>
    <w:uiPriority w:val="20"/>
    <w:qFormat/>
    <w:rsid w:val="00BB0EBC"/>
    <w:rPr>
      <w:i/>
      <w:iCs/>
    </w:rPr>
  </w:style>
  <w:style w:type="paragraph" w:styleId="Encabezado">
    <w:name w:val="header"/>
    <w:basedOn w:val="Normal"/>
    <w:link w:val="EncabezadoCar"/>
    <w:uiPriority w:val="99"/>
    <w:unhideWhenUsed/>
    <w:rsid w:val="00293755"/>
    <w:pPr>
      <w:tabs>
        <w:tab w:val="center" w:pos="4419"/>
        <w:tab w:val="right" w:pos="8838"/>
      </w:tabs>
      <w:spacing w:after="0"/>
    </w:pPr>
  </w:style>
  <w:style w:type="character" w:customStyle="1" w:styleId="EncabezadoCar">
    <w:name w:val="Encabezado Car"/>
    <w:basedOn w:val="Fuentedeprrafopredeter"/>
    <w:link w:val="Encabezado"/>
    <w:uiPriority w:val="99"/>
    <w:rsid w:val="00293755"/>
  </w:style>
  <w:style w:type="paragraph" w:styleId="Piedepgina">
    <w:name w:val="footer"/>
    <w:basedOn w:val="Normal"/>
    <w:link w:val="PiedepginaCar"/>
    <w:uiPriority w:val="99"/>
    <w:unhideWhenUsed/>
    <w:rsid w:val="00293755"/>
    <w:pPr>
      <w:tabs>
        <w:tab w:val="center" w:pos="4419"/>
        <w:tab w:val="right" w:pos="8838"/>
      </w:tabs>
      <w:spacing w:after="0"/>
    </w:pPr>
  </w:style>
  <w:style w:type="character" w:customStyle="1" w:styleId="PiedepginaCar">
    <w:name w:val="Pie de página Car"/>
    <w:basedOn w:val="Fuentedeprrafopredeter"/>
    <w:link w:val="Piedepgina"/>
    <w:uiPriority w:val="99"/>
    <w:rsid w:val="00293755"/>
  </w:style>
  <w:style w:type="character" w:styleId="Refdecomentario">
    <w:name w:val="annotation reference"/>
    <w:basedOn w:val="Fuentedeprrafopredeter"/>
    <w:uiPriority w:val="99"/>
    <w:semiHidden/>
    <w:unhideWhenUsed/>
    <w:rsid w:val="005F5CFE"/>
    <w:rPr>
      <w:sz w:val="16"/>
      <w:szCs w:val="16"/>
    </w:rPr>
  </w:style>
  <w:style w:type="paragraph" w:styleId="Textocomentario">
    <w:name w:val="annotation text"/>
    <w:basedOn w:val="Normal"/>
    <w:link w:val="TextocomentarioCar"/>
    <w:uiPriority w:val="99"/>
    <w:semiHidden/>
    <w:unhideWhenUsed/>
    <w:rsid w:val="005F5CFE"/>
    <w:rPr>
      <w:sz w:val="20"/>
      <w:szCs w:val="20"/>
    </w:rPr>
  </w:style>
  <w:style w:type="character" w:customStyle="1" w:styleId="TextocomentarioCar">
    <w:name w:val="Texto comentario Car"/>
    <w:basedOn w:val="Fuentedeprrafopredeter"/>
    <w:link w:val="Textocomentario"/>
    <w:uiPriority w:val="99"/>
    <w:semiHidden/>
    <w:rsid w:val="005F5CFE"/>
    <w:rPr>
      <w:sz w:val="20"/>
      <w:szCs w:val="20"/>
    </w:rPr>
  </w:style>
  <w:style w:type="paragraph" w:styleId="Asuntodelcomentario">
    <w:name w:val="annotation subject"/>
    <w:basedOn w:val="Textocomentario"/>
    <w:next w:val="Textocomentario"/>
    <w:link w:val="AsuntodelcomentarioCar"/>
    <w:uiPriority w:val="99"/>
    <w:semiHidden/>
    <w:unhideWhenUsed/>
    <w:rsid w:val="005F5CFE"/>
    <w:rPr>
      <w:b/>
      <w:bCs/>
    </w:rPr>
  </w:style>
  <w:style w:type="character" w:customStyle="1" w:styleId="AsuntodelcomentarioCar">
    <w:name w:val="Asunto del comentario Car"/>
    <w:basedOn w:val="TextocomentarioCar"/>
    <w:link w:val="Asuntodelcomentario"/>
    <w:uiPriority w:val="99"/>
    <w:semiHidden/>
    <w:rsid w:val="005F5C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9010">
      <w:bodyDiv w:val="1"/>
      <w:marLeft w:val="0"/>
      <w:marRight w:val="0"/>
      <w:marTop w:val="0"/>
      <w:marBottom w:val="0"/>
      <w:divBdr>
        <w:top w:val="none" w:sz="0" w:space="0" w:color="auto"/>
        <w:left w:val="none" w:sz="0" w:space="0" w:color="auto"/>
        <w:bottom w:val="none" w:sz="0" w:space="0" w:color="auto"/>
        <w:right w:val="none" w:sz="0" w:space="0" w:color="auto"/>
      </w:divBdr>
      <w:divsChild>
        <w:div w:id="858199726">
          <w:marLeft w:val="547"/>
          <w:marRight w:val="0"/>
          <w:marTop w:val="115"/>
          <w:marBottom w:val="0"/>
          <w:divBdr>
            <w:top w:val="none" w:sz="0" w:space="0" w:color="auto"/>
            <w:left w:val="none" w:sz="0" w:space="0" w:color="auto"/>
            <w:bottom w:val="none" w:sz="0" w:space="0" w:color="auto"/>
            <w:right w:val="none" w:sz="0" w:space="0" w:color="auto"/>
          </w:divBdr>
        </w:div>
        <w:div w:id="2146384792">
          <w:marLeft w:val="547"/>
          <w:marRight w:val="0"/>
          <w:marTop w:val="115"/>
          <w:marBottom w:val="0"/>
          <w:divBdr>
            <w:top w:val="none" w:sz="0" w:space="0" w:color="auto"/>
            <w:left w:val="none" w:sz="0" w:space="0" w:color="auto"/>
            <w:bottom w:val="none" w:sz="0" w:space="0" w:color="auto"/>
            <w:right w:val="none" w:sz="0" w:space="0" w:color="auto"/>
          </w:divBdr>
        </w:div>
        <w:div w:id="1901061">
          <w:marLeft w:val="547"/>
          <w:marRight w:val="0"/>
          <w:marTop w:val="115"/>
          <w:marBottom w:val="0"/>
          <w:divBdr>
            <w:top w:val="none" w:sz="0" w:space="0" w:color="auto"/>
            <w:left w:val="none" w:sz="0" w:space="0" w:color="auto"/>
            <w:bottom w:val="none" w:sz="0" w:space="0" w:color="auto"/>
            <w:right w:val="none" w:sz="0" w:space="0" w:color="auto"/>
          </w:divBdr>
        </w:div>
      </w:divsChild>
    </w:div>
    <w:div w:id="284241024">
      <w:bodyDiv w:val="1"/>
      <w:marLeft w:val="0"/>
      <w:marRight w:val="0"/>
      <w:marTop w:val="0"/>
      <w:marBottom w:val="0"/>
      <w:divBdr>
        <w:top w:val="none" w:sz="0" w:space="0" w:color="auto"/>
        <w:left w:val="none" w:sz="0" w:space="0" w:color="auto"/>
        <w:bottom w:val="none" w:sz="0" w:space="0" w:color="auto"/>
        <w:right w:val="none" w:sz="0" w:space="0" w:color="auto"/>
      </w:divBdr>
      <w:divsChild>
        <w:div w:id="1039822009">
          <w:marLeft w:val="1166"/>
          <w:marRight w:val="0"/>
          <w:marTop w:val="96"/>
          <w:marBottom w:val="0"/>
          <w:divBdr>
            <w:top w:val="none" w:sz="0" w:space="0" w:color="auto"/>
            <w:left w:val="none" w:sz="0" w:space="0" w:color="auto"/>
            <w:bottom w:val="none" w:sz="0" w:space="0" w:color="auto"/>
            <w:right w:val="none" w:sz="0" w:space="0" w:color="auto"/>
          </w:divBdr>
        </w:div>
        <w:div w:id="507446870">
          <w:marLeft w:val="1800"/>
          <w:marRight w:val="0"/>
          <w:marTop w:val="96"/>
          <w:marBottom w:val="0"/>
          <w:divBdr>
            <w:top w:val="none" w:sz="0" w:space="0" w:color="auto"/>
            <w:left w:val="none" w:sz="0" w:space="0" w:color="auto"/>
            <w:bottom w:val="none" w:sz="0" w:space="0" w:color="auto"/>
            <w:right w:val="none" w:sz="0" w:space="0" w:color="auto"/>
          </w:divBdr>
        </w:div>
        <w:div w:id="274751682">
          <w:marLeft w:val="1800"/>
          <w:marRight w:val="0"/>
          <w:marTop w:val="96"/>
          <w:marBottom w:val="0"/>
          <w:divBdr>
            <w:top w:val="none" w:sz="0" w:space="0" w:color="auto"/>
            <w:left w:val="none" w:sz="0" w:space="0" w:color="auto"/>
            <w:bottom w:val="none" w:sz="0" w:space="0" w:color="auto"/>
            <w:right w:val="none" w:sz="0" w:space="0" w:color="auto"/>
          </w:divBdr>
        </w:div>
      </w:divsChild>
    </w:div>
    <w:div w:id="435056656">
      <w:bodyDiv w:val="1"/>
      <w:marLeft w:val="0"/>
      <w:marRight w:val="0"/>
      <w:marTop w:val="0"/>
      <w:marBottom w:val="0"/>
      <w:divBdr>
        <w:top w:val="none" w:sz="0" w:space="0" w:color="auto"/>
        <w:left w:val="none" w:sz="0" w:space="0" w:color="auto"/>
        <w:bottom w:val="none" w:sz="0" w:space="0" w:color="auto"/>
        <w:right w:val="none" w:sz="0" w:space="0" w:color="auto"/>
      </w:divBdr>
      <w:divsChild>
        <w:div w:id="1240287232">
          <w:marLeft w:val="446"/>
          <w:marRight w:val="0"/>
          <w:marTop w:val="0"/>
          <w:marBottom w:val="0"/>
          <w:divBdr>
            <w:top w:val="none" w:sz="0" w:space="0" w:color="auto"/>
            <w:left w:val="none" w:sz="0" w:space="0" w:color="auto"/>
            <w:bottom w:val="none" w:sz="0" w:space="0" w:color="auto"/>
            <w:right w:val="none" w:sz="0" w:space="0" w:color="auto"/>
          </w:divBdr>
        </w:div>
        <w:div w:id="1824270379">
          <w:marLeft w:val="446"/>
          <w:marRight w:val="0"/>
          <w:marTop w:val="0"/>
          <w:marBottom w:val="0"/>
          <w:divBdr>
            <w:top w:val="none" w:sz="0" w:space="0" w:color="auto"/>
            <w:left w:val="none" w:sz="0" w:space="0" w:color="auto"/>
            <w:bottom w:val="none" w:sz="0" w:space="0" w:color="auto"/>
            <w:right w:val="none" w:sz="0" w:space="0" w:color="auto"/>
          </w:divBdr>
        </w:div>
        <w:div w:id="163860796">
          <w:marLeft w:val="446"/>
          <w:marRight w:val="0"/>
          <w:marTop w:val="0"/>
          <w:marBottom w:val="0"/>
          <w:divBdr>
            <w:top w:val="none" w:sz="0" w:space="0" w:color="auto"/>
            <w:left w:val="none" w:sz="0" w:space="0" w:color="auto"/>
            <w:bottom w:val="none" w:sz="0" w:space="0" w:color="auto"/>
            <w:right w:val="none" w:sz="0" w:space="0" w:color="auto"/>
          </w:divBdr>
        </w:div>
        <w:div w:id="1556626231">
          <w:marLeft w:val="446"/>
          <w:marRight w:val="0"/>
          <w:marTop w:val="0"/>
          <w:marBottom w:val="0"/>
          <w:divBdr>
            <w:top w:val="none" w:sz="0" w:space="0" w:color="auto"/>
            <w:left w:val="none" w:sz="0" w:space="0" w:color="auto"/>
            <w:bottom w:val="none" w:sz="0" w:space="0" w:color="auto"/>
            <w:right w:val="none" w:sz="0" w:space="0" w:color="auto"/>
          </w:divBdr>
        </w:div>
        <w:div w:id="1930238617">
          <w:marLeft w:val="446"/>
          <w:marRight w:val="0"/>
          <w:marTop w:val="0"/>
          <w:marBottom w:val="0"/>
          <w:divBdr>
            <w:top w:val="none" w:sz="0" w:space="0" w:color="auto"/>
            <w:left w:val="none" w:sz="0" w:space="0" w:color="auto"/>
            <w:bottom w:val="none" w:sz="0" w:space="0" w:color="auto"/>
            <w:right w:val="none" w:sz="0" w:space="0" w:color="auto"/>
          </w:divBdr>
        </w:div>
        <w:div w:id="65886122">
          <w:marLeft w:val="446"/>
          <w:marRight w:val="0"/>
          <w:marTop w:val="0"/>
          <w:marBottom w:val="0"/>
          <w:divBdr>
            <w:top w:val="none" w:sz="0" w:space="0" w:color="auto"/>
            <w:left w:val="none" w:sz="0" w:space="0" w:color="auto"/>
            <w:bottom w:val="none" w:sz="0" w:space="0" w:color="auto"/>
            <w:right w:val="none" w:sz="0" w:space="0" w:color="auto"/>
          </w:divBdr>
        </w:div>
        <w:div w:id="1955862760">
          <w:marLeft w:val="446"/>
          <w:marRight w:val="0"/>
          <w:marTop w:val="0"/>
          <w:marBottom w:val="0"/>
          <w:divBdr>
            <w:top w:val="none" w:sz="0" w:space="0" w:color="auto"/>
            <w:left w:val="none" w:sz="0" w:space="0" w:color="auto"/>
            <w:bottom w:val="none" w:sz="0" w:space="0" w:color="auto"/>
            <w:right w:val="none" w:sz="0" w:space="0" w:color="auto"/>
          </w:divBdr>
        </w:div>
      </w:divsChild>
    </w:div>
    <w:div w:id="498154715">
      <w:bodyDiv w:val="1"/>
      <w:marLeft w:val="0"/>
      <w:marRight w:val="0"/>
      <w:marTop w:val="0"/>
      <w:marBottom w:val="0"/>
      <w:divBdr>
        <w:top w:val="none" w:sz="0" w:space="0" w:color="auto"/>
        <w:left w:val="none" w:sz="0" w:space="0" w:color="auto"/>
        <w:bottom w:val="none" w:sz="0" w:space="0" w:color="auto"/>
        <w:right w:val="none" w:sz="0" w:space="0" w:color="auto"/>
      </w:divBdr>
      <w:divsChild>
        <w:div w:id="581181714">
          <w:marLeft w:val="0"/>
          <w:marRight w:val="0"/>
          <w:marTop w:val="0"/>
          <w:marBottom w:val="0"/>
          <w:divBdr>
            <w:top w:val="none" w:sz="0" w:space="0" w:color="auto"/>
            <w:left w:val="none" w:sz="0" w:space="0" w:color="auto"/>
            <w:bottom w:val="none" w:sz="0" w:space="0" w:color="auto"/>
            <w:right w:val="none" w:sz="0" w:space="0" w:color="auto"/>
          </w:divBdr>
        </w:div>
        <w:div w:id="1324699130">
          <w:marLeft w:val="0"/>
          <w:marRight w:val="0"/>
          <w:marTop w:val="0"/>
          <w:marBottom w:val="0"/>
          <w:divBdr>
            <w:top w:val="none" w:sz="0" w:space="0" w:color="auto"/>
            <w:left w:val="none" w:sz="0" w:space="0" w:color="auto"/>
            <w:bottom w:val="none" w:sz="0" w:space="0" w:color="auto"/>
            <w:right w:val="none" w:sz="0" w:space="0" w:color="auto"/>
          </w:divBdr>
        </w:div>
        <w:div w:id="500240331">
          <w:marLeft w:val="0"/>
          <w:marRight w:val="0"/>
          <w:marTop w:val="0"/>
          <w:marBottom w:val="0"/>
          <w:divBdr>
            <w:top w:val="none" w:sz="0" w:space="0" w:color="auto"/>
            <w:left w:val="none" w:sz="0" w:space="0" w:color="auto"/>
            <w:bottom w:val="none" w:sz="0" w:space="0" w:color="auto"/>
            <w:right w:val="none" w:sz="0" w:space="0" w:color="auto"/>
          </w:divBdr>
        </w:div>
        <w:div w:id="1640572334">
          <w:marLeft w:val="0"/>
          <w:marRight w:val="0"/>
          <w:marTop w:val="0"/>
          <w:marBottom w:val="0"/>
          <w:divBdr>
            <w:top w:val="none" w:sz="0" w:space="0" w:color="auto"/>
            <w:left w:val="none" w:sz="0" w:space="0" w:color="auto"/>
            <w:bottom w:val="none" w:sz="0" w:space="0" w:color="auto"/>
            <w:right w:val="none" w:sz="0" w:space="0" w:color="auto"/>
          </w:divBdr>
        </w:div>
      </w:divsChild>
    </w:div>
    <w:div w:id="966088782">
      <w:bodyDiv w:val="1"/>
      <w:marLeft w:val="0"/>
      <w:marRight w:val="0"/>
      <w:marTop w:val="0"/>
      <w:marBottom w:val="0"/>
      <w:divBdr>
        <w:top w:val="none" w:sz="0" w:space="0" w:color="auto"/>
        <w:left w:val="none" w:sz="0" w:space="0" w:color="auto"/>
        <w:bottom w:val="none" w:sz="0" w:space="0" w:color="auto"/>
        <w:right w:val="none" w:sz="0" w:space="0" w:color="auto"/>
      </w:divBdr>
      <w:divsChild>
        <w:div w:id="587613698">
          <w:marLeft w:val="0"/>
          <w:marRight w:val="0"/>
          <w:marTop w:val="0"/>
          <w:marBottom w:val="0"/>
          <w:divBdr>
            <w:top w:val="none" w:sz="0" w:space="0" w:color="auto"/>
            <w:left w:val="none" w:sz="0" w:space="0" w:color="auto"/>
            <w:bottom w:val="none" w:sz="0" w:space="0" w:color="auto"/>
            <w:right w:val="none" w:sz="0" w:space="0" w:color="auto"/>
          </w:divBdr>
        </w:div>
        <w:div w:id="1458840128">
          <w:marLeft w:val="0"/>
          <w:marRight w:val="0"/>
          <w:marTop w:val="0"/>
          <w:marBottom w:val="0"/>
          <w:divBdr>
            <w:top w:val="none" w:sz="0" w:space="0" w:color="auto"/>
            <w:left w:val="none" w:sz="0" w:space="0" w:color="auto"/>
            <w:bottom w:val="none" w:sz="0" w:space="0" w:color="auto"/>
            <w:right w:val="none" w:sz="0" w:space="0" w:color="auto"/>
          </w:divBdr>
        </w:div>
        <w:div w:id="2140568478">
          <w:marLeft w:val="0"/>
          <w:marRight w:val="0"/>
          <w:marTop w:val="0"/>
          <w:marBottom w:val="0"/>
          <w:divBdr>
            <w:top w:val="none" w:sz="0" w:space="0" w:color="auto"/>
            <w:left w:val="none" w:sz="0" w:space="0" w:color="auto"/>
            <w:bottom w:val="none" w:sz="0" w:space="0" w:color="auto"/>
            <w:right w:val="none" w:sz="0" w:space="0" w:color="auto"/>
          </w:divBdr>
        </w:div>
        <w:div w:id="232933069">
          <w:marLeft w:val="0"/>
          <w:marRight w:val="0"/>
          <w:marTop w:val="0"/>
          <w:marBottom w:val="0"/>
          <w:divBdr>
            <w:top w:val="none" w:sz="0" w:space="0" w:color="auto"/>
            <w:left w:val="none" w:sz="0" w:space="0" w:color="auto"/>
            <w:bottom w:val="none" w:sz="0" w:space="0" w:color="auto"/>
            <w:right w:val="none" w:sz="0" w:space="0" w:color="auto"/>
          </w:divBdr>
        </w:div>
      </w:divsChild>
    </w:div>
    <w:div w:id="976763241">
      <w:bodyDiv w:val="1"/>
      <w:marLeft w:val="0"/>
      <w:marRight w:val="0"/>
      <w:marTop w:val="0"/>
      <w:marBottom w:val="0"/>
      <w:divBdr>
        <w:top w:val="none" w:sz="0" w:space="0" w:color="auto"/>
        <w:left w:val="none" w:sz="0" w:space="0" w:color="auto"/>
        <w:bottom w:val="none" w:sz="0" w:space="0" w:color="auto"/>
        <w:right w:val="none" w:sz="0" w:space="0" w:color="auto"/>
      </w:divBdr>
      <w:divsChild>
        <w:div w:id="1932079298">
          <w:marLeft w:val="0"/>
          <w:marRight w:val="0"/>
          <w:marTop w:val="0"/>
          <w:marBottom w:val="0"/>
          <w:divBdr>
            <w:top w:val="none" w:sz="0" w:space="0" w:color="auto"/>
            <w:left w:val="none" w:sz="0" w:space="0" w:color="auto"/>
            <w:bottom w:val="none" w:sz="0" w:space="0" w:color="auto"/>
            <w:right w:val="none" w:sz="0" w:space="0" w:color="auto"/>
          </w:divBdr>
        </w:div>
        <w:div w:id="239608162">
          <w:marLeft w:val="0"/>
          <w:marRight w:val="0"/>
          <w:marTop w:val="0"/>
          <w:marBottom w:val="0"/>
          <w:divBdr>
            <w:top w:val="none" w:sz="0" w:space="0" w:color="auto"/>
            <w:left w:val="none" w:sz="0" w:space="0" w:color="auto"/>
            <w:bottom w:val="none" w:sz="0" w:space="0" w:color="auto"/>
            <w:right w:val="none" w:sz="0" w:space="0" w:color="auto"/>
          </w:divBdr>
        </w:div>
        <w:div w:id="1012296370">
          <w:marLeft w:val="0"/>
          <w:marRight w:val="0"/>
          <w:marTop w:val="0"/>
          <w:marBottom w:val="0"/>
          <w:divBdr>
            <w:top w:val="none" w:sz="0" w:space="0" w:color="auto"/>
            <w:left w:val="none" w:sz="0" w:space="0" w:color="auto"/>
            <w:bottom w:val="none" w:sz="0" w:space="0" w:color="auto"/>
            <w:right w:val="none" w:sz="0" w:space="0" w:color="auto"/>
          </w:divBdr>
        </w:div>
        <w:div w:id="1470592377">
          <w:marLeft w:val="0"/>
          <w:marRight w:val="0"/>
          <w:marTop w:val="0"/>
          <w:marBottom w:val="0"/>
          <w:divBdr>
            <w:top w:val="none" w:sz="0" w:space="0" w:color="auto"/>
            <w:left w:val="none" w:sz="0" w:space="0" w:color="auto"/>
            <w:bottom w:val="none" w:sz="0" w:space="0" w:color="auto"/>
            <w:right w:val="none" w:sz="0" w:space="0" w:color="auto"/>
          </w:divBdr>
        </w:div>
        <w:div w:id="1335110217">
          <w:marLeft w:val="0"/>
          <w:marRight w:val="0"/>
          <w:marTop w:val="0"/>
          <w:marBottom w:val="0"/>
          <w:divBdr>
            <w:top w:val="none" w:sz="0" w:space="0" w:color="auto"/>
            <w:left w:val="none" w:sz="0" w:space="0" w:color="auto"/>
            <w:bottom w:val="none" w:sz="0" w:space="0" w:color="auto"/>
            <w:right w:val="none" w:sz="0" w:space="0" w:color="auto"/>
          </w:divBdr>
        </w:div>
      </w:divsChild>
    </w:div>
    <w:div w:id="2051103359">
      <w:bodyDiv w:val="1"/>
      <w:marLeft w:val="0"/>
      <w:marRight w:val="0"/>
      <w:marTop w:val="0"/>
      <w:marBottom w:val="0"/>
      <w:divBdr>
        <w:top w:val="none" w:sz="0" w:space="0" w:color="auto"/>
        <w:left w:val="none" w:sz="0" w:space="0" w:color="auto"/>
        <w:bottom w:val="none" w:sz="0" w:space="0" w:color="auto"/>
        <w:right w:val="none" w:sz="0" w:space="0" w:color="auto"/>
      </w:divBdr>
      <w:divsChild>
        <w:div w:id="1427262490">
          <w:marLeft w:val="0"/>
          <w:marRight w:val="0"/>
          <w:marTop w:val="0"/>
          <w:marBottom w:val="0"/>
          <w:divBdr>
            <w:top w:val="none" w:sz="0" w:space="0" w:color="auto"/>
            <w:left w:val="none" w:sz="0" w:space="0" w:color="auto"/>
            <w:bottom w:val="none" w:sz="0" w:space="0" w:color="auto"/>
            <w:right w:val="none" w:sz="0" w:space="0" w:color="auto"/>
          </w:divBdr>
        </w:div>
        <w:div w:id="6713694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Hoja1!$C$6</c:f>
              <c:strCache>
                <c:ptCount val="1"/>
                <c:pt idx="0">
                  <c:v>Adultos</c:v>
                </c:pt>
              </c:strCache>
            </c:strRef>
          </c:tx>
          <c:invertIfNegative val="0"/>
          <c:cat>
            <c:strRef>
              <c:f>Hoja1!$D$5:$J$5</c:f>
              <c:strCache>
                <c:ptCount val="7"/>
                <c:pt idx="0">
                  <c:v>BCR-ABL t(9;22)</c:v>
                </c:pt>
                <c:pt idx="1">
                  <c:v>rearreglos de MLL</c:v>
                </c:pt>
                <c:pt idx="2">
                  <c:v>MYC t(8;14), t(2;8), t(8;22)</c:v>
                </c:pt>
                <c:pt idx="3">
                  <c:v>Hipodiploidia &lt; 45 cromosomas</c:v>
                </c:pt>
                <c:pt idx="4">
                  <c:v>TEL-AML1 t(12;21)</c:v>
                </c:pt>
                <c:pt idx="5">
                  <c:v>E2A-PBX1 t(1;19)</c:v>
                </c:pt>
                <c:pt idx="6">
                  <c:v>Hiperdiploidia &gt; 50 cromosomas</c:v>
                </c:pt>
              </c:strCache>
            </c:strRef>
          </c:cat>
          <c:val>
            <c:numRef>
              <c:f>Hoja1!$D$6:$J$6</c:f>
              <c:numCache>
                <c:formatCode>0%</c:formatCode>
                <c:ptCount val="7"/>
                <c:pt idx="0">
                  <c:v>0.25</c:v>
                </c:pt>
                <c:pt idx="1">
                  <c:v>0.1</c:v>
                </c:pt>
                <c:pt idx="2">
                  <c:v>4.0000000000000015E-2</c:v>
                </c:pt>
                <c:pt idx="3">
                  <c:v>2.0000000000000007E-2</c:v>
                </c:pt>
                <c:pt idx="4">
                  <c:v>2.0000000000000007E-2</c:v>
                </c:pt>
                <c:pt idx="5">
                  <c:v>2.0000000000000007E-2</c:v>
                </c:pt>
                <c:pt idx="6">
                  <c:v>7.0000000000000021E-2</c:v>
                </c:pt>
              </c:numCache>
            </c:numRef>
          </c:val>
          <c:extLst>
            <c:ext xmlns:c16="http://schemas.microsoft.com/office/drawing/2014/chart" uri="{C3380CC4-5D6E-409C-BE32-E72D297353CC}">
              <c16:uniqueId val="{00000000-0C78-4EBA-AB14-64C5A268E47F}"/>
            </c:ext>
          </c:extLst>
        </c:ser>
        <c:ser>
          <c:idx val="1"/>
          <c:order val="1"/>
          <c:tx>
            <c:strRef>
              <c:f>Hoja1!$C$7</c:f>
              <c:strCache>
                <c:ptCount val="1"/>
                <c:pt idx="0">
                  <c:v>Niños</c:v>
                </c:pt>
              </c:strCache>
            </c:strRef>
          </c:tx>
          <c:invertIfNegative val="0"/>
          <c:cat>
            <c:strRef>
              <c:f>Hoja1!$D$5:$J$5</c:f>
              <c:strCache>
                <c:ptCount val="7"/>
                <c:pt idx="0">
                  <c:v>BCR-ABL t(9;22)</c:v>
                </c:pt>
                <c:pt idx="1">
                  <c:v>rearreglos de MLL</c:v>
                </c:pt>
                <c:pt idx="2">
                  <c:v>MYC t(8;14), t(2;8), t(8;22)</c:v>
                </c:pt>
                <c:pt idx="3">
                  <c:v>Hipodiploidia &lt; 45 cromosomas</c:v>
                </c:pt>
                <c:pt idx="4">
                  <c:v>TEL-AML1 t(12;21)</c:v>
                </c:pt>
                <c:pt idx="5">
                  <c:v>E2A-PBX1 t(1;19)</c:v>
                </c:pt>
                <c:pt idx="6">
                  <c:v>Hiperdiploidia &gt; 50 cromosomas</c:v>
                </c:pt>
              </c:strCache>
            </c:strRef>
          </c:cat>
          <c:val>
            <c:numRef>
              <c:f>Hoja1!$D$7:$J$7</c:f>
              <c:numCache>
                <c:formatCode>0%</c:formatCode>
                <c:ptCount val="7"/>
                <c:pt idx="0">
                  <c:v>3.0000000000000002E-2</c:v>
                </c:pt>
                <c:pt idx="1">
                  <c:v>8.0000000000000029E-2</c:v>
                </c:pt>
                <c:pt idx="2">
                  <c:v>2.0000000000000007E-2</c:v>
                </c:pt>
                <c:pt idx="3">
                  <c:v>1.0000000000000004E-2</c:v>
                </c:pt>
                <c:pt idx="4">
                  <c:v>0.22</c:v>
                </c:pt>
                <c:pt idx="5">
                  <c:v>0.05</c:v>
                </c:pt>
                <c:pt idx="6">
                  <c:v>0.25</c:v>
                </c:pt>
              </c:numCache>
            </c:numRef>
          </c:val>
          <c:extLst>
            <c:ext xmlns:c16="http://schemas.microsoft.com/office/drawing/2014/chart" uri="{C3380CC4-5D6E-409C-BE32-E72D297353CC}">
              <c16:uniqueId val="{00000001-0C78-4EBA-AB14-64C5A268E47F}"/>
            </c:ext>
          </c:extLst>
        </c:ser>
        <c:dLbls>
          <c:showLegendKey val="0"/>
          <c:showVal val="0"/>
          <c:showCatName val="0"/>
          <c:showSerName val="0"/>
          <c:showPercent val="0"/>
          <c:showBubbleSize val="0"/>
        </c:dLbls>
        <c:gapWidth val="150"/>
        <c:axId val="98594176"/>
        <c:axId val="98657408"/>
      </c:barChart>
      <c:catAx>
        <c:axId val="98594176"/>
        <c:scaling>
          <c:orientation val="minMax"/>
        </c:scaling>
        <c:delete val="0"/>
        <c:axPos val="b"/>
        <c:numFmt formatCode="General" sourceLinked="0"/>
        <c:majorTickMark val="out"/>
        <c:minorTickMark val="none"/>
        <c:tickLblPos val="nextTo"/>
        <c:txPr>
          <a:bodyPr/>
          <a:lstStyle/>
          <a:p>
            <a:pPr>
              <a:defRPr lang="en-US"/>
            </a:pPr>
            <a:endParaRPr lang="es-CO"/>
          </a:p>
        </c:txPr>
        <c:crossAx val="98657408"/>
        <c:crosses val="autoZero"/>
        <c:auto val="1"/>
        <c:lblAlgn val="ctr"/>
        <c:lblOffset val="100"/>
        <c:noMultiLvlLbl val="0"/>
      </c:catAx>
      <c:valAx>
        <c:axId val="98657408"/>
        <c:scaling>
          <c:orientation val="minMax"/>
        </c:scaling>
        <c:delete val="0"/>
        <c:axPos val="l"/>
        <c:majorGridlines/>
        <c:numFmt formatCode="0%" sourceLinked="1"/>
        <c:majorTickMark val="out"/>
        <c:minorTickMark val="none"/>
        <c:tickLblPos val="nextTo"/>
        <c:txPr>
          <a:bodyPr/>
          <a:lstStyle/>
          <a:p>
            <a:pPr>
              <a:defRPr lang="en-US"/>
            </a:pPr>
            <a:endParaRPr lang="es-CO"/>
          </a:p>
        </c:txPr>
        <c:crossAx val="98594176"/>
        <c:crosses val="autoZero"/>
        <c:crossBetween val="between"/>
      </c:valAx>
    </c:plotArea>
    <c:legend>
      <c:legendPos val="r"/>
      <c:overlay val="0"/>
      <c:txPr>
        <a:bodyPr/>
        <a:lstStyle/>
        <a:p>
          <a:pPr>
            <a:defRPr lang="en-US"/>
          </a:pPr>
          <a:endParaRPr lang="es-CO"/>
        </a:p>
      </c:txPr>
    </c:legend>
    <c:plotVisOnly val="1"/>
    <c:dispBlanksAs val="gap"/>
    <c:showDLblsOverMax val="0"/>
  </c:chart>
  <c:spPr>
    <a:ln w="28575" cmpd="sng">
      <a:solidFill>
        <a:schemeClr val="tx2">
          <a:lumMod val="60000"/>
          <a:lumOff val="40000"/>
        </a:schemeClr>
      </a:soli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0.52953</cdr:x>
      <cdr:y>0.04827</cdr:y>
    </cdr:from>
    <cdr:to>
      <cdr:x>0.52953</cdr:x>
      <cdr:y>0.52216</cdr:y>
    </cdr:to>
    <cdr:cxnSp macro="">
      <cdr:nvCxnSpPr>
        <cdr:cNvPr id="7" name="Conector recto 6"/>
        <cdr:cNvCxnSpPr/>
      </cdr:nvCxnSpPr>
      <cdr:spPr>
        <a:xfrm xmlns:a="http://schemas.openxmlformats.org/drawingml/2006/main" flipV="1">
          <a:off x="2971800" y="139700"/>
          <a:ext cx="0" cy="1371600"/>
        </a:xfrm>
        <a:prstGeom xmlns:a="http://schemas.openxmlformats.org/drawingml/2006/main" prst="line">
          <a:avLst/>
        </a:pr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0.16293</cdr:x>
      <cdr:y>0.04827</cdr:y>
    </cdr:from>
    <cdr:to>
      <cdr:x>0.44807</cdr:x>
      <cdr:y>0.12725</cdr:y>
    </cdr:to>
    <cdr:sp macro="" textlink="">
      <cdr:nvSpPr>
        <cdr:cNvPr id="8" name="Cuadro de texto 7"/>
        <cdr:cNvSpPr txBox="1"/>
      </cdr:nvSpPr>
      <cdr:spPr>
        <a:xfrm xmlns:a="http://schemas.openxmlformats.org/drawingml/2006/main">
          <a:off x="914400" y="139700"/>
          <a:ext cx="16002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a:solidFill>
                <a:schemeClr val="tx1">
                  <a:lumMod val="50000"/>
                  <a:lumOff val="50000"/>
                </a:schemeClr>
              </a:solidFill>
            </a:rPr>
            <a:t>Desfavorable</a:t>
          </a:r>
        </a:p>
      </cdr:txBody>
    </cdr:sp>
  </cdr:relSizeAnchor>
  <cdr:relSizeAnchor xmlns:cdr="http://schemas.openxmlformats.org/drawingml/2006/chartDrawing">
    <cdr:from>
      <cdr:x>0.16293</cdr:x>
      <cdr:y>0.04827</cdr:y>
    </cdr:from>
    <cdr:to>
      <cdr:x>0.44807</cdr:x>
      <cdr:y>0.12725</cdr:y>
    </cdr:to>
    <cdr:sp macro="" textlink="">
      <cdr:nvSpPr>
        <cdr:cNvPr id="9" name="Cuadro de texto 1"/>
        <cdr:cNvSpPr txBox="1"/>
      </cdr:nvSpPr>
      <cdr:spPr>
        <a:xfrm xmlns:a="http://schemas.openxmlformats.org/drawingml/2006/main">
          <a:off x="914400" y="139700"/>
          <a:ext cx="1600200" cy="228600"/>
        </a:xfrm>
        <a:prstGeom xmlns:a="http://schemas.openxmlformats.org/drawingml/2006/main" prst="rect">
          <a:avLst/>
        </a:prstGeom>
      </cdr:spPr>
    </cdr:sp>
  </cdr:relSizeAnchor>
  <cdr:relSizeAnchor xmlns:cdr="http://schemas.openxmlformats.org/drawingml/2006/chartDrawing">
    <cdr:from>
      <cdr:x>0.57026</cdr:x>
      <cdr:y>0.04827</cdr:y>
    </cdr:from>
    <cdr:to>
      <cdr:x>0.81466</cdr:x>
      <cdr:y>0.12725</cdr:y>
    </cdr:to>
    <cdr:sp macro="" textlink="">
      <cdr:nvSpPr>
        <cdr:cNvPr id="10" name="Cuadro de texto 9"/>
        <cdr:cNvSpPr txBox="1"/>
      </cdr:nvSpPr>
      <cdr:spPr>
        <a:xfrm xmlns:a="http://schemas.openxmlformats.org/drawingml/2006/main">
          <a:off x="3200400" y="139700"/>
          <a:ext cx="13716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a:solidFill>
                <a:srgbClr val="7F7F7F"/>
              </a:solidFill>
            </a:rPr>
            <a:t>Favorable</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9036a7a1-5a4f-48d3-b24b-dfdab053dac9" value=""/>
  <element uid="03e9b10b-a1f9-4a88-9630-476473f62285" value=""/>
  <element uid="7349a702-6462-4442-88eb-c64cd513835c"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7FB4E-D981-4FA1-88C3-1321B425044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DF695A2-CA38-4170-BDCD-AFF9906B8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73470</Words>
  <Characters>404091</Characters>
  <Application>Microsoft Office Word</Application>
  <DocSecurity>0</DocSecurity>
  <Lines>3367</Lines>
  <Paragraphs>953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dzayn</Company>
  <LinksUpToDate>false</LinksUpToDate>
  <CharactersWithSpaces>476608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Bonell Patiño Escobar</dc:creator>
  <cp:keywords>*$%IU-*$%GenBus</cp:keywords>
  <dc:description/>
  <cp:lastModifiedBy>Docentes Enfermeria</cp:lastModifiedBy>
  <cp:revision>7</cp:revision>
  <cp:lastPrinted>2019-06-22T01:54:00Z</cp:lastPrinted>
  <dcterms:created xsi:type="dcterms:W3CDTF">2019-07-05T21:01:00Z</dcterms:created>
  <dcterms:modified xsi:type="dcterms:W3CDTF">2019-07-12T21:12:00Z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31f08439-4ac6-37d3-9771-d1c404fabe56</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docIndexRef">
    <vt:lpwstr>66297bee-9407-4c44-bd4a-039fd83ff9bc</vt:lpwstr>
  </property>
  <property fmtid="{D5CDD505-2E9C-101B-9397-08002B2CF9AE}" pid="26" name="bjSaver">
    <vt:lpwstr>Vg/PEqSvRliE0GSgeIxT4FCWDPVO9uZm</vt:lpwstr>
  </property>
  <property fmtid="{D5CDD505-2E9C-101B-9397-08002B2CF9AE}" pid="27"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28" name="bjDocumentLabelXML-0">
    <vt:lpwstr>ames.com/2008/01/sie/internal/label"&gt;&lt;element uid="9036a7a1-5a4f-48d3-b24b-dfdab053dac9" value="" /&gt;&lt;element uid="03e9b10b-a1f9-4a88-9630-476473f62285" value="" /&gt;&lt;element uid="7349a702-6462-4442-88eb-c64cd513835c" value="" /&gt;&lt;/sisl&gt;</vt:lpwstr>
  </property>
  <property fmtid="{D5CDD505-2E9C-101B-9397-08002B2CF9AE}" pid="29" name="bjDocumentSecurityLabel">
    <vt:lpwstr>Internal Use Only - General Business</vt:lpwstr>
  </property>
</Properties>
</file>