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7E" w:rsidRPr="00D94AE5" w:rsidRDefault="00A517DD" w:rsidP="00D94AE5">
      <w:pPr>
        <w:jc w:val="center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CUESTIONARIO MÓDULO 6</w:t>
      </w:r>
      <w:bookmarkStart w:id="0" w:name="_GoBack"/>
      <w:bookmarkEnd w:id="0"/>
    </w:p>
    <w:p w:rsidR="00CF7937" w:rsidRPr="00D94AE5" w:rsidRDefault="00CF7937" w:rsidP="00CF7937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D94AE5">
        <w:rPr>
          <w:rFonts w:ascii="Arial Narrow" w:hAnsi="Arial Narrow"/>
          <w:b/>
          <w:bCs/>
        </w:rPr>
        <w:t xml:space="preserve">El licenciamiento ambiental en Colombia corresponde a </w:t>
      </w:r>
    </w:p>
    <w:p w:rsidR="00CF7937" w:rsidRPr="00D94AE5" w:rsidRDefault="00CF7937" w:rsidP="00CF7937">
      <w:pPr>
        <w:pStyle w:val="Prrafodelista"/>
        <w:rPr>
          <w:rFonts w:ascii="Arial Narrow" w:hAnsi="Arial Narrow"/>
        </w:rPr>
      </w:pPr>
    </w:p>
    <w:p w:rsidR="00CF7937" w:rsidRPr="00D94AE5" w:rsidRDefault="00CF7937" w:rsidP="00CF7937">
      <w:pPr>
        <w:pStyle w:val="Prrafodelista"/>
        <w:numPr>
          <w:ilvl w:val="0"/>
          <w:numId w:val="2"/>
        </w:numPr>
        <w:spacing w:after="0"/>
        <w:ind w:left="720"/>
        <w:rPr>
          <w:rFonts w:ascii="Arial Narrow" w:hAnsi="Arial Narrow"/>
        </w:rPr>
      </w:pPr>
      <w:r w:rsidRPr="00D94AE5">
        <w:rPr>
          <w:rFonts w:ascii="Arial Narrow" w:hAnsi="Arial Narrow"/>
        </w:rPr>
        <w:t xml:space="preserve">A un sistema técnico administrativo que integrar la evaluación del impacto ambiental – </w:t>
      </w:r>
      <w:proofErr w:type="spellStart"/>
      <w:r w:rsidRPr="00D94AE5">
        <w:rPr>
          <w:rFonts w:ascii="Arial Narrow" w:hAnsi="Arial Narrow"/>
        </w:rPr>
        <w:t>exante</w:t>
      </w:r>
      <w:proofErr w:type="spellEnd"/>
      <w:r w:rsidRPr="00D94AE5">
        <w:rPr>
          <w:rFonts w:ascii="Arial Narrow" w:hAnsi="Arial Narrow"/>
        </w:rPr>
        <w:t xml:space="preserve"> para la viabilidad ambiental de un proyecto.</w:t>
      </w:r>
    </w:p>
    <w:p w:rsidR="00CF7937" w:rsidRPr="00D94AE5" w:rsidRDefault="00CF7937" w:rsidP="00CF7937">
      <w:pPr>
        <w:pStyle w:val="Prrafodelista"/>
        <w:numPr>
          <w:ilvl w:val="0"/>
          <w:numId w:val="2"/>
        </w:numPr>
        <w:spacing w:after="0"/>
        <w:ind w:left="720"/>
        <w:rPr>
          <w:rFonts w:ascii="Arial Narrow" w:hAnsi="Arial Narrow"/>
        </w:rPr>
      </w:pPr>
      <w:r w:rsidRPr="00D94AE5">
        <w:rPr>
          <w:rFonts w:ascii="Arial Narrow" w:hAnsi="Arial Narrow"/>
        </w:rPr>
        <w:t xml:space="preserve">A un sistema técnico administrativo que integrar la evaluación del impacto ambiental – </w:t>
      </w:r>
      <w:proofErr w:type="spellStart"/>
      <w:r w:rsidRPr="00D94AE5">
        <w:rPr>
          <w:rFonts w:ascii="Arial Narrow" w:hAnsi="Arial Narrow"/>
        </w:rPr>
        <w:t>exante</w:t>
      </w:r>
      <w:proofErr w:type="spellEnd"/>
      <w:r w:rsidRPr="00D94AE5">
        <w:rPr>
          <w:rFonts w:ascii="Arial Narrow" w:hAnsi="Arial Narrow"/>
        </w:rPr>
        <w:t xml:space="preserve"> para la viabilidad financiera y ambiental de un proyecto.</w:t>
      </w:r>
    </w:p>
    <w:p w:rsidR="00CF7937" w:rsidRPr="00D94AE5" w:rsidRDefault="00CF7937" w:rsidP="00CF7937">
      <w:pPr>
        <w:pStyle w:val="Prrafodelista"/>
        <w:numPr>
          <w:ilvl w:val="0"/>
          <w:numId w:val="2"/>
        </w:numPr>
        <w:spacing w:after="0"/>
        <w:ind w:left="720"/>
        <w:rPr>
          <w:rFonts w:ascii="Arial Narrow" w:hAnsi="Arial Narrow"/>
        </w:rPr>
      </w:pPr>
      <w:r w:rsidRPr="00D94AE5">
        <w:rPr>
          <w:rFonts w:ascii="Arial Narrow" w:hAnsi="Arial Narrow"/>
        </w:rPr>
        <w:t xml:space="preserve">A un sistema técnico administrativo que integrar la evaluación del impacto ambiental – </w:t>
      </w:r>
      <w:proofErr w:type="spellStart"/>
      <w:r w:rsidRPr="00D94AE5">
        <w:rPr>
          <w:rFonts w:ascii="Arial Narrow" w:hAnsi="Arial Narrow"/>
        </w:rPr>
        <w:t>exante</w:t>
      </w:r>
      <w:proofErr w:type="spellEnd"/>
      <w:r w:rsidRPr="00D94AE5">
        <w:rPr>
          <w:rFonts w:ascii="Arial Narrow" w:hAnsi="Arial Narrow"/>
        </w:rPr>
        <w:t xml:space="preserve"> para determinar el costo-beneficio ambiental de un proyecto.</w:t>
      </w:r>
    </w:p>
    <w:p w:rsidR="00CF7937" w:rsidRPr="00D94AE5" w:rsidRDefault="00CF7937" w:rsidP="00CF7937">
      <w:pPr>
        <w:pStyle w:val="Prrafodelista"/>
        <w:numPr>
          <w:ilvl w:val="0"/>
          <w:numId w:val="2"/>
        </w:numPr>
        <w:spacing w:after="0"/>
        <w:ind w:left="720"/>
        <w:rPr>
          <w:rFonts w:ascii="Arial Narrow" w:hAnsi="Arial Narrow"/>
        </w:rPr>
      </w:pPr>
      <w:r w:rsidRPr="00D94AE5">
        <w:rPr>
          <w:rFonts w:ascii="Arial Narrow" w:hAnsi="Arial Narrow"/>
        </w:rPr>
        <w:t>Ninguna de las anteriores</w:t>
      </w:r>
    </w:p>
    <w:p w:rsidR="00CF7937" w:rsidRPr="00D94AE5" w:rsidRDefault="00CF7937" w:rsidP="00CF7937">
      <w:pPr>
        <w:spacing w:after="0"/>
        <w:rPr>
          <w:rFonts w:ascii="Arial Narrow" w:hAnsi="Arial Narrow"/>
        </w:rPr>
      </w:pPr>
    </w:p>
    <w:p w:rsidR="00CF7937" w:rsidRPr="00D94AE5" w:rsidRDefault="00CF7937" w:rsidP="00CF7937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D94AE5">
        <w:rPr>
          <w:rFonts w:ascii="Arial Narrow" w:hAnsi="Arial Narrow"/>
          <w:b/>
          <w:bCs/>
        </w:rPr>
        <w:t xml:space="preserve"> La </w:t>
      </w:r>
      <w:r w:rsidR="00E82933" w:rsidRPr="00D94AE5">
        <w:rPr>
          <w:rFonts w:ascii="Arial Narrow" w:hAnsi="Arial Narrow"/>
          <w:b/>
          <w:bCs/>
        </w:rPr>
        <w:t xml:space="preserve">inclusión de la </w:t>
      </w:r>
      <w:r w:rsidRPr="00D94AE5">
        <w:rPr>
          <w:rFonts w:ascii="Arial Narrow" w:hAnsi="Arial Narrow"/>
          <w:b/>
          <w:bCs/>
        </w:rPr>
        <w:t xml:space="preserve">dimensión socioeconómica en la gestión ambiental de los proyectos  </w:t>
      </w:r>
    </w:p>
    <w:p w:rsidR="00CF7937" w:rsidRPr="00D94AE5" w:rsidRDefault="00CF7937" w:rsidP="00CF7937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Fue incorporada por primera vez por el Banco Mundial</w:t>
      </w:r>
    </w:p>
    <w:p w:rsidR="00CF7937" w:rsidRPr="00D94AE5" w:rsidRDefault="00CF7937" w:rsidP="00CF7937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Fue incorporada</w:t>
      </w:r>
      <w:r w:rsidR="00E82933" w:rsidRPr="00D94AE5">
        <w:rPr>
          <w:rFonts w:ascii="Arial Narrow" w:hAnsi="Arial Narrow"/>
        </w:rPr>
        <w:t xml:space="preserve"> como política pública </w:t>
      </w:r>
      <w:r w:rsidRPr="00D94AE5">
        <w:rPr>
          <w:rFonts w:ascii="Arial Narrow" w:hAnsi="Arial Narrow"/>
        </w:rPr>
        <w:t xml:space="preserve">antes de los años setenta </w:t>
      </w:r>
    </w:p>
    <w:p w:rsidR="00CF7937" w:rsidRPr="00D94AE5" w:rsidRDefault="00CF7937" w:rsidP="00CF7937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Fue incorporada en Colombia con la Ley 99 de 1993</w:t>
      </w:r>
    </w:p>
    <w:p w:rsidR="00CF7937" w:rsidRPr="00D94AE5" w:rsidRDefault="00CF7937" w:rsidP="00CF7937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Todas las anteriores</w:t>
      </w:r>
    </w:p>
    <w:p w:rsidR="00505A95" w:rsidRPr="00D94AE5" w:rsidRDefault="00505A95" w:rsidP="00505A95">
      <w:pPr>
        <w:pStyle w:val="Prrafodelista"/>
        <w:rPr>
          <w:rFonts w:ascii="Arial Narrow" w:hAnsi="Arial Narrow"/>
        </w:rPr>
      </w:pPr>
    </w:p>
    <w:p w:rsidR="00505A95" w:rsidRPr="00D94AE5" w:rsidRDefault="00505A95" w:rsidP="00505A9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D94AE5">
        <w:rPr>
          <w:rFonts w:ascii="Arial Narrow" w:hAnsi="Arial Narrow"/>
          <w:b/>
          <w:bCs/>
        </w:rPr>
        <w:t xml:space="preserve">Lo socioeconómico en la Evaluación de los Impactos Ambientales  </w:t>
      </w:r>
    </w:p>
    <w:p w:rsidR="00505A95" w:rsidRPr="00D94AE5" w:rsidRDefault="00505A95" w:rsidP="00505A9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Es un medio del sistema ambiental</w:t>
      </w:r>
    </w:p>
    <w:p w:rsidR="00505A95" w:rsidRPr="00D94AE5" w:rsidRDefault="00505A95" w:rsidP="00505A9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Engloba el concepto de desarrollo sostenible</w:t>
      </w:r>
    </w:p>
    <w:p w:rsidR="00505A95" w:rsidRPr="00D94AE5" w:rsidRDefault="00505A95" w:rsidP="00505A9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Se basa en procedimientos de decisión informados y participativos</w:t>
      </w:r>
    </w:p>
    <w:p w:rsidR="00505A95" w:rsidRPr="00D94AE5" w:rsidRDefault="00505A95" w:rsidP="00505A9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Todas las anteriores</w:t>
      </w:r>
    </w:p>
    <w:p w:rsidR="00505A95" w:rsidRPr="00D94AE5" w:rsidRDefault="00505A95" w:rsidP="00505A95">
      <w:pPr>
        <w:pStyle w:val="Prrafodelista"/>
        <w:rPr>
          <w:rFonts w:ascii="Arial Narrow" w:hAnsi="Arial Narrow"/>
        </w:rPr>
      </w:pPr>
    </w:p>
    <w:p w:rsidR="00505A95" w:rsidRPr="00D94AE5" w:rsidRDefault="00505A95" w:rsidP="002328F3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  <w:b/>
          <w:bCs/>
        </w:rPr>
        <w:t>Desde la conceptualización de los estudios ambientales de la Evaluación del Impacto</w:t>
      </w:r>
      <w:r w:rsidR="002328F3">
        <w:rPr>
          <w:rFonts w:ascii="Arial Narrow" w:hAnsi="Arial Narrow"/>
        </w:rPr>
        <w:t xml:space="preserve"> </w:t>
      </w:r>
      <w:r w:rsidRPr="002328F3">
        <w:rPr>
          <w:rFonts w:ascii="Arial Narrow" w:hAnsi="Arial Narrow"/>
          <w:b/>
          <w:bCs/>
        </w:rPr>
        <w:t>Ambiental en Colombia</w:t>
      </w:r>
      <w:r w:rsidR="002328F3">
        <w:rPr>
          <w:rFonts w:ascii="Arial Narrow" w:hAnsi="Arial Narrow"/>
          <w:b/>
          <w:bCs/>
        </w:rPr>
        <w:t>,</w:t>
      </w:r>
      <w:r w:rsidRPr="002328F3">
        <w:rPr>
          <w:rFonts w:ascii="Arial Narrow" w:hAnsi="Arial Narrow"/>
          <w:b/>
          <w:bCs/>
        </w:rPr>
        <w:t xml:space="preserve"> el medio ambiente está comprendido por:</w:t>
      </w:r>
    </w:p>
    <w:p w:rsidR="00505A95" w:rsidRPr="00D94AE5" w:rsidRDefault="00505A95" w:rsidP="00505A95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Los elementos biofísicos</w:t>
      </w:r>
    </w:p>
    <w:p w:rsidR="00505A95" w:rsidRPr="00D94AE5" w:rsidRDefault="00505A95" w:rsidP="00505A95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El medio abiótico, medio biótico y medio socioeconómico</w:t>
      </w:r>
    </w:p>
    <w:p w:rsidR="00505A95" w:rsidRPr="00D94AE5" w:rsidRDefault="00505A95" w:rsidP="00505A95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El medio abiótico y biótico</w:t>
      </w:r>
    </w:p>
    <w:p w:rsidR="00505A95" w:rsidRPr="00D94AE5" w:rsidRDefault="00505A95" w:rsidP="00505A95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El entorno natural</w:t>
      </w:r>
    </w:p>
    <w:p w:rsidR="00505A95" w:rsidRPr="00D94AE5" w:rsidRDefault="00505A95" w:rsidP="00505A95">
      <w:pPr>
        <w:pStyle w:val="Prrafodelista"/>
        <w:rPr>
          <w:rFonts w:ascii="Arial Narrow" w:hAnsi="Arial Narrow"/>
        </w:rPr>
      </w:pPr>
    </w:p>
    <w:p w:rsidR="00505A95" w:rsidRPr="00D94AE5" w:rsidRDefault="00505A95" w:rsidP="00505A9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D94AE5">
        <w:rPr>
          <w:rFonts w:ascii="Arial Narrow" w:hAnsi="Arial Narrow"/>
          <w:b/>
          <w:bCs/>
        </w:rPr>
        <w:t xml:space="preserve">Desde la conceptualización de los estudios ambientales el medio socioeconómico </w:t>
      </w:r>
      <w:r w:rsidR="00FD5522" w:rsidRPr="00D94AE5">
        <w:rPr>
          <w:rFonts w:ascii="Arial Narrow" w:hAnsi="Arial Narrow"/>
          <w:b/>
          <w:bCs/>
        </w:rPr>
        <w:t>comprende los siguientes aspectos ambientales</w:t>
      </w:r>
    </w:p>
    <w:p w:rsidR="00FD5522" w:rsidRPr="00D94AE5" w:rsidRDefault="00FD5522" w:rsidP="00FD5522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Demográfico, económico, cultural y político-organizativo</w:t>
      </w:r>
    </w:p>
    <w:p w:rsidR="00FD5522" w:rsidRPr="00D94AE5" w:rsidRDefault="00FD5522" w:rsidP="00FD5522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Demográfico, espacial, económico, cultural</w:t>
      </w:r>
    </w:p>
    <w:p w:rsidR="00FD5522" w:rsidRPr="00D94AE5" w:rsidRDefault="00FD5522" w:rsidP="00FD5522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Demográfico, espacial, cultural, arqueológico y político-administrativo</w:t>
      </w:r>
    </w:p>
    <w:p w:rsidR="00FD5522" w:rsidRDefault="00FD5522" w:rsidP="002328F3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Demográfico, espacial, económico, cultural, arqueológico y político-organizativo</w:t>
      </w:r>
    </w:p>
    <w:p w:rsidR="002328F3" w:rsidRPr="002328F3" w:rsidRDefault="002328F3" w:rsidP="002328F3">
      <w:pPr>
        <w:pStyle w:val="Prrafodelista"/>
        <w:rPr>
          <w:rFonts w:ascii="Arial Narrow" w:hAnsi="Arial Narrow"/>
        </w:rPr>
      </w:pPr>
    </w:p>
    <w:p w:rsidR="00FD5522" w:rsidRPr="00D94AE5" w:rsidRDefault="00FD5522" w:rsidP="00FD5522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D94AE5">
        <w:rPr>
          <w:rFonts w:ascii="Arial Narrow" w:hAnsi="Arial Narrow"/>
          <w:b/>
          <w:bCs/>
        </w:rPr>
        <w:t>Qué comprende la etapa de campo para la definición del área de influencia</w:t>
      </w:r>
    </w:p>
    <w:p w:rsidR="00FD5522" w:rsidRPr="00D94AE5" w:rsidRDefault="00FD5522" w:rsidP="00FD5522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Reconocimiento del área: levantamiento de información primaria y talleres de identificación de impactos</w:t>
      </w:r>
    </w:p>
    <w:p w:rsidR="00FD5522" w:rsidRPr="00D94AE5" w:rsidRDefault="00FD5522" w:rsidP="00FD5522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Reconocimiento del área: trazado preliminar con información secundaria</w:t>
      </w:r>
    </w:p>
    <w:p w:rsidR="00FD5522" w:rsidRPr="00D94AE5" w:rsidRDefault="00FD5522" w:rsidP="00FD5522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Reconocimiento del área: proceso iterativo con los resultados de la etapa de campo</w:t>
      </w:r>
    </w:p>
    <w:p w:rsidR="00FD5522" w:rsidRDefault="00FD5522" w:rsidP="00FD5522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Ninguno de los anteriores</w:t>
      </w:r>
    </w:p>
    <w:p w:rsidR="002328F3" w:rsidRPr="00D94AE5" w:rsidRDefault="002328F3" w:rsidP="002328F3">
      <w:pPr>
        <w:pStyle w:val="Prrafodelista"/>
        <w:rPr>
          <w:rFonts w:ascii="Arial Narrow" w:hAnsi="Arial Narrow"/>
        </w:rPr>
      </w:pPr>
    </w:p>
    <w:p w:rsidR="00CC2EA8" w:rsidRPr="002328F3" w:rsidRDefault="004141B0" w:rsidP="00CC2EA8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2328F3">
        <w:rPr>
          <w:rFonts w:ascii="Arial Narrow" w:hAnsi="Arial Narrow"/>
          <w:b/>
          <w:bCs/>
        </w:rPr>
        <w:t xml:space="preserve">Un mapeo de actores </w:t>
      </w:r>
      <w:r w:rsidR="002328F3">
        <w:rPr>
          <w:rFonts w:ascii="Arial Narrow" w:hAnsi="Arial Narrow"/>
          <w:b/>
          <w:bCs/>
        </w:rPr>
        <w:t>de que elementos se</w:t>
      </w:r>
      <w:r w:rsidRPr="002328F3">
        <w:rPr>
          <w:rFonts w:ascii="Arial Narrow" w:hAnsi="Arial Narrow"/>
          <w:b/>
          <w:bCs/>
        </w:rPr>
        <w:t xml:space="preserve"> compone</w:t>
      </w:r>
      <w:r w:rsidR="002328F3">
        <w:rPr>
          <w:rFonts w:ascii="Arial Narrow" w:hAnsi="Arial Narrow"/>
          <w:b/>
          <w:bCs/>
        </w:rPr>
        <w:t>:</w:t>
      </w:r>
    </w:p>
    <w:p w:rsidR="004141B0" w:rsidRPr="00D94AE5" w:rsidRDefault="002328F3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La d</w:t>
      </w:r>
      <w:r w:rsidR="004141B0" w:rsidRPr="00D94AE5">
        <w:rPr>
          <w:rFonts w:ascii="Arial Narrow" w:hAnsi="Arial Narrow"/>
        </w:rPr>
        <w:t>efinición de las estrategias para el relacionamiento</w:t>
      </w:r>
    </w:p>
    <w:p w:rsidR="004141B0" w:rsidRPr="00D94AE5" w:rsidRDefault="002328F3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La c</w:t>
      </w:r>
      <w:r w:rsidR="004141B0" w:rsidRPr="00D94AE5">
        <w:rPr>
          <w:rFonts w:ascii="Arial Narrow" w:hAnsi="Arial Narrow"/>
        </w:rPr>
        <w:t>aracterización de los intereses, recursos y capacidad de influencia de los actores</w:t>
      </w:r>
    </w:p>
    <w:p w:rsidR="004141B0" w:rsidRPr="00D94AE5" w:rsidRDefault="002328F3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La i</w:t>
      </w:r>
      <w:r w:rsidR="004141B0" w:rsidRPr="00D94AE5">
        <w:rPr>
          <w:rFonts w:ascii="Arial Narrow" w:hAnsi="Arial Narrow"/>
        </w:rPr>
        <w:t>dentificación de los actores, caracterización de cada actor, representación gráfica de las relaciones entre actores</w:t>
      </w:r>
    </w:p>
    <w:p w:rsidR="004141B0" w:rsidRPr="00D94AE5" w:rsidRDefault="004141B0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Ninguna de las anteriores</w:t>
      </w:r>
    </w:p>
    <w:p w:rsidR="004141B0" w:rsidRPr="002328F3" w:rsidRDefault="004141B0" w:rsidP="004141B0">
      <w:pPr>
        <w:pStyle w:val="Prrafodelista"/>
        <w:rPr>
          <w:rFonts w:ascii="Arial Narrow" w:hAnsi="Arial Narrow"/>
          <w:b/>
          <w:bCs/>
        </w:rPr>
      </w:pPr>
    </w:p>
    <w:p w:rsidR="004141B0" w:rsidRPr="002328F3" w:rsidRDefault="004141B0" w:rsidP="004141B0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2328F3">
        <w:rPr>
          <w:rFonts w:ascii="Arial Narrow" w:hAnsi="Arial Narrow"/>
          <w:b/>
          <w:bCs/>
        </w:rPr>
        <w:t>Un mapeo de actores puede ser ineficiente cuando</w:t>
      </w:r>
    </w:p>
    <w:p w:rsidR="004141B0" w:rsidRPr="00D94AE5" w:rsidRDefault="004141B0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No se define el tema y le objetivo del mapa de actores</w:t>
      </w:r>
    </w:p>
    <w:p w:rsidR="004141B0" w:rsidRPr="00D94AE5" w:rsidRDefault="00D37FE4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No se analizan los actores</w:t>
      </w:r>
    </w:p>
    <w:p w:rsidR="00D37FE4" w:rsidRPr="00D94AE5" w:rsidRDefault="00D37FE4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No se realiza una representación gráfica de las relaciones de los actores</w:t>
      </w:r>
    </w:p>
    <w:p w:rsidR="00D37FE4" w:rsidRPr="00D94AE5" w:rsidRDefault="00D37FE4" w:rsidP="004141B0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D94AE5">
        <w:rPr>
          <w:rFonts w:ascii="Arial Narrow" w:hAnsi="Arial Narrow"/>
        </w:rPr>
        <w:t>Todas las anteriores</w:t>
      </w:r>
    </w:p>
    <w:p w:rsidR="00D37FE4" w:rsidRPr="00D94AE5" w:rsidRDefault="00D37FE4" w:rsidP="00D37FE4">
      <w:pPr>
        <w:pStyle w:val="Prrafodelista"/>
        <w:rPr>
          <w:rFonts w:ascii="Arial Narrow" w:hAnsi="Arial Narrow"/>
        </w:rPr>
      </w:pPr>
    </w:p>
    <w:p w:rsidR="00D37FE4" w:rsidRPr="002328F3" w:rsidRDefault="00D37FE4" w:rsidP="00D37FE4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2328F3">
        <w:rPr>
          <w:rFonts w:ascii="Arial Narrow" w:hAnsi="Arial Narrow"/>
          <w:b/>
          <w:bCs/>
        </w:rPr>
        <w:t>Con que definición relaciona el concepto de consulta previa:</w:t>
      </w:r>
    </w:p>
    <w:p w:rsidR="00D37FE4" w:rsidRPr="00D94AE5" w:rsidRDefault="00D37FE4" w:rsidP="00FD5522">
      <w:pPr>
        <w:pStyle w:val="Prrafodelista"/>
        <w:rPr>
          <w:rFonts w:ascii="Arial Narrow" w:hAnsi="Arial Narrow"/>
        </w:rPr>
      </w:pPr>
    </w:p>
    <w:p w:rsidR="00D37FE4" w:rsidRPr="00D94AE5" w:rsidRDefault="00D37FE4" w:rsidP="00D37FE4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Es el derecho fundamental de participación que tienen las comunidades étnicas y campesinas para la protección de su integridad cultural, social y económica cuando se pretendan tomar decisiones que puedan afectarlos</w:t>
      </w:r>
    </w:p>
    <w:p w:rsidR="00FD5522" w:rsidRPr="00D94AE5" w:rsidRDefault="00D37FE4" w:rsidP="00D37FE4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Es el derecho fundamental de participación que tienen las comunidades étnicas para la protección de su integridad cultural, social y económica cuando se pretendan tomar decisiones que puedan afectarlos</w:t>
      </w:r>
    </w:p>
    <w:p w:rsidR="00D37FE4" w:rsidRPr="00D94AE5" w:rsidRDefault="00D37FE4" w:rsidP="00D37FE4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Es el derecho fundamental de información que tienen las comunidades étnicas para la protección de su integridad cultural, social y económica cuando se pretendan tomar decisiones que puedan afectarlos</w:t>
      </w:r>
    </w:p>
    <w:p w:rsidR="00D37FE4" w:rsidRPr="00D94AE5" w:rsidRDefault="00D37FE4" w:rsidP="00D37FE4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Ninguna de las anteriores</w:t>
      </w:r>
    </w:p>
    <w:p w:rsidR="00AC1FCE" w:rsidRPr="00D94AE5" w:rsidRDefault="00AC1FCE" w:rsidP="00AC1FCE">
      <w:pPr>
        <w:pStyle w:val="Prrafodelista"/>
        <w:jc w:val="both"/>
        <w:rPr>
          <w:rFonts w:ascii="Arial Narrow" w:hAnsi="Arial Narrow"/>
        </w:rPr>
      </w:pPr>
    </w:p>
    <w:p w:rsidR="00AC1FCE" w:rsidRPr="002328F3" w:rsidRDefault="00AC1FCE" w:rsidP="00AC1FCE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2328F3">
        <w:rPr>
          <w:rFonts w:ascii="Arial Narrow" w:hAnsi="Arial Narrow"/>
          <w:b/>
          <w:bCs/>
        </w:rPr>
        <w:t>El proceso de consulta previa se conforma de las siguientes etapas:</w:t>
      </w:r>
    </w:p>
    <w:p w:rsidR="00AC1FCE" w:rsidRPr="00D94AE5" w:rsidRDefault="00AC1FCE" w:rsidP="00AC1FCE">
      <w:pPr>
        <w:pStyle w:val="Prrafodelista"/>
        <w:rPr>
          <w:rFonts w:ascii="Arial Narrow" w:hAnsi="Arial Narrow"/>
        </w:rPr>
      </w:pPr>
    </w:p>
    <w:p w:rsidR="00AC1FCE" w:rsidRPr="00D94AE5" w:rsidRDefault="00AC1FCE" w:rsidP="00AC1FCE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 xml:space="preserve">Certificación, coordinación y preparación, </w:t>
      </w:r>
      <w:proofErr w:type="spellStart"/>
      <w:r w:rsidRPr="00D94AE5">
        <w:rPr>
          <w:rFonts w:ascii="Arial Narrow" w:hAnsi="Arial Narrow"/>
        </w:rPr>
        <w:t>preconsulta</w:t>
      </w:r>
      <w:proofErr w:type="spellEnd"/>
      <w:r w:rsidRPr="00D94AE5">
        <w:rPr>
          <w:rFonts w:ascii="Arial Narrow" w:hAnsi="Arial Narrow"/>
        </w:rPr>
        <w:t>, consulta y seguimiento</w:t>
      </w:r>
    </w:p>
    <w:p w:rsidR="00AC1FCE" w:rsidRPr="00D94AE5" w:rsidRDefault="00AC1FCE" w:rsidP="00AC1FCE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 xml:space="preserve">Coordinación y preparación, </w:t>
      </w:r>
      <w:proofErr w:type="spellStart"/>
      <w:r w:rsidRPr="00D94AE5">
        <w:rPr>
          <w:rFonts w:ascii="Arial Narrow" w:hAnsi="Arial Narrow"/>
        </w:rPr>
        <w:t>preconsulta</w:t>
      </w:r>
      <w:proofErr w:type="spellEnd"/>
      <w:r w:rsidRPr="00D94AE5">
        <w:rPr>
          <w:rFonts w:ascii="Arial Narrow" w:hAnsi="Arial Narrow"/>
        </w:rPr>
        <w:t>, consulta y seguimiento</w:t>
      </w:r>
    </w:p>
    <w:p w:rsidR="00AC1FCE" w:rsidRPr="00D94AE5" w:rsidRDefault="00AC1FCE" w:rsidP="00AC1FCE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proofErr w:type="spellStart"/>
      <w:r w:rsidRPr="00D94AE5">
        <w:rPr>
          <w:rFonts w:ascii="Arial Narrow" w:hAnsi="Arial Narrow"/>
        </w:rPr>
        <w:t>Preconsulta</w:t>
      </w:r>
      <w:proofErr w:type="spellEnd"/>
      <w:r w:rsidRPr="00D94AE5">
        <w:rPr>
          <w:rFonts w:ascii="Arial Narrow" w:hAnsi="Arial Narrow"/>
        </w:rPr>
        <w:t>, consulta y seguimiento</w:t>
      </w:r>
    </w:p>
    <w:p w:rsidR="00AC1FCE" w:rsidRPr="00D94AE5" w:rsidRDefault="00AC1FCE" w:rsidP="00AC1FCE">
      <w:pPr>
        <w:pStyle w:val="Prrafodelista"/>
        <w:numPr>
          <w:ilvl w:val="0"/>
          <w:numId w:val="13"/>
        </w:numPr>
        <w:jc w:val="both"/>
        <w:rPr>
          <w:rFonts w:ascii="Arial Narrow" w:hAnsi="Arial Narrow"/>
        </w:rPr>
      </w:pPr>
      <w:proofErr w:type="spellStart"/>
      <w:r w:rsidRPr="00D94AE5">
        <w:rPr>
          <w:rFonts w:ascii="Arial Narrow" w:hAnsi="Arial Narrow"/>
        </w:rPr>
        <w:t>Preconsulta</w:t>
      </w:r>
      <w:proofErr w:type="spellEnd"/>
      <w:r w:rsidRPr="00D94AE5">
        <w:rPr>
          <w:rFonts w:ascii="Arial Narrow" w:hAnsi="Arial Narrow"/>
        </w:rPr>
        <w:t xml:space="preserve"> y consulta</w:t>
      </w:r>
    </w:p>
    <w:p w:rsidR="00215EF9" w:rsidRPr="00D94AE5" w:rsidRDefault="00215EF9" w:rsidP="00215EF9">
      <w:pPr>
        <w:pStyle w:val="Prrafodelista"/>
        <w:jc w:val="both"/>
        <w:rPr>
          <w:rFonts w:ascii="Arial Narrow" w:hAnsi="Arial Narrow"/>
        </w:rPr>
      </w:pPr>
    </w:p>
    <w:p w:rsidR="00215EF9" w:rsidRPr="00D94AE5" w:rsidRDefault="00215EF9" w:rsidP="00215EF9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D94AE5">
        <w:rPr>
          <w:rFonts w:ascii="Arial Narrow" w:hAnsi="Arial Narrow"/>
          <w:b/>
          <w:bCs/>
        </w:rPr>
        <w:t xml:space="preserve">Sobre </w:t>
      </w:r>
      <w:proofErr w:type="spellStart"/>
      <w:r w:rsidRPr="00D94AE5">
        <w:rPr>
          <w:rFonts w:ascii="Arial Narrow" w:hAnsi="Arial Narrow"/>
          <w:b/>
          <w:bCs/>
        </w:rPr>
        <w:t>que</w:t>
      </w:r>
      <w:proofErr w:type="spellEnd"/>
      <w:r w:rsidRPr="00D94AE5">
        <w:rPr>
          <w:rFonts w:ascii="Arial Narrow" w:hAnsi="Arial Narrow"/>
          <w:b/>
          <w:bCs/>
        </w:rPr>
        <w:t xml:space="preserve"> aspectos se ha pronunciado la Corte Constitucional en materia de consulta previa</w:t>
      </w:r>
    </w:p>
    <w:p w:rsidR="00215EF9" w:rsidRPr="00D94AE5" w:rsidRDefault="00215EF9" w:rsidP="00215EF9">
      <w:pPr>
        <w:pStyle w:val="Prrafodelista"/>
        <w:jc w:val="both"/>
        <w:rPr>
          <w:rFonts w:ascii="Arial Narrow" w:hAnsi="Arial Narrow"/>
          <w:b/>
          <w:bCs/>
        </w:rPr>
      </w:pPr>
    </w:p>
    <w:p w:rsidR="00215EF9" w:rsidRPr="00D94AE5" w:rsidRDefault="00215EF9" w:rsidP="00215EF9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Afectación directa, principios que rigen la consulta previa, certificación del ministerio del interior y unificación de reglas aplicables</w:t>
      </w:r>
      <w:r w:rsidR="00295DF7" w:rsidRPr="00D94AE5">
        <w:rPr>
          <w:rFonts w:ascii="Arial Narrow" w:hAnsi="Arial Narrow"/>
        </w:rPr>
        <w:t>.</w:t>
      </w:r>
    </w:p>
    <w:p w:rsidR="00215EF9" w:rsidRPr="00D94AE5" w:rsidRDefault="00215EF9" w:rsidP="00215EF9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Área de influencia</w:t>
      </w:r>
      <w:r w:rsidR="00295DF7" w:rsidRPr="00D94AE5">
        <w:rPr>
          <w:rFonts w:ascii="Arial Narrow" w:hAnsi="Arial Narrow"/>
        </w:rPr>
        <w:t>, principios que rigen la consulta previa, certificación del ministerio del interior y unificación de reglas aplicables.</w:t>
      </w:r>
    </w:p>
    <w:p w:rsidR="00295DF7" w:rsidRPr="00D94AE5" w:rsidRDefault="00295DF7" w:rsidP="00295DF7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Afectación indirecta, principios que rigen la consulta previa, certificación del ministerio del interior y unificación de reglas aplicables.</w:t>
      </w:r>
    </w:p>
    <w:p w:rsidR="00295DF7" w:rsidRPr="00D94AE5" w:rsidRDefault="00295DF7" w:rsidP="00295DF7">
      <w:pPr>
        <w:pStyle w:val="Prrafodelista"/>
        <w:numPr>
          <w:ilvl w:val="0"/>
          <w:numId w:val="14"/>
        </w:numPr>
        <w:jc w:val="both"/>
        <w:rPr>
          <w:rFonts w:ascii="Arial Narrow" w:hAnsi="Arial Narrow"/>
        </w:rPr>
      </w:pPr>
      <w:r w:rsidRPr="00D94AE5">
        <w:rPr>
          <w:rFonts w:ascii="Arial Narrow" w:hAnsi="Arial Narrow"/>
        </w:rPr>
        <w:t>Ninguna de las anteriores</w:t>
      </w:r>
    </w:p>
    <w:p w:rsidR="00215EF9" w:rsidRPr="00D94AE5" w:rsidRDefault="00215EF9" w:rsidP="009F4480">
      <w:pPr>
        <w:ind w:left="360"/>
        <w:jc w:val="both"/>
        <w:rPr>
          <w:rFonts w:ascii="Arial Narrow" w:hAnsi="Arial Narrow"/>
        </w:rPr>
      </w:pPr>
    </w:p>
    <w:p w:rsidR="009F4480" w:rsidRPr="002328F3" w:rsidRDefault="009F4480" w:rsidP="009F448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i/>
          <w:iCs/>
        </w:rPr>
      </w:pPr>
      <w:r w:rsidRPr="002328F3">
        <w:rPr>
          <w:rFonts w:ascii="Arial Narrow" w:hAnsi="Arial Narrow"/>
          <w:b/>
          <w:bCs/>
        </w:rPr>
        <w:t xml:space="preserve">Que mecanismo de participación se relaciona con el siguiente alcance: </w:t>
      </w:r>
      <w:r w:rsidRPr="002328F3">
        <w:rPr>
          <w:rFonts w:ascii="Arial Narrow" w:hAnsi="Arial Narrow"/>
          <w:b/>
          <w:bCs/>
          <w:i/>
          <w:iCs/>
        </w:rPr>
        <w:t xml:space="preserve">Es un mecanismo mediante el cual la comunidad en general, las organizaciones sociales, entidades públicas y privadas y demás interesados, pueden presentar los diferentes argumentos, opiniones e inquietudes de carácter ambiental, social, técnico y jurídico relacionados con los impactos y medidas de manejo de un proyecto, obra o actividad que requiera o cuente con licencia </w:t>
      </w:r>
      <w:r w:rsidRPr="002328F3">
        <w:rPr>
          <w:rFonts w:ascii="Arial Narrow" w:hAnsi="Arial Narrow"/>
          <w:b/>
          <w:bCs/>
          <w:i/>
          <w:iCs/>
        </w:rPr>
        <w:lastRenderedPageBreak/>
        <w:t>ambiental, plan de manejo ambiental o permisos ambientales para el uso y aprovechamiento de recursos naturales.</w:t>
      </w:r>
    </w:p>
    <w:p w:rsidR="009F4480" w:rsidRPr="00D94AE5" w:rsidRDefault="009F4480" w:rsidP="009F4480">
      <w:pPr>
        <w:pStyle w:val="Prrafodelista"/>
        <w:ind w:left="1416"/>
        <w:jc w:val="both"/>
        <w:rPr>
          <w:rFonts w:ascii="Arial Narrow" w:hAnsi="Arial Narrow"/>
          <w:sz w:val="20"/>
          <w:szCs w:val="20"/>
        </w:rPr>
      </w:pPr>
    </w:p>
    <w:p w:rsidR="009F4480" w:rsidRPr="00D94AE5" w:rsidRDefault="009F4480" w:rsidP="009F4480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sz w:val="20"/>
          <w:szCs w:val="20"/>
        </w:rPr>
      </w:pPr>
      <w:r w:rsidRPr="00D94AE5">
        <w:rPr>
          <w:rFonts w:ascii="Arial Narrow" w:hAnsi="Arial Narrow"/>
          <w:sz w:val="20"/>
          <w:szCs w:val="20"/>
        </w:rPr>
        <w:t>Derecho de petición</w:t>
      </w:r>
    </w:p>
    <w:p w:rsidR="009F4480" w:rsidRPr="00D94AE5" w:rsidRDefault="009F4480" w:rsidP="009F4480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sz w:val="20"/>
          <w:szCs w:val="20"/>
        </w:rPr>
      </w:pPr>
      <w:r w:rsidRPr="00D94AE5">
        <w:rPr>
          <w:rFonts w:ascii="Arial Narrow" w:hAnsi="Arial Narrow"/>
          <w:sz w:val="20"/>
          <w:szCs w:val="20"/>
        </w:rPr>
        <w:t>Audiencia Pública Ambiental</w:t>
      </w:r>
    </w:p>
    <w:p w:rsidR="009F4480" w:rsidRPr="00D94AE5" w:rsidRDefault="009F4480" w:rsidP="009F4480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sz w:val="20"/>
          <w:szCs w:val="20"/>
        </w:rPr>
      </w:pPr>
      <w:r w:rsidRPr="00D94AE5">
        <w:rPr>
          <w:rFonts w:ascii="Arial Narrow" w:hAnsi="Arial Narrow"/>
          <w:sz w:val="20"/>
          <w:szCs w:val="20"/>
        </w:rPr>
        <w:t>Acción popular o de grupo</w:t>
      </w:r>
    </w:p>
    <w:p w:rsidR="009F4480" w:rsidRDefault="009F4480" w:rsidP="009F4480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sz w:val="20"/>
          <w:szCs w:val="20"/>
        </w:rPr>
      </w:pPr>
      <w:r w:rsidRPr="00D94AE5">
        <w:rPr>
          <w:rFonts w:ascii="Arial Narrow" w:hAnsi="Arial Narrow"/>
          <w:sz w:val="20"/>
          <w:szCs w:val="20"/>
        </w:rPr>
        <w:t>Veeduría ciudadana</w:t>
      </w:r>
    </w:p>
    <w:p w:rsidR="002333A8" w:rsidRDefault="002333A8" w:rsidP="002333A8">
      <w:pPr>
        <w:jc w:val="both"/>
        <w:rPr>
          <w:rFonts w:ascii="Arial Narrow" w:hAnsi="Arial Narrow"/>
          <w:sz w:val="20"/>
          <w:szCs w:val="20"/>
        </w:rPr>
      </w:pPr>
    </w:p>
    <w:p w:rsidR="002333A8" w:rsidRPr="002333A8" w:rsidRDefault="002333A8" w:rsidP="002333A8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FIN</w:t>
      </w:r>
    </w:p>
    <w:p w:rsidR="00FD5522" w:rsidRPr="00D94AE5" w:rsidRDefault="00FD5522" w:rsidP="00FD5522">
      <w:pPr>
        <w:ind w:left="360"/>
        <w:rPr>
          <w:rFonts w:ascii="Arial Narrow" w:hAnsi="Arial Narrow"/>
        </w:rPr>
      </w:pPr>
    </w:p>
    <w:p w:rsidR="00505A95" w:rsidRPr="00D94AE5" w:rsidRDefault="00505A95" w:rsidP="00505A95">
      <w:pPr>
        <w:ind w:left="360"/>
        <w:rPr>
          <w:rFonts w:ascii="Arial Narrow" w:hAnsi="Arial Narrow"/>
        </w:rPr>
      </w:pPr>
    </w:p>
    <w:p w:rsidR="00CF7937" w:rsidRDefault="00CF7937" w:rsidP="00CF7937">
      <w:pPr>
        <w:ind w:left="360"/>
      </w:pPr>
    </w:p>
    <w:p w:rsidR="00CF7937" w:rsidRDefault="00CF7937"/>
    <w:sectPr w:rsidR="00CF7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4124"/>
    <w:multiLevelType w:val="hybridMultilevel"/>
    <w:tmpl w:val="892611B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6436"/>
    <w:multiLevelType w:val="hybridMultilevel"/>
    <w:tmpl w:val="5A025BB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3B3"/>
    <w:multiLevelType w:val="hybridMultilevel"/>
    <w:tmpl w:val="D55E0F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32FE"/>
    <w:multiLevelType w:val="hybridMultilevel"/>
    <w:tmpl w:val="0D98C3D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101B4"/>
    <w:multiLevelType w:val="hybridMultilevel"/>
    <w:tmpl w:val="0052BAF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0BE4"/>
    <w:multiLevelType w:val="hybridMultilevel"/>
    <w:tmpl w:val="963C0518"/>
    <w:lvl w:ilvl="0" w:tplc="240A0011">
      <w:start w:val="1"/>
      <w:numFmt w:val="decimal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DF6AA6"/>
    <w:multiLevelType w:val="hybridMultilevel"/>
    <w:tmpl w:val="7C22BC0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B1E2D"/>
    <w:multiLevelType w:val="hybridMultilevel"/>
    <w:tmpl w:val="616277D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76CD9"/>
    <w:multiLevelType w:val="hybridMultilevel"/>
    <w:tmpl w:val="0DF6FED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910A9"/>
    <w:multiLevelType w:val="hybridMultilevel"/>
    <w:tmpl w:val="A2C022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E572A"/>
    <w:multiLevelType w:val="hybridMultilevel"/>
    <w:tmpl w:val="E76A57F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703A2"/>
    <w:multiLevelType w:val="hybridMultilevel"/>
    <w:tmpl w:val="DA8EF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A78F9"/>
    <w:multiLevelType w:val="hybridMultilevel"/>
    <w:tmpl w:val="D76010A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35F1"/>
    <w:multiLevelType w:val="hybridMultilevel"/>
    <w:tmpl w:val="4840323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A1855"/>
    <w:multiLevelType w:val="hybridMultilevel"/>
    <w:tmpl w:val="616277D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37"/>
    <w:rsid w:val="00215EF9"/>
    <w:rsid w:val="002328F3"/>
    <w:rsid w:val="002333A8"/>
    <w:rsid w:val="00295DF7"/>
    <w:rsid w:val="003D7B69"/>
    <w:rsid w:val="004141B0"/>
    <w:rsid w:val="00505A95"/>
    <w:rsid w:val="00545F9B"/>
    <w:rsid w:val="005A0C7E"/>
    <w:rsid w:val="009F4480"/>
    <w:rsid w:val="00A517DD"/>
    <w:rsid w:val="00AC1FCE"/>
    <w:rsid w:val="00AC2CDF"/>
    <w:rsid w:val="00CC2EA8"/>
    <w:rsid w:val="00CF7937"/>
    <w:rsid w:val="00D37FE4"/>
    <w:rsid w:val="00D4426D"/>
    <w:rsid w:val="00D94AE5"/>
    <w:rsid w:val="00E82933"/>
    <w:rsid w:val="00F8029C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F75C01-9118-4697-892E-C5203CDF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Clara Santafe Millan</cp:lastModifiedBy>
  <cp:revision>2</cp:revision>
  <dcterms:created xsi:type="dcterms:W3CDTF">2019-12-16T22:41:00Z</dcterms:created>
  <dcterms:modified xsi:type="dcterms:W3CDTF">2019-12-16T22:41:00Z</dcterms:modified>
</cp:coreProperties>
</file>