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20" w:rsidRDefault="009E5920" w:rsidP="009E5920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bCs/>
          <w:color w:val="30381C"/>
          <w:sz w:val="20"/>
          <w:szCs w:val="20"/>
        </w:rPr>
      </w:pPr>
      <w:r>
        <w:rPr>
          <w:rFonts w:ascii="Arial" w:hAnsi="Arial" w:cs="Arial"/>
          <w:b/>
          <w:bCs/>
          <w:color w:val="30381C"/>
          <w:sz w:val="20"/>
          <w:szCs w:val="20"/>
        </w:rPr>
        <w:t>DIPLOMADO VIRTUAL EN INVESTIGACIÓN CLÍNICA</w:t>
      </w:r>
    </w:p>
    <w:p w:rsidR="009E5920" w:rsidRPr="00E25997" w:rsidRDefault="009E5920" w:rsidP="009E5920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9E5920" w:rsidRPr="00E25997" w:rsidRDefault="009E5920" w:rsidP="009E5920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9E5920" w:rsidRPr="00E0103D" w:rsidRDefault="009E5920" w:rsidP="009E5920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</w:rPr>
        <w:t>Capítulo 3</w:t>
      </w:r>
      <w:r w:rsidRPr="00E25997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Lectura crítica de literatura científica</w:t>
      </w:r>
    </w:p>
    <w:p w:rsidR="009E5920" w:rsidRPr="00E25997" w:rsidRDefault="009E5920" w:rsidP="009E5920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64651">
        <w:rPr>
          <w:rFonts w:ascii="Arial" w:hAnsi="Arial" w:cs="Arial"/>
          <w:b/>
          <w:sz w:val="20"/>
          <w:szCs w:val="20"/>
        </w:rPr>
        <w:t>Glosario</w:t>
      </w: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</w:rPr>
        <w:t>E</w:t>
      </w:r>
      <w:proofErr w:type="spellStart"/>
      <w:r w:rsidRPr="00864651">
        <w:rPr>
          <w:rFonts w:ascii="Arial" w:hAnsi="Arial" w:cs="Arial"/>
          <w:b/>
          <w:bCs/>
          <w:sz w:val="20"/>
          <w:szCs w:val="20"/>
          <w:lang w:val="es-CO"/>
        </w:rPr>
        <w:t>structura</w:t>
      </w:r>
      <w:proofErr w:type="spellEnd"/>
      <w:r w:rsidRPr="00864651">
        <w:rPr>
          <w:rFonts w:ascii="Arial" w:hAnsi="Arial" w:cs="Arial"/>
          <w:b/>
          <w:bCs/>
          <w:sz w:val="20"/>
          <w:szCs w:val="20"/>
          <w:lang w:val="es-CO"/>
        </w:rPr>
        <w:t xml:space="preserve"> de publicaciones científicas: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comienzan con </w:t>
      </w:r>
      <w:r w:rsidRPr="00A402AE">
        <w:rPr>
          <w:rFonts w:ascii="Arial" w:hAnsi="Arial" w:cs="Arial"/>
          <w:bCs/>
          <w:sz w:val="20"/>
          <w:szCs w:val="20"/>
          <w:lang w:val="es-CO"/>
        </w:rPr>
        <w:t>el título, resumen y palabras clave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seguido </w:t>
      </w:r>
      <w:r w:rsidRPr="00A402AE">
        <w:rPr>
          <w:rFonts w:ascii="Arial" w:hAnsi="Arial" w:cs="Arial"/>
          <w:bCs/>
          <w:sz w:val="20"/>
          <w:szCs w:val="20"/>
          <w:lang w:val="es-CO"/>
        </w:rPr>
        <w:t>por el texto principal. 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l texto principal </w:t>
      </w:r>
      <w:r w:rsidRPr="00A402AE">
        <w:rPr>
          <w:rFonts w:ascii="Arial" w:hAnsi="Arial" w:cs="Arial"/>
          <w:bCs/>
          <w:sz w:val="20"/>
          <w:szCs w:val="20"/>
          <w:lang w:val="es-CO"/>
        </w:rPr>
        <w:t>se divide en Introducción,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A402AE">
        <w:rPr>
          <w:rFonts w:ascii="Arial" w:hAnsi="Arial" w:cs="Arial"/>
          <w:bCs/>
          <w:sz w:val="20"/>
          <w:szCs w:val="20"/>
          <w:lang w:val="es-CO"/>
        </w:rPr>
        <w:t>Métodos, Resultados y Discusión, finalizando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A402AE">
        <w:rPr>
          <w:rFonts w:ascii="Arial" w:hAnsi="Arial" w:cs="Arial"/>
          <w:bCs/>
          <w:sz w:val="20"/>
          <w:szCs w:val="20"/>
          <w:lang w:val="es-CO"/>
        </w:rPr>
        <w:t>cuando sea apropiado con conclusiones y referencias</w:t>
      </w:r>
      <w:r>
        <w:rPr>
          <w:rFonts w:ascii="Arial" w:hAnsi="Arial" w:cs="Arial"/>
          <w:bCs/>
          <w:sz w:val="20"/>
          <w:szCs w:val="20"/>
          <w:lang w:val="es-CO"/>
        </w:rPr>
        <w:t>.</w:t>
      </w: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Medic</w:t>
      </w:r>
      <w:r w:rsidR="00295D12">
        <w:rPr>
          <w:rFonts w:ascii="Arial" w:hAnsi="Arial" w:cs="Arial"/>
          <w:b/>
          <w:bCs/>
          <w:sz w:val="20"/>
          <w:szCs w:val="20"/>
          <w:lang w:val="es-CO"/>
        </w:rPr>
        <w:t>ina Basada en la Evidencia</w:t>
      </w:r>
      <w:r w:rsidRPr="00864651">
        <w:rPr>
          <w:rFonts w:ascii="Arial" w:hAnsi="Arial" w:cs="Arial"/>
          <w:b/>
          <w:bCs/>
          <w:sz w:val="20"/>
          <w:szCs w:val="20"/>
          <w:lang w:val="es-CO"/>
        </w:rPr>
        <w:t>:</w:t>
      </w:r>
      <w:r w:rsidR="00295D12">
        <w:rPr>
          <w:rFonts w:ascii="Arial" w:hAnsi="Arial" w:cs="Arial"/>
          <w:bCs/>
          <w:sz w:val="20"/>
          <w:szCs w:val="20"/>
          <w:lang w:val="es-CO"/>
        </w:rPr>
        <w:t xml:space="preserve"> e</w:t>
      </w:r>
      <w:r w:rsidRPr="00864651">
        <w:rPr>
          <w:rFonts w:ascii="Arial" w:hAnsi="Arial" w:cs="Arial"/>
          <w:bCs/>
          <w:sz w:val="20"/>
          <w:szCs w:val="20"/>
          <w:lang w:val="es-CO"/>
        </w:rPr>
        <w:t>mpleo consciente, explícito y juicioso de la mejor evidencia actual en la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toma de decisiones sobre el cuidado sanitario de los pacientes</w:t>
      </w:r>
      <w:r>
        <w:rPr>
          <w:rFonts w:ascii="Arial" w:hAnsi="Arial" w:cs="Arial"/>
          <w:bCs/>
          <w:sz w:val="20"/>
          <w:szCs w:val="20"/>
          <w:lang w:val="es-CO"/>
        </w:rPr>
        <w:t>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Validez interna: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hace referencia al rigor metodológico del estudio.</w:t>
      </w: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Magnitud e importancia de los resultados del estudio: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La interpretación no debe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basarse únicamente en la existencia o no de significación estadística, es necesario determinar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la precisión de los resultados a través de los intervalos de confianza, su magnitud, y la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adecuación de los estimadores de efecto calculados. Por ejemplo, en el caso de los ECA, los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resultados deben presentarse tanto en términos de medidas absolutas de riesgo (como la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reducción absoluta de riesgo, RAR) como relativas (riesgo relativo, RR).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Aplicabilidad de los resultados: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Hace referencia al grado en que los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resultados del estudio se pueden extrapolar a nuestro paciente, población o problema.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Cs/>
          <w:sz w:val="20"/>
          <w:szCs w:val="20"/>
          <w:lang w:val="es-CO"/>
        </w:rPr>
        <w:t>Aleatorización o Asignación aleatoria: Modo de asignar individuos a grupos de tal modo que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cada individuo es asignado independientemente y tiene la misma probabilidad de ser asignado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a cada uno de los grupos.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Enmascaramiento/cegamiento:</w:t>
      </w:r>
      <w:r w:rsidR="00295D12">
        <w:rPr>
          <w:rFonts w:ascii="Arial" w:hAnsi="Arial" w:cs="Arial"/>
          <w:bCs/>
          <w:sz w:val="20"/>
          <w:szCs w:val="20"/>
          <w:lang w:val="es-CO"/>
        </w:rPr>
        <w:t xml:space="preserve"> p</w:t>
      </w:r>
      <w:bookmarkStart w:id="0" w:name="_GoBack"/>
      <w:bookmarkEnd w:id="0"/>
      <w:r w:rsidRPr="00864651">
        <w:rPr>
          <w:rFonts w:ascii="Arial" w:hAnsi="Arial" w:cs="Arial"/>
          <w:bCs/>
          <w:sz w:val="20"/>
          <w:szCs w:val="20"/>
          <w:lang w:val="es-CO"/>
        </w:rPr>
        <w:t>ráctica consistente en mantener a los investigadores o a los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sujetos del estudio ignorantes de a qué grupo ha sido asignado el sujeto, o de qué población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procede, como medio para </w:t>
      </w:r>
      <w:r>
        <w:rPr>
          <w:rFonts w:ascii="Arial" w:hAnsi="Arial" w:cs="Arial"/>
          <w:bCs/>
          <w:sz w:val="20"/>
          <w:szCs w:val="20"/>
          <w:lang w:val="es-CO"/>
        </w:rPr>
        <w:t>controlar confusión</w:t>
      </w:r>
      <w:r w:rsidRPr="00864651">
        <w:rPr>
          <w:rFonts w:ascii="Arial" w:hAnsi="Arial" w:cs="Arial"/>
          <w:bCs/>
          <w:sz w:val="20"/>
          <w:szCs w:val="20"/>
          <w:lang w:val="es-CO"/>
        </w:rPr>
        <w:t>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Ciego simple: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método de enmascaramiento en el que los participantes en un estudio no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conocen su asignación dentro de los grupos de estudio (intervención o control).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 xml:space="preserve">Doble ciego: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método de enmascaramiento en el que ni los participantes en el estudio, ni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los investigadores que valoran los resultados conocen la asignación de los participantes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en los grupos de estudio.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Triple ciego: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método de enmascaramiento en el que la asignación de los participantes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en los grupos de estudio permanece oculta para tres grupos de personas, que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generalmente son los participantes en el estudio, los estadísticos que realizan los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análisis y los investigadores que valoran los resultados.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Estudio longitudinal: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aquel que permite establecer el orden en el que se producen los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acontecimientos en el tiempo. En estos estudios hay que tener en cuenta también la dirección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temporal, que puede ir:</w:t>
      </w:r>
    </w:p>
    <w:p w:rsidR="009E5920" w:rsidRPr="00864651" w:rsidRDefault="009E5920" w:rsidP="009E592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Cs/>
          <w:sz w:val="20"/>
          <w:szCs w:val="20"/>
          <w:lang w:val="es-CO"/>
        </w:rPr>
        <w:t>Hacia delante, desde la causa al efecto (estudios prospectivos): se seleccionan los sujetos en función de la exposición y se evalúa la aparición posterior del efecto.</w:t>
      </w:r>
    </w:p>
    <w:p w:rsidR="009E5920" w:rsidRDefault="009E5920" w:rsidP="009E592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Cs/>
          <w:sz w:val="20"/>
          <w:szCs w:val="20"/>
          <w:lang w:val="es-CO"/>
        </w:rPr>
        <w:t>Hacia atrás, desde el efecto a la causa (estudios retrospectivos): se seleccionan los sujetos en función de si presentan o no el efecto estudiado y se evalúa si anteriormente habían estado expuestos a un determinado factor.</w:t>
      </w:r>
    </w:p>
    <w:p w:rsidR="009E5920" w:rsidRPr="00864651" w:rsidRDefault="009E5920" w:rsidP="009E5920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  <w:lang w:val="es-CO"/>
        </w:rPr>
      </w:pP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Factor de confusión: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Aparece cuando no se haya evitado en el diseño la presencia de variables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externas distorsionadoras o no se haya controlado su efecto en el análisis. Cumplen tres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r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equisitos: </w:t>
      </w:r>
      <w:r w:rsidRPr="00864651">
        <w:rPr>
          <w:rFonts w:ascii="Arial" w:hAnsi="Arial" w:cs="Arial"/>
          <w:bCs/>
          <w:sz w:val="20"/>
          <w:szCs w:val="20"/>
          <w:lang w:val="es-CO"/>
        </w:rPr>
        <w:lastRenderedPageBreak/>
        <w:t>se asocia a la exposición, es factor de riesgo o pronóstico de la enfermedad y no 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un paso intermedio entre ambas.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Intervalo de confianza: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Es el intervalo dentro del que se encuentra la verdadera magnitud del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efecto (nunca conocida exactamente) con un grado prefijado de seguridad. A menudo se habla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de "intervalo de confianza al 95%" (o "límites de confianza al 95%"). Quiere decir que dentro de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ese intervalo se encontraría el verdadero valor en el 95% los casos.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</w:p>
    <w:p w:rsidR="009E5920" w:rsidRPr="00864651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Riesgo relativo: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Es el cociente entre el riesgo en el grupo tratado y el riesgo en el grupo control.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Es una medida de la eficacia de un tratamiento. Si es igual a 1, el efecto del tratamiento no 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distinto del efecto del control. Si el RR es mayor (o menor) que 1, el efecto del tratamiento es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mayor (o menor) que el del control.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</w:p>
    <w:p w:rsidR="009E5920" w:rsidRDefault="009E5920" w:rsidP="009E5920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864651">
        <w:rPr>
          <w:rFonts w:ascii="Arial" w:hAnsi="Arial" w:cs="Arial"/>
          <w:b/>
          <w:bCs/>
          <w:sz w:val="20"/>
          <w:szCs w:val="20"/>
          <w:lang w:val="es-CO"/>
        </w:rPr>
        <w:t>Sesgo o error sistemático:</w:t>
      </w:r>
      <w:r w:rsidRPr="00864651">
        <w:rPr>
          <w:rFonts w:ascii="Arial" w:hAnsi="Arial" w:cs="Arial"/>
          <w:bCs/>
          <w:sz w:val="20"/>
          <w:szCs w:val="20"/>
          <w:lang w:val="es-CO"/>
        </w:rPr>
        <w:t xml:space="preserve"> Cualquier error o tendencia en la recogida, análisis, interpretación,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publicación o revisión de los datos que pueda conducir a conclusiones que son sistemáticamente</w:t>
      </w:r>
      <w:r>
        <w:rPr>
          <w:rFonts w:ascii="Arial" w:hAnsi="Arial" w:cs="Arial"/>
          <w:bCs/>
          <w:sz w:val="20"/>
          <w:szCs w:val="20"/>
          <w:lang w:val="es-CO"/>
        </w:rPr>
        <w:t xml:space="preserve"> </w:t>
      </w:r>
      <w:r w:rsidRPr="00864651">
        <w:rPr>
          <w:rFonts w:ascii="Arial" w:hAnsi="Arial" w:cs="Arial"/>
          <w:bCs/>
          <w:sz w:val="20"/>
          <w:szCs w:val="20"/>
          <w:lang w:val="es-CO"/>
        </w:rPr>
        <w:t>diferentes de la verdad.</w:t>
      </w:r>
    </w:p>
    <w:p w:rsidR="007547D8" w:rsidRPr="009E5920" w:rsidRDefault="007547D8">
      <w:pPr>
        <w:rPr>
          <w:lang w:val="es-CO"/>
        </w:rPr>
      </w:pPr>
    </w:p>
    <w:sectPr w:rsidR="007547D8" w:rsidRPr="009E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1B90"/>
    <w:multiLevelType w:val="hybridMultilevel"/>
    <w:tmpl w:val="3C42FA78"/>
    <w:lvl w:ilvl="0" w:tplc="B3CE70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20"/>
    <w:rsid w:val="00295D12"/>
    <w:rsid w:val="007547D8"/>
    <w:rsid w:val="009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C3B9"/>
  <w15:chartTrackingRefBased/>
  <w15:docId w15:val="{505D1690-C8CB-4018-BFE8-51702BAD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2</cp:revision>
  <dcterms:created xsi:type="dcterms:W3CDTF">2019-11-28T02:54:00Z</dcterms:created>
  <dcterms:modified xsi:type="dcterms:W3CDTF">2020-01-25T21:52:00Z</dcterms:modified>
</cp:coreProperties>
</file>