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4EFB8" w14:textId="77777777" w:rsidR="000A0742" w:rsidRPr="00B22A9D" w:rsidRDefault="000A0742" w:rsidP="00B22A9D">
      <w:pPr>
        <w:pStyle w:val="Sinespaciado"/>
        <w:jc w:val="center"/>
        <w:rPr>
          <w:rFonts w:ascii="Arial" w:eastAsia="Times New Roman" w:hAnsi="Arial" w:cs="Arial"/>
          <w:b/>
          <w:color w:val="000000"/>
          <w:sz w:val="28"/>
          <w:lang w:val="es-ES" w:eastAsia="es-ES"/>
        </w:rPr>
      </w:pPr>
      <w:r w:rsidRPr="00B22A9D">
        <w:rPr>
          <w:rFonts w:ascii="Arial" w:eastAsia="Times New Roman" w:hAnsi="Arial" w:cs="Arial"/>
          <w:b/>
          <w:color w:val="000000"/>
          <w:sz w:val="28"/>
          <w:lang w:val="es-ES" w:eastAsia="es-ES"/>
        </w:rPr>
        <w:t>Diplomado Virtual Investigación Clínica</w:t>
      </w:r>
    </w:p>
    <w:p w14:paraId="6645056D" w14:textId="77777777" w:rsidR="00953B40" w:rsidRPr="00B22A9D" w:rsidRDefault="00953B40" w:rsidP="00EE653F">
      <w:pPr>
        <w:spacing w:after="0"/>
        <w:jc w:val="both"/>
        <w:rPr>
          <w:rFonts w:ascii="Arial" w:eastAsia="Times New Roman" w:hAnsi="Arial" w:cs="Arial"/>
          <w:b/>
          <w:color w:val="000000"/>
          <w:sz w:val="28"/>
          <w:lang w:val="es-ES" w:eastAsia="es-ES"/>
        </w:rPr>
      </w:pPr>
    </w:p>
    <w:p w14:paraId="763D132C" w14:textId="77777777" w:rsidR="00B73881" w:rsidRPr="00B22A9D" w:rsidRDefault="00000436" w:rsidP="00EE653F">
      <w:pPr>
        <w:spacing w:after="0"/>
        <w:jc w:val="both"/>
        <w:rPr>
          <w:rFonts w:ascii="Arial" w:eastAsia="Times New Roman" w:hAnsi="Arial" w:cs="Arial"/>
          <w:b/>
          <w:color w:val="000000"/>
          <w:sz w:val="28"/>
          <w:lang w:val="es-ES" w:eastAsia="es-ES"/>
        </w:rPr>
      </w:pPr>
      <w:r w:rsidRPr="00B22A9D">
        <w:rPr>
          <w:rFonts w:ascii="Arial" w:eastAsia="Times New Roman" w:hAnsi="Arial" w:cs="Arial"/>
          <w:b/>
          <w:color w:val="000000"/>
          <w:sz w:val="28"/>
          <w:lang w:val="es-ES" w:eastAsia="es-ES"/>
        </w:rPr>
        <w:t>Módulo</w:t>
      </w:r>
      <w:r w:rsidR="000A0742" w:rsidRPr="00B22A9D">
        <w:rPr>
          <w:rFonts w:ascii="Arial" w:eastAsia="Times New Roman" w:hAnsi="Arial" w:cs="Arial"/>
          <w:b/>
          <w:color w:val="000000"/>
          <w:sz w:val="28"/>
          <w:lang w:val="es-ES" w:eastAsia="es-ES"/>
        </w:rPr>
        <w:t xml:space="preserve"> 4:</w:t>
      </w:r>
      <w:r w:rsidR="00B73881" w:rsidRPr="00B22A9D">
        <w:rPr>
          <w:rFonts w:ascii="Arial" w:eastAsia="Times New Roman" w:hAnsi="Arial" w:cs="Arial"/>
          <w:b/>
          <w:color w:val="000000"/>
          <w:sz w:val="28"/>
          <w:lang w:val="es-ES" w:eastAsia="es-ES"/>
        </w:rPr>
        <w:t xml:space="preserve"> Buenas prácticas Clínicas en Investigación Clínica. </w:t>
      </w:r>
    </w:p>
    <w:p w14:paraId="20157B11" w14:textId="37CE25AD" w:rsidR="00B73881" w:rsidRPr="00B22A9D" w:rsidRDefault="005E14AA" w:rsidP="00EE653F">
      <w:pPr>
        <w:pStyle w:val="NormalWeb"/>
        <w:spacing w:line="276" w:lineRule="auto"/>
        <w:jc w:val="both"/>
        <w:rPr>
          <w:rFonts w:ascii="Arial" w:hAnsi="Arial" w:cs="Arial"/>
          <w:color w:val="000000"/>
          <w:sz w:val="22"/>
          <w:szCs w:val="22"/>
          <w:lang w:val="es-ES" w:eastAsia="es-ES"/>
        </w:rPr>
      </w:pPr>
      <w:r>
        <w:rPr>
          <w:rFonts w:ascii="Arial" w:hAnsi="Arial" w:cs="Arial"/>
          <w:b/>
          <w:color w:val="000000"/>
          <w:sz w:val="22"/>
          <w:szCs w:val="22"/>
          <w:lang w:val="es-ES" w:eastAsia="es-ES"/>
        </w:rPr>
        <w:t xml:space="preserve">Tutora: </w:t>
      </w:r>
      <w:r w:rsidR="00B73881" w:rsidRPr="00B22A9D">
        <w:rPr>
          <w:rFonts w:ascii="Arial" w:hAnsi="Arial" w:cs="Arial"/>
          <w:b/>
          <w:color w:val="000000"/>
          <w:sz w:val="22"/>
          <w:szCs w:val="22"/>
          <w:lang w:val="es-ES" w:eastAsia="es-ES"/>
        </w:rPr>
        <w:t>Amanda Lucía Moreno Díaz:</w:t>
      </w:r>
      <w:r w:rsidR="00B73881" w:rsidRPr="00B22A9D">
        <w:rPr>
          <w:rFonts w:ascii="Arial" w:hAnsi="Arial" w:cs="Arial"/>
          <w:color w:val="000000"/>
          <w:sz w:val="22"/>
          <w:szCs w:val="22"/>
          <w:lang w:val="es-ES" w:eastAsia="es-ES"/>
        </w:rPr>
        <w:t xml:space="preserve"> Química Farmacéutica Un</w:t>
      </w:r>
      <w:r w:rsidR="00B22A9D">
        <w:rPr>
          <w:rFonts w:ascii="Arial" w:hAnsi="Arial" w:cs="Arial"/>
          <w:color w:val="000000"/>
          <w:sz w:val="22"/>
          <w:szCs w:val="22"/>
          <w:lang w:val="es-ES" w:eastAsia="es-ES"/>
        </w:rPr>
        <w:t>iversidad Nacional de Colombia.</w:t>
      </w:r>
      <w:r w:rsidR="00B73881" w:rsidRPr="00B22A9D">
        <w:rPr>
          <w:rFonts w:ascii="Arial" w:hAnsi="Arial" w:cs="Arial"/>
          <w:color w:val="000000"/>
          <w:sz w:val="22"/>
          <w:szCs w:val="22"/>
          <w:lang w:val="es-ES" w:eastAsia="es-ES"/>
        </w:rPr>
        <w:t xml:space="preserve"> Especialista en Gerencia de </w:t>
      </w:r>
      <w:r w:rsidR="00FE66D9" w:rsidRPr="00B22A9D">
        <w:rPr>
          <w:rFonts w:ascii="Arial" w:hAnsi="Arial" w:cs="Arial"/>
          <w:color w:val="000000"/>
          <w:sz w:val="22"/>
          <w:szCs w:val="22"/>
          <w:lang w:val="es-ES" w:eastAsia="es-ES"/>
        </w:rPr>
        <w:t>p</w:t>
      </w:r>
      <w:r w:rsidR="00B73881" w:rsidRPr="00B22A9D">
        <w:rPr>
          <w:rFonts w:ascii="Arial" w:hAnsi="Arial" w:cs="Arial"/>
          <w:color w:val="000000"/>
          <w:sz w:val="22"/>
          <w:szCs w:val="22"/>
          <w:lang w:val="es-ES" w:eastAsia="es-ES"/>
        </w:rPr>
        <w:t>rocesos y calidad. Integrante</w:t>
      </w:r>
      <w:r w:rsidR="009A04F5" w:rsidRPr="00B22A9D">
        <w:rPr>
          <w:rFonts w:ascii="Arial" w:hAnsi="Arial" w:cs="Arial"/>
          <w:color w:val="000000"/>
          <w:sz w:val="22"/>
          <w:szCs w:val="22"/>
          <w:lang w:val="es-ES" w:eastAsia="es-ES"/>
        </w:rPr>
        <w:t xml:space="preserve"> </w:t>
      </w:r>
      <w:r w:rsidR="00B22A9D">
        <w:rPr>
          <w:rFonts w:ascii="Arial" w:hAnsi="Arial" w:cs="Arial"/>
          <w:color w:val="000000"/>
          <w:sz w:val="22"/>
          <w:szCs w:val="22"/>
          <w:lang w:val="es-ES" w:eastAsia="es-ES"/>
        </w:rPr>
        <w:t xml:space="preserve">desde </w:t>
      </w:r>
      <w:r w:rsidR="009A04F5" w:rsidRPr="00B22A9D">
        <w:rPr>
          <w:rFonts w:ascii="Arial" w:hAnsi="Arial" w:cs="Arial"/>
          <w:color w:val="000000"/>
          <w:sz w:val="22"/>
          <w:szCs w:val="22"/>
          <w:lang w:val="es-ES" w:eastAsia="es-ES"/>
        </w:rPr>
        <w:t xml:space="preserve">hace 4 años </w:t>
      </w:r>
      <w:r w:rsidR="00B73881" w:rsidRPr="00B22A9D">
        <w:rPr>
          <w:rFonts w:ascii="Arial" w:hAnsi="Arial" w:cs="Arial"/>
          <w:color w:val="000000"/>
          <w:sz w:val="22"/>
          <w:szCs w:val="22"/>
          <w:lang w:val="es-ES" w:eastAsia="es-ES"/>
        </w:rPr>
        <w:t>del Grupo de Investigación Clínica Dirección de Medicamentos y Productos Biológicos del Invima.</w:t>
      </w:r>
      <w:r w:rsidR="009A04F5" w:rsidRPr="00B22A9D">
        <w:rPr>
          <w:rFonts w:ascii="Arial" w:hAnsi="Arial" w:cs="Arial"/>
          <w:color w:val="000000"/>
          <w:sz w:val="22"/>
          <w:szCs w:val="22"/>
          <w:lang w:val="es-ES" w:eastAsia="es-ES"/>
        </w:rPr>
        <w:t xml:space="preserve"> Experiencia por 15 años en jefatura de servicio farmacéutico, 3 años en operadores logísticos, </w:t>
      </w:r>
    </w:p>
    <w:p w14:paraId="3F4DED86" w14:textId="1800DD0B" w:rsidR="00E41939" w:rsidRPr="00B22A9D" w:rsidRDefault="00B73881" w:rsidP="00187AB0">
      <w:pPr>
        <w:pStyle w:val="NormalWeb"/>
        <w:numPr>
          <w:ilvl w:val="0"/>
          <w:numId w:val="9"/>
        </w:numPr>
        <w:spacing w:before="0" w:beforeAutospacing="0"/>
        <w:jc w:val="both"/>
        <w:rPr>
          <w:rFonts w:ascii="Arial" w:hAnsi="Arial" w:cs="Arial"/>
          <w:b/>
          <w:color w:val="000000"/>
          <w:sz w:val="22"/>
          <w:szCs w:val="22"/>
          <w:lang w:val="es-ES" w:eastAsia="es-ES"/>
        </w:rPr>
      </w:pPr>
      <w:r w:rsidRPr="00B22A9D">
        <w:rPr>
          <w:rFonts w:ascii="Arial" w:hAnsi="Arial" w:cs="Arial"/>
          <w:b/>
          <w:color w:val="000000"/>
          <w:sz w:val="22"/>
          <w:szCs w:val="22"/>
          <w:lang w:val="es-ES" w:eastAsia="es-ES"/>
        </w:rPr>
        <w:t>Objetivos de aprendizaje.</w:t>
      </w:r>
    </w:p>
    <w:p w14:paraId="094B1994" w14:textId="2B9E14B5" w:rsidR="00B73881" w:rsidRPr="00B22A9D" w:rsidRDefault="00B73881" w:rsidP="00187AB0">
      <w:pPr>
        <w:pStyle w:val="NormalWeb"/>
        <w:numPr>
          <w:ilvl w:val="0"/>
          <w:numId w:val="6"/>
        </w:numPr>
        <w:spacing w:before="0" w:before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Conocer el marco normativo que rige la investigación clínica en Colombia.</w:t>
      </w:r>
    </w:p>
    <w:p w14:paraId="05F9E638" w14:textId="367DB948" w:rsidR="00953B40" w:rsidRPr="00B22A9D" w:rsidRDefault="00B73881" w:rsidP="00187AB0">
      <w:pPr>
        <w:pStyle w:val="NormalWeb"/>
        <w:numPr>
          <w:ilvl w:val="0"/>
          <w:numId w:val="6"/>
        </w:numPr>
        <w:spacing w:before="0" w:before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Identificar las responsabilidades y roles de los participantes en el proceso de </w:t>
      </w:r>
      <w:r w:rsidR="00FF4DA3" w:rsidRPr="00B22A9D">
        <w:rPr>
          <w:rFonts w:ascii="Arial" w:hAnsi="Arial" w:cs="Arial"/>
          <w:color w:val="000000"/>
          <w:sz w:val="22"/>
          <w:szCs w:val="22"/>
          <w:lang w:val="es-ES" w:eastAsia="es-ES"/>
        </w:rPr>
        <w:t>investigación</w:t>
      </w:r>
      <w:r w:rsidR="00B22A9D">
        <w:rPr>
          <w:rFonts w:ascii="Arial" w:hAnsi="Arial" w:cs="Arial"/>
          <w:color w:val="000000"/>
          <w:sz w:val="22"/>
          <w:szCs w:val="22"/>
          <w:lang w:val="es-ES" w:eastAsia="es-ES"/>
        </w:rPr>
        <w:t>.</w:t>
      </w:r>
      <w:r w:rsidRPr="00B22A9D">
        <w:rPr>
          <w:rFonts w:ascii="Arial" w:hAnsi="Arial" w:cs="Arial"/>
          <w:color w:val="000000"/>
          <w:sz w:val="22"/>
          <w:szCs w:val="22"/>
          <w:lang w:val="es-ES" w:eastAsia="es-ES"/>
        </w:rPr>
        <w:t xml:space="preserve"> </w:t>
      </w:r>
    </w:p>
    <w:p w14:paraId="6285B83F" w14:textId="3E72D03D" w:rsidR="00232933" w:rsidRPr="00A34563" w:rsidRDefault="00A34563" w:rsidP="00187AB0">
      <w:pPr>
        <w:pStyle w:val="NormalWeb"/>
        <w:numPr>
          <w:ilvl w:val="0"/>
          <w:numId w:val="9"/>
        </w:numPr>
        <w:spacing w:before="0" w:beforeAutospacing="0"/>
        <w:jc w:val="both"/>
        <w:rPr>
          <w:rFonts w:ascii="Arial" w:hAnsi="Arial" w:cs="Arial"/>
          <w:b/>
          <w:color w:val="000000"/>
          <w:sz w:val="22"/>
          <w:szCs w:val="22"/>
          <w:lang w:val="es-ES" w:eastAsia="es-ES"/>
        </w:rPr>
      </w:pPr>
      <w:r w:rsidRPr="00A34563">
        <w:rPr>
          <w:rFonts w:ascii="Arial" w:hAnsi="Arial" w:cs="Arial"/>
          <w:b/>
          <w:color w:val="000000"/>
          <w:sz w:val="22"/>
          <w:szCs w:val="22"/>
          <w:lang w:val="es-ES" w:eastAsia="es-ES"/>
        </w:rPr>
        <w:t>Introducción.</w:t>
      </w:r>
    </w:p>
    <w:p w14:paraId="18729C49" w14:textId="73E9DAD0" w:rsidR="00B22A9D" w:rsidRDefault="00495C43" w:rsidP="00DF44D6">
      <w:pPr>
        <w:pStyle w:val="NormalWeb"/>
        <w:spacing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En </w:t>
      </w:r>
      <w:r w:rsidR="00B22A9D">
        <w:rPr>
          <w:rFonts w:ascii="Arial" w:hAnsi="Arial" w:cs="Arial"/>
          <w:color w:val="000000"/>
          <w:sz w:val="22"/>
          <w:szCs w:val="22"/>
          <w:lang w:val="es-ES" w:eastAsia="es-ES"/>
        </w:rPr>
        <w:t xml:space="preserve">el año </w:t>
      </w:r>
      <w:r w:rsidRPr="00B22A9D">
        <w:rPr>
          <w:rFonts w:ascii="Arial" w:hAnsi="Arial" w:cs="Arial"/>
          <w:color w:val="000000"/>
          <w:sz w:val="22"/>
          <w:szCs w:val="22"/>
          <w:lang w:val="es-ES" w:eastAsia="es-ES"/>
        </w:rPr>
        <w:t xml:space="preserve">1995 la </w:t>
      </w:r>
      <w:r w:rsidR="00B22A9D">
        <w:rPr>
          <w:rFonts w:ascii="Arial" w:hAnsi="Arial" w:cs="Arial"/>
          <w:color w:val="000000"/>
          <w:sz w:val="22"/>
          <w:szCs w:val="22"/>
          <w:lang w:val="es-ES" w:eastAsia="es-ES"/>
        </w:rPr>
        <w:t>OMS (</w:t>
      </w:r>
      <w:r w:rsidRPr="00B22A9D">
        <w:rPr>
          <w:rFonts w:ascii="Arial" w:hAnsi="Arial" w:cs="Arial"/>
          <w:color w:val="000000"/>
          <w:sz w:val="22"/>
          <w:szCs w:val="22"/>
          <w:lang w:val="es-ES" w:eastAsia="es-ES"/>
        </w:rPr>
        <w:t>Organización Mundial de la Salud</w:t>
      </w:r>
      <w:r w:rsidR="00B22A9D">
        <w:rPr>
          <w:rFonts w:ascii="Arial" w:hAnsi="Arial" w:cs="Arial"/>
          <w:color w:val="000000"/>
          <w:sz w:val="22"/>
          <w:szCs w:val="22"/>
          <w:lang w:val="es-ES" w:eastAsia="es-ES"/>
        </w:rPr>
        <w:t>)</w:t>
      </w:r>
      <w:r w:rsidRPr="00B22A9D">
        <w:rPr>
          <w:rFonts w:ascii="Arial" w:hAnsi="Arial" w:cs="Arial"/>
          <w:color w:val="000000"/>
          <w:sz w:val="22"/>
          <w:szCs w:val="22"/>
          <w:lang w:val="es-ES" w:eastAsia="es-ES"/>
        </w:rPr>
        <w:t xml:space="preserve">, basada en reglamentaciones establecidas en algunos países, elaboró la “Guía de Buenas Prácticas Clínicas para investigaciones de productos farmacéuticos en seres humanos”, </w:t>
      </w:r>
      <w:r w:rsidR="00B22A9D">
        <w:rPr>
          <w:rFonts w:ascii="Arial" w:hAnsi="Arial" w:cs="Arial"/>
          <w:color w:val="000000"/>
          <w:sz w:val="22"/>
          <w:szCs w:val="22"/>
          <w:lang w:val="es-ES" w:eastAsia="es-ES"/>
        </w:rPr>
        <w:t xml:space="preserve">cuyo propósito fue definir </w:t>
      </w:r>
      <w:r w:rsidRPr="00B22A9D">
        <w:rPr>
          <w:rFonts w:ascii="Arial" w:hAnsi="Arial" w:cs="Arial"/>
          <w:color w:val="000000"/>
          <w:sz w:val="22"/>
          <w:szCs w:val="22"/>
          <w:lang w:val="es-ES" w:eastAsia="es-ES"/>
        </w:rPr>
        <w:t xml:space="preserve">estándares aplicables a nivel mundial. </w:t>
      </w:r>
      <w:r w:rsidR="00A34563">
        <w:rPr>
          <w:rFonts w:ascii="Arial" w:hAnsi="Arial" w:cs="Arial"/>
          <w:color w:val="000000"/>
          <w:sz w:val="22"/>
          <w:szCs w:val="22"/>
          <w:lang w:val="es-ES" w:eastAsia="es-ES"/>
        </w:rPr>
        <w:t>(1)</w:t>
      </w:r>
    </w:p>
    <w:p w14:paraId="5D64E75A" w14:textId="76FC91F5" w:rsidR="00B22A9D" w:rsidRDefault="00495C43" w:rsidP="00DF44D6">
      <w:pPr>
        <w:pStyle w:val="NormalWeb"/>
        <w:spacing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En el 2004, la O</w:t>
      </w:r>
      <w:r w:rsidR="00B22A9D">
        <w:rPr>
          <w:rFonts w:ascii="Arial" w:hAnsi="Arial" w:cs="Arial"/>
          <w:color w:val="000000"/>
          <w:sz w:val="22"/>
          <w:szCs w:val="22"/>
          <w:lang w:val="es-ES" w:eastAsia="es-ES"/>
        </w:rPr>
        <w:t xml:space="preserve">MS </w:t>
      </w:r>
      <w:r w:rsidRPr="00B22A9D">
        <w:rPr>
          <w:rFonts w:ascii="Arial" w:hAnsi="Arial" w:cs="Arial"/>
          <w:color w:val="000000"/>
          <w:sz w:val="22"/>
          <w:szCs w:val="22"/>
          <w:lang w:val="es-ES" w:eastAsia="es-ES"/>
        </w:rPr>
        <w:t>conformó un grupo de trabajo dedicado a estudiar en profundidad el tema de reglamentación en Bu</w:t>
      </w:r>
      <w:r w:rsidR="00B22A9D">
        <w:rPr>
          <w:rFonts w:ascii="Arial" w:hAnsi="Arial" w:cs="Arial"/>
          <w:color w:val="000000"/>
          <w:sz w:val="22"/>
          <w:szCs w:val="22"/>
          <w:lang w:val="es-ES" w:eastAsia="es-ES"/>
        </w:rPr>
        <w:t>enas Prácticas Clínicas y Ética, se plantearon</w:t>
      </w:r>
      <w:r w:rsidRPr="00B22A9D">
        <w:rPr>
          <w:rFonts w:ascii="Arial" w:hAnsi="Arial" w:cs="Arial"/>
          <w:color w:val="000000"/>
          <w:sz w:val="22"/>
          <w:szCs w:val="22"/>
          <w:lang w:val="es-ES" w:eastAsia="es-ES"/>
        </w:rPr>
        <w:t xml:space="preserve"> una serie de recomendaciones, </w:t>
      </w:r>
      <w:r w:rsidR="00B22A9D">
        <w:rPr>
          <w:rFonts w:ascii="Arial" w:hAnsi="Arial" w:cs="Arial"/>
          <w:color w:val="000000"/>
          <w:sz w:val="22"/>
          <w:szCs w:val="22"/>
          <w:lang w:val="es-ES" w:eastAsia="es-ES"/>
        </w:rPr>
        <w:t>dentro de las cuales se encuentran</w:t>
      </w:r>
      <w:r w:rsidRPr="00B22A9D">
        <w:rPr>
          <w:rFonts w:ascii="Arial" w:hAnsi="Arial" w:cs="Arial"/>
          <w:color w:val="000000"/>
          <w:sz w:val="22"/>
          <w:szCs w:val="22"/>
          <w:lang w:val="es-ES" w:eastAsia="es-ES"/>
        </w:rPr>
        <w:t xml:space="preserve">: </w:t>
      </w:r>
    </w:p>
    <w:p w14:paraId="35F9ED50" w14:textId="7FAD2061" w:rsidR="00B22A9D" w:rsidRDefault="00A34563" w:rsidP="00DF44D6">
      <w:pPr>
        <w:pStyle w:val="NormalWeb"/>
        <w:spacing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 La adopción de G</w:t>
      </w:r>
      <w:r w:rsidR="00495C43" w:rsidRPr="00B22A9D">
        <w:rPr>
          <w:rFonts w:ascii="Arial" w:hAnsi="Arial" w:cs="Arial"/>
          <w:color w:val="000000"/>
          <w:sz w:val="22"/>
          <w:szCs w:val="22"/>
          <w:lang w:val="es-ES" w:eastAsia="es-ES"/>
        </w:rPr>
        <w:t>uías en Buenas Prácticas Clínicas para todos los estudios clínicos</w:t>
      </w:r>
      <w:r w:rsidR="00B22A9D">
        <w:rPr>
          <w:rFonts w:ascii="Arial" w:hAnsi="Arial" w:cs="Arial"/>
          <w:color w:val="000000"/>
          <w:sz w:val="22"/>
          <w:szCs w:val="22"/>
          <w:lang w:val="es-ES" w:eastAsia="es-ES"/>
        </w:rPr>
        <w:t>.</w:t>
      </w:r>
    </w:p>
    <w:p w14:paraId="4FFEAF58" w14:textId="0A8AF1A6" w:rsidR="00495C43" w:rsidRPr="00B22A9D" w:rsidRDefault="00495C43" w:rsidP="00DF44D6">
      <w:pPr>
        <w:pStyle w:val="NormalWeb"/>
        <w:spacing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La exigencia de los document</w:t>
      </w:r>
      <w:r w:rsidR="00E41939" w:rsidRPr="00B22A9D">
        <w:rPr>
          <w:rFonts w:ascii="Arial" w:hAnsi="Arial" w:cs="Arial"/>
          <w:color w:val="000000"/>
          <w:sz w:val="22"/>
          <w:szCs w:val="22"/>
          <w:lang w:val="es-ES" w:eastAsia="es-ES"/>
        </w:rPr>
        <w:t>os de consentimiento informado</w:t>
      </w:r>
      <w:r w:rsidR="00A34563">
        <w:rPr>
          <w:rFonts w:ascii="Arial" w:hAnsi="Arial" w:cs="Arial"/>
          <w:color w:val="000000"/>
          <w:sz w:val="22"/>
          <w:szCs w:val="22"/>
          <w:lang w:val="es-ES" w:eastAsia="es-ES"/>
        </w:rPr>
        <w:t>.</w:t>
      </w:r>
    </w:p>
    <w:p w14:paraId="1EE0F8AD" w14:textId="7A3797DD" w:rsidR="00DF44D6" w:rsidRPr="00B22A9D" w:rsidRDefault="00DF44D6" w:rsidP="00DF44D6">
      <w:pPr>
        <w:pStyle w:val="NormalWeb"/>
        <w:spacing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En el 2005, los Grupos Técnicos de Trabajo delegados por los países que conforman la Red Panamericana de Armonización de la Reglamentación Farmacéutica, REDPARF, elaboraron el docume</w:t>
      </w:r>
      <w:r w:rsidR="00A34563">
        <w:rPr>
          <w:rFonts w:ascii="Arial" w:hAnsi="Arial" w:cs="Arial"/>
          <w:color w:val="000000"/>
          <w:sz w:val="22"/>
          <w:szCs w:val="22"/>
          <w:lang w:val="es-ES" w:eastAsia="es-ES"/>
        </w:rPr>
        <w:t>nto Buenas Prácticas Clínicas: D</w:t>
      </w:r>
      <w:r w:rsidRPr="00B22A9D">
        <w:rPr>
          <w:rFonts w:ascii="Arial" w:hAnsi="Arial" w:cs="Arial"/>
          <w:color w:val="000000"/>
          <w:sz w:val="22"/>
          <w:szCs w:val="22"/>
          <w:lang w:val="es-ES" w:eastAsia="es-ES"/>
        </w:rPr>
        <w:t>ocumento de las Américas. Éste fue enviado a Colombia en marzo del mismo año</w:t>
      </w:r>
      <w:r w:rsidR="00C508E3" w:rsidRPr="00B22A9D">
        <w:rPr>
          <w:rFonts w:ascii="Arial" w:hAnsi="Arial" w:cs="Arial"/>
          <w:color w:val="000000"/>
          <w:sz w:val="22"/>
          <w:szCs w:val="22"/>
          <w:lang w:val="es-ES" w:eastAsia="es-ES"/>
        </w:rPr>
        <w:t xml:space="preserve"> y a través de la Resolución 2378 De 2008 se </w:t>
      </w:r>
      <w:r w:rsidR="002731CD" w:rsidRPr="00B22A9D">
        <w:rPr>
          <w:rFonts w:ascii="Arial" w:hAnsi="Arial" w:cs="Arial"/>
          <w:color w:val="000000"/>
          <w:sz w:val="22"/>
          <w:szCs w:val="22"/>
          <w:lang w:val="es-ES" w:eastAsia="es-ES"/>
        </w:rPr>
        <w:t>adoptó</w:t>
      </w:r>
      <w:r w:rsidR="00C508E3" w:rsidRPr="00B22A9D">
        <w:rPr>
          <w:rFonts w:ascii="Arial" w:hAnsi="Arial" w:cs="Arial"/>
          <w:color w:val="000000"/>
          <w:sz w:val="22"/>
          <w:szCs w:val="22"/>
          <w:lang w:val="es-ES" w:eastAsia="es-ES"/>
        </w:rPr>
        <w:t xml:space="preserve"> oficialmente y con carácter obligatorio las Buenas Prácticas Clínicas para instituciones que conducen investigación con medicamentos en seres humanos en el </w:t>
      </w:r>
      <w:r w:rsidR="00A34563" w:rsidRPr="00B22A9D">
        <w:rPr>
          <w:rFonts w:ascii="Arial" w:hAnsi="Arial" w:cs="Arial"/>
          <w:color w:val="000000"/>
          <w:sz w:val="22"/>
          <w:szCs w:val="22"/>
          <w:lang w:val="es-ES" w:eastAsia="es-ES"/>
        </w:rPr>
        <w:t>país.</w:t>
      </w:r>
      <w:r w:rsidR="00A34563">
        <w:rPr>
          <w:rFonts w:ascii="Arial" w:hAnsi="Arial" w:cs="Arial"/>
          <w:color w:val="000000"/>
          <w:sz w:val="22"/>
          <w:szCs w:val="22"/>
          <w:lang w:val="es-ES" w:eastAsia="es-ES"/>
        </w:rPr>
        <w:t xml:space="preserve"> (1)</w:t>
      </w:r>
    </w:p>
    <w:p w14:paraId="0F39551E" w14:textId="71B2DFD3" w:rsidR="00077DE9" w:rsidRPr="00B22A9D" w:rsidRDefault="00A661EF" w:rsidP="00077DE9">
      <w:pPr>
        <w:pStyle w:val="NormalWeb"/>
        <w:spacing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En este mismo sentido l</w:t>
      </w:r>
      <w:r w:rsidR="0082272C" w:rsidRPr="00B22A9D">
        <w:rPr>
          <w:rFonts w:ascii="Arial" w:hAnsi="Arial" w:cs="Arial"/>
          <w:color w:val="000000"/>
          <w:sz w:val="22"/>
          <w:szCs w:val="22"/>
          <w:lang w:val="es-ES" w:eastAsia="es-ES"/>
        </w:rPr>
        <w:t>a C</w:t>
      </w:r>
      <w:r w:rsidR="00A34563">
        <w:rPr>
          <w:rFonts w:ascii="Arial" w:hAnsi="Arial" w:cs="Arial"/>
          <w:color w:val="000000"/>
          <w:sz w:val="22"/>
          <w:szCs w:val="22"/>
          <w:lang w:val="es-ES" w:eastAsia="es-ES"/>
        </w:rPr>
        <w:t>onferencia Internacional sobre A</w:t>
      </w:r>
      <w:r w:rsidR="0082272C" w:rsidRPr="00B22A9D">
        <w:rPr>
          <w:rFonts w:ascii="Arial" w:hAnsi="Arial" w:cs="Arial"/>
          <w:color w:val="000000"/>
          <w:sz w:val="22"/>
          <w:szCs w:val="22"/>
          <w:lang w:val="es-ES" w:eastAsia="es-ES"/>
        </w:rPr>
        <w:t>rmonización de requisitos técnicos para el registro de productos farmacéuticos para uso humano (o ICH, por sus siglas en inglés)</w:t>
      </w:r>
      <w:r w:rsidRPr="00B22A9D">
        <w:rPr>
          <w:rFonts w:ascii="Arial" w:hAnsi="Arial" w:cs="Arial"/>
          <w:color w:val="000000"/>
          <w:sz w:val="22"/>
          <w:szCs w:val="22"/>
          <w:lang w:val="es-ES" w:eastAsia="es-ES"/>
        </w:rPr>
        <w:t xml:space="preserve">, el cual </w:t>
      </w:r>
      <w:r w:rsidR="0082272C" w:rsidRPr="00B22A9D">
        <w:rPr>
          <w:rFonts w:ascii="Arial" w:hAnsi="Arial" w:cs="Arial"/>
          <w:color w:val="000000"/>
          <w:sz w:val="22"/>
          <w:szCs w:val="22"/>
          <w:lang w:val="es-ES" w:eastAsia="es-ES"/>
        </w:rPr>
        <w:t xml:space="preserve"> es un proyecto que reúne a las autoridades reguladoras de medicamentos en Europa, Japón y Estados Unidos de América y las farmacéuticas para discutir aspectos científicos y técnicos de regis</w:t>
      </w:r>
      <w:r w:rsidRPr="00B22A9D">
        <w:rPr>
          <w:rFonts w:ascii="Arial" w:hAnsi="Arial" w:cs="Arial"/>
          <w:color w:val="000000"/>
          <w:sz w:val="22"/>
          <w:szCs w:val="22"/>
          <w:lang w:val="es-ES" w:eastAsia="es-ES"/>
        </w:rPr>
        <w:t>tro de productos farmacéuticos, c</w:t>
      </w:r>
      <w:r w:rsidR="00FC2B49" w:rsidRPr="00B22A9D">
        <w:rPr>
          <w:rFonts w:ascii="Arial" w:hAnsi="Arial" w:cs="Arial"/>
          <w:color w:val="000000"/>
          <w:sz w:val="22"/>
          <w:szCs w:val="22"/>
          <w:lang w:val="es-ES" w:eastAsia="es-ES"/>
        </w:rPr>
        <w:t xml:space="preserve">on el fin de estandarizar los procedimientos que se llevan a cabo en investigación clínica </w:t>
      </w:r>
      <w:r w:rsidR="003E4A3A" w:rsidRPr="00B22A9D">
        <w:rPr>
          <w:rFonts w:ascii="Arial" w:hAnsi="Arial" w:cs="Arial"/>
          <w:color w:val="000000"/>
          <w:sz w:val="22"/>
          <w:szCs w:val="22"/>
          <w:lang w:val="es-ES" w:eastAsia="es-ES"/>
        </w:rPr>
        <w:t xml:space="preserve">publicó </w:t>
      </w:r>
      <w:r w:rsidRPr="00B22A9D">
        <w:rPr>
          <w:rFonts w:ascii="Arial" w:hAnsi="Arial" w:cs="Arial"/>
          <w:color w:val="000000"/>
          <w:sz w:val="22"/>
          <w:szCs w:val="22"/>
          <w:lang w:val="es-ES" w:eastAsia="es-ES"/>
        </w:rPr>
        <w:t xml:space="preserve">el </w:t>
      </w:r>
      <w:r w:rsidR="003E4A3A" w:rsidRPr="00B22A9D">
        <w:rPr>
          <w:rFonts w:ascii="Arial" w:hAnsi="Arial" w:cs="Arial"/>
          <w:color w:val="000000"/>
          <w:sz w:val="22"/>
          <w:szCs w:val="22"/>
          <w:lang w:val="es-ES" w:eastAsia="es-ES"/>
        </w:rPr>
        <w:t xml:space="preserve">documento </w:t>
      </w:r>
      <w:r w:rsidR="00A34563">
        <w:rPr>
          <w:rFonts w:ascii="Arial" w:hAnsi="Arial" w:cs="Arial"/>
          <w:color w:val="000000"/>
          <w:sz w:val="22"/>
          <w:szCs w:val="22"/>
          <w:lang w:val="es-ES" w:eastAsia="es-ES"/>
        </w:rPr>
        <w:t>ICH E6 (R2) Good Clinical P</w:t>
      </w:r>
      <w:r w:rsidR="00077DE9" w:rsidRPr="00B22A9D">
        <w:rPr>
          <w:rFonts w:ascii="Arial" w:hAnsi="Arial" w:cs="Arial"/>
          <w:color w:val="000000"/>
          <w:sz w:val="22"/>
          <w:szCs w:val="22"/>
          <w:lang w:val="es-ES" w:eastAsia="es-ES"/>
        </w:rPr>
        <w:t>ractice. Su objetivo es proporcionar un estándar unificado para las regiones ICH para facilitar la aceptación mutua de los datos clínicos por parte de las autoridades reguladoras en estas jurisdicciones</w:t>
      </w:r>
      <w:r w:rsidR="00A34563">
        <w:rPr>
          <w:rFonts w:ascii="Arial" w:hAnsi="Arial" w:cs="Arial"/>
          <w:color w:val="000000"/>
          <w:sz w:val="22"/>
          <w:szCs w:val="22"/>
          <w:lang w:val="es-ES" w:eastAsia="es-ES"/>
        </w:rPr>
        <w:t>. (</w:t>
      </w:r>
      <w:r w:rsidR="00077DE9" w:rsidRPr="00B22A9D">
        <w:rPr>
          <w:rFonts w:ascii="Arial" w:hAnsi="Arial" w:cs="Arial"/>
          <w:color w:val="000000"/>
          <w:sz w:val="22"/>
          <w:szCs w:val="22"/>
          <w:lang w:val="es-ES" w:eastAsia="es-ES"/>
        </w:rPr>
        <w:t>2</w:t>
      </w:r>
      <w:r w:rsidR="00A34563">
        <w:rPr>
          <w:rFonts w:ascii="Arial" w:hAnsi="Arial" w:cs="Arial"/>
          <w:color w:val="000000"/>
          <w:sz w:val="22"/>
          <w:szCs w:val="22"/>
          <w:lang w:val="es-ES" w:eastAsia="es-ES"/>
        </w:rPr>
        <w:t>)</w:t>
      </w:r>
    </w:p>
    <w:p w14:paraId="04BEDFB2" w14:textId="77777777" w:rsidR="00A34563" w:rsidRPr="0041445A" w:rsidRDefault="00A34563" w:rsidP="00187AB0">
      <w:pPr>
        <w:pStyle w:val="NormalWeb"/>
        <w:numPr>
          <w:ilvl w:val="0"/>
          <w:numId w:val="9"/>
        </w:numPr>
        <w:spacing w:after="0" w:afterAutospacing="0"/>
        <w:jc w:val="both"/>
        <w:rPr>
          <w:rFonts w:ascii="Arial" w:hAnsi="Arial" w:cs="Arial"/>
          <w:b/>
          <w:color w:val="000000"/>
          <w:sz w:val="22"/>
          <w:szCs w:val="22"/>
          <w:lang w:val="es-ES" w:eastAsia="es-ES"/>
        </w:rPr>
      </w:pPr>
      <w:r w:rsidRPr="0041445A">
        <w:rPr>
          <w:rFonts w:ascii="Arial" w:hAnsi="Arial" w:cs="Arial"/>
          <w:b/>
          <w:color w:val="000000"/>
          <w:sz w:val="22"/>
          <w:szCs w:val="22"/>
          <w:lang w:val="es-ES" w:eastAsia="es-ES"/>
        </w:rPr>
        <w:lastRenderedPageBreak/>
        <w:t>¿Cómo se define Buena Práctica Clínica?</w:t>
      </w:r>
    </w:p>
    <w:p w14:paraId="5545B794" w14:textId="59AF9F43" w:rsidR="00A34563" w:rsidRDefault="00A34563" w:rsidP="00A34563">
      <w:pPr>
        <w:pStyle w:val="NormalWeb"/>
        <w:spacing w:after="0" w:afterAutospacing="0"/>
        <w:ind w:left="360"/>
        <w:jc w:val="both"/>
        <w:rPr>
          <w:rFonts w:ascii="Arial" w:hAnsi="Arial" w:cs="Arial"/>
          <w:color w:val="000000"/>
          <w:sz w:val="22"/>
          <w:szCs w:val="22"/>
          <w:lang w:val="es-ES" w:eastAsia="es-ES"/>
        </w:rPr>
      </w:pPr>
      <w:r w:rsidRPr="00A34563">
        <w:rPr>
          <w:rFonts w:ascii="Arial" w:hAnsi="Arial" w:cs="Arial"/>
          <w:color w:val="000000"/>
          <w:sz w:val="22"/>
          <w:szCs w:val="22"/>
          <w:lang w:val="es-ES" w:eastAsia="es-ES"/>
        </w:rPr>
        <w:t>Es un estánda</w:t>
      </w:r>
      <w:r w:rsidR="0041445A">
        <w:rPr>
          <w:rFonts w:ascii="Arial" w:hAnsi="Arial" w:cs="Arial"/>
          <w:color w:val="000000"/>
          <w:sz w:val="22"/>
          <w:szCs w:val="22"/>
          <w:lang w:val="es-ES" w:eastAsia="es-ES"/>
        </w:rPr>
        <w:t>r internacional de calidad científica y ética</w:t>
      </w:r>
      <w:r w:rsidRPr="00A34563">
        <w:rPr>
          <w:rFonts w:ascii="Arial" w:hAnsi="Arial" w:cs="Arial"/>
          <w:color w:val="000000"/>
          <w:sz w:val="22"/>
          <w:szCs w:val="22"/>
          <w:lang w:val="es-ES" w:eastAsia="es-ES"/>
        </w:rPr>
        <w:t xml:space="preserve"> para el diseño, conducción, realización, monitoreo, auditoría, registro</w:t>
      </w:r>
      <w:r w:rsidR="0041445A">
        <w:rPr>
          <w:rFonts w:ascii="Arial" w:hAnsi="Arial" w:cs="Arial"/>
          <w:color w:val="000000"/>
          <w:sz w:val="22"/>
          <w:szCs w:val="22"/>
          <w:lang w:val="es-ES" w:eastAsia="es-ES"/>
        </w:rPr>
        <w:t>, análisis y reporte de ensayos clínicos que involucran seres humanos,</w:t>
      </w:r>
      <w:r w:rsidRPr="00A34563">
        <w:rPr>
          <w:rFonts w:ascii="Arial" w:hAnsi="Arial" w:cs="Arial"/>
          <w:color w:val="000000"/>
          <w:sz w:val="22"/>
          <w:szCs w:val="22"/>
          <w:lang w:val="es-ES" w:eastAsia="es-ES"/>
        </w:rPr>
        <w:t xml:space="preserve"> garantiza</w:t>
      </w:r>
      <w:r w:rsidR="0041445A">
        <w:rPr>
          <w:rFonts w:ascii="Arial" w:hAnsi="Arial" w:cs="Arial"/>
          <w:color w:val="000000"/>
          <w:sz w:val="22"/>
          <w:szCs w:val="22"/>
          <w:lang w:val="es-ES" w:eastAsia="es-ES"/>
        </w:rPr>
        <w:t>ndo</w:t>
      </w:r>
      <w:r w:rsidRPr="00A34563">
        <w:rPr>
          <w:rFonts w:ascii="Arial" w:hAnsi="Arial" w:cs="Arial"/>
          <w:color w:val="000000"/>
          <w:sz w:val="22"/>
          <w:szCs w:val="22"/>
          <w:lang w:val="es-ES" w:eastAsia="es-ES"/>
        </w:rPr>
        <w:t xml:space="preserve"> que los dato</w:t>
      </w:r>
      <w:r w:rsidR="0041445A">
        <w:rPr>
          <w:rFonts w:ascii="Arial" w:hAnsi="Arial" w:cs="Arial"/>
          <w:color w:val="000000"/>
          <w:sz w:val="22"/>
          <w:szCs w:val="22"/>
          <w:lang w:val="es-ES" w:eastAsia="es-ES"/>
        </w:rPr>
        <w:t>s y los resultados reportados sea</w:t>
      </w:r>
      <w:r w:rsidRPr="00A34563">
        <w:rPr>
          <w:rFonts w:ascii="Arial" w:hAnsi="Arial" w:cs="Arial"/>
          <w:color w:val="000000"/>
          <w:sz w:val="22"/>
          <w:szCs w:val="22"/>
          <w:lang w:val="es-ES" w:eastAsia="es-ES"/>
        </w:rPr>
        <w:t xml:space="preserve">n creíbles y </w:t>
      </w:r>
      <w:r w:rsidR="0041445A">
        <w:rPr>
          <w:rFonts w:ascii="Arial" w:hAnsi="Arial" w:cs="Arial"/>
          <w:color w:val="000000"/>
          <w:sz w:val="22"/>
          <w:szCs w:val="22"/>
          <w:lang w:val="es-ES" w:eastAsia="es-ES"/>
        </w:rPr>
        <w:t>precisos, protegiendo</w:t>
      </w:r>
      <w:r w:rsidRPr="00A34563">
        <w:rPr>
          <w:rFonts w:ascii="Arial" w:hAnsi="Arial" w:cs="Arial"/>
          <w:color w:val="000000"/>
          <w:sz w:val="22"/>
          <w:szCs w:val="22"/>
          <w:lang w:val="es-ES" w:eastAsia="es-ES"/>
        </w:rPr>
        <w:t xml:space="preserve"> los derechos, integridad y confidencialidad de los sujetos del estudio.</w:t>
      </w:r>
      <w:r w:rsidR="0041445A">
        <w:rPr>
          <w:rFonts w:ascii="Arial" w:hAnsi="Arial" w:cs="Arial"/>
          <w:color w:val="000000"/>
          <w:sz w:val="22"/>
          <w:szCs w:val="22"/>
          <w:lang w:val="es-ES" w:eastAsia="es-ES"/>
        </w:rPr>
        <w:t xml:space="preserve"> (1)</w:t>
      </w:r>
    </w:p>
    <w:p w14:paraId="4E520BA6" w14:textId="3897BD93" w:rsidR="0041445A" w:rsidRPr="0041445A" w:rsidRDefault="0041445A" w:rsidP="00187AB0">
      <w:pPr>
        <w:pStyle w:val="NormalWeb"/>
        <w:numPr>
          <w:ilvl w:val="0"/>
          <w:numId w:val="9"/>
        </w:numPr>
        <w:spacing w:after="0" w:afterAutospacing="0"/>
        <w:jc w:val="both"/>
        <w:rPr>
          <w:rFonts w:ascii="Arial" w:hAnsi="Arial" w:cs="Arial"/>
          <w:b/>
          <w:color w:val="000000"/>
          <w:sz w:val="22"/>
          <w:szCs w:val="22"/>
          <w:lang w:val="es-ES" w:eastAsia="es-ES"/>
        </w:rPr>
      </w:pPr>
      <w:r w:rsidRPr="0041445A">
        <w:rPr>
          <w:rFonts w:ascii="Arial" w:hAnsi="Arial" w:cs="Arial"/>
          <w:b/>
          <w:color w:val="000000"/>
          <w:sz w:val="22"/>
          <w:szCs w:val="22"/>
          <w:lang w:val="es-ES" w:eastAsia="es-ES"/>
        </w:rPr>
        <w:t xml:space="preserve">¿Cuáles son los principios enmarcados en </w:t>
      </w:r>
      <w:r w:rsidR="00FA4567">
        <w:rPr>
          <w:rFonts w:ascii="Arial" w:hAnsi="Arial" w:cs="Arial"/>
          <w:b/>
          <w:color w:val="000000"/>
          <w:sz w:val="22"/>
          <w:szCs w:val="22"/>
          <w:lang w:val="es-ES" w:eastAsia="es-ES"/>
        </w:rPr>
        <w:t xml:space="preserve">las </w:t>
      </w:r>
      <w:r w:rsidRPr="0041445A">
        <w:rPr>
          <w:rFonts w:ascii="Arial" w:hAnsi="Arial" w:cs="Arial"/>
          <w:b/>
          <w:color w:val="000000"/>
          <w:sz w:val="22"/>
          <w:szCs w:val="22"/>
          <w:lang w:val="es-ES" w:eastAsia="es-ES"/>
        </w:rPr>
        <w:t>Buenas Prácticas Clínicas?</w:t>
      </w:r>
    </w:p>
    <w:p w14:paraId="584E2234" w14:textId="59FB5729" w:rsidR="0041445A" w:rsidRDefault="0041445A" w:rsidP="0041445A">
      <w:pPr>
        <w:pStyle w:val="NormalWeb"/>
        <w:spacing w:after="0" w:afterAutospacing="0"/>
        <w:ind w:left="360"/>
        <w:jc w:val="both"/>
        <w:rPr>
          <w:rFonts w:ascii="Arial" w:hAnsi="Arial" w:cs="Arial"/>
          <w:color w:val="000000"/>
          <w:sz w:val="22"/>
          <w:szCs w:val="22"/>
          <w:lang w:val="es-ES" w:eastAsia="es-ES"/>
        </w:rPr>
      </w:pPr>
      <w:r w:rsidRPr="00C21FBF">
        <w:rPr>
          <w:rFonts w:ascii="Arial" w:hAnsi="Arial" w:cs="Arial"/>
          <w:color w:val="000000"/>
          <w:sz w:val="22"/>
          <w:szCs w:val="22"/>
          <w:lang w:val="es-ES" w:eastAsia="es-ES"/>
        </w:rPr>
        <w:t xml:space="preserve">Actualmente, las buenas prácticas clínicas se basan en dos documentos internacionales, uno publicado por la Organización Mundial de la Salud (OMS) , y otro publicado por la International Conference of Harmonization of Technical Requirements for Registration of Pharmaceuticals for Human Use (ICH). </w:t>
      </w:r>
      <w:r w:rsidR="002731CD" w:rsidRPr="00C21FBF">
        <w:rPr>
          <w:rFonts w:ascii="Arial" w:hAnsi="Arial" w:cs="Arial"/>
          <w:color w:val="000000"/>
          <w:sz w:val="22"/>
          <w:szCs w:val="22"/>
          <w:lang w:val="es-ES" w:eastAsia="es-ES"/>
        </w:rPr>
        <w:t xml:space="preserve"> (3)</w:t>
      </w:r>
      <w:r w:rsidR="002731CD">
        <w:rPr>
          <w:rFonts w:ascii="Arial" w:hAnsi="Arial" w:cs="Arial"/>
          <w:color w:val="000000"/>
          <w:sz w:val="22"/>
          <w:szCs w:val="22"/>
          <w:lang w:val="es-ES" w:eastAsia="es-ES"/>
        </w:rPr>
        <w:t xml:space="preserve"> </w:t>
      </w:r>
    </w:p>
    <w:p w14:paraId="3165F555" w14:textId="77777777" w:rsidR="00BD6E5E" w:rsidRDefault="00BD6E5E" w:rsidP="0041445A">
      <w:pPr>
        <w:pStyle w:val="NormalWeb"/>
        <w:spacing w:after="0" w:afterAutospacing="0"/>
        <w:ind w:left="360"/>
        <w:jc w:val="both"/>
        <w:rPr>
          <w:rFonts w:ascii="Arial" w:hAnsi="Arial" w:cs="Arial"/>
          <w:color w:val="000000"/>
          <w:sz w:val="22"/>
          <w:szCs w:val="22"/>
          <w:lang w:val="es-ES" w:eastAsia="es-ES"/>
        </w:rPr>
      </w:pPr>
      <w:r>
        <w:rPr>
          <w:rFonts w:ascii="Arial" w:hAnsi="Arial" w:cs="Arial"/>
          <w:color w:val="000000"/>
          <w:sz w:val="22"/>
          <w:szCs w:val="22"/>
          <w:lang w:val="es-ES" w:eastAsia="es-ES"/>
        </w:rPr>
        <w:t>En general</w:t>
      </w:r>
      <w:r w:rsidR="0041445A" w:rsidRPr="0041445A">
        <w:rPr>
          <w:rFonts w:ascii="Arial" w:hAnsi="Arial" w:cs="Arial"/>
          <w:color w:val="000000"/>
          <w:sz w:val="22"/>
          <w:szCs w:val="22"/>
          <w:lang w:val="es-ES" w:eastAsia="es-ES"/>
        </w:rPr>
        <w:t xml:space="preserve">, las guías de buenas prácticas clínicas publicadas por la OMS y la </w:t>
      </w:r>
      <w:r>
        <w:rPr>
          <w:rFonts w:ascii="Arial" w:hAnsi="Arial" w:cs="Arial"/>
          <w:color w:val="000000"/>
          <w:sz w:val="22"/>
          <w:szCs w:val="22"/>
          <w:lang w:val="es-ES" w:eastAsia="es-ES"/>
        </w:rPr>
        <w:t xml:space="preserve">ICH son similares, </w:t>
      </w:r>
      <w:r w:rsidR="0041445A" w:rsidRPr="0041445A">
        <w:rPr>
          <w:rFonts w:ascii="Arial" w:hAnsi="Arial" w:cs="Arial"/>
          <w:color w:val="000000"/>
          <w:sz w:val="22"/>
          <w:szCs w:val="22"/>
          <w:lang w:val="es-ES" w:eastAsia="es-ES"/>
        </w:rPr>
        <w:t>se di</w:t>
      </w:r>
      <w:r>
        <w:rPr>
          <w:rFonts w:ascii="Arial" w:hAnsi="Arial" w:cs="Arial"/>
          <w:color w:val="000000"/>
          <w:sz w:val="22"/>
          <w:szCs w:val="22"/>
          <w:lang w:val="es-ES" w:eastAsia="es-ES"/>
        </w:rPr>
        <w:t>ferencian en que la OMS contempla</w:t>
      </w:r>
      <w:r w:rsidR="0041445A" w:rsidRPr="0041445A">
        <w:rPr>
          <w:rFonts w:ascii="Arial" w:hAnsi="Arial" w:cs="Arial"/>
          <w:color w:val="000000"/>
          <w:sz w:val="22"/>
          <w:szCs w:val="22"/>
          <w:lang w:val="es-ES" w:eastAsia="es-ES"/>
        </w:rPr>
        <w:t xml:space="preserve"> 14 principios y la ICH, 13, ya que los principios 5 y 6 de</w:t>
      </w:r>
      <w:r>
        <w:rPr>
          <w:rFonts w:ascii="Arial" w:hAnsi="Arial" w:cs="Arial"/>
          <w:color w:val="000000"/>
          <w:sz w:val="22"/>
          <w:szCs w:val="22"/>
          <w:lang w:val="es-ES" w:eastAsia="es-ES"/>
        </w:rPr>
        <w:t xml:space="preserve"> la OMS se unieron en el principio 6.</w:t>
      </w:r>
      <w:r w:rsidR="0041445A" w:rsidRPr="0041445A">
        <w:rPr>
          <w:rFonts w:ascii="Arial" w:hAnsi="Arial" w:cs="Arial"/>
          <w:color w:val="000000"/>
          <w:sz w:val="22"/>
          <w:szCs w:val="22"/>
          <w:lang w:val="es-ES" w:eastAsia="es-ES"/>
        </w:rPr>
        <w:t xml:space="preserve"> </w:t>
      </w:r>
    </w:p>
    <w:p w14:paraId="1F6A4238" w14:textId="791205B6" w:rsidR="00BD6E5E" w:rsidRDefault="0041445A" w:rsidP="00BD6E5E">
      <w:pPr>
        <w:pStyle w:val="NormalWeb"/>
        <w:spacing w:after="0" w:afterAutospacing="0"/>
        <w:ind w:left="360"/>
        <w:jc w:val="both"/>
        <w:rPr>
          <w:rFonts w:ascii="Arial" w:hAnsi="Arial" w:cs="Arial"/>
          <w:color w:val="000000"/>
          <w:sz w:val="22"/>
          <w:szCs w:val="22"/>
          <w:lang w:val="es-ES" w:eastAsia="es-ES"/>
        </w:rPr>
      </w:pPr>
      <w:r w:rsidRPr="0041445A">
        <w:rPr>
          <w:rFonts w:ascii="Arial" w:hAnsi="Arial" w:cs="Arial"/>
          <w:color w:val="000000"/>
          <w:sz w:val="22"/>
          <w:szCs w:val="22"/>
          <w:lang w:val="es-ES" w:eastAsia="es-ES"/>
        </w:rPr>
        <w:t>Otra diferencia es el propósito con el cual fueron desarrollad</w:t>
      </w:r>
      <w:r w:rsidR="00BD6E5E">
        <w:rPr>
          <w:rFonts w:ascii="Arial" w:hAnsi="Arial" w:cs="Arial"/>
          <w:color w:val="000000"/>
          <w:sz w:val="22"/>
          <w:szCs w:val="22"/>
          <w:lang w:val="es-ES" w:eastAsia="es-ES"/>
        </w:rPr>
        <w:t>os. El documento de la OMS pretende</w:t>
      </w:r>
      <w:r w:rsidRPr="0041445A">
        <w:rPr>
          <w:rFonts w:ascii="Arial" w:hAnsi="Arial" w:cs="Arial"/>
          <w:color w:val="000000"/>
          <w:sz w:val="22"/>
          <w:szCs w:val="22"/>
          <w:lang w:val="es-ES" w:eastAsia="es-ES"/>
        </w:rPr>
        <w:t xml:space="preserve"> que las guías de buenas prácticas clínicas </w:t>
      </w:r>
      <w:r w:rsidR="00BD6E5E">
        <w:rPr>
          <w:rFonts w:ascii="Arial" w:hAnsi="Arial" w:cs="Arial"/>
          <w:color w:val="000000"/>
          <w:sz w:val="22"/>
          <w:szCs w:val="22"/>
          <w:lang w:val="es-ES" w:eastAsia="es-ES"/>
        </w:rPr>
        <w:t>sean referencias</w:t>
      </w:r>
      <w:r w:rsidRPr="0041445A">
        <w:rPr>
          <w:rFonts w:ascii="Arial" w:hAnsi="Arial" w:cs="Arial"/>
          <w:color w:val="000000"/>
          <w:sz w:val="22"/>
          <w:szCs w:val="22"/>
          <w:lang w:val="es-ES" w:eastAsia="es-ES"/>
        </w:rPr>
        <w:t xml:space="preserve"> para los países que no cuentan con regulación en esta área, o en un estándar complementario a las regulaciones ya existentes en los países miembro de esta organización, independientemente de si los productos son desarrollados o no por compañías farmacéuticas; por su parte, el documento de la ICH tiene como propósito mejorar la calidad y eficiencia del proceso de desarrollo y registro de productos farmacéuticos, facilitando la aceptación de los aspectos científicos y procedimientos tanto por parte de las compañías farmacéuticas como de las agencias reguladoras de Estados Unidos (US Food and Drug Administration, FDA), Europa (European Medicines Agency, EMA) y Japón (Ministry of Health, Labour and Welfare, MHLW).</w:t>
      </w:r>
      <w:r w:rsidR="00C21FBF">
        <w:rPr>
          <w:rFonts w:ascii="Arial" w:hAnsi="Arial" w:cs="Arial"/>
          <w:color w:val="000000"/>
          <w:sz w:val="22"/>
          <w:szCs w:val="22"/>
          <w:lang w:val="es-ES" w:eastAsia="es-ES"/>
        </w:rPr>
        <w:t xml:space="preserve"> </w:t>
      </w:r>
      <w:r w:rsidR="002731CD">
        <w:rPr>
          <w:rFonts w:ascii="Arial" w:hAnsi="Arial" w:cs="Arial"/>
          <w:color w:val="000000"/>
          <w:sz w:val="22"/>
          <w:szCs w:val="22"/>
          <w:lang w:val="es-ES" w:eastAsia="es-ES"/>
        </w:rPr>
        <w:t xml:space="preserve"> </w:t>
      </w:r>
      <w:r w:rsidR="002731CD" w:rsidRPr="00C21FBF">
        <w:rPr>
          <w:rFonts w:ascii="Arial" w:hAnsi="Arial" w:cs="Arial"/>
          <w:color w:val="000000"/>
          <w:sz w:val="22"/>
          <w:szCs w:val="22"/>
          <w:lang w:val="es-ES" w:eastAsia="es-ES"/>
        </w:rPr>
        <w:t>(3)</w:t>
      </w:r>
    </w:p>
    <w:p w14:paraId="4FF59601" w14:textId="2F398199" w:rsidR="00E41939" w:rsidRPr="00B22A9D" w:rsidRDefault="00077DE9" w:rsidP="00BD6E5E">
      <w:pPr>
        <w:pStyle w:val="NormalWeb"/>
        <w:spacing w:after="0" w:afterAutospacing="0"/>
        <w:ind w:left="36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A </w:t>
      </w:r>
      <w:r w:rsidR="00BD6E5E" w:rsidRPr="00B22A9D">
        <w:rPr>
          <w:rFonts w:ascii="Arial" w:hAnsi="Arial" w:cs="Arial"/>
          <w:color w:val="000000"/>
          <w:sz w:val="22"/>
          <w:szCs w:val="22"/>
          <w:lang w:val="es-ES" w:eastAsia="es-ES"/>
        </w:rPr>
        <w:t>continuación,</w:t>
      </w:r>
      <w:r w:rsidRPr="00B22A9D">
        <w:rPr>
          <w:rFonts w:ascii="Arial" w:hAnsi="Arial" w:cs="Arial"/>
          <w:color w:val="000000"/>
          <w:sz w:val="22"/>
          <w:szCs w:val="22"/>
          <w:lang w:val="es-ES" w:eastAsia="es-ES"/>
        </w:rPr>
        <w:t xml:space="preserve"> se </w:t>
      </w:r>
      <w:r w:rsidR="004269FA" w:rsidRPr="00B22A9D">
        <w:rPr>
          <w:rFonts w:ascii="Arial" w:hAnsi="Arial" w:cs="Arial"/>
          <w:color w:val="000000"/>
          <w:sz w:val="22"/>
          <w:szCs w:val="22"/>
          <w:lang w:val="es-ES" w:eastAsia="es-ES"/>
        </w:rPr>
        <w:t xml:space="preserve">enuncian los principios de Buenas </w:t>
      </w:r>
      <w:r w:rsidR="00BD6E5E" w:rsidRPr="00B22A9D">
        <w:rPr>
          <w:rFonts w:ascii="Arial" w:hAnsi="Arial" w:cs="Arial"/>
          <w:color w:val="000000"/>
          <w:sz w:val="22"/>
          <w:szCs w:val="22"/>
          <w:lang w:val="es-ES" w:eastAsia="es-ES"/>
        </w:rPr>
        <w:t>Prácticas</w:t>
      </w:r>
      <w:r w:rsidR="004269FA" w:rsidRPr="00B22A9D">
        <w:rPr>
          <w:rFonts w:ascii="Arial" w:hAnsi="Arial" w:cs="Arial"/>
          <w:color w:val="000000"/>
          <w:sz w:val="22"/>
          <w:szCs w:val="22"/>
          <w:lang w:val="es-ES" w:eastAsia="es-ES"/>
        </w:rPr>
        <w:t xml:space="preserve"> Clínicas establecidos en documento de OMS e ICH</w:t>
      </w:r>
      <w:r w:rsidR="002731CD">
        <w:rPr>
          <w:rFonts w:ascii="Arial" w:hAnsi="Arial" w:cs="Arial"/>
          <w:color w:val="000000"/>
          <w:sz w:val="22"/>
          <w:szCs w:val="22"/>
          <w:lang w:val="es-ES" w:eastAsia="es-ES"/>
        </w:rPr>
        <w:t>. (ver tabla No 1) (</w:t>
      </w:r>
      <w:r w:rsidR="002731CD" w:rsidRPr="00C21FBF">
        <w:rPr>
          <w:rFonts w:ascii="Arial" w:hAnsi="Arial" w:cs="Arial"/>
          <w:color w:val="000000"/>
          <w:sz w:val="22"/>
          <w:szCs w:val="22"/>
          <w:lang w:val="es-ES" w:eastAsia="es-ES"/>
        </w:rPr>
        <w:t>2,3,4</w:t>
      </w:r>
      <w:r w:rsidR="00BD6E5E" w:rsidRPr="00C21FBF">
        <w:rPr>
          <w:rFonts w:ascii="Arial" w:hAnsi="Arial" w:cs="Arial"/>
          <w:color w:val="000000"/>
          <w:sz w:val="22"/>
          <w:szCs w:val="22"/>
          <w:lang w:val="es-ES" w:eastAsia="es-ES"/>
        </w:rPr>
        <w:t>).</w:t>
      </w:r>
    </w:p>
    <w:p w14:paraId="5D45A930" w14:textId="77777777" w:rsidR="0082272C" w:rsidRPr="00B22A9D" w:rsidRDefault="0082272C" w:rsidP="00E41939">
      <w:pPr>
        <w:pStyle w:val="NormalWeb"/>
        <w:spacing w:after="0" w:afterAutospacing="0"/>
        <w:jc w:val="both"/>
        <w:rPr>
          <w:rFonts w:ascii="Arial" w:hAnsi="Arial" w:cs="Arial"/>
          <w:color w:val="000000"/>
          <w:sz w:val="22"/>
          <w:szCs w:val="22"/>
          <w:lang w:val="es-ES" w:eastAsia="es-ES"/>
        </w:rPr>
      </w:pPr>
    </w:p>
    <w:p w14:paraId="026BA439" w14:textId="5986723F" w:rsidR="00DF44D6" w:rsidRPr="00391789" w:rsidRDefault="00BD6E5E" w:rsidP="00E41939">
      <w:pPr>
        <w:pStyle w:val="NormalWeb"/>
        <w:spacing w:after="0" w:afterAutospacing="0"/>
        <w:jc w:val="both"/>
        <w:rPr>
          <w:rFonts w:ascii="Arial" w:hAnsi="Arial" w:cs="Arial"/>
          <w:color w:val="000000"/>
          <w:sz w:val="22"/>
          <w:szCs w:val="22"/>
          <w:lang w:val="es-ES" w:eastAsia="es-ES"/>
        </w:rPr>
      </w:pPr>
      <w:r w:rsidRPr="00391789">
        <w:rPr>
          <w:rFonts w:ascii="Arial" w:hAnsi="Arial" w:cs="Arial"/>
          <w:color w:val="000000"/>
          <w:sz w:val="22"/>
          <w:szCs w:val="22"/>
          <w:lang w:val="es-ES" w:eastAsia="es-ES"/>
        </w:rPr>
        <w:t xml:space="preserve">Tabla No 1. </w:t>
      </w:r>
      <w:r w:rsidR="00A22AE3" w:rsidRPr="00391789">
        <w:rPr>
          <w:rFonts w:ascii="Arial" w:hAnsi="Arial" w:cs="Arial"/>
          <w:color w:val="000000"/>
          <w:sz w:val="22"/>
          <w:szCs w:val="22"/>
          <w:lang w:val="es-ES" w:eastAsia="es-ES"/>
        </w:rPr>
        <w:t>Principios de las Buenas Prácticas Clínicas según OMS e ICH</w:t>
      </w:r>
      <w:r w:rsidR="00391789" w:rsidRPr="00391789">
        <w:rPr>
          <w:rFonts w:ascii="Arial" w:hAnsi="Arial" w:cs="Arial"/>
          <w:color w:val="000000"/>
          <w:sz w:val="22"/>
          <w:szCs w:val="22"/>
          <w:lang w:val="es-ES" w:eastAsia="es-ES"/>
        </w:rPr>
        <w:t>.</w:t>
      </w:r>
    </w:p>
    <w:p w14:paraId="714D813D" w14:textId="77777777" w:rsidR="00391789" w:rsidRPr="00B22A9D" w:rsidRDefault="00391789" w:rsidP="00E41939">
      <w:pPr>
        <w:pStyle w:val="NormalWeb"/>
        <w:spacing w:after="0" w:afterAutospacing="0"/>
        <w:jc w:val="both"/>
        <w:rPr>
          <w:rFonts w:ascii="Arial" w:hAnsi="Arial" w:cs="Arial"/>
          <w:color w:val="000000"/>
          <w:sz w:val="22"/>
          <w:szCs w:val="22"/>
          <w:lang w:val="es-ES" w:eastAsia="es-ES"/>
        </w:rPr>
      </w:pPr>
    </w:p>
    <w:p w14:paraId="53DEC28F" w14:textId="77777777" w:rsidR="004269FA" w:rsidRPr="00B22A9D" w:rsidRDefault="004269FA" w:rsidP="00E41939">
      <w:pPr>
        <w:pStyle w:val="NormalWeb"/>
        <w:spacing w:after="0" w:afterAutospacing="0"/>
        <w:jc w:val="both"/>
        <w:rPr>
          <w:rFonts w:ascii="Arial" w:hAnsi="Arial" w:cs="Arial"/>
          <w:color w:val="000000"/>
          <w:sz w:val="22"/>
          <w:szCs w:val="22"/>
          <w:lang w:val="es-ES" w:eastAsia="es-ES"/>
        </w:rPr>
        <w:sectPr w:rsidR="004269FA" w:rsidRPr="00B22A9D" w:rsidSect="00EE653F">
          <w:pgSz w:w="12240" w:h="15840"/>
          <w:pgMar w:top="1418" w:right="1418" w:bottom="1418" w:left="1418" w:header="709" w:footer="709" w:gutter="0"/>
          <w:cols w:space="708"/>
          <w:docGrid w:linePitch="360"/>
        </w:sectPr>
      </w:pPr>
    </w:p>
    <w:tbl>
      <w:tblPr>
        <w:tblStyle w:val="Tablaconcuadrcula"/>
        <w:tblW w:w="0" w:type="auto"/>
        <w:tblLook w:val="04A0" w:firstRow="1" w:lastRow="0" w:firstColumn="1" w:lastColumn="0" w:noHBand="0" w:noVBand="1"/>
      </w:tblPr>
      <w:tblGrid>
        <w:gridCol w:w="4945"/>
        <w:gridCol w:w="4449"/>
      </w:tblGrid>
      <w:tr w:rsidR="004269FA" w:rsidRPr="00B22A9D" w14:paraId="0B81D1E6" w14:textId="77777777" w:rsidTr="004269FA">
        <w:trPr>
          <w:trHeight w:val="300"/>
        </w:trPr>
        <w:tc>
          <w:tcPr>
            <w:tcW w:w="5980" w:type="dxa"/>
            <w:hideMark/>
          </w:tcPr>
          <w:p w14:paraId="1FF975CF" w14:textId="77777777" w:rsidR="004269FA" w:rsidRPr="00B22A9D" w:rsidRDefault="004269FA" w:rsidP="004269FA">
            <w:pPr>
              <w:jc w:val="center"/>
              <w:rPr>
                <w:rFonts w:ascii="Arial" w:eastAsia="Times New Roman" w:hAnsi="Arial" w:cs="Arial"/>
                <w:color w:val="000000"/>
                <w:lang w:val="es-ES" w:eastAsia="es-ES"/>
              </w:rPr>
            </w:pPr>
            <w:r w:rsidRPr="00B22A9D">
              <w:rPr>
                <w:rFonts w:ascii="Arial" w:eastAsia="Times New Roman" w:hAnsi="Arial" w:cs="Arial"/>
                <w:color w:val="000000"/>
                <w:lang w:val="es-ES" w:eastAsia="es-ES"/>
              </w:rPr>
              <w:t>OMS</w:t>
            </w:r>
          </w:p>
        </w:tc>
        <w:tc>
          <w:tcPr>
            <w:tcW w:w="5260" w:type="dxa"/>
            <w:hideMark/>
          </w:tcPr>
          <w:p w14:paraId="40294D28" w14:textId="77777777" w:rsidR="004269FA" w:rsidRPr="00B22A9D" w:rsidRDefault="004269FA" w:rsidP="004269FA">
            <w:pPr>
              <w:jc w:val="center"/>
              <w:rPr>
                <w:rFonts w:ascii="Arial" w:eastAsia="Times New Roman" w:hAnsi="Arial" w:cs="Arial"/>
                <w:color w:val="000000"/>
                <w:lang w:val="es-ES" w:eastAsia="es-ES"/>
              </w:rPr>
            </w:pPr>
            <w:r w:rsidRPr="00B22A9D">
              <w:rPr>
                <w:rFonts w:ascii="Arial" w:eastAsia="Times New Roman" w:hAnsi="Arial" w:cs="Arial"/>
                <w:color w:val="000000"/>
                <w:lang w:val="es-ES" w:eastAsia="es-ES"/>
              </w:rPr>
              <w:t>ICH</w:t>
            </w:r>
          </w:p>
        </w:tc>
      </w:tr>
      <w:tr w:rsidR="004269FA" w:rsidRPr="00B22A9D" w14:paraId="17ABBBE1" w14:textId="77777777" w:rsidTr="004269FA">
        <w:trPr>
          <w:trHeight w:val="1530"/>
        </w:trPr>
        <w:tc>
          <w:tcPr>
            <w:tcW w:w="5980" w:type="dxa"/>
            <w:hideMark/>
          </w:tcPr>
          <w:p w14:paraId="0E5E1A48"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1. La investigación con seres humanos debe ser científicamente sólida y llevarse a cabo de acuerdo con los principios éticos básicos, que tienen su origen en la Declaración de Helsinki. Tres principios éticos básicos de igual importancia, a saber, el respeto a las personas, el beneficio y la justicia, impregnan todos los demás principios de las Buenas Prácticas Clínicas.</w:t>
            </w:r>
          </w:p>
        </w:tc>
        <w:tc>
          <w:tcPr>
            <w:tcW w:w="5260" w:type="dxa"/>
            <w:hideMark/>
          </w:tcPr>
          <w:p w14:paraId="4B22F8B3" w14:textId="1CB6181F"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1. Los ensayos clínicos deben realizarse de acuerdo con los principios éticos que tienen su origen en la Declaración de Helsinki, y que sean coherentes con la guía de la BPC y la legislación vigente.</w:t>
            </w:r>
          </w:p>
        </w:tc>
      </w:tr>
      <w:tr w:rsidR="004269FA" w:rsidRPr="00B22A9D" w14:paraId="1D89EB9B" w14:textId="77777777" w:rsidTr="004269FA">
        <w:trPr>
          <w:trHeight w:val="630"/>
        </w:trPr>
        <w:tc>
          <w:tcPr>
            <w:tcW w:w="5980" w:type="dxa"/>
            <w:hideMark/>
          </w:tcPr>
          <w:p w14:paraId="325359D7"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lastRenderedPageBreak/>
              <w:t>2. La investigación con seres humanos debe justificarse científicamente y describirse en un protocolo claro y detallado.</w:t>
            </w:r>
          </w:p>
        </w:tc>
        <w:tc>
          <w:tcPr>
            <w:tcW w:w="5260" w:type="dxa"/>
            <w:hideMark/>
          </w:tcPr>
          <w:p w14:paraId="42AA624D" w14:textId="6ABA805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5. Los ensayos clínicos deberán estar científicamente justificados y estar descritos en un protocolo claro y detallado.</w:t>
            </w:r>
          </w:p>
        </w:tc>
      </w:tr>
      <w:tr w:rsidR="004269FA" w:rsidRPr="00B22A9D" w14:paraId="09298F65" w14:textId="77777777" w:rsidTr="004269FA">
        <w:trPr>
          <w:trHeight w:val="2295"/>
        </w:trPr>
        <w:tc>
          <w:tcPr>
            <w:tcW w:w="5980" w:type="dxa"/>
            <w:hideMark/>
          </w:tcPr>
          <w:p w14:paraId="4F2065A9"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3. Antes de que se inicie la investigación con seres humanos, deben identificarse los riesgos e incomodidades previsibles y cualquier beneficio anticipado para el sujeto de prueba individual y la sociedad. La investigación de productos o procedimientos de investigación debe estar respaldada por información adecuada, no clínica y, cuando corresponda, clínica.</w:t>
            </w:r>
          </w:p>
        </w:tc>
        <w:tc>
          <w:tcPr>
            <w:tcW w:w="5260" w:type="dxa"/>
            <w:hideMark/>
          </w:tcPr>
          <w:p w14:paraId="28E8E1C2" w14:textId="79A16AFE"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2. Antes de iniciar un ensayo, deberán considerarse los riesgos e inconvenientes previsibles en relación con el beneficio esperado, tanto para el sujeto individual del ensayo como para la sociedad. Un ensayo deberá iniciarse y continuar únicamente en el caso de que los beneficios previstos justifican los riesgos.                                                                                                                                      4. La información clínica y no clínica disponible sobre un medicamento en investigación deberá ser suficiente para avalar el ensayo clínico propuesto.</w:t>
            </w:r>
          </w:p>
        </w:tc>
      </w:tr>
      <w:tr w:rsidR="004269FA" w:rsidRPr="00B22A9D" w14:paraId="74E36C06" w14:textId="77777777" w:rsidTr="004269FA">
        <w:trPr>
          <w:trHeight w:val="1530"/>
        </w:trPr>
        <w:tc>
          <w:tcPr>
            <w:tcW w:w="5980" w:type="dxa"/>
            <w:hideMark/>
          </w:tcPr>
          <w:p w14:paraId="1A6EC6D9"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4. La investigación con seres humanos debe iniciarse solo si los beneficios anticipados para el sujeto de investigación individual y la sociedad superan claramente los riesgos. Aunque el beneficio de los resultados del ensayo para la ciencia y la sociedad debe tenerse en cuenta, las consideraciones más importantes son las relacionadas con los derechos, la seguridad y el bienestar de los sujetos del ensayo.</w:t>
            </w:r>
          </w:p>
        </w:tc>
        <w:tc>
          <w:tcPr>
            <w:tcW w:w="5260" w:type="dxa"/>
            <w:hideMark/>
          </w:tcPr>
          <w:p w14:paraId="26CF2C4E"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 xml:space="preserve">3. Los derechos, la seguridad y el bienestar de los sujetos de un ensayo son las consideraciones más importantes y deberán prevalecer sobre los intereses de la ciencia y de la sociedad.   </w:t>
            </w:r>
          </w:p>
        </w:tc>
      </w:tr>
      <w:tr w:rsidR="004269FA" w:rsidRPr="00B22A9D" w14:paraId="13828B96" w14:textId="77777777" w:rsidTr="004269FA">
        <w:trPr>
          <w:trHeight w:val="765"/>
        </w:trPr>
        <w:tc>
          <w:tcPr>
            <w:tcW w:w="5980" w:type="dxa"/>
            <w:hideMark/>
          </w:tcPr>
          <w:p w14:paraId="53B40B27"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5. La investigación con seres humanos debe recibir la aprobación del comité de ética independiente / junta de revisión institucional (IEC / IRB) / opinión favorable antes del inicio.</w:t>
            </w:r>
          </w:p>
        </w:tc>
        <w:tc>
          <w:tcPr>
            <w:tcW w:w="5260" w:type="dxa"/>
            <w:hideMark/>
          </w:tcPr>
          <w:p w14:paraId="3D1CC371"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6. El ensayo se deberá realizar de acuerdo con el protocolo que previamente ha recibido un dictamen favorable de un CEIC.</w:t>
            </w:r>
          </w:p>
        </w:tc>
      </w:tr>
      <w:tr w:rsidR="004269FA" w:rsidRPr="00B22A9D" w14:paraId="3FC7941B" w14:textId="77777777" w:rsidTr="004269FA">
        <w:trPr>
          <w:trHeight w:val="510"/>
        </w:trPr>
        <w:tc>
          <w:tcPr>
            <w:tcW w:w="5980" w:type="dxa"/>
            <w:hideMark/>
          </w:tcPr>
          <w:p w14:paraId="1231C28D"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6. La investigación con humanos debe realizarse de conformidad con el protocolo aprobado</w:t>
            </w:r>
          </w:p>
        </w:tc>
        <w:tc>
          <w:tcPr>
            <w:tcW w:w="5260" w:type="dxa"/>
            <w:hideMark/>
          </w:tcPr>
          <w:p w14:paraId="1A015286"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 </w:t>
            </w:r>
          </w:p>
        </w:tc>
      </w:tr>
      <w:tr w:rsidR="004269FA" w:rsidRPr="00B22A9D" w14:paraId="2BFA7BA8" w14:textId="77777777" w:rsidTr="004269FA">
        <w:trPr>
          <w:trHeight w:val="1275"/>
        </w:trPr>
        <w:tc>
          <w:tcPr>
            <w:tcW w:w="5980" w:type="dxa"/>
            <w:hideMark/>
          </w:tcPr>
          <w:p w14:paraId="668996D7"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7. Se debe obtener el consentimiento informado otorgado libremente de cada sujeto antes de la participación en la investigación de acuerdo con la (s) cultura (s) y requisitos nacionales. Cuando un sujeto no es capaz de dar su consentimiento informado, se debe obtener el permiso de un representante legalmente autorizado de acuerdo con la ley aplicable.</w:t>
            </w:r>
          </w:p>
        </w:tc>
        <w:tc>
          <w:tcPr>
            <w:tcW w:w="5260" w:type="dxa"/>
            <w:hideMark/>
          </w:tcPr>
          <w:p w14:paraId="476C9770"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9. Se deberá obtener el consentimiento informado, otorgado de forma libre, de cada sujeto antes de su participación en el ensayo clínico.</w:t>
            </w:r>
          </w:p>
        </w:tc>
      </w:tr>
      <w:tr w:rsidR="004269FA" w:rsidRPr="00B22A9D" w14:paraId="5BF4522B" w14:textId="77777777" w:rsidTr="004269FA">
        <w:trPr>
          <w:trHeight w:val="447"/>
        </w:trPr>
        <w:tc>
          <w:tcPr>
            <w:tcW w:w="5980" w:type="dxa"/>
            <w:hideMark/>
          </w:tcPr>
          <w:p w14:paraId="436698F3"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8. La investigación con seres humanos debe continuar solo si el perfil de riesgo-beneficio sigue siendo favorable.</w:t>
            </w:r>
          </w:p>
        </w:tc>
        <w:tc>
          <w:tcPr>
            <w:tcW w:w="5260" w:type="dxa"/>
            <w:hideMark/>
          </w:tcPr>
          <w:p w14:paraId="52066F9A"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 </w:t>
            </w:r>
          </w:p>
        </w:tc>
      </w:tr>
      <w:tr w:rsidR="004269FA" w:rsidRPr="00B22A9D" w14:paraId="43633691" w14:textId="77777777" w:rsidTr="004269FA">
        <w:trPr>
          <w:trHeight w:val="1020"/>
        </w:trPr>
        <w:tc>
          <w:tcPr>
            <w:tcW w:w="5980" w:type="dxa"/>
            <w:hideMark/>
          </w:tcPr>
          <w:p w14:paraId="470112B0"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9. El personal médico calificado y debidamente autorizado (es decir, médico o, cuando corresponda, dentista) debe ser responsable de la atención médica de los sujetos del ensayo y de cualquier decisión médica tomada en su nombre</w:t>
            </w:r>
          </w:p>
        </w:tc>
        <w:tc>
          <w:tcPr>
            <w:tcW w:w="5260" w:type="dxa"/>
            <w:hideMark/>
          </w:tcPr>
          <w:p w14:paraId="0F36C654"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7. El cuidado médico que reciben los sujetos y las decisiones médicas tomadas en su nombre serán siempre responsabilidad de un médico cualificado o, en su caso, un odontólogo cualificado.</w:t>
            </w:r>
          </w:p>
        </w:tc>
      </w:tr>
      <w:tr w:rsidR="004269FA" w:rsidRPr="00B22A9D" w14:paraId="7A8BCFB5" w14:textId="77777777" w:rsidTr="004269FA">
        <w:trPr>
          <w:trHeight w:val="1020"/>
        </w:trPr>
        <w:tc>
          <w:tcPr>
            <w:tcW w:w="5980" w:type="dxa"/>
            <w:hideMark/>
          </w:tcPr>
          <w:p w14:paraId="50313F67"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lastRenderedPageBreak/>
              <w:t>10. cada individuo involucrado en la realización de un ensayo debe estar calificado por educación, capacitación y experiencia para realizar su (s) tarea (s) respectiva (s) y tener licencia para hacerlo, cuando sea necesario.</w:t>
            </w:r>
          </w:p>
        </w:tc>
        <w:tc>
          <w:tcPr>
            <w:tcW w:w="5260" w:type="dxa"/>
            <w:hideMark/>
          </w:tcPr>
          <w:p w14:paraId="0C5A2D62" w14:textId="5A7C8810"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8. Cada individuo implicado en la realización de un ensayo deberá estar cualificado, por su titulación, formación y experiencia, para realizar sus tareas y responsabilidades respectivas.</w:t>
            </w:r>
          </w:p>
        </w:tc>
      </w:tr>
      <w:tr w:rsidR="004269FA" w:rsidRPr="00B22A9D" w14:paraId="3A6D9D1E" w14:textId="77777777" w:rsidTr="004269FA">
        <w:trPr>
          <w:trHeight w:val="765"/>
        </w:trPr>
        <w:tc>
          <w:tcPr>
            <w:tcW w:w="5980" w:type="dxa"/>
            <w:hideMark/>
          </w:tcPr>
          <w:p w14:paraId="60AC3B0D"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11. Toda la información de los ensayos clínicos debe registrarse, manejarse y almacenarse de manera que permita su informe, interpretación y verificación precisos.</w:t>
            </w:r>
          </w:p>
        </w:tc>
        <w:tc>
          <w:tcPr>
            <w:tcW w:w="5260" w:type="dxa"/>
            <w:hideMark/>
          </w:tcPr>
          <w:p w14:paraId="4A625BEE"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10. Toda la información del ensayo clínico deberá ser registrada, manejada y archivada de forma que permita su comunicación, interpretación y verificación exactas.</w:t>
            </w:r>
          </w:p>
        </w:tc>
      </w:tr>
      <w:tr w:rsidR="004269FA" w:rsidRPr="00B22A9D" w14:paraId="49E94EAB" w14:textId="77777777" w:rsidTr="004269FA">
        <w:trPr>
          <w:trHeight w:val="1020"/>
        </w:trPr>
        <w:tc>
          <w:tcPr>
            <w:tcW w:w="5980" w:type="dxa"/>
            <w:hideMark/>
          </w:tcPr>
          <w:p w14:paraId="1A3151B5"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12. Se debe proteger la confidencialidad de los registros que podrían identificar a los sujetos, respetando las reglas de privacidad y confidencialidad de acuerdo con los requisitos reglamentarios aplicables.</w:t>
            </w:r>
          </w:p>
        </w:tc>
        <w:tc>
          <w:tcPr>
            <w:tcW w:w="5260" w:type="dxa"/>
            <w:hideMark/>
          </w:tcPr>
          <w:p w14:paraId="71183D01"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11. Se deberá proteger la confidencialidad de los registros que pudieran identificar a los sujetos respetando la privacidad y las normas de confidencialidad de acuerdo con los requisitos legislativos pertinentes.</w:t>
            </w:r>
          </w:p>
        </w:tc>
      </w:tr>
      <w:tr w:rsidR="004269FA" w:rsidRPr="00B22A9D" w14:paraId="351AB8E4" w14:textId="77777777" w:rsidTr="004269FA">
        <w:trPr>
          <w:trHeight w:val="1020"/>
        </w:trPr>
        <w:tc>
          <w:tcPr>
            <w:tcW w:w="5980" w:type="dxa"/>
            <w:hideMark/>
          </w:tcPr>
          <w:p w14:paraId="167BC0FA"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13. Los productos en investigación deben fabricarse, manipularse y almacenarse de acuerdo con las Buenas Prácticas de Fabricación (GMP) aplicables y deben usarse de acuerdo con el protocolo aprobado.</w:t>
            </w:r>
          </w:p>
        </w:tc>
        <w:tc>
          <w:tcPr>
            <w:tcW w:w="5260" w:type="dxa"/>
            <w:hideMark/>
          </w:tcPr>
          <w:p w14:paraId="24A6FBE8"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12. Los medicamentos en investigación deberán fabricarse, manejarse y almacenarse de acuerdo con las Normas de Correcta Fabricación (NCF) pertinentes y se deberán utilizar de acuerdo con el protocolo aprobado.</w:t>
            </w:r>
          </w:p>
        </w:tc>
      </w:tr>
      <w:tr w:rsidR="004269FA" w:rsidRPr="00B22A9D" w14:paraId="5A03DE75" w14:textId="77777777" w:rsidTr="004269FA">
        <w:trPr>
          <w:trHeight w:val="510"/>
        </w:trPr>
        <w:tc>
          <w:tcPr>
            <w:tcW w:w="5980" w:type="dxa"/>
            <w:hideMark/>
          </w:tcPr>
          <w:p w14:paraId="5D33D2DA"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14. Se deben implementar sistemas con procedimientos que aseguren la calidad de cada aspecto de la prueba.</w:t>
            </w:r>
          </w:p>
        </w:tc>
        <w:tc>
          <w:tcPr>
            <w:tcW w:w="5260" w:type="dxa"/>
            <w:hideMark/>
          </w:tcPr>
          <w:p w14:paraId="282CCEBD" w14:textId="77777777" w:rsidR="004269FA" w:rsidRPr="00B22A9D" w:rsidRDefault="004269FA" w:rsidP="004269FA">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13. Se implantaran sistemas con procedimientos que aseguren la calidad de cada aspecto del ensayo.</w:t>
            </w:r>
          </w:p>
        </w:tc>
      </w:tr>
    </w:tbl>
    <w:p w14:paraId="4C67E322" w14:textId="6A0DA0D6" w:rsidR="00BD6E5E" w:rsidRDefault="00BD6E5E">
      <w:pPr>
        <w:jc w:val="both"/>
        <w:rPr>
          <w:rFonts w:ascii="Arial" w:eastAsia="Times New Roman" w:hAnsi="Arial" w:cs="Arial"/>
          <w:color w:val="000000"/>
          <w:lang w:val="es-ES" w:eastAsia="es-ES"/>
        </w:rPr>
      </w:pPr>
    </w:p>
    <w:p w14:paraId="27E01CF7" w14:textId="3F9381AB" w:rsidR="00DB3185" w:rsidRPr="00DB3185" w:rsidRDefault="00DB3185" w:rsidP="00187AB0">
      <w:pPr>
        <w:pStyle w:val="NormalWeb"/>
        <w:numPr>
          <w:ilvl w:val="0"/>
          <w:numId w:val="9"/>
        </w:numPr>
        <w:spacing w:after="0" w:afterAutospacing="0"/>
        <w:jc w:val="both"/>
        <w:rPr>
          <w:rFonts w:ascii="Arial" w:hAnsi="Arial" w:cs="Arial"/>
          <w:b/>
          <w:color w:val="000000"/>
          <w:lang w:val="es-ES" w:eastAsia="es-ES"/>
        </w:rPr>
      </w:pPr>
      <w:r w:rsidRPr="00DB3185">
        <w:rPr>
          <w:rFonts w:ascii="Arial" w:hAnsi="Arial" w:cs="Arial"/>
          <w:b/>
          <w:color w:val="000000"/>
          <w:lang w:val="es-ES" w:eastAsia="es-ES"/>
        </w:rPr>
        <w:t xml:space="preserve">¿Cuáles son los actores </w:t>
      </w:r>
      <w:r w:rsidR="00FA4567">
        <w:rPr>
          <w:rFonts w:ascii="Arial" w:hAnsi="Arial" w:cs="Arial"/>
          <w:b/>
          <w:color w:val="000000"/>
          <w:lang w:val="es-ES" w:eastAsia="es-ES"/>
        </w:rPr>
        <w:t xml:space="preserve">que </w:t>
      </w:r>
      <w:r w:rsidRPr="00DB3185">
        <w:rPr>
          <w:rFonts w:ascii="Arial" w:hAnsi="Arial" w:cs="Arial"/>
          <w:b/>
          <w:color w:val="000000"/>
          <w:lang w:val="es-ES" w:eastAsia="es-ES"/>
        </w:rPr>
        <w:t>participan en una investigación con medicamentos en seres humanos?</w:t>
      </w:r>
    </w:p>
    <w:p w14:paraId="164C3FA2" w14:textId="35B38AED" w:rsidR="00DB3185" w:rsidRDefault="00DB3185" w:rsidP="00DB3185">
      <w:pPr>
        <w:pStyle w:val="NormalWeb"/>
        <w:spacing w:after="0"/>
        <w:jc w:val="both"/>
        <w:rPr>
          <w:rFonts w:ascii="Arial" w:hAnsi="Arial" w:cs="Arial"/>
          <w:color w:val="000000"/>
          <w:lang w:val="es-ES" w:eastAsia="es-ES"/>
        </w:rPr>
      </w:pPr>
      <w:r>
        <w:rPr>
          <w:rFonts w:ascii="Arial" w:hAnsi="Arial" w:cs="Arial"/>
          <w:color w:val="000000"/>
          <w:lang w:val="es-ES" w:eastAsia="es-ES"/>
        </w:rPr>
        <w:t xml:space="preserve">En los estudios con medicamentos o dispositivos médicos en los cuales se involucra la participación de seres humanos, se identifican diferentes actores, cada uno con sus funciones y responsabilidades: </w:t>
      </w:r>
      <w:r w:rsidR="0007275A">
        <w:rPr>
          <w:rFonts w:ascii="Arial" w:hAnsi="Arial" w:cs="Arial"/>
          <w:color w:val="000000"/>
          <w:lang w:val="es-ES" w:eastAsia="es-ES"/>
        </w:rPr>
        <w:t xml:space="preserve">(ver figura No 1) </w:t>
      </w:r>
      <w:r>
        <w:rPr>
          <w:rFonts w:ascii="Arial" w:hAnsi="Arial" w:cs="Arial"/>
          <w:color w:val="000000"/>
          <w:lang w:val="es-ES" w:eastAsia="es-ES"/>
        </w:rPr>
        <w:t>(1)</w:t>
      </w:r>
    </w:p>
    <w:p w14:paraId="6FE28534" w14:textId="1404723D" w:rsidR="00DB3185" w:rsidRPr="00DB3185" w:rsidRDefault="00DB3185" w:rsidP="00DB3185">
      <w:pPr>
        <w:pStyle w:val="NormalWeb"/>
        <w:spacing w:after="0"/>
        <w:jc w:val="both"/>
        <w:rPr>
          <w:rFonts w:ascii="Arial" w:hAnsi="Arial" w:cs="Arial"/>
          <w:color w:val="000000"/>
          <w:lang w:val="es-ES" w:eastAsia="es-ES"/>
        </w:rPr>
      </w:pPr>
      <w:r w:rsidRPr="00DB3185">
        <w:rPr>
          <w:rFonts w:ascii="Arial" w:hAnsi="Arial" w:cs="Arial"/>
          <w:color w:val="000000"/>
          <w:lang w:val="es-ES" w:eastAsia="es-ES"/>
        </w:rPr>
        <w:t xml:space="preserve">• </w:t>
      </w:r>
      <w:r w:rsidRPr="00DB3185">
        <w:rPr>
          <w:rFonts w:ascii="Arial" w:hAnsi="Arial" w:cs="Arial"/>
          <w:b/>
          <w:color w:val="000000"/>
          <w:lang w:val="es-ES" w:eastAsia="es-ES"/>
        </w:rPr>
        <w:t>Centro de investigación - Institución Prestadora de Servicios de Salud:</w:t>
      </w:r>
      <w:r>
        <w:rPr>
          <w:rFonts w:ascii="Arial" w:hAnsi="Arial" w:cs="Arial"/>
          <w:color w:val="000000"/>
          <w:lang w:val="es-ES" w:eastAsia="es-ES"/>
        </w:rPr>
        <w:t xml:space="preserve"> establecimiento</w:t>
      </w:r>
      <w:r w:rsidRPr="00DB3185">
        <w:rPr>
          <w:rFonts w:ascii="Arial" w:hAnsi="Arial" w:cs="Arial"/>
          <w:color w:val="000000"/>
          <w:lang w:val="es-ES" w:eastAsia="es-ES"/>
        </w:rPr>
        <w:t xml:space="preserve"> donde se desarrolla el proceso de investigación. Esta institución debe contar con el certificado del “Sistema Único de Habilitación”</w:t>
      </w:r>
      <w:r>
        <w:rPr>
          <w:rFonts w:ascii="Arial" w:hAnsi="Arial" w:cs="Arial"/>
          <w:color w:val="000000"/>
          <w:lang w:val="es-ES" w:eastAsia="es-ES"/>
        </w:rPr>
        <w:t xml:space="preserve"> según la normatividad vigente en Colombia.</w:t>
      </w:r>
    </w:p>
    <w:p w14:paraId="601D11D3" w14:textId="21DA9610" w:rsidR="00DB3185" w:rsidRPr="00DB3185" w:rsidRDefault="00DB3185" w:rsidP="00DB3185">
      <w:pPr>
        <w:pStyle w:val="NormalWeb"/>
        <w:spacing w:after="0"/>
        <w:jc w:val="both"/>
        <w:rPr>
          <w:rFonts w:ascii="Arial" w:hAnsi="Arial" w:cs="Arial"/>
          <w:color w:val="000000"/>
          <w:lang w:val="es-ES" w:eastAsia="es-ES"/>
        </w:rPr>
      </w:pPr>
      <w:r w:rsidRPr="00DB3185">
        <w:rPr>
          <w:rFonts w:ascii="Arial" w:hAnsi="Arial" w:cs="Arial"/>
          <w:color w:val="000000"/>
          <w:lang w:val="es-ES" w:eastAsia="es-ES"/>
        </w:rPr>
        <w:t xml:space="preserve">• </w:t>
      </w:r>
      <w:r w:rsidRPr="0007275A">
        <w:rPr>
          <w:rFonts w:ascii="Arial" w:hAnsi="Arial" w:cs="Arial"/>
          <w:b/>
          <w:color w:val="000000"/>
          <w:lang w:val="es-ES" w:eastAsia="es-ES"/>
        </w:rPr>
        <w:t>El Comité de Ética Institucional:</w:t>
      </w:r>
      <w:r w:rsidR="0007275A">
        <w:rPr>
          <w:rFonts w:ascii="Arial" w:hAnsi="Arial" w:cs="Arial"/>
          <w:color w:val="000000"/>
          <w:lang w:val="es-ES" w:eastAsia="es-ES"/>
        </w:rPr>
        <w:t xml:space="preserve"> e</w:t>
      </w:r>
      <w:r w:rsidRPr="00DB3185">
        <w:rPr>
          <w:rFonts w:ascii="Arial" w:hAnsi="Arial" w:cs="Arial"/>
          <w:color w:val="000000"/>
          <w:lang w:val="es-ES" w:eastAsia="es-ES"/>
        </w:rPr>
        <w:t>s un organismo independiente</w:t>
      </w:r>
      <w:r>
        <w:rPr>
          <w:rFonts w:ascii="Arial" w:hAnsi="Arial" w:cs="Arial"/>
          <w:color w:val="000000"/>
          <w:lang w:val="es-ES" w:eastAsia="es-ES"/>
        </w:rPr>
        <w:t xml:space="preserve"> del centro de </w:t>
      </w:r>
      <w:r w:rsidR="0007275A">
        <w:rPr>
          <w:rFonts w:ascii="Arial" w:hAnsi="Arial" w:cs="Arial"/>
          <w:color w:val="000000"/>
          <w:lang w:val="es-ES" w:eastAsia="es-ES"/>
        </w:rPr>
        <w:t>investigación</w:t>
      </w:r>
      <w:r w:rsidR="0007275A" w:rsidRPr="00DB3185">
        <w:rPr>
          <w:rFonts w:ascii="Arial" w:hAnsi="Arial" w:cs="Arial"/>
          <w:color w:val="000000"/>
          <w:lang w:val="es-ES" w:eastAsia="es-ES"/>
        </w:rPr>
        <w:t>, conformado</w:t>
      </w:r>
      <w:r w:rsidRPr="00DB3185">
        <w:rPr>
          <w:rFonts w:ascii="Arial" w:hAnsi="Arial" w:cs="Arial"/>
          <w:color w:val="000000"/>
          <w:lang w:val="es-ES" w:eastAsia="es-ES"/>
        </w:rPr>
        <w:t xml:space="preserve"> por un grupo profesional multidisciplinario con capacidad crítica que vela por la integridad</w:t>
      </w:r>
      <w:r>
        <w:rPr>
          <w:rFonts w:ascii="Arial" w:hAnsi="Arial" w:cs="Arial"/>
          <w:color w:val="000000"/>
          <w:lang w:val="es-ES" w:eastAsia="es-ES"/>
        </w:rPr>
        <w:t xml:space="preserve"> y derechos</w:t>
      </w:r>
      <w:r w:rsidRPr="00DB3185">
        <w:rPr>
          <w:rFonts w:ascii="Arial" w:hAnsi="Arial" w:cs="Arial"/>
          <w:color w:val="000000"/>
          <w:lang w:val="es-ES" w:eastAsia="es-ES"/>
        </w:rPr>
        <w:t xml:space="preserve"> de los sujetos participantes. </w:t>
      </w:r>
    </w:p>
    <w:p w14:paraId="34AC6870" w14:textId="3608979F" w:rsidR="00DB3185" w:rsidRPr="00DB3185" w:rsidRDefault="0007275A" w:rsidP="00DB3185">
      <w:pPr>
        <w:pStyle w:val="NormalWeb"/>
        <w:spacing w:after="0"/>
        <w:jc w:val="both"/>
        <w:rPr>
          <w:rFonts w:ascii="Arial" w:hAnsi="Arial" w:cs="Arial"/>
          <w:color w:val="000000"/>
          <w:lang w:val="es-ES" w:eastAsia="es-ES"/>
        </w:rPr>
      </w:pPr>
      <w:r>
        <w:rPr>
          <w:rFonts w:ascii="Arial" w:hAnsi="Arial" w:cs="Arial"/>
          <w:color w:val="000000"/>
          <w:lang w:val="es-ES" w:eastAsia="es-ES"/>
        </w:rPr>
        <w:t xml:space="preserve">• </w:t>
      </w:r>
      <w:r w:rsidRPr="0007275A">
        <w:rPr>
          <w:rFonts w:ascii="Arial" w:hAnsi="Arial" w:cs="Arial"/>
          <w:b/>
          <w:color w:val="000000"/>
          <w:lang w:val="es-ES" w:eastAsia="es-ES"/>
        </w:rPr>
        <w:t>El investigador principal:</w:t>
      </w:r>
      <w:r>
        <w:rPr>
          <w:rFonts w:ascii="Arial" w:hAnsi="Arial" w:cs="Arial"/>
          <w:color w:val="000000"/>
          <w:lang w:val="es-ES" w:eastAsia="es-ES"/>
        </w:rPr>
        <w:t xml:space="preserve"> e</w:t>
      </w:r>
      <w:r w:rsidR="00DB3185" w:rsidRPr="00DB3185">
        <w:rPr>
          <w:rFonts w:ascii="Arial" w:hAnsi="Arial" w:cs="Arial"/>
          <w:color w:val="000000"/>
          <w:lang w:val="es-ES" w:eastAsia="es-ES"/>
        </w:rPr>
        <w:t xml:space="preserve">s </w:t>
      </w:r>
      <w:r>
        <w:rPr>
          <w:rFonts w:ascii="Arial" w:hAnsi="Arial" w:cs="Arial"/>
          <w:color w:val="000000"/>
          <w:lang w:val="es-ES" w:eastAsia="es-ES"/>
        </w:rPr>
        <w:t>el médico experto en los temas</w:t>
      </w:r>
      <w:r w:rsidR="00DB3185" w:rsidRPr="00DB3185">
        <w:rPr>
          <w:rFonts w:ascii="Arial" w:hAnsi="Arial" w:cs="Arial"/>
          <w:color w:val="000000"/>
          <w:lang w:val="es-ES" w:eastAsia="es-ES"/>
        </w:rPr>
        <w:t xml:space="preserve"> relacionados con la </w:t>
      </w:r>
      <w:r>
        <w:rPr>
          <w:rFonts w:ascii="Arial" w:hAnsi="Arial" w:cs="Arial"/>
          <w:color w:val="000000"/>
          <w:lang w:val="es-ES" w:eastAsia="es-ES"/>
        </w:rPr>
        <w:t>investigación, y es el responsable de la conducción</w:t>
      </w:r>
      <w:r w:rsidR="00DB3185" w:rsidRPr="00DB3185">
        <w:rPr>
          <w:rFonts w:ascii="Arial" w:hAnsi="Arial" w:cs="Arial"/>
          <w:color w:val="000000"/>
          <w:lang w:val="es-ES" w:eastAsia="es-ES"/>
        </w:rPr>
        <w:t xml:space="preserve"> el estudio.</w:t>
      </w:r>
    </w:p>
    <w:p w14:paraId="552F7012" w14:textId="4CC7149E" w:rsidR="00DB3185" w:rsidRDefault="0007275A" w:rsidP="00DB3185">
      <w:pPr>
        <w:pStyle w:val="NormalWeb"/>
        <w:spacing w:after="0"/>
        <w:jc w:val="both"/>
        <w:rPr>
          <w:rFonts w:ascii="Arial" w:hAnsi="Arial" w:cs="Arial"/>
          <w:color w:val="000000"/>
          <w:lang w:val="es-ES" w:eastAsia="es-ES"/>
        </w:rPr>
      </w:pPr>
      <w:r>
        <w:rPr>
          <w:rFonts w:ascii="Arial" w:hAnsi="Arial" w:cs="Arial"/>
          <w:color w:val="000000"/>
          <w:lang w:val="es-ES" w:eastAsia="es-ES"/>
        </w:rPr>
        <w:t xml:space="preserve">• </w:t>
      </w:r>
      <w:r w:rsidRPr="0007275A">
        <w:rPr>
          <w:rFonts w:ascii="Arial" w:hAnsi="Arial" w:cs="Arial"/>
          <w:b/>
          <w:color w:val="000000"/>
          <w:lang w:val="es-ES" w:eastAsia="es-ES"/>
        </w:rPr>
        <w:t>El laboratorio clínico:</w:t>
      </w:r>
      <w:r>
        <w:rPr>
          <w:rFonts w:ascii="Arial" w:hAnsi="Arial" w:cs="Arial"/>
          <w:color w:val="000000"/>
          <w:lang w:val="es-ES" w:eastAsia="es-ES"/>
        </w:rPr>
        <w:t xml:space="preserve"> </w:t>
      </w:r>
      <w:r w:rsidR="00DB3185" w:rsidRPr="00DB3185">
        <w:rPr>
          <w:rFonts w:ascii="Arial" w:hAnsi="Arial" w:cs="Arial"/>
          <w:color w:val="000000"/>
          <w:lang w:val="es-ES" w:eastAsia="es-ES"/>
        </w:rPr>
        <w:t>encargado de la toma, procesamiento y embalaje de las muestras relacionadas con el estudio.</w:t>
      </w:r>
    </w:p>
    <w:p w14:paraId="0C6ED5F5" w14:textId="1B4EB7FD" w:rsidR="0007275A" w:rsidRPr="00DB3185" w:rsidRDefault="0007275A" w:rsidP="00DB3185">
      <w:pPr>
        <w:pStyle w:val="NormalWeb"/>
        <w:spacing w:after="0"/>
        <w:jc w:val="both"/>
        <w:rPr>
          <w:rFonts w:ascii="Arial" w:hAnsi="Arial" w:cs="Arial"/>
          <w:color w:val="000000"/>
          <w:lang w:val="es-ES" w:eastAsia="es-ES"/>
        </w:rPr>
      </w:pPr>
      <w:r w:rsidRPr="00DB3185">
        <w:rPr>
          <w:rFonts w:ascii="Arial" w:hAnsi="Arial" w:cs="Arial"/>
          <w:color w:val="000000"/>
          <w:lang w:val="es-ES" w:eastAsia="es-ES"/>
        </w:rPr>
        <w:lastRenderedPageBreak/>
        <w:t xml:space="preserve">• </w:t>
      </w:r>
      <w:r w:rsidRPr="0007275A">
        <w:rPr>
          <w:rFonts w:ascii="Arial" w:hAnsi="Arial" w:cs="Arial"/>
          <w:b/>
          <w:color w:val="000000"/>
          <w:lang w:val="es-ES" w:eastAsia="es-ES"/>
        </w:rPr>
        <w:t>Sujetos participantes:</w:t>
      </w:r>
      <w:r>
        <w:rPr>
          <w:rFonts w:ascii="Arial" w:hAnsi="Arial" w:cs="Arial"/>
          <w:color w:val="000000"/>
          <w:lang w:val="es-ES" w:eastAsia="es-ES"/>
        </w:rPr>
        <w:t xml:space="preserve"> p</w:t>
      </w:r>
      <w:r w:rsidRPr="00DB3185">
        <w:rPr>
          <w:rFonts w:ascii="Arial" w:hAnsi="Arial" w:cs="Arial"/>
          <w:color w:val="000000"/>
          <w:lang w:val="es-ES" w:eastAsia="es-ES"/>
        </w:rPr>
        <w:t>ersonas que de manera voluntaria e informada</w:t>
      </w:r>
      <w:r>
        <w:rPr>
          <w:rFonts w:ascii="Arial" w:hAnsi="Arial" w:cs="Arial"/>
          <w:color w:val="000000"/>
          <w:lang w:val="es-ES" w:eastAsia="es-ES"/>
        </w:rPr>
        <w:t xml:space="preserve"> participan en el estudio</w:t>
      </w:r>
      <w:r w:rsidRPr="00DB3185">
        <w:rPr>
          <w:rFonts w:ascii="Arial" w:hAnsi="Arial" w:cs="Arial"/>
          <w:color w:val="000000"/>
          <w:lang w:val="es-ES" w:eastAsia="es-ES"/>
        </w:rPr>
        <w:t xml:space="preserve"> de inv</w:t>
      </w:r>
      <w:r w:rsidR="00F863FF">
        <w:rPr>
          <w:rFonts w:ascii="Arial" w:hAnsi="Arial" w:cs="Arial"/>
          <w:color w:val="000000"/>
          <w:lang w:val="es-ES" w:eastAsia="es-ES"/>
        </w:rPr>
        <w:t xml:space="preserve">estigación. </w:t>
      </w:r>
    </w:p>
    <w:p w14:paraId="17EB4526" w14:textId="769C46BB" w:rsidR="00DB3185" w:rsidRPr="00DB3185" w:rsidRDefault="0007275A" w:rsidP="00DB3185">
      <w:pPr>
        <w:pStyle w:val="NormalWeb"/>
        <w:spacing w:after="0"/>
        <w:jc w:val="both"/>
        <w:rPr>
          <w:rFonts w:ascii="Arial" w:hAnsi="Arial" w:cs="Arial"/>
          <w:color w:val="000000"/>
          <w:lang w:val="es-ES" w:eastAsia="es-ES"/>
        </w:rPr>
      </w:pPr>
      <w:r>
        <w:rPr>
          <w:rFonts w:ascii="Arial" w:hAnsi="Arial" w:cs="Arial"/>
          <w:color w:val="000000"/>
          <w:lang w:val="es-ES" w:eastAsia="es-ES"/>
        </w:rPr>
        <w:t xml:space="preserve">• </w:t>
      </w:r>
      <w:r w:rsidRPr="0007275A">
        <w:rPr>
          <w:rFonts w:ascii="Arial" w:hAnsi="Arial" w:cs="Arial"/>
          <w:b/>
          <w:color w:val="000000"/>
          <w:lang w:val="es-ES" w:eastAsia="es-ES"/>
        </w:rPr>
        <w:t>El patrocinador:</w:t>
      </w:r>
      <w:r>
        <w:rPr>
          <w:rFonts w:ascii="Arial" w:hAnsi="Arial" w:cs="Arial"/>
          <w:color w:val="000000"/>
          <w:lang w:val="es-ES" w:eastAsia="es-ES"/>
        </w:rPr>
        <w:t xml:space="preserve"> e</w:t>
      </w:r>
      <w:r w:rsidR="00DB3185" w:rsidRPr="00DB3185">
        <w:rPr>
          <w:rFonts w:ascii="Arial" w:hAnsi="Arial" w:cs="Arial"/>
          <w:color w:val="000000"/>
          <w:lang w:val="es-ES" w:eastAsia="es-ES"/>
        </w:rPr>
        <w:t xml:space="preserve">s la institución u organización que realiza los aportes </w:t>
      </w:r>
      <w:r w:rsidRPr="00DB3185">
        <w:rPr>
          <w:rFonts w:ascii="Arial" w:hAnsi="Arial" w:cs="Arial"/>
          <w:color w:val="000000"/>
          <w:lang w:val="es-ES" w:eastAsia="es-ES"/>
        </w:rPr>
        <w:t>para financiar</w:t>
      </w:r>
      <w:r w:rsidR="00DB3185" w:rsidRPr="00DB3185">
        <w:rPr>
          <w:rFonts w:ascii="Arial" w:hAnsi="Arial" w:cs="Arial"/>
          <w:color w:val="000000"/>
          <w:lang w:val="es-ES" w:eastAsia="es-ES"/>
        </w:rPr>
        <w:t xml:space="preserve"> </w:t>
      </w:r>
      <w:r>
        <w:rPr>
          <w:rFonts w:ascii="Arial" w:hAnsi="Arial" w:cs="Arial"/>
          <w:color w:val="000000"/>
          <w:lang w:val="es-ES" w:eastAsia="es-ES"/>
        </w:rPr>
        <w:t>la realización d</w:t>
      </w:r>
      <w:r w:rsidR="00DB3185" w:rsidRPr="00DB3185">
        <w:rPr>
          <w:rFonts w:ascii="Arial" w:hAnsi="Arial" w:cs="Arial"/>
          <w:color w:val="000000"/>
          <w:lang w:val="es-ES" w:eastAsia="es-ES"/>
        </w:rPr>
        <w:t>el estudio.</w:t>
      </w:r>
    </w:p>
    <w:p w14:paraId="37C877C8" w14:textId="0EDC8D2A" w:rsidR="00DB3185" w:rsidRPr="00DB3185" w:rsidRDefault="0007275A" w:rsidP="00DB3185">
      <w:pPr>
        <w:pStyle w:val="NormalWeb"/>
        <w:spacing w:after="0"/>
        <w:jc w:val="both"/>
        <w:rPr>
          <w:rFonts w:ascii="Arial" w:hAnsi="Arial" w:cs="Arial"/>
          <w:color w:val="000000"/>
          <w:lang w:val="es-ES" w:eastAsia="es-ES"/>
        </w:rPr>
      </w:pPr>
      <w:r>
        <w:rPr>
          <w:rFonts w:ascii="Arial" w:hAnsi="Arial" w:cs="Arial"/>
          <w:color w:val="000000"/>
          <w:lang w:val="es-ES" w:eastAsia="es-ES"/>
        </w:rPr>
        <w:t xml:space="preserve">• </w:t>
      </w:r>
      <w:r w:rsidRPr="0007275A">
        <w:rPr>
          <w:rFonts w:ascii="Arial" w:hAnsi="Arial" w:cs="Arial"/>
          <w:b/>
          <w:color w:val="000000"/>
          <w:lang w:val="es-ES" w:eastAsia="es-ES"/>
        </w:rPr>
        <w:t>El testigo imparcial:</w:t>
      </w:r>
      <w:r>
        <w:rPr>
          <w:rFonts w:ascii="Arial" w:hAnsi="Arial" w:cs="Arial"/>
          <w:color w:val="000000"/>
          <w:lang w:val="es-ES" w:eastAsia="es-ES"/>
        </w:rPr>
        <w:t xml:space="preserve"> p</w:t>
      </w:r>
      <w:r w:rsidR="00DB3185" w:rsidRPr="00DB3185">
        <w:rPr>
          <w:rFonts w:ascii="Arial" w:hAnsi="Arial" w:cs="Arial"/>
          <w:color w:val="000000"/>
          <w:lang w:val="es-ES" w:eastAsia="es-ES"/>
        </w:rPr>
        <w:t>ersona(s) que asiste(n) al procedimiento de declaración de consentimiento informado y con su firma dan fe de que se ha dado información suficiente y clara sobre los riesgos y beneficios del estudio. El testigo imparcial no puede tener ningún vínculo con los demás actores de la investigación.</w:t>
      </w:r>
    </w:p>
    <w:p w14:paraId="43613C8B" w14:textId="57D92AD9" w:rsidR="00DB3185" w:rsidRPr="0007275A" w:rsidRDefault="0007275A" w:rsidP="00DB3185">
      <w:pPr>
        <w:pStyle w:val="NormalWeb"/>
        <w:spacing w:after="0" w:afterAutospacing="0"/>
        <w:jc w:val="both"/>
        <w:rPr>
          <w:rFonts w:ascii="Arial" w:hAnsi="Arial" w:cs="Arial"/>
          <w:i/>
          <w:color w:val="000000"/>
          <w:lang w:val="es-ES" w:eastAsia="es-ES"/>
        </w:rPr>
      </w:pPr>
      <w:r w:rsidRPr="0007275A">
        <w:rPr>
          <w:rFonts w:ascii="Arial" w:hAnsi="Arial" w:cs="Arial"/>
          <w:i/>
          <w:color w:val="000000"/>
          <w:lang w:val="es-ES" w:eastAsia="es-ES"/>
        </w:rPr>
        <w:t xml:space="preserve">Figura No 1. Actores participan en una investigación con medicamentos en seres humanos. </w:t>
      </w:r>
    </w:p>
    <w:p w14:paraId="414DA64A" w14:textId="6769CF76" w:rsidR="0007275A" w:rsidRDefault="0007275A" w:rsidP="0007275A">
      <w:pPr>
        <w:pStyle w:val="NormalWeb"/>
        <w:spacing w:after="0" w:afterAutospacing="0"/>
        <w:jc w:val="center"/>
        <w:rPr>
          <w:rFonts w:ascii="Arial" w:hAnsi="Arial" w:cs="Arial"/>
          <w:color w:val="000000"/>
          <w:lang w:val="es-ES" w:eastAsia="es-ES"/>
        </w:rPr>
      </w:pPr>
      <w:r>
        <w:rPr>
          <w:noProof/>
          <w:lang w:val="en-US" w:eastAsia="en-US"/>
        </w:rPr>
        <w:drawing>
          <wp:inline distT="0" distB="0" distL="0" distR="0" wp14:anchorId="14E17D1E" wp14:editId="75F73046">
            <wp:extent cx="4707172" cy="29495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104" t="16345" r="19705" b="5953"/>
                    <a:stretch/>
                  </pic:blipFill>
                  <pic:spPr bwMode="auto">
                    <a:xfrm>
                      <a:off x="0" y="0"/>
                      <a:ext cx="4720617" cy="2958000"/>
                    </a:xfrm>
                    <a:prstGeom prst="rect">
                      <a:avLst/>
                    </a:prstGeom>
                    <a:ln>
                      <a:noFill/>
                    </a:ln>
                    <a:extLst>
                      <a:ext uri="{53640926-AAD7-44D8-BBD7-CCE9431645EC}">
                        <a14:shadowObscured xmlns:a14="http://schemas.microsoft.com/office/drawing/2010/main"/>
                      </a:ext>
                    </a:extLst>
                  </pic:spPr>
                </pic:pic>
              </a:graphicData>
            </a:graphic>
          </wp:inline>
        </w:drawing>
      </w:r>
    </w:p>
    <w:p w14:paraId="6148BDF4" w14:textId="3EAC1C8C" w:rsidR="001B5A85" w:rsidRDefault="001B5A85" w:rsidP="0007275A">
      <w:pPr>
        <w:pStyle w:val="NormalWeb"/>
        <w:spacing w:after="0" w:afterAutospacing="0"/>
        <w:jc w:val="center"/>
        <w:rPr>
          <w:rFonts w:ascii="Arial" w:hAnsi="Arial" w:cs="Arial"/>
          <w:color w:val="000000"/>
          <w:lang w:val="es-ES" w:eastAsia="es-ES"/>
        </w:rPr>
      </w:pPr>
    </w:p>
    <w:p w14:paraId="6BCFF7B4" w14:textId="245EB438" w:rsidR="001B5A85" w:rsidRDefault="001B5A85" w:rsidP="0007275A">
      <w:pPr>
        <w:pStyle w:val="NormalWeb"/>
        <w:spacing w:after="0" w:afterAutospacing="0"/>
        <w:jc w:val="center"/>
        <w:rPr>
          <w:rFonts w:ascii="Arial" w:hAnsi="Arial" w:cs="Arial"/>
          <w:color w:val="000000"/>
          <w:lang w:val="es-ES" w:eastAsia="es-ES"/>
        </w:rPr>
      </w:pPr>
    </w:p>
    <w:p w14:paraId="60349DAF" w14:textId="3C17F892" w:rsidR="001B5A85" w:rsidRPr="00364A80" w:rsidRDefault="001B5A85" w:rsidP="00187AB0">
      <w:pPr>
        <w:pStyle w:val="NormalWeb"/>
        <w:numPr>
          <w:ilvl w:val="0"/>
          <w:numId w:val="9"/>
        </w:numPr>
        <w:spacing w:after="0" w:afterAutospacing="0"/>
        <w:jc w:val="both"/>
        <w:rPr>
          <w:rFonts w:ascii="Arial" w:hAnsi="Arial" w:cs="Arial"/>
          <w:b/>
          <w:color w:val="000000"/>
          <w:lang w:val="es-ES" w:eastAsia="es-ES"/>
        </w:rPr>
      </w:pPr>
      <w:r w:rsidRPr="00364A80">
        <w:rPr>
          <w:rFonts w:ascii="Arial" w:hAnsi="Arial" w:cs="Arial"/>
          <w:b/>
          <w:color w:val="000000"/>
          <w:lang w:val="es-ES" w:eastAsia="es-ES"/>
        </w:rPr>
        <w:t>¿A qué autoridad en Colombia le corresponde verificar el cumplimiento de las Buenas Prácticas Clínicas?</w:t>
      </w:r>
    </w:p>
    <w:p w14:paraId="7EA7C217" w14:textId="77777777" w:rsidR="001B5A85" w:rsidRDefault="001B5A85" w:rsidP="001B5A85">
      <w:pPr>
        <w:pStyle w:val="NormalWeb"/>
        <w:spacing w:after="0" w:afterAutospacing="0"/>
        <w:jc w:val="both"/>
        <w:rPr>
          <w:rFonts w:ascii="Arial" w:hAnsi="Arial" w:cs="Arial"/>
          <w:color w:val="000000"/>
          <w:lang w:val="es-ES" w:eastAsia="es-ES"/>
        </w:rPr>
      </w:pPr>
    </w:p>
    <w:p w14:paraId="3A434A89" w14:textId="35D42528" w:rsidR="00FD1316" w:rsidRPr="00B22A9D" w:rsidRDefault="00F609E7">
      <w:pPr>
        <w:jc w:val="both"/>
        <w:rPr>
          <w:rFonts w:ascii="Arial" w:eastAsia="Times New Roman" w:hAnsi="Arial" w:cs="Arial"/>
          <w:color w:val="000000"/>
          <w:lang w:val="es-ES" w:eastAsia="es-ES"/>
        </w:rPr>
      </w:pPr>
      <w:r>
        <w:rPr>
          <w:rFonts w:ascii="Arial" w:eastAsia="Times New Roman" w:hAnsi="Arial" w:cs="Arial"/>
          <w:color w:val="000000"/>
          <w:lang w:val="es-ES" w:eastAsia="es-ES"/>
        </w:rPr>
        <w:t xml:space="preserve">El </w:t>
      </w:r>
      <w:r w:rsidRPr="00F609E7">
        <w:rPr>
          <w:rFonts w:ascii="Arial" w:eastAsia="Times New Roman" w:hAnsi="Arial" w:cs="Arial"/>
          <w:color w:val="000000"/>
          <w:lang w:val="es-ES" w:eastAsia="es-ES"/>
        </w:rPr>
        <w:t>Instituto Nacional de Vigilancia de Medicamentos y Alimentos - INVIMA</w:t>
      </w:r>
      <w:r w:rsidR="00FD1316" w:rsidRPr="00B22A9D">
        <w:rPr>
          <w:rFonts w:ascii="Arial" w:eastAsia="Times New Roman" w:hAnsi="Arial" w:cs="Arial"/>
          <w:color w:val="000000"/>
          <w:lang w:val="es-ES" w:eastAsia="es-ES"/>
        </w:rPr>
        <w:t>, como Agencia Sanitaria Nacional, tiene la respo</w:t>
      </w:r>
      <w:r>
        <w:rPr>
          <w:rFonts w:ascii="Arial" w:eastAsia="Times New Roman" w:hAnsi="Arial" w:cs="Arial"/>
          <w:color w:val="000000"/>
          <w:lang w:val="es-ES" w:eastAsia="es-ES"/>
        </w:rPr>
        <w:t>nsabilidad de ser el garante en el</w:t>
      </w:r>
      <w:r w:rsidR="00FD1316" w:rsidRPr="00B22A9D">
        <w:rPr>
          <w:rFonts w:ascii="Arial" w:eastAsia="Times New Roman" w:hAnsi="Arial" w:cs="Arial"/>
          <w:color w:val="000000"/>
          <w:lang w:val="es-ES" w:eastAsia="es-ES"/>
        </w:rPr>
        <w:t xml:space="preserve"> cumplimiento de la implementación y seguimiento de las Buenas </w:t>
      </w:r>
      <w:r w:rsidRPr="00B22A9D">
        <w:rPr>
          <w:rFonts w:ascii="Arial" w:eastAsia="Times New Roman" w:hAnsi="Arial" w:cs="Arial"/>
          <w:color w:val="000000"/>
          <w:lang w:val="es-ES" w:eastAsia="es-ES"/>
        </w:rPr>
        <w:t>Prácticas</w:t>
      </w:r>
      <w:r w:rsidR="00FD1316" w:rsidRPr="00B22A9D">
        <w:rPr>
          <w:rFonts w:ascii="Arial" w:eastAsia="Times New Roman" w:hAnsi="Arial" w:cs="Arial"/>
          <w:color w:val="000000"/>
          <w:lang w:val="es-ES" w:eastAsia="es-ES"/>
        </w:rPr>
        <w:t xml:space="preserve"> Clínicas.  </w:t>
      </w:r>
    </w:p>
    <w:p w14:paraId="2B3C68F4" w14:textId="04B3E347" w:rsidR="00E9454D" w:rsidRPr="00B22A9D" w:rsidRDefault="00C31E62">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A lo largo del presente capitulo</w:t>
      </w:r>
      <w:r w:rsidR="00F609E7">
        <w:rPr>
          <w:rFonts w:ascii="Arial" w:eastAsia="Times New Roman" w:hAnsi="Arial" w:cs="Arial"/>
          <w:color w:val="000000"/>
          <w:lang w:val="es-ES" w:eastAsia="es-ES"/>
        </w:rPr>
        <w:t>,</w:t>
      </w:r>
      <w:r w:rsidRPr="00B22A9D">
        <w:rPr>
          <w:rFonts w:ascii="Arial" w:eastAsia="Times New Roman" w:hAnsi="Arial" w:cs="Arial"/>
          <w:color w:val="000000"/>
          <w:lang w:val="es-ES" w:eastAsia="es-ES"/>
        </w:rPr>
        <w:t xml:space="preserve"> se </w:t>
      </w:r>
      <w:r w:rsidR="00F609E7" w:rsidRPr="00B22A9D">
        <w:rPr>
          <w:rFonts w:ascii="Arial" w:eastAsia="Times New Roman" w:hAnsi="Arial" w:cs="Arial"/>
          <w:color w:val="000000"/>
          <w:lang w:val="es-ES" w:eastAsia="es-ES"/>
        </w:rPr>
        <w:t>realizará</w:t>
      </w:r>
      <w:r w:rsidRPr="00B22A9D">
        <w:rPr>
          <w:rFonts w:ascii="Arial" w:eastAsia="Times New Roman" w:hAnsi="Arial" w:cs="Arial"/>
          <w:color w:val="000000"/>
          <w:lang w:val="es-ES" w:eastAsia="es-ES"/>
        </w:rPr>
        <w:t xml:space="preserve"> un abordaje acerca de los estándares que rigen la implementación de las Buenas Prácticas Clínicas en Colombia, atendiendo a los lineamientos normativos establecidos en la Resolución 2378 de 2008</w:t>
      </w:r>
      <w:r w:rsidR="00624A0D" w:rsidRPr="00B22A9D">
        <w:rPr>
          <w:rFonts w:ascii="Arial" w:eastAsia="Times New Roman" w:hAnsi="Arial" w:cs="Arial"/>
          <w:color w:val="000000"/>
          <w:lang w:val="es-ES" w:eastAsia="es-ES"/>
        </w:rPr>
        <w:t>.</w:t>
      </w:r>
      <w:r w:rsidRPr="00B22A9D">
        <w:rPr>
          <w:rFonts w:ascii="Arial" w:eastAsia="Times New Roman" w:hAnsi="Arial" w:cs="Arial"/>
          <w:color w:val="000000"/>
          <w:lang w:val="es-ES" w:eastAsia="es-ES"/>
        </w:rPr>
        <w:t xml:space="preserve"> </w:t>
      </w:r>
      <w:r w:rsidR="00F609E7">
        <w:rPr>
          <w:rFonts w:ascii="Arial" w:eastAsia="Times New Roman" w:hAnsi="Arial" w:cs="Arial"/>
          <w:color w:val="000000"/>
          <w:lang w:val="es-ES" w:eastAsia="es-ES"/>
        </w:rPr>
        <w:t>(</w:t>
      </w:r>
      <w:r w:rsidR="002731CD">
        <w:rPr>
          <w:rFonts w:ascii="Arial" w:eastAsia="Times New Roman" w:hAnsi="Arial" w:cs="Arial"/>
          <w:color w:val="000000"/>
          <w:lang w:val="es-ES" w:eastAsia="es-ES"/>
        </w:rPr>
        <w:t>5</w:t>
      </w:r>
      <w:r w:rsidR="00F609E7">
        <w:rPr>
          <w:rFonts w:ascii="Arial" w:eastAsia="Times New Roman" w:hAnsi="Arial" w:cs="Arial"/>
          <w:color w:val="000000"/>
          <w:lang w:val="es-ES" w:eastAsia="es-ES"/>
        </w:rPr>
        <w:t>)</w:t>
      </w:r>
    </w:p>
    <w:p w14:paraId="66194CD5" w14:textId="7499D944" w:rsidR="00E9454D" w:rsidRPr="00B22A9D" w:rsidRDefault="00E9454D" w:rsidP="00E9454D">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lastRenderedPageBreak/>
        <w:t>En este sentido</w:t>
      </w:r>
      <w:r w:rsidR="00F609E7">
        <w:rPr>
          <w:rFonts w:ascii="Arial" w:eastAsia="Times New Roman" w:hAnsi="Arial" w:cs="Arial"/>
          <w:color w:val="000000"/>
          <w:lang w:val="es-ES" w:eastAsia="es-ES"/>
        </w:rPr>
        <w:t xml:space="preserve"> y atendiendo el cumplimiento de las </w:t>
      </w:r>
      <w:r w:rsidR="00F609E7" w:rsidRPr="00B22A9D">
        <w:rPr>
          <w:rFonts w:ascii="Arial" w:eastAsia="Times New Roman" w:hAnsi="Arial" w:cs="Arial"/>
          <w:color w:val="000000"/>
          <w:lang w:val="es-ES" w:eastAsia="es-ES"/>
        </w:rPr>
        <w:t>Buenas</w:t>
      </w:r>
      <w:r w:rsidRPr="00B22A9D">
        <w:rPr>
          <w:rFonts w:ascii="Arial" w:eastAsia="Times New Roman" w:hAnsi="Arial" w:cs="Arial"/>
          <w:color w:val="000000"/>
          <w:lang w:val="es-ES" w:eastAsia="es-ES"/>
        </w:rPr>
        <w:t xml:space="preserve"> Prácticas Clínicas, </w:t>
      </w:r>
      <w:r w:rsidR="007128C4" w:rsidRPr="00B22A9D">
        <w:rPr>
          <w:rFonts w:ascii="Arial" w:eastAsia="Times New Roman" w:hAnsi="Arial" w:cs="Arial"/>
          <w:color w:val="000000"/>
          <w:lang w:val="es-ES" w:eastAsia="es-ES"/>
        </w:rPr>
        <w:t xml:space="preserve">se </w:t>
      </w:r>
      <w:r w:rsidRPr="00B22A9D">
        <w:rPr>
          <w:rFonts w:ascii="Arial" w:eastAsia="Times New Roman" w:hAnsi="Arial" w:cs="Arial"/>
          <w:color w:val="000000"/>
          <w:lang w:val="es-ES" w:eastAsia="es-ES"/>
        </w:rPr>
        <w:t>a</w:t>
      </w:r>
      <w:r w:rsidR="007128C4" w:rsidRPr="00B22A9D">
        <w:rPr>
          <w:rFonts w:ascii="Arial" w:eastAsia="Times New Roman" w:hAnsi="Arial" w:cs="Arial"/>
          <w:color w:val="000000"/>
          <w:lang w:val="es-ES" w:eastAsia="es-ES"/>
        </w:rPr>
        <w:t>borda</w:t>
      </w:r>
      <w:r w:rsidRPr="00B22A9D">
        <w:rPr>
          <w:rFonts w:ascii="Arial" w:eastAsia="Times New Roman" w:hAnsi="Arial" w:cs="Arial"/>
          <w:color w:val="000000"/>
          <w:lang w:val="es-ES" w:eastAsia="es-ES"/>
        </w:rPr>
        <w:t xml:space="preserve"> desde el punto de vista regulatorio en tres aspectos principales:</w:t>
      </w:r>
    </w:p>
    <w:p w14:paraId="73A56C14" w14:textId="5F865981" w:rsidR="00E9454D" w:rsidRPr="00B22A9D" w:rsidRDefault="00F609E7" w:rsidP="00187AB0">
      <w:pPr>
        <w:pStyle w:val="Prrafodelista"/>
        <w:numPr>
          <w:ilvl w:val="0"/>
          <w:numId w:val="4"/>
        </w:numPr>
        <w:jc w:val="both"/>
        <w:rPr>
          <w:rFonts w:ascii="Arial" w:eastAsia="Times New Roman" w:hAnsi="Arial" w:cs="Arial"/>
          <w:color w:val="000000"/>
          <w:lang w:val="es-ES" w:eastAsia="es-ES"/>
        </w:rPr>
      </w:pPr>
      <w:r>
        <w:rPr>
          <w:rFonts w:ascii="Arial" w:eastAsia="Times New Roman" w:hAnsi="Arial" w:cs="Arial"/>
          <w:color w:val="000000"/>
          <w:lang w:val="es-ES" w:eastAsia="es-ES"/>
        </w:rPr>
        <w:t xml:space="preserve">Verificar </w:t>
      </w:r>
      <w:r w:rsidR="00E9454D" w:rsidRPr="00B22A9D">
        <w:rPr>
          <w:rFonts w:ascii="Arial" w:eastAsia="Times New Roman" w:hAnsi="Arial" w:cs="Arial"/>
          <w:color w:val="000000"/>
          <w:lang w:val="es-ES" w:eastAsia="es-ES"/>
        </w:rPr>
        <w:t xml:space="preserve">el cumplimiento de las Buenas Prácticas Clínicas (BPC) en las instituciones interesadas en desarrollar estudios clínicos (EC) con medicamentos, para lo cual </w:t>
      </w:r>
      <w:r>
        <w:rPr>
          <w:rFonts w:ascii="Arial" w:eastAsia="Times New Roman" w:hAnsi="Arial" w:cs="Arial"/>
          <w:color w:val="000000"/>
          <w:lang w:val="es-ES" w:eastAsia="es-ES"/>
        </w:rPr>
        <w:t xml:space="preserve">se </w:t>
      </w:r>
      <w:r w:rsidR="00E9454D" w:rsidRPr="00B22A9D">
        <w:rPr>
          <w:rFonts w:ascii="Arial" w:eastAsia="Times New Roman" w:hAnsi="Arial" w:cs="Arial"/>
          <w:color w:val="000000"/>
          <w:lang w:val="es-ES" w:eastAsia="es-ES"/>
        </w:rPr>
        <w:t>expide un certificado.</w:t>
      </w:r>
    </w:p>
    <w:p w14:paraId="2C304044" w14:textId="77777777" w:rsidR="00E9454D" w:rsidRPr="00B22A9D" w:rsidRDefault="00E9454D" w:rsidP="00187AB0">
      <w:pPr>
        <w:pStyle w:val="Prrafodelista"/>
        <w:numPr>
          <w:ilvl w:val="0"/>
          <w:numId w:val="4"/>
        </w:num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Evaluar y conceptuar sobre los estudios clínicos con medicamentos en seres humanos a realizarse en Colombia, así como los documentos relacionados con el desarrollo de los mismos.</w:t>
      </w:r>
    </w:p>
    <w:p w14:paraId="521E3410" w14:textId="77777777" w:rsidR="00E9454D" w:rsidRPr="00B22A9D" w:rsidRDefault="00E9454D" w:rsidP="00187AB0">
      <w:pPr>
        <w:pStyle w:val="Prrafodelista"/>
        <w:numPr>
          <w:ilvl w:val="0"/>
          <w:numId w:val="4"/>
        </w:num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Realizar seguimiento a las instituciones que conducen investigación clínica con medicamentos.</w:t>
      </w:r>
    </w:p>
    <w:p w14:paraId="51ACCC42" w14:textId="77777777" w:rsidR="00F609E7" w:rsidRDefault="00F609E7" w:rsidP="00E9454D">
      <w:pPr>
        <w:pStyle w:val="Prrafodelista"/>
        <w:jc w:val="both"/>
        <w:rPr>
          <w:rFonts w:ascii="Arial" w:eastAsia="Times New Roman" w:hAnsi="Arial" w:cs="Arial"/>
          <w:color w:val="000000"/>
          <w:lang w:val="es-ES" w:eastAsia="es-ES"/>
        </w:rPr>
      </w:pPr>
    </w:p>
    <w:p w14:paraId="3A23D455" w14:textId="77777777" w:rsidR="00F609E7" w:rsidRDefault="00F609E7" w:rsidP="00E9454D">
      <w:pPr>
        <w:pStyle w:val="Prrafodelista"/>
        <w:jc w:val="both"/>
        <w:rPr>
          <w:rFonts w:ascii="Arial" w:eastAsia="Times New Roman" w:hAnsi="Arial" w:cs="Arial"/>
          <w:color w:val="000000"/>
          <w:lang w:val="es-ES" w:eastAsia="es-ES"/>
        </w:rPr>
      </w:pPr>
    </w:p>
    <w:p w14:paraId="022CFB40" w14:textId="29D44E48" w:rsidR="00F609E7" w:rsidRDefault="00F609E7" w:rsidP="00E9454D">
      <w:pPr>
        <w:pStyle w:val="Prrafodelista"/>
        <w:jc w:val="both"/>
        <w:rPr>
          <w:rFonts w:ascii="Arial" w:eastAsia="Times New Roman" w:hAnsi="Arial" w:cs="Arial"/>
          <w:color w:val="000000"/>
          <w:lang w:val="es-ES" w:eastAsia="es-ES"/>
        </w:rPr>
      </w:pPr>
      <w:r>
        <w:rPr>
          <w:rFonts w:ascii="Arial" w:eastAsia="Times New Roman" w:hAnsi="Arial" w:cs="Arial"/>
          <w:noProof/>
          <w:color w:val="000000"/>
          <w:lang w:val="en-US"/>
        </w:rPr>
        <mc:AlternateContent>
          <mc:Choice Requires="wps">
            <w:drawing>
              <wp:anchor distT="0" distB="0" distL="114300" distR="114300" simplePos="0" relativeHeight="251660288" behindDoc="0" locked="0" layoutInCell="1" allowOverlap="1" wp14:anchorId="6EA85539" wp14:editId="0432BD02">
                <wp:simplePos x="0" y="0"/>
                <wp:positionH relativeFrom="margin">
                  <wp:posOffset>530805</wp:posOffset>
                </wp:positionH>
                <wp:positionV relativeFrom="paragraph">
                  <wp:posOffset>11457</wp:posOffset>
                </wp:positionV>
                <wp:extent cx="5430299" cy="1335819"/>
                <wp:effectExtent l="0" t="0" r="18415" b="17145"/>
                <wp:wrapNone/>
                <wp:docPr id="3" name="Rectángulo redondeado 3"/>
                <wp:cNvGraphicFramePr/>
                <a:graphic xmlns:a="http://schemas.openxmlformats.org/drawingml/2006/main">
                  <a:graphicData uri="http://schemas.microsoft.com/office/word/2010/wordprocessingShape">
                    <wps:wsp>
                      <wps:cNvSpPr/>
                      <wps:spPr>
                        <a:xfrm>
                          <a:off x="0" y="0"/>
                          <a:ext cx="5430299" cy="13358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F96C8A" w14:textId="77777777" w:rsidR="00CC63CF" w:rsidRPr="00B22A9D" w:rsidRDefault="00CC63CF" w:rsidP="00F609E7">
                            <w:pPr>
                              <w:pStyle w:val="Prrafodelista"/>
                              <w:ind w:left="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A través de la verificación de los lineamientos anteriormente mencionados se busca garantizar</w:t>
                            </w:r>
                            <w:r>
                              <w:rPr>
                                <w:rFonts w:ascii="Arial" w:eastAsia="Times New Roman" w:hAnsi="Arial" w:cs="Arial"/>
                                <w:color w:val="000000"/>
                                <w:lang w:val="es-ES" w:eastAsia="es-ES"/>
                              </w:rPr>
                              <w:t xml:space="preserve"> lo siguiente:</w:t>
                            </w:r>
                            <w:r w:rsidRPr="00B22A9D">
                              <w:rPr>
                                <w:rFonts w:ascii="Arial" w:eastAsia="Times New Roman" w:hAnsi="Arial" w:cs="Arial"/>
                                <w:color w:val="000000"/>
                                <w:lang w:val="es-ES" w:eastAsia="es-ES"/>
                              </w:rPr>
                              <w:t xml:space="preserve"> </w:t>
                            </w:r>
                          </w:p>
                          <w:p w14:paraId="5EC5B0F0" w14:textId="77777777" w:rsidR="00CC63CF" w:rsidRPr="00B22A9D" w:rsidRDefault="00CC63CF" w:rsidP="00F609E7">
                            <w:pPr>
                              <w:pStyle w:val="Prrafodelista"/>
                              <w:ind w:left="0"/>
                              <w:jc w:val="both"/>
                              <w:rPr>
                                <w:rFonts w:ascii="Arial" w:eastAsia="Times New Roman" w:hAnsi="Arial" w:cs="Arial"/>
                                <w:color w:val="000000"/>
                                <w:lang w:val="es-ES" w:eastAsia="es-ES"/>
                              </w:rPr>
                            </w:pPr>
                          </w:p>
                          <w:p w14:paraId="6121D9FA" w14:textId="77777777" w:rsidR="00CC63CF" w:rsidRPr="00B22A9D" w:rsidRDefault="00CC63CF" w:rsidP="00187AB0">
                            <w:pPr>
                              <w:pStyle w:val="Prrafodelista"/>
                              <w:numPr>
                                <w:ilvl w:val="0"/>
                                <w:numId w:val="5"/>
                              </w:num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La seguridad del sujeto de investigación</w:t>
                            </w:r>
                            <w:r>
                              <w:rPr>
                                <w:rFonts w:ascii="Arial" w:eastAsia="Times New Roman" w:hAnsi="Arial" w:cs="Arial"/>
                                <w:color w:val="000000"/>
                                <w:lang w:val="es-ES" w:eastAsia="es-ES"/>
                              </w:rPr>
                              <w:t>.</w:t>
                            </w:r>
                          </w:p>
                          <w:p w14:paraId="6AB43026" w14:textId="77777777" w:rsidR="00CC63CF" w:rsidRPr="00B22A9D" w:rsidRDefault="00CC63CF" w:rsidP="00187AB0">
                            <w:pPr>
                              <w:pStyle w:val="Prrafodelista"/>
                              <w:numPr>
                                <w:ilvl w:val="0"/>
                                <w:numId w:val="5"/>
                              </w:num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La validez de los datos arrojados en la investigación clínica</w:t>
                            </w:r>
                            <w:r>
                              <w:rPr>
                                <w:rFonts w:ascii="Arial" w:eastAsia="Times New Roman" w:hAnsi="Arial" w:cs="Arial"/>
                                <w:color w:val="000000"/>
                                <w:lang w:val="es-ES" w:eastAsia="es-ES"/>
                              </w:rPr>
                              <w:t>.</w:t>
                            </w:r>
                            <w:r w:rsidRPr="00B22A9D">
                              <w:rPr>
                                <w:rFonts w:ascii="Arial" w:eastAsia="Times New Roman" w:hAnsi="Arial" w:cs="Arial"/>
                                <w:color w:val="000000"/>
                                <w:lang w:val="es-ES" w:eastAsia="es-ES"/>
                              </w:rPr>
                              <w:t xml:space="preserve"> </w:t>
                            </w:r>
                          </w:p>
                          <w:p w14:paraId="1862BAA1" w14:textId="77777777" w:rsidR="00CC63CF" w:rsidRPr="00F609E7" w:rsidRDefault="00CC63CF" w:rsidP="00F609E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A85539" id="Rectángulo redondeado 3" o:spid="_x0000_s1026" style="position:absolute;left:0;text-align:left;margin-left:41.8pt;margin-top:.9pt;width:427.6pt;height:105.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" fillcolor="#4f81bd [3204]" strokecolor="#243f60 [1604]" strokeweight="2pt">
                <v:textbox>
                  <w:txbxContent>
                    <w:p w14:paraId="3FF96C8A" w14:textId="77777777" w:rsidR="00CC63CF" w:rsidRPr="00B22A9D" w:rsidRDefault="00CC63CF" w:rsidP="00F609E7">
                      <w:pPr>
                        <w:pStyle w:val="Prrafodelista"/>
                        <w:ind w:left="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A través de la verificación de los lineamientos anteriormente mencionados se busca garantizar</w:t>
                      </w:r>
                      <w:r>
                        <w:rPr>
                          <w:rFonts w:ascii="Arial" w:eastAsia="Times New Roman" w:hAnsi="Arial" w:cs="Arial"/>
                          <w:color w:val="000000"/>
                          <w:lang w:val="es-ES" w:eastAsia="es-ES"/>
                        </w:rPr>
                        <w:t xml:space="preserve"> lo siguiente:</w:t>
                      </w:r>
                      <w:r w:rsidRPr="00B22A9D">
                        <w:rPr>
                          <w:rFonts w:ascii="Arial" w:eastAsia="Times New Roman" w:hAnsi="Arial" w:cs="Arial"/>
                          <w:color w:val="000000"/>
                          <w:lang w:val="es-ES" w:eastAsia="es-ES"/>
                        </w:rPr>
                        <w:t xml:space="preserve"> </w:t>
                      </w:r>
                    </w:p>
                    <w:p w14:paraId="5EC5B0F0" w14:textId="77777777" w:rsidR="00CC63CF" w:rsidRPr="00B22A9D" w:rsidRDefault="00CC63CF" w:rsidP="00F609E7">
                      <w:pPr>
                        <w:pStyle w:val="Prrafodelista"/>
                        <w:ind w:left="0"/>
                        <w:jc w:val="both"/>
                        <w:rPr>
                          <w:rFonts w:ascii="Arial" w:eastAsia="Times New Roman" w:hAnsi="Arial" w:cs="Arial"/>
                          <w:color w:val="000000"/>
                          <w:lang w:val="es-ES" w:eastAsia="es-ES"/>
                        </w:rPr>
                      </w:pPr>
                    </w:p>
                    <w:p w14:paraId="6121D9FA" w14:textId="77777777" w:rsidR="00CC63CF" w:rsidRPr="00B22A9D" w:rsidRDefault="00CC63CF" w:rsidP="00187AB0">
                      <w:pPr>
                        <w:pStyle w:val="Prrafodelista"/>
                        <w:numPr>
                          <w:ilvl w:val="0"/>
                          <w:numId w:val="5"/>
                        </w:num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La seguridad del sujeto de investigación</w:t>
                      </w:r>
                      <w:r>
                        <w:rPr>
                          <w:rFonts w:ascii="Arial" w:eastAsia="Times New Roman" w:hAnsi="Arial" w:cs="Arial"/>
                          <w:color w:val="000000"/>
                          <w:lang w:val="es-ES" w:eastAsia="es-ES"/>
                        </w:rPr>
                        <w:t>.</w:t>
                      </w:r>
                    </w:p>
                    <w:p w14:paraId="6AB43026" w14:textId="77777777" w:rsidR="00CC63CF" w:rsidRPr="00B22A9D" w:rsidRDefault="00CC63CF" w:rsidP="00187AB0">
                      <w:pPr>
                        <w:pStyle w:val="Prrafodelista"/>
                        <w:numPr>
                          <w:ilvl w:val="0"/>
                          <w:numId w:val="5"/>
                        </w:num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La validez de los datos arrojados en la investigación clínica</w:t>
                      </w:r>
                      <w:r>
                        <w:rPr>
                          <w:rFonts w:ascii="Arial" w:eastAsia="Times New Roman" w:hAnsi="Arial" w:cs="Arial"/>
                          <w:color w:val="000000"/>
                          <w:lang w:val="es-ES" w:eastAsia="es-ES"/>
                        </w:rPr>
                        <w:t>.</w:t>
                      </w:r>
                      <w:r w:rsidRPr="00B22A9D">
                        <w:rPr>
                          <w:rFonts w:ascii="Arial" w:eastAsia="Times New Roman" w:hAnsi="Arial" w:cs="Arial"/>
                          <w:color w:val="000000"/>
                          <w:lang w:val="es-ES" w:eastAsia="es-ES"/>
                        </w:rPr>
                        <w:t xml:space="preserve"> </w:t>
                      </w:r>
                    </w:p>
                    <w:p w14:paraId="1862BAA1" w14:textId="77777777" w:rsidR="00CC63CF" w:rsidRPr="00F609E7" w:rsidRDefault="00CC63CF" w:rsidP="00F609E7">
                      <w:pPr>
                        <w:jc w:val="center"/>
                        <w:rPr>
                          <w:lang w:val="es-ES"/>
                        </w:rPr>
                      </w:pPr>
                    </w:p>
                  </w:txbxContent>
                </v:textbox>
                <w10:wrap anchorx="margin"/>
              </v:roundrect>
            </w:pict>
          </mc:Fallback>
        </mc:AlternateContent>
      </w:r>
    </w:p>
    <w:p w14:paraId="6DF8079C" w14:textId="77777777" w:rsidR="00F609E7" w:rsidRDefault="00F609E7" w:rsidP="00E9454D">
      <w:pPr>
        <w:pStyle w:val="Prrafodelista"/>
        <w:jc w:val="both"/>
        <w:rPr>
          <w:rFonts w:ascii="Arial" w:eastAsia="Times New Roman" w:hAnsi="Arial" w:cs="Arial"/>
          <w:color w:val="000000"/>
          <w:lang w:val="es-ES" w:eastAsia="es-ES"/>
        </w:rPr>
      </w:pPr>
    </w:p>
    <w:p w14:paraId="078B905F" w14:textId="6FB698EA" w:rsidR="00F609E7" w:rsidRDefault="00F609E7" w:rsidP="00E9454D">
      <w:pPr>
        <w:pStyle w:val="Prrafodelista"/>
        <w:jc w:val="both"/>
        <w:rPr>
          <w:rFonts w:ascii="Arial" w:eastAsia="Times New Roman" w:hAnsi="Arial" w:cs="Arial"/>
          <w:color w:val="000000"/>
          <w:lang w:val="es-ES" w:eastAsia="es-ES"/>
        </w:rPr>
      </w:pPr>
    </w:p>
    <w:p w14:paraId="57A1D25E" w14:textId="77777777" w:rsidR="00F609E7" w:rsidRDefault="00F609E7" w:rsidP="00E9454D">
      <w:pPr>
        <w:pStyle w:val="Prrafodelista"/>
        <w:jc w:val="both"/>
        <w:rPr>
          <w:rFonts w:ascii="Arial" w:eastAsia="Times New Roman" w:hAnsi="Arial" w:cs="Arial"/>
          <w:color w:val="000000"/>
          <w:lang w:val="es-ES" w:eastAsia="es-ES"/>
        </w:rPr>
      </w:pPr>
    </w:p>
    <w:p w14:paraId="69850B4E" w14:textId="4C02FDED" w:rsidR="00655811" w:rsidRPr="00B22A9D" w:rsidRDefault="00655811" w:rsidP="00E9454D">
      <w:pPr>
        <w:pStyle w:val="Prrafodelista"/>
        <w:jc w:val="both"/>
        <w:rPr>
          <w:rFonts w:ascii="Arial" w:eastAsia="Times New Roman" w:hAnsi="Arial" w:cs="Arial"/>
          <w:color w:val="000000"/>
          <w:lang w:val="es-ES" w:eastAsia="es-ES"/>
        </w:rPr>
      </w:pPr>
    </w:p>
    <w:p w14:paraId="4096D807" w14:textId="77777777" w:rsidR="00F609E7" w:rsidRDefault="00F609E7" w:rsidP="00C508E3">
      <w:pPr>
        <w:jc w:val="both"/>
        <w:rPr>
          <w:rFonts w:ascii="Arial" w:eastAsia="Times New Roman" w:hAnsi="Arial" w:cs="Arial"/>
          <w:color w:val="000000"/>
          <w:lang w:val="es-ES" w:eastAsia="es-ES"/>
        </w:rPr>
      </w:pPr>
    </w:p>
    <w:p w14:paraId="3D728D69" w14:textId="77777777" w:rsidR="00F609E7" w:rsidRDefault="00F609E7" w:rsidP="00C508E3">
      <w:pPr>
        <w:jc w:val="both"/>
        <w:rPr>
          <w:rFonts w:ascii="Arial" w:eastAsia="Times New Roman" w:hAnsi="Arial" w:cs="Arial"/>
          <w:color w:val="000000"/>
          <w:lang w:val="es-ES" w:eastAsia="es-ES"/>
        </w:rPr>
      </w:pPr>
    </w:p>
    <w:p w14:paraId="33E80BCF" w14:textId="77777777" w:rsidR="00F609E7" w:rsidRDefault="00F609E7" w:rsidP="00C508E3">
      <w:pPr>
        <w:jc w:val="both"/>
        <w:rPr>
          <w:rFonts w:ascii="Arial" w:eastAsia="Times New Roman" w:hAnsi="Arial" w:cs="Arial"/>
          <w:color w:val="000000"/>
          <w:lang w:val="es-ES" w:eastAsia="es-ES"/>
        </w:rPr>
      </w:pPr>
    </w:p>
    <w:p w14:paraId="760EC19F" w14:textId="0CDE8EA4" w:rsidR="00E9454D" w:rsidRPr="00B22A9D" w:rsidRDefault="00E9454D" w:rsidP="00C508E3">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Los lineamientos normativos establecidos con el fin de asegurar que el proceso de investigación clínica con medicamentos en seres humanos se lleve a cabo de acuerdo a los estándares internacionales y los principios y derechos fundamentales establecidos en la Constitución Política de Colombia, se encuentran definidos en las resoluciones 8430 de 1993</w:t>
      </w:r>
      <w:r w:rsidR="00F609E7">
        <w:rPr>
          <w:rFonts w:ascii="Arial" w:eastAsia="Times New Roman" w:hAnsi="Arial" w:cs="Arial"/>
          <w:color w:val="000000"/>
          <w:lang w:val="es-ES" w:eastAsia="es-ES"/>
        </w:rPr>
        <w:t>, p</w:t>
      </w:r>
      <w:r w:rsidRPr="00B22A9D">
        <w:rPr>
          <w:rFonts w:ascii="Arial" w:eastAsia="Times New Roman" w:hAnsi="Arial" w:cs="Arial"/>
          <w:color w:val="000000"/>
          <w:lang w:val="es-ES" w:eastAsia="es-ES"/>
        </w:rPr>
        <w:t>or la cual se establecen las normas científicas, técnicas y administrativas para la investigación en salud y 2378 de 2008</w:t>
      </w:r>
      <w:r w:rsidR="00F609E7">
        <w:rPr>
          <w:rFonts w:ascii="Arial" w:eastAsia="Times New Roman" w:hAnsi="Arial" w:cs="Arial"/>
          <w:color w:val="000000"/>
          <w:lang w:val="es-ES" w:eastAsia="es-ES"/>
        </w:rPr>
        <w:t>, p</w:t>
      </w:r>
      <w:r w:rsidRPr="00B22A9D">
        <w:rPr>
          <w:rFonts w:ascii="Arial" w:eastAsia="Times New Roman" w:hAnsi="Arial" w:cs="Arial"/>
          <w:color w:val="000000"/>
          <w:lang w:val="es-ES" w:eastAsia="es-ES"/>
        </w:rPr>
        <w:t xml:space="preserve">or la cual se adoptan las Buenas Prácticas Clínicas para las instituciones que conducen  investigación con medicamentos en seres humanos. </w:t>
      </w:r>
    </w:p>
    <w:p w14:paraId="0984EF56" w14:textId="0264DC88" w:rsidR="00C660E3" w:rsidRPr="00364A80" w:rsidRDefault="00364A80" w:rsidP="00187AB0">
      <w:pPr>
        <w:pStyle w:val="NormalWeb"/>
        <w:numPr>
          <w:ilvl w:val="0"/>
          <w:numId w:val="9"/>
        </w:numPr>
        <w:spacing w:after="0" w:afterAutospacing="0"/>
        <w:jc w:val="both"/>
        <w:rPr>
          <w:rFonts w:ascii="Arial" w:hAnsi="Arial" w:cs="Arial"/>
          <w:b/>
          <w:color w:val="000000"/>
          <w:lang w:val="es-ES" w:eastAsia="es-ES"/>
        </w:rPr>
      </w:pPr>
      <w:r w:rsidRPr="00364A80">
        <w:rPr>
          <w:rFonts w:ascii="Arial" w:hAnsi="Arial" w:cs="Arial"/>
          <w:b/>
          <w:color w:val="000000"/>
          <w:lang w:val="es-ES" w:eastAsia="es-ES"/>
        </w:rPr>
        <w:t xml:space="preserve">¿Cuáles son los fundamentos normativos a tener en cuenta para </w:t>
      </w:r>
      <w:r>
        <w:rPr>
          <w:rFonts w:ascii="Arial" w:hAnsi="Arial" w:cs="Arial"/>
          <w:b/>
          <w:color w:val="000000"/>
          <w:lang w:val="es-ES" w:eastAsia="es-ES"/>
        </w:rPr>
        <w:t>el desarrollo de las Buenas Prácticas Clínicas</w:t>
      </w:r>
      <w:r w:rsidRPr="00364A80">
        <w:rPr>
          <w:rFonts w:ascii="Arial" w:hAnsi="Arial" w:cs="Arial"/>
          <w:b/>
          <w:color w:val="000000"/>
          <w:lang w:val="es-ES" w:eastAsia="es-ES"/>
        </w:rPr>
        <w:t xml:space="preserve"> en Colombia?</w:t>
      </w:r>
    </w:p>
    <w:p w14:paraId="164AD74A" w14:textId="4AD1D8EF" w:rsidR="00364A80" w:rsidRDefault="006765A9" w:rsidP="00364A80">
      <w:pPr>
        <w:pStyle w:val="NormalWeb"/>
        <w:spacing w:line="276" w:lineRule="auto"/>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Los lineamientos normativos que son fundamento para el desarrollo de las Buenas Prácticas Clínicas en Colombia, se citan a </w:t>
      </w:r>
      <w:r w:rsidR="00364A80">
        <w:rPr>
          <w:rFonts w:ascii="Arial" w:hAnsi="Arial" w:cs="Arial"/>
          <w:color w:val="000000"/>
          <w:sz w:val="22"/>
          <w:szCs w:val="22"/>
          <w:lang w:val="es-ES" w:eastAsia="es-ES"/>
        </w:rPr>
        <w:t>continuación:</w:t>
      </w:r>
      <w:r w:rsidR="00364A80" w:rsidRPr="00B22A9D">
        <w:rPr>
          <w:rFonts w:ascii="Arial" w:hAnsi="Arial" w:cs="Arial"/>
          <w:color w:val="000000"/>
          <w:sz w:val="22"/>
          <w:szCs w:val="22"/>
          <w:lang w:val="es-ES" w:eastAsia="es-ES"/>
        </w:rPr>
        <w:t xml:space="preserve"> </w:t>
      </w:r>
    </w:p>
    <w:p w14:paraId="6F7C232F" w14:textId="085EC487" w:rsidR="00391789" w:rsidRDefault="00391789" w:rsidP="00364A80">
      <w:pPr>
        <w:pStyle w:val="NormalWeb"/>
        <w:spacing w:line="276" w:lineRule="auto"/>
        <w:rPr>
          <w:rFonts w:ascii="Arial" w:hAnsi="Arial" w:cs="Arial"/>
          <w:color w:val="000000"/>
          <w:sz w:val="22"/>
          <w:szCs w:val="22"/>
          <w:lang w:val="es-ES" w:eastAsia="es-ES"/>
        </w:rPr>
      </w:pPr>
    </w:p>
    <w:p w14:paraId="36A62BA9" w14:textId="18E25AA2" w:rsidR="00391789" w:rsidRDefault="00391789" w:rsidP="00364A80">
      <w:pPr>
        <w:pStyle w:val="NormalWeb"/>
        <w:spacing w:line="276" w:lineRule="auto"/>
        <w:rPr>
          <w:rFonts w:ascii="Arial" w:hAnsi="Arial" w:cs="Arial"/>
          <w:color w:val="000000"/>
          <w:sz w:val="22"/>
          <w:szCs w:val="22"/>
          <w:lang w:val="es-ES" w:eastAsia="es-ES"/>
        </w:rPr>
      </w:pPr>
    </w:p>
    <w:p w14:paraId="3EBBC6B4" w14:textId="44C2B6AA" w:rsidR="00FA4567" w:rsidRDefault="00FA4567" w:rsidP="00364A80">
      <w:pPr>
        <w:pStyle w:val="NormalWeb"/>
        <w:spacing w:line="276" w:lineRule="auto"/>
        <w:rPr>
          <w:rFonts w:ascii="Arial" w:hAnsi="Arial" w:cs="Arial"/>
          <w:color w:val="000000"/>
          <w:sz w:val="22"/>
          <w:szCs w:val="22"/>
          <w:lang w:val="es-ES" w:eastAsia="es-ES"/>
        </w:rPr>
      </w:pPr>
    </w:p>
    <w:p w14:paraId="7CE67856" w14:textId="77777777" w:rsidR="00FA4567" w:rsidRDefault="00FA4567" w:rsidP="00364A80">
      <w:pPr>
        <w:pStyle w:val="NormalWeb"/>
        <w:spacing w:line="276" w:lineRule="auto"/>
        <w:rPr>
          <w:rFonts w:ascii="Arial" w:hAnsi="Arial" w:cs="Arial"/>
          <w:color w:val="000000"/>
          <w:sz w:val="22"/>
          <w:szCs w:val="22"/>
          <w:lang w:val="es-ES" w:eastAsia="es-ES"/>
        </w:rPr>
      </w:pPr>
    </w:p>
    <w:p w14:paraId="4BDE685E" w14:textId="6D8D5363" w:rsidR="008A1C29" w:rsidRPr="00364A80" w:rsidRDefault="00305360" w:rsidP="00187AB0">
      <w:pPr>
        <w:pStyle w:val="NormalWeb"/>
        <w:numPr>
          <w:ilvl w:val="1"/>
          <w:numId w:val="9"/>
        </w:numPr>
        <w:spacing w:line="276" w:lineRule="auto"/>
        <w:rPr>
          <w:rFonts w:ascii="Arial" w:hAnsi="Arial" w:cs="Arial"/>
          <w:b/>
          <w:color w:val="000000"/>
          <w:sz w:val="22"/>
          <w:szCs w:val="22"/>
          <w:lang w:val="es-ES" w:eastAsia="es-ES"/>
        </w:rPr>
      </w:pPr>
      <w:r w:rsidRPr="00364A80">
        <w:rPr>
          <w:rFonts w:ascii="Arial" w:hAnsi="Arial" w:cs="Arial"/>
          <w:b/>
          <w:color w:val="000000"/>
          <w:sz w:val="22"/>
          <w:szCs w:val="22"/>
          <w:lang w:val="es-ES" w:eastAsia="es-ES"/>
        </w:rPr>
        <w:lastRenderedPageBreak/>
        <w:t>Constitución Política de Colombia</w:t>
      </w:r>
      <w:r w:rsidR="00364A80" w:rsidRPr="00364A80">
        <w:rPr>
          <w:rFonts w:ascii="Arial" w:hAnsi="Arial" w:cs="Arial"/>
          <w:b/>
          <w:color w:val="000000"/>
          <w:sz w:val="22"/>
          <w:szCs w:val="22"/>
          <w:lang w:val="es-ES" w:eastAsia="es-ES"/>
        </w:rPr>
        <w:t>.</w:t>
      </w:r>
      <w:r w:rsidR="000217E9" w:rsidRPr="00364A80">
        <w:rPr>
          <w:rFonts w:ascii="Arial" w:hAnsi="Arial" w:cs="Arial"/>
          <w:b/>
          <w:color w:val="000000"/>
          <w:sz w:val="22"/>
          <w:szCs w:val="22"/>
          <w:lang w:val="es-ES" w:eastAsia="es-ES"/>
        </w:rPr>
        <w:t xml:space="preserve"> </w:t>
      </w:r>
      <w:r w:rsidR="00364A80" w:rsidRPr="00364A80">
        <w:rPr>
          <w:rFonts w:ascii="Arial" w:hAnsi="Arial" w:cs="Arial"/>
          <w:b/>
          <w:color w:val="000000"/>
          <w:sz w:val="22"/>
          <w:szCs w:val="22"/>
          <w:lang w:val="es-ES" w:eastAsia="es-ES"/>
        </w:rPr>
        <w:t>(</w:t>
      </w:r>
      <w:r w:rsidR="002731CD">
        <w:rPr>
          <w:rFonts w:ascii="Arial" w:hAnsi="Arial" w:cs="Arial"/>
          <w:b/>
          <w:color w:val="000000"/>
          <w:sz w:val="22"/>
          <w:szCs w:val="22"/>
          <w:lang w:val="es-ES" w:eastAsia="es-ES"/>
        </w:rPr>
        <w:t>6</w:t>
      </w:r>
      <w:r w:rsidR="00364A80" w:rsidRPr="00364A80">
        <w:rPr>
          <w:rFonts w:ascii="Arial" w:hAnsi="Arial" w:cs="Arial"/>
          <w:b/>
          <w:color w:val="000000"/>
          <w:sz w:val="22"/>
          <w:szCs w:val="22"/>
          <w:lang w:val="es-ES" w:eastAsia="es-ES"/>
        </w:rPr>
        <w:t>)</w:t>
      </w:r>
    </w:p>
    <w:p w14:paraId="68A9153E" w14:textId="77777777" w:rsidR="006765A9" w:rsidRPr="00B22A9D" w:rsidRDefault="006765A9"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52D6F44F" w14:textId="1996DF52" w:rsidR="00D70E30" w:rsidRPr="00B22A9D" w:rsidRDefault="00834D40" w:rsidP="00EE653F">
      <w:pPr>
        <w:pStyle w:val="NormalWeb"/>
        <w:spacing w:before="0" w:beforeAutospacing="0" w:after="0" w:afterAutospacing="0" w:line="276" w:lineRule="auto"/>
        <w:jc w:val="both"/>
        <w:rPr>
          <w:rFonts w:ascii="Arial" w:hAnsi="Arial" w:cs="Arial"/>
          <w:color w:val="000000"/>
          <w:sz w:val="22"/>
          <w:szCs w:val="22"/>
          <w:lang w:val="es-ES" w:eastAsia="es-ES"/>
        </w:rPr>
      </w:pPr>
      <w:r w:rsidRPr="00364A80">
        <w:rPr>
          <w:rFonts w:ascii="Arial" w:hAnsi="Arial" w:cs="Arial"/>
          <w:b/>
          <w:color w:val="000000"/>
          <w:sz w:val="22"/>
          <w:szCs w:val="22"/>
          <w:lang w:val="es-ES" w:eastAsia="es-ES"/>
        </w:rPr>
        <w:t>Principios Fundamentales:</w:t>
      </w:r>
      <w:r w:rsidRPr="00B22A9D">
        <w:rPr>
          <w:rFonts w:ascii="Arial" w:hAnsi="Arial" w:cs="Arial"/>
          <w:color w:val="000000"/>
          <w:sz w:val="22"/>
          <w:szCs w:val="22"/>
          <w:lang w:val="es-ES" w:eastAsia="es-ES"/>
        </w:rPr>
        <w:t xml:space="preserve"> </w:t>
      </w:r>
      <w:r w:rsidR="00364A80">
        <w:rPr>
          <w:rFonts w:ascii="Arial" w:hAnsi="Arial" w:cs="Arial"/>
          <w:color w:val="000000"/>
          <w:sz w:val="22"/>
          <w:szCs w:val="22"/>
          <w:lang w:val="es-ES" w:eastAsia="es-ES"/>
        </w:rPr>
        <w:t>r</w:t>
      </w:r>
      <w:r w:rsidRPr="00B22A9D">
        <w:rPr>
          <w:rFonts w:ascii="Arial" w:hAnsi="Arial" w:cs="Arial"/>
          <w:color w:val="000000"/>
          <w:sz w:val="22"/>
          <w:szCs w:val="22"/>
          <w:lang w:val="es-ES" w:eastAsia="es-ES"/>
        </w:rPr>
        <w:t>espeto</w:t>
      </w:r>
      <w:r w:rsidR="00B77703" w:rsidRPr="00B22A9D">
        <w:rPr>
          <w:rFonts w:ascii="Arial" w:hAnsi="Arial" w:cs="Arial"/>
          <w:color w:val="000000"/>
          <w:sz w:val="22"/>
          <w:szCs w:val="22"/>
          <w:lang w:val="es-ES" w:eastAsia="es-ES"/>
        </w:rPr>
        <w:t xml:space="preserve"> de la dignidad humana, en el trabajo y la solidaridad de las personas que la integran y en la prevalencia del interés general.</w:t>
      </w:r>
    </w:p>
    <w:p w14:paraId="1B67688C" w14:textId="77777777" w:rsidR="00D70E30" w:rsidRPr="00B22A9D" w:rsidRDefault="00D70E30"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69228146" w14:textId="455C2DD6" w:rsidR="00482670" w:rsidRPr="00B22A9D" w:rsidRDefault="0072224A" w:rsidP="00EE653F">
      <w:pPr>
        <w:pStyle w:val="NormalWeb"/>
        <w:spacing w:before="0" w:beforeAutospacing="0" w:after="0" w:afterAutospacing="0" w:line="276" w:lineRule="auto"/>
        <w:jc w:val="both"/>
        <w:rPr>
          <w:rFonts w:ascii="Arial" w:hAnsi="Arial" w:cs="Arial"/>
          <w:color w:val="000000"/>
          <w:sz w:val="22"/>
          <w:szCs w:val="22"/>
          <w:lang w:val="es-ES" w:eastAsia="es-ES"/>
        </w:rPr>
      </w:pPr>
      <w:r w:rsidRPr="00364A80">
        <w:rPr>
          <w:rFonts w:ascii="Arial" w:hAnsi="Arial" w:cs="Arial"/>
          <w:b/>
          <w:color w:val="000000"/>
          <w:sz w:val="22"/>
          <w:szCs w:val="22"/>
          <w:lang w:val="es-ES" w:eastAsia="es-ES"/>
        </w:rPr>
        <w:t>Derechos Fundamentales:</w:t>
      </w:r>
      <w:r w:rsidR="00834D40" w:rsidRPr="00B22A9D">
        <w:rPr>
          <w:rFonts w:ascii="Arial" w:hAnsi="Arial" w:cs="Arial"/>
          <w:color w:val="000000"/>
          <w:sz w:val="22"/>
          <w:szCs w:val="22"/>
          <w:lang w:val="es-ES" w:eastAsia="es-ES"/>
        </w:rPr>
        <w:t xml:space="preserve"> </w:t>
      </w:r>
      <w:r w:rsidR="00364A80">
        <w:rPr>
          <w:rFonts w:ascii="Arial" w:hAnsi="Arial" w:cs="Arial"/>
          <w:color w:val="000000"/>
          <w:sz w:val="22"/>
          <w:szCs w:val="22"/>
          <w:lang w:val="es-ES" w:eastAsia="es-ES"/>
        </w:rPr>
        <w:t>l</w:t>
      </w:r>
      <w:r w:rsidR="00D70E30" w:rsidRPr="00B22A9D">
        <w:rPr>
          <w:rFonts w:ascii="Arial" w:hAnsi="Arial" w:cs="Arial"/>
          <w:color w:val="000000"/>
          <w:sz w:val="22"/>
          <w:szCs w:val="22"/>
          <w:lang w:val="es-ES" w:eastAsia="es-ES"/>
        </w:rPr>
        <w:t>ibertad</w:t>
      </w:r>
      <w:r w:rsidR="00482670" w:rsidRPr="00B22A9D">
        <w:rPr>
          <w:rFonts w:ascii="Arial" w:hAnsi="Arial" w:cs="Arial"/>
          <w:color w:val="000000"/>
          <w:sz w:val="22"/>
          <w:szCs w:val="22"/>
          <w:lang w:val="es-ES" w:eastAsia="es-ES"/>
        </w:rPr>
        <w:t xml:space="preserve"> e igual</w:t>
      </w:r>
      <w:r w:rsidR="00D70E30" w:rsidRPr="00B22A9D">
        <w:rPr>
          <w:rFonts w:ascii="Arial" w:hAnsi="Arial" w:cs="Arial"/>
          <w:color w:val="000000"/>
          <w:sz w:val="22"/>
          <w:szCs w:val="22"/>
          <w:lang w:val="es-ES" w:eastAsia="es-ES"/>
        </w:rPr>
        <w:t>dad</w:t>
      </w:r>
      <w:r w:rsidR="00482670" w:rsidRPr="00B22A9D">
        <w:rPr>
          <w:rFonts w:ascii="Arial" w:hAnsi="Arial" w:cs="Arial"/>
          <w:color w:val="000000"/>
          <w:sz w:val="22"/>
          <w:szCs w:val="22"/>
          <w:lang w:val="es-ES" w:eastAsia="es-ES"/>
        </w:rPr>
        <w:t>, recibirán la misma protección y trato de las autoridades y gozarán de los mismos derechos, libertades y oportunidades sin ninguna discriminación por razones de sexo, raza, origen nacional o familiar, lengua, religión, opinión política o filosófica. </w:t>
      </w:r>
      <w:r w:rsidR="00D70E30" w:rsidRPr="00B22A9D">
        <w:rPr>
          <w:rFonts w:ascii="Arial" w:hAnsi="Arial" w:cs="Arial"/>
          <w:color w:val="000000"/>
          <w:sz w:val="22"/>
          <w:szCs w:val="22"/>
          <w:lang w:val="es-ES" w:eastAsia="es-ES"/>
        </w:rPr>
        <w:t xml:space="preserve"> </w:t>
      </w:r>
      <w:r w:rsidR="00482670" w:rsidRPr="00B22A9D">
        <w:rPr>
          <w:rFonts w:ascii="Arial" w:hAnsi="Arial" w:cs="Arial"/>
          <w:color w:val="000000"/>
          <w:sz w:val="22"/>
          <w:szCs w:val="22"/>
          <w:lang w:val="es-ES" w:eastAsia="es-ES"/>
        </w:rPr>
        <w:t>El Estado promoverá las condiciones para que la igualdad sea real y efectiva y adoptara medidas en favor de grupos discriminados o marginados. </w:t>
      </w:r>
      <w:r w:rsidR="00D70E30" w:rsidRPr="00B22A9D">
        <w:rPr>
          <w:rFonts w:ascii="Arial" w:hAnsi="Arial" w:cs="Arial"/>
          <w:color w:val="000000"/>
          <w:sz w:val="22"/>
          <w:szCs w:val="22"/>
          <w:lang w:val="es-ES" w:eastAsia="es-ES"/>
        </w:rPr>
        <w:t xml:space="preserve"> </w:t>
      </w:r>
      <w:r w:rsidR="00482670" w:rsidRPr="00B22A9D">
        <w:rPr>
          <w:rFonts w:ascii="Arial" w:hAnsi="Arial" w:cs="Arial"/>
          <w:color w:val="000000"/>
          <w:sz w:val="22"/>
          <w:szCs w:val="22"/>
          <w:lang w:val="es-ES" w:eastAsia="es-ES"/>
        </w:rPr>
        <w:t xml:space="preserve">El Estado protegerá especialmente a aquellas personas </w:t>
      </w:r>
      <w:r w:rsidR="00FA4567" w:rsidRPr="00B22A9D">
        <w:rPr>
          <w:rFonts w:ascii="Arial" w:hAnsi="Arial" w:cs="Arial"/>
          <w:color w:val="000000"/>
          <w:sz w:val="22"/>
          <w:szCs w:val="22"/>
          <w:lang w:val="es-ES" w:eastAsia="es-ES"/>
        </w:rPr>
        <w:t>que,</w:t>
      </w:r>
      <w:r w:rsidR="00482670" w:rsidRPr="00B22A9D">
        <w:rPr>
          <w:rFonts w:ascii="Arial" w:hAnsi="Arial" w:cs="Arial"/>
          <w:color w:val="000000"/>
          <w:sz w:val="22"/>
          <w:szCs w:val="22"/>
          <w:lang w:val="es-ES" w:eastAsia="es-ES"/>
        </w:rPr>
        <w:t xml:space="preserve"> por su condición económica, física o mental, se encuentren en circunstancia de debilidad manifiesta y sancionará los abusos o maltratos que contra ellas se cometan. </w:t>
      </w:r>
      <w:bookmarkStart w:id="0" w:name="ver_1688007"/>
      <w:bookmarkStart w:id="1" w:name="ver_30189519"/>
      <w:bookmarkStart w:id="2" w:name="ver_30189491"/>
      <w:bookmarkStart w:id="3" w:name="ver_1688008"/>
      <w:bookmarkEnd w:id="0"/>
      <w:bookmarkEnd w:id="1"/>
      <w:bookmarkEnd w:id="2"/>
      <w:bookmarkEnd w:id="3"/>
      <w:r w:rsidR="00D70E30" w:rsidRPr="00B22A9D">
        <w:rPr>
          <w:rFonts w:ascii="Arial" w:hAnsi="Arial" w:cs="Arial"/>
          <w:color w:val="000000"/>
          <w:sz w:val="22"/>
          <w:szCs w:val="22"/>
          <w:lang w:val="es-ES" w:eastAsia="es-ES"/>
        </w:rPr>
        <w:t xml:space="preserve"> </w:t>
      </w:r>
      <w:r w:rsidR="00482670" w:rsidRPr="00B22A9D">
        <w:rPr>
          <w:rFonts w:ascii="Arial" w:hAnsi="Arial" w:cs="Arial"/>
          <w:color w:val="000000"/>
          <w:sz w:val="22"/>
          <w:szCs w:val="22"/>
          <w:lang w:val="es-ES" w:eastAsia="es-ES"/>
        </w:rPr>
        <w:t>Todas las personas tienen derecho a su intimidad personal y familiar y a su buen nombre, y el Estado debe respetarlos y hacerlos respetar. De igual modo, tienen derecho a conocer, actualizar y rectificar las informaciones que se hayan recogido sobre ellas en bancos de datos y en archivos de entidades públicas y privadas. </w:t>
      </w:r>
    </w:p>
    <w:p w14:paraId="6BC64008" w14:textId="77777777" w:rsidR="00482670" w:rsidRPr="00B22A9D" w:rsidRDefault="00482670" w:rsidP="00EE653F">
      <w:pPr>
        <w:spacing w:after="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En la recolección, tratamiento y circulación de datos se respetarán la libertad y demás garantías consagradas en la Constitución. </w:t>
      </w:r>
    </w:p>
    <w:p w14:paraId="2F93586F" w14:textId="77777777" w:rsidR="00F04CE4" w:rsidRPr="00B22A9D" w:rsidRDefault="00EF0EA6" w:rsidP="00EE653F">
      <w:pPr>
        <w:spacing w:after="0"/>
        <w:rPr>
          <w:rFonts w:ascii="Arial" w:eastAsia="Times New Roman" w:hAnsi="Arial" w:cs="Arial"/>
          <w:color w:val="000000"/>
          <w:lang w:val="es-ES" w:eastAsia="es-ES"/>
        </w:rPr>
      </w:pPr>
      <w:r w:rsidRPr="00B22A9D">
        <w:rPr>
          <w:rFonts w:ascii="Arial" w:eastAsia="Times New Roman" w:hAnsi="Arial" w:cs="Arial"/>
          <w:color w:val="000000"/>
          <w:lang w:val="es-ES" w:eastAsia="es-ES"/>
        </w:rPr>
        <w:t> </w:t>
      </w:r>
    </w:p>
    <w:p w14:paraId="42B478F5" w14:textId="63533A9C" w:rsidR="00F04CE4" w:rsidRPr="00364A80" w:rsidRDefault="00E6287B" w:rsidP="00187AB0">
      <w:pPr>
        <w:pStyle w:val="Prrafodelista"/>
        <w:numPr>
          <w:ilvl w:val="1"/>
          <w:numId w:val="9"/>
        </w:numPr>
        <w:spacing w:after="0"/>
        <w:rPr>
          <w:rFonts w:ascii="Arial" w:eastAsia="Times New Roman" w:hAnsi="Arial" w:cs="Arial"/>
          <w:b/>
          <w:color w:val="000000"/>
          <w:lang w:val="es-ES" w:eastAsia="es-ES"/>
        </w:rPr>
      </w:pPr>
      <w:r w:rsidRPr="00364A80">
        <w:rPr>
          <w:rFonts w:ascii="Arial" w:eastAsia="Times New Roman" w:hAnsi="Arial" w:cs="Arial"/>
          <w:b/>
          <w:color w:val="000000"/>
          <w:lang w:val="es-ES" w:eastAsia="es-ES"/>
        </w:rPr>
        <w:t>Resolución 8430 de 1993</w:t>
      </w:r>
      <w:r w:rsidR="00F863FF">
        <w:rPr>
          <w:rFonts w:ascii="Arial" w:eastAsia="Times New Roman" w:hAnsi="Arial" w:cs="Arial"/>
          <w:b/>
          <w:color w:val="000000"/>
          <w:lang w:val="es-ES" w:eastAsia="es-ES"/>
        </w:rPr>
        <w:t>.</w:t>
      </w:r>
      <w:r w:rsidR="00240A0A" w:rsidRPr="00364A80">
        <w:rPr>
          <w:rFonts w:ascii="Arial" w:eastAsia="Times New Roman" w:hAnsi="Arial" w:cs="Arial"/>
          <w:b/>
          <w:color w:val="000000"/>
          <w:lang w:val="es-ES" w:eastAsia="es-ES"/>
        </w:rPr>
        <w:t xml:space="preserve"> Por la cual se establecen las normas científicas, técnicas y administrativas para la investigación en salud.</w:t>
      </w:r>
      <w:r w:rsidR="00364A80" w:rsidRPr="00364A80">
        <w:rPr>
          <w:rFonts w:ascii="Arial" w:eastAsia="Times New Roman" w:hAnsi="Arial" w:cs="Arial"/>
          <w:b/>
          <w:color w:val="000000"/>
          <w:lang w:val="es-ES" w:eastAsia="es-ES"/>
        </w:rPr>
        <w:t xml:space="preserve"> (</w:t>
      </w:r>
      <w:r w:rsidR="002731CD">
        <w:rPr>
          <w:rFonts w:ascii="Arial" w:eastAsia="Times New Roman" w:hAnsi="Arial" w:cs="Arial"/>
          <w:b/>
          <w:color w:val="000000"/>
          <w:lang w:val="es-ES" w:eastAsia="es-ES"/>
        </w:rPr>
        <w:t>7)</w:t>
      </w:r>
    </w:p>
    <w:p w14:paraId="209138A8" w14:textId="77777777" w:rsidR="00D70E30" w:rsidRPr="00B22A9D" w:rsidRDefault="00D70E30" w:rsidP="00EE653F">
      <w:pPr>
        <w:spacing w:after="0"/>
        <w:rPr>
          <w:rFonts w:ascii="Arial" w:eastAsia="Times New Roman" w:hAnsi="Arial" w:cs="Arial"/>
          <w:color w:val="000000"/>
          <w:lang w:val="es-ES" w:eastAsia="es-ES"/>
        </w:rPr>
      </w:pPr>
    </w:p>
    <w:p w14:paraId="7E373CD9" w14:textId="2CE5404C" w:rsidR="00E2482D" w:rsidRPr="00B22A9D" w:rsidRDefault="00E2482D" w:rsidP="00EE653F">
      <w:pPr>
        <w:pStyle w:val="NormalWeb"/>
        <w:spacing w:before="0" w:beforeAutospacing="0" w:after="0" w:afterAutospacing="0" w:line="276" w:lineRule="auto"/>
        <w:jc w:val="both"/>
        <w:rPr>
          <w:rFonts w:ascii="Arial" w:hAnsi="Arial" w:cs="Arial"/>
          <w:color w:val="000000"/>
          <w:sz w:val="22"/>
          <w:szCs w:val="22"/>
          <w:lang w:val="es-ES" w:eastAsia="es-ES"/>
        </w:rPr>
      </w:pPr>
      <w:r w:rsidRPr="00364A80">
        <w:rPr>
          <w:rFonts w:ascii="Arial" w:hAnsi="Arial" w:cs="Arial"/>
          <w:b/>
          <w:color w:val="000000"/>
          <w:sz w:val="22"/>
          <w:szCs w:val="22"/>
          <w:lang w:val="es-ES" w:eastAsia="es-ES"/>
        </w:rPr>
        <w:t>Objetivo:</w:t>
      </w:r>
      <w:r w:rsidR="00364A80">
        <w:rPr>
          <w:rFonts w:ascii="Arial" w:hAnsi="Arial" w:cs="Arial"/>
          <w:color w:val="000000"/>
          <w:sz w:val="22"/>
          <w:szCs w:val="22"/>
          <w:lang w:val="es-ES" w:eastAsia="es-ES"/>
        </w:rPr>
        <w:t xml:space="preserve"> e</w:t>
      </w:r>
      <w:r w:rsidRPr="00B22A9D">
        <w:rPr>
          <w:rFonts w:ascii="Arial" w:hAnsi="Arial" w:cs="Arial"/>
          <w:color w:val="000000"/>
          <w:sz w:val="22"/>
          <w:szCs w:val="22"/>
          <w:lang w:val="es-ES" w:eastAsia="es-ES"/>
        </w:rPr>
        <w:t>stablecer los requisitos para el desarrollo de la actividad investigativa en salud.</w:t>
      </w:r>
    </w:p>
    <w:p w14:paraId="28265D66" w14:textId="77777777" w:rsidR="00F04CE4" w:rsidRPr="00B22A9D" w:rsidRDefault="00F04CE4"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62D9E29A" w14:textId="5C9B0D99" w:rsidR="00E2482D" w:rsidRDefault="00E2482D" w:rsidP="00EE653F">
      <w:pPr>
        <w:pStyle w:val="NormalWeb"/>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Establece que las instituciones que vayan a desarrollar inves</w:t>
      </w:r>
      <w:r w:rsidR="00F04CE4" w:rsidRPr="00B22A9D">
        <w:rPr>
          <w:rFonts w:ascii="Arial" w:hAnsi="Arial" w:cs="Arial"/>
          <w:color w:val="000000"/>
          <w:sz w:val="22"/>
          <w:szCs w:val="22"/>
          <w:lang w:val="es-ES" w:eastAsia="es-ES"/>
        </w:rPr>
        <w:t xml:space="preserve">tigación en humanos deben tener </w:t>
      </w:r>
      <w:r w:rsidR="00364A80">
        <w:rPr>
          <w:rFonts w:ascii="Arial" w:hAnsi="Arial" w:cs="Arial"/>
          <w:color w:val="000000"/>
          <w:sz w:val="22"/>
          <w:szCs w:val="22"/>
          <w:lang w:val="es-ES" w:eastAsia="es-ES"/>
        </w:rPr>
        <w:t>Comité de Ética en I</w:t>
      </w:r>
      <w:r w:rsidRPr="00B22A9D">
        <w:rPr>
          <w:rFonts w:ascii="Arial" w:hAnsi="Arial" w:cs="Arial"/>
          <w:color w:val="000000"/>
          <w:sz w:val="22"/>
          <w:szCs w:val="22"/>
          <w:lang w:val="es-ES" w:eastAsia="es-ES"/>
        </w:rPr>
        <w:t>nvestigación</w:t>
      </w:r>
      <w:r w:rsidR="00F04CE4" w:rsidRPr="00B22A9D">
        <w:rPr>
          <w:rFonts w:ascii="Arial" w:hAnsi="Arial" w:cs="Arial"/>
          <w:color w:val="000000"/>
          <w:sz w:val="22"/>
          <w:szCs w:val="22"/>
          <w:lang w:val="es-ES" w:eastAsia="es-ES"/>
        </w:rPr>
        <w:t xml:space="preserve">, </w:t>
      </w:r>
      <w:r w:rsidR="00364A80">
        <w:rPr>
          <w:rFonts w:ascii="Arial" w:hAnsi="Arial" w:cs="Arial"/>
          <w:color w:val="000000"/>
          <w:sz w:val="22"/>
          <w:szCs w:val="22"/>
          <w:lang w:val="es-ES" w:eastAsia="es-ES"/>
        </w:rPr>
        <w:t>Manual Interno de P</w:t>
      </w:r>
      <w:r w:rsidRPr="00B22A9D">
        <w:rPr>
          <w:rFonts w:ascii="Arial" w:hAnsi="Arial" w:cs="Arial"/>
          <w:color w:val="000000"/>
          <w:sz w:val="22"/>
          <w:szCs w:val="22"/>
          <w:lang w:val="es-ES" w:eastAsia="es-ES"/>
        </w:rPr>
        <w:t>rocedimientos</w:t>
      </w:r>
      <w:r w:rsidR="00364A80">
        <w:rPr>
          <w:rFonts w:ascii="Arial" w:hAnsi="Arial" w:cs="Arial"/>
          <w:color w:val="000000"/>
          <w:sz w:val="22"/>
          <w:szCs w:val="22"/>
          <w:lang w:val="es-ES" w:eastAsia="es-ES"/>
        </w:rPr>
        <w:t>.</w:t>
      </w:r>
      <w:r w:rsidRPr="00B22A9D">
        <w:rPr>
          <w:rFonts w:ascii="Arial" w:hAnsi="Arial" w:cs="Arial"/>
          <w:color w:val="000000"/>
          <w:sz w:val="22"/>
          <w:szCs w:val="22"/>
          <w:lang w:val="es-ES" w:eastAsia="es-ES"/>
        </w:rPr>
        <w:t xml:space="preserve"> </w:t>
      </w:r>
    </w:p>
    <w:p w14:paraId="436588E3" w14:textId="77777777" w:rsidR="00364A80" w:rsidRPr="00B22A9D" w:rsidRDefault="00364A80"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64D68A3B" w14:textId="77777777" w:rsidR="004C0656" w:rsidRPr="00B22A9D" w:rsidRDefault="004C0656" w:rsidP="00EE653F">
      <w:pPr>
        <w:pStyle w:val="NormalWeb"/>
        <w:spacing w:before="0" w:beforeAutospacing="0" w:after="0" w:afterAutospacing="0" w:line="276" w:lineRule="auto"/>
        <w:jc w:val="both"/>
        <w:rPr>
          <w:rFonts w:ascii="Arial" w:hAnsi="Arial" w:cs="Arial"/>
          <w:color w:val="000000"/>
          <w:sz w:val="22"/>
          <w:szCs w:val="22"/>
          <w:lang w:val="es-ES" w:eastAsia="es-ES"/>
        </w:rPr>
      </w:pPr>
      <w:r w:rsidRPr="008D306E">
        <w:rPr>
          <w:rFonts w:ascii="Arial" w:hAnsi="Arial" w:cs="Arial"/>
          <w:b/>
          <w:i/>
          <w:color w:val="000000"/>
          <w:sz w:val="22"/>
          <w:szCs w:val="22"/>
          <w:lang w:val="es-ES" w:eastAsia="es-ES"/>
        </w:rPr>
        <w:t>Aspectos a los que debe contribuir la investigación en salud propuesta</w:t>
      </w:r>
      <w:r w:rsidR="00F04CE4" w:rsidRPr="008D306E">
        <w:rPr>
          <w:rFonts w:ascii="Arial" w:hAnsi="Arial" w:cs="Arial"/>
          <w:b/>
          <w:i/>
          <w:color w:val="000000"/>
          <w:sz w:val="22"/>
          <w:szCs w:val="22"/>
          <w:lang w:val="es-ES" w:eastAsia="es-ES"/>
        </w:rPr>
        <w:t>:</w:t>
      </w:r>
      <w:r w:rsidRPr="00B22A9D">
        <w:rPr>
          <w:rFonts w:ascii="Arial" w:hAnsi="Arial" w:cs="Arial"/>
          <w:color w:val="000000"/>
          <w:sz w:val="22"/>
          <w:szCs w:val="22"/>
          <w:lang w:val="es-ES" w:eastAsia="es-ES"/>
        </w:rPr>
        <w:t xml:space="preserve"> conocimiento de los procesos biológicos y s</w:t>
      </w:r>
      <w:r w:rsidR="00F04CE4" w:rsidRPr="00B22A9D">
        <w:rPr>
          <w:rFonts w:ascii="Arial" w:hAnsi="Arial" w:cs="Arial"/>
          <w:color w:val="000000"/>
          <w:sz w:val="22"/>
          <w:szCs w:val="22"/>
          <w:lang w:val="es-ES" w:eastAsia="es-ES"/>
        </w:rPr>
        <w:t>icológicos en los seres humanos,</w:t>
      </w:r>
      <w:r w:rsidRPr="00B22A9D">
        <w:rPr>
          <w:rFonts w:ascii="Arial" w:hAnsi="Arial" w:cs="Arial"/>
          <w:color w:val="000000"/>
          <w:sz w:val="22"/>
          <w:szCs w:val="22"/>
          <w:lang w:val="es-ES" w:eastAsia="es-ES"/>
        </w:rPr>
        <w:t xml:space="preserve"> vínculos entre las causas de enfermedad, la práctic</w:t>
      </w:r>
      <w:r w:rsidR="00F04CE4" w:rsidRPr="00B22A9D">
        <w:rPr>
          <w:rFonts w:ascii="Arial" w:hAnsi="Arial" w:cs="Arial"/>
          <w:color w:val="000000"/>
          <w:sz w:val="22"/>
          <w:szCs w:val="22"/>
          <w:lang w:val="es-ES" w:eastAsia="es-ES"/>
        </w:rPr>
        <w:t xml:space="preserve">a médica y la estructura social, </w:t>
      </w:r>
      <w:r w:rsidRPr="00B22A9D">
        <w:rPr>
          <w:rFonts w:ascii="Arial" w:hAnsi="Arial" w:cs="Arial"/>
          <w:color w:val="000000"/>
          <w:sz w:val="22"/>
          <w:szCs w:val="22"/>
          <w:lang w:val="es-ES" w:eastAsia="es-ES"/>
        </w:rPr>
        <w:t>prevención y control de los problemas de</w:t>
      </w:r>
      <w:r w:rsidR="00F04CE4" w:rsidRPr="00B22A9D">
        <w:rPr>
          <w:rFonts w:ascii="Arial" w:hAnsi="Arial" w:cs="Arial"/>
          <w:color w:val="000000"/>
          <w:sz w:val="22"/>
          <w:szCs w:val="22"/>
          <w:lang w:val="es-ES" w:eastAsia="es-ES"/>
        </w:rPr>
        <w:t xml:space="preserve"> salud, </w:t>
      </w:r>
      <w:r w:rsidRPr="00B22A9D">
        <w:rPr>
          <w:rFonts w:ascii="Arial" w:hAnsi="Arial" w:cs="Arial"/>
          <w:color w:val="000000"/>
          <w:sz w:val="22"/>
          <w:szCs w:val="22"/>
          <w:lang w:val="es-ES" w:eastAsia="es-ES"/>
        </w:rPr>
        <w:t>conocimiento y evaluación de los efectos no</w:t>
      </w:r>
      <w:r w:rsidR="00F04CE4" w:rsidRPr="00B22A9D">
        <w:rPr>
          <w:rFonts w:ascii="Arial" w:hAnsi="Arial" w:cs="Arial"/>
          <w:color w:val="000000"/>
          <w:sz w:val="22"/>
          <w:szCs w:val="22"/>
          <w:lang w:val="es-ES" w:eastAsia="es-ES"/>
        </w:rPr>
        <w:t xml:space="preserve">civos del ambiente en la salud, </w:t>
      </w:r>
      <w:r w:rsidRPr="00B22A9D">
        <w:rPr>
          <w:rFonts w:ascii="Arial" w:hAnsi="Arial" w:cs="Arial"/>
          <w:color w:val="000000"/>
          <w:sz w:val="22"/>
          <w:szCs w:val="22"/>
          <w:lang w:val="es-ES" w:eastAsia="es-ES"/>
        </w:rPr>
        <w:t>estudio de las técnicas y métodos que se recomienden o empleen para la pr</w:t>
      </w:r>
      <w:r w:rsidR="00F04CE4" w:rsidRPr="00B22A9D">
        <w:rPr>
          <w:rFonts w:ascii="Arial" w:hAnsi="Arial" w:cs="Arial"/>
          <w:color w:val="000000"/>
          <w:sz w:val="22"/>
          <w:szCs w:val="22"/>
          <w:lang w:val="es-ES" w:eastAsia="es-ES"/>
        </w:rPr>
        <w:t xml:space="preserve">estación de servicios de salud, </w:t>
      </w:r>
      <w:r w:rsidRPr="00B22A9D">
        <w:rPr>
          <w:rFonts w:ascii="Arial" w:hAnsi="Arial" w:cs="Arial"/>
          <w:color w:val="000000"/>
          <w:sz w:val="22"/>
          <w:szCs w:val="22"/>
          <w:lang w:val="es-ES" w:eastAsia="es-ES"/>
        </w:rPr>
        <w:t>producción de insumos para la salud.</w:t>
      </w:r>
    </w:p>
    <w:p w14:paraId="35F68736" w14:textId="77777777" w:rsidR="006765A9" w:rsidRPr="00B22A9D" w:rsidRDefault="006765A9"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68BF0883" w14:textId="5130849F" w:rsidR="00B50719" w:rsidRPr="00B22A9D" w:rsidRDefault="008B1285" w:rsidP="0072224A">
      <w:pPr>
        <w:pStyle w:val="NormalWeb"/>
        <w:spacing w:before="0" w:beforeAutospacing="0" w:after="0" w:afterAutospacing="0" w:line="276" w:lineRule="auto"/>
        <w:jc w:val="both"/>
        <w:rPr>
          <w:rFonts w:ascii="Arial" w:hAnsi="Arial" w:cs="Arial"/>
          <w:color w:val="000000"/>
          <w:sz w:val="22"/>
          <w:szCs w:val="22"/>
          <w:lang w:val="es-ES" w:eastAsia="es-ES"/>
        </w:rPr>
      </w:pPr>
      <w:r w:rsidRPr="008D306E">
        <w:rPr>
          <w:rFonts w:ascii="Arial" w:hAnsi="Arial" w:cs="Arial"/>
          <w:b/>
          <w:i/>
          <w:color w:val="000000"/>
          <w:sz w:val="22"/>
          <w:szCs w:val="22"/>
          <w:lang w:val="es-ES" w:eastAsia="es-ES"/>
        </w:rPr>
        <w:t>Aspectos éticos de la</w:t>
      </w:r>
      <w:r w:rsidR="0072224A" w:rsidRPr="008D306E">
        <w:rPr>
          <w:rFonts w:ascii="Arial" w:hAnsi="Arial" w:cs="Arial"/>
          <w:b/>
          <w:i/>
          <w:color w:val="000000"/>
          <w:sz w:val="22"/>
          <w:szCs w:val="22"/>
          <w:lang w:val="es-ES" w:eastAsia="es-ES"/>
        </w:rPr>
        <w:t xml:space="preserve"> investigación en seres humanos:</w:t>
      </w:r>
      <w:r w:rsidR="0072224A" w:rsidRPr="00B22A9D">
        <w:rPr>
          <w:rFonts w:ascii="Arial" w:hAnsi="Arial" w:cs="Arial"/>
          <w:color w:val="000000"/>
          <w:sz w:val="22"/>
          <w:szCs w:val="22"/>
          <w:lang w:val="es-ES" w:eastAsia="es-ES"/>
        </w:rPr>
        <w:t xml:space="preserve"> </w:t>
      </w:r>
      <w:r w:rsidR="00364A80">
        <w:rPr>
          <w:rFonts w:ascii="Arial" w:hAnsi="Arial" w:cs="Arial"/>
          <w:color w:val="000000"/>
          <w:sz w:val="22"/>
          <w:szCs w:val="22"/>
          <w:lang w:val="es-ES" w:eastAsia="es-ES"/>
        </w:rPr>
        <w:t>e</w:t>
      </w:r>
      <w:r w:rsidR="0072224A" w:rsidRPr="00B22A9D">
        <w:rPr>
          <w:rFonts w:ascii="Arial" w:hAnsi="Arial" w:cs="Arial"/>
          <w:color w:val="000000"/>
          <w:sz w:val="22"/>
          <w:szCs w:val="22"/>
          <w:lang w:val="es-ES" w:eastAsia="es-ES"/>
        </w:rPr>
        <w:t>nuncia los principios éticos que rigen la investigación clínica en Colombia.</w:t>
      </w:r>
    </w:p>
    <w:p w14:paraId="03B6709F" w14:textId="77777777" w:rsidR="00B50719" w:rsidRPr="00364A80" w:rsidRDefault="00B50719" w:rsidP="00EE653F">
      <w:pPr>
        <w:spacing w:after="0"/>
        <w:jc w:val="both"/>
        <w:rPr>
          <w:rFonts w:ascii="Arial" w:eastAsia="Times New Roman" w:hAnsi="Arial" w:cs="Arial"/>
          <w:i/>
          <w:color w:val="000000"/>
          <w:lang w:val="es-ES" w:eastAsia="es-ES"/>
        </w:rPr>
      </w:pPr>
    </w:p>
    <w:p w14:paraId="090B2DE0" w14:textId="23B49D93" w:rsidR="00C92297" w:rsidRPr="00B22A9D" w:rsidRDefault="00364A80" w:rsidP="00EE653F">
      <w:pPr>
        <w:spacing w:after="0"/>
        <w:jc w:val="both"/>
        <w:rPr>
          <w:rFonts w:ascii="Arial" w:eastAsia="Times New Roman" w:hAnsi="Arial" w:cs="Arial"/>
          <w:color w:val="000000"/>
          <w:lang w:val="es-ES" w:eastAsia="es-ES"/>
        </w:rPr>
      </w:pPr>
      <w:r w:rsidRPr="008D306E">
        <w:rPr>
          <w:rFonts w:ascii="Arial" w:eastAsia="Times New Roman" w:hAnsi="Arial" w:cs="Arial"/>
          <w:b/>
          <w:i/>
          <w:color w:val="000000"/>
          <w:lang w:val="es-ES" w:eastAsia="es-ES"/>
        </w:rPr>
        <w:t>Riesgo</w:t>
      </w:r>
      <w:r w:rsidR="00B50719" w:rsidRPr="008D306E">
        <w:rPr>
          <w:rFonts w:ascii="Arial" w:eastAsia="Times New Roman" w:hAnsi="Arial" w:cs="Arial"/>
          <w:b/>
          <w:i/>
          <w:color w:val="000000"/>
          <w:lang w:val="es-ES" w:eastAsia="es-ES"/>
        </w:rPr>
        <w:t xml:space="preserve"> de la investigación</w:t>
      </w:r>
      <w:r w:rsidRPr="008D306E">
        <w:rPr>
          <w:rFonts w:ascii="Arial" w:eastAsia="Times New Roman" w:hAnsi="Arial" w:cs="Arial"/>
          <w:b/>
          <w:i/>
          <w:color w:val="000000"/>
          <w:lang w:val="es-ES" w:eastAsia="es-ES"/>
        </w:rPr>
        <w:t>:</w:t>
      </w:r>
      <w:r>
        <w:rPr>
          <w:rFonts w:ascii="Arial" w:eastAsia="Times New Roman" w:hAnsi="Arial" w:cs="Arial"/>
          <w:color w:val="000000"/>
          <w:lang w:val="es-ES" w:eastAsia="es-ES"/>
        </w:rPr>
        <w:t xml:space="preserve"> </w:t>
      </w:r>
      <w:r w:rsidR="00B50719" w:rsidRPr="00B22A9D">
        <w:rPr>
          <w:rFonts w:ascii="Arial" w:eastAsia="Times New Roman" w:hAnsi="Arial" w:cs="Arial"/>
          <w:color w:val="000000"/>
          <w:lang w:val="es-ES" w:eastAsia="es-ES"/>
        </w:rPr>
        <w:t xml:space="preserve"> probabilidad de que el sujeto de investigación sufra algún daño como consecuencia inmediata o tardía del estudi</w:t>
      </w:r>
      <w:r w:rsidR="00C95E56" w:rsidRPr="00B22A9D">
        <w:rPr>
          <w:rFonts w:ascii="Arial" w:eastAsia="Times New Roman" w:hAnsi="Arial" w:cs="Arial"/>
          <w:color w:val="000000"/>
          <w:lang w:val="es-ES" w:eastAsia="es-ES"/>
        </w:rPr>
        <w:t xml:space="preserve">o. Estos se deben identificar.  </w:t>
      </w:r>
      <w:r w:rsidR="00B50719" w:rsidRPr="00B22A9D">
        <w:rPr>
          <w:rFonts w:ascii="Arial" w:eastAsia="Times New Roman" w:hAnsi="Arial" w:cs="Arial"/>
          <w:color w:val="000000"/>
          <w:lang w:val="es-ES" w:eastAsia="es-ES"/>
        </w:rPr>
        <w:t>Clasificación de las investigaciones dependiend</w:t>
      </w:r>
      <w:r w:rsidR="00D70E30" w:rsidRPr="00B22A9D">
        <w:rPr>
          <w:rFonts w:ascii="Arial" w:eastAsia="Times New Roman" w:hAnsi="Arial" w:cs="Arial"/>
          <w:color w:val="000000"/>
          <w:lang w:val="es-ES" w:eastAsia="es-ES"/>
        </w:rPr>
        <w:t xml:space="preserve">o del tipo de riesgo inherente: </w:t>
      </w:r>
      <w:r w:rsidR="00FE66D9" w:rsidRPr="00B22A9D">
        <w:rPr>
          <w:rFonts w:ascii="Arial" w:eastAsia="Times New Roman" w:hAnsi="Arial" w:cs="Arial"/>
          <w:color w:val="000000"/>
          <w:lang w:val="es-ES" w:eastAsia="es-ES"/>
        </w:rPr>
        <w:t>i</w:t>
      </w:r>
      <w:r w:rsidR="00B50719" w:rsidRPr="00B22A9D">
        <w:rPr>
          <w:rFonts w:ascii="Arial" w:eastAsia="Times New Roman" w:hAnsi="Arial" w:cs="Arial"/>
          <w:color w:val="000000"/>
          <w:lang w:val="es-ES" w:eastAsia="es-ES"/>
        </w:rPr>
        <w:t>nvestigación sin riesgo</w:t>
      </w:r>
      <w:r w:rsidR="00C92297" w:rsidRPr="00B22A9D">
        <w:rPr>
          <w:rFonts w:ascii="Arial" w:eastAsia="Times New Roman" w:hAnsi="Arial" w:cs="Arial"/>
          <w:color w:val="000000"/>
          <w:lang w:val="es-ES" w:eastAsia="es-ES"/>
        </w:rPr>
        <w:t xml:space="preserve">, </w:t>
      </w:r>
      <w:r w:rsidR="00FE66D9" w:rsidRPr="00B22A9D">
        <w:rPr>
          <w:rFonts w:ascii="Arial" w:eastAsia="Times New Roman" w:hAnsi="Arial" w:cs="Arial"/>
          <w:color w:val="000000"/>
          <w:lang w:val="es-ES" w:eastAsia="es-ES"/>
        </w:rPr>
        <w:t>i</w:t>
      </w:r>
      <w:r w:rsidR="00B50719" w:rsidRPr="00B22A9D">
        <w:rPr>
          <w:rFonts w:ascii="Arial" w:eastAsia="Times New Roman" w:hAnsi="Arial" w:cs="Arial"/>
          <w:color w:val="000000"/>
          <w:lang w:val="es-ES" w:eastAsia="es-ES"/>
        </w:rPr>
        <w:t>nvestigación con riesgo mínimo</w:t>
      </w:r>
      <w:r w:rsidR="00FE66D9" w:rsidRPr="00B22A9D">
        <w:rPr>
          <w:rFonts w:ascii="Arial" w:eastAsia="Times New Roman" w:hAnsi="Arial" w:cs="Arial"/>
          <w:color w:val="000000"/>
          <w:lang w:val="es-ES" w:eastAsia="es-ES"/>
        </w:rPr>
        <w:t>,</w:t>
      </w:r>
      <w:r w:rsidR="00B50719" w:rsidRPr="00B22A9D">
        <w:rPr>
          <w:rFonts w:ascii="Arial" w:eastAsia="Times New Roman" w:hAnsi="Arial" w:cs="Arial"/>
          <w:color w:val="000000"/>
          <w:lang w:val="es-ES" w:eastAsia="es-ES"/>
        </w:rPr>
        <w:t xml:space="preserve"> </w:t>
      </w:r>
      <w:r w:rsidR="00FE66D9" w:rsidRPr="00B22A9D">
        <w:rPr>
          <w:rFonts w:ascii="Arial" w:eastAsia="Times New Roman" w:hAnsi="Arial" w:cs="Arial"/>
          <w:color w:val="000000"/>
          <w:lang w:val="es-ES" w:eastAsia="es-ES"/>
        </w:rPr>
        <w:t>i</w:t>
      </w:r>
      <w:r w:rsidR="00B50719" w:rsidRPr="00B22A9D">
        <w:rPr>
          <w:rFonts w:ascii="Arial" w:eastAsia="Times New Roman" w:hAnsi="Arial" w:cs="Arial"/>
          <w:color w:val="000000"/>
          <w:lang w:val="es-ES" w:eastAsia="es-ES"/>
        </w:rPr>
        <w:t>nvestigaciones</w:t>
      </w:r>
      <w:r w:rsidR="00C92297" w:rsidRPr="00B22A9D">
        <w:rPr>
          <w:rFonts w:ascii="Arial" w:eastAsia="Times New Roman" w:hAnsi="Arial" w:cs="Arial"/>
          <w:color w:val="000000"/>
          <w:lang w:val="es-ES" w:eastAsia="es-ES"/>
        </w:rPr>
        <w:t xml:space="preserve"> con riesgo mayor que el mínimo.</w:t>
      </w:r>
    </w:p>
    <w:p w14:paraId="451BC73A" w14:textId="77777777" w:rsidR="00A90E98" w:rsidRPr="00B22A9D" w:rsidRDefault="00A90E98" w:rsidP="00EE653F">
      <w:pPr>
        <w:spacing w:after="0"/>
        <w:jc w:val="both"/>
        <w:rPr>
          <w:rFonts w:ascii="Arial" w:eastAsia="Times New Roman" w:hAnsi="Arial" w:cs="Arial"/>
          <w:color w:val="000000"/>
          <w:lang w:val="es-ES" w:eastAsia="es-ES"/>
        </w:rPr>
      </w:pPr>
    </w:p>
    <w:p w14:paraId="63A90CC3" w14:textId="54D421BA" w:rsidR="00A90E98" w:rsidRPr="00B22A9D" w:rsidRDefault="00A90E98" w:rsidP="00187AB0">
      <w:pPr>
        <w:pStyle w:val="Prrafodelista"/>
        <w:numPr>
          <w:ilvl w:val="0"/>
          <w:numId w:val="3"/>
        </w:numPr>
        <w:spacing w:after="0" w:line="240" w:lineRule="auto"/>
        <w:ind w:left="284" w:hanging="284"/>
        <w:jc w:val="both"/>
        <w:rPr>
          <w:rFonts w:ascii="Arial" w:eastAsia="Times New Roman" w:hAnsi="Arial" w:cs="Arial"/>
          <w:color w:val="000000"/>
          <w:lang w:val="es-ES" w:eastAsia="es-ES"/>
        </w:rPr>
      </w:pPr>
      <w:r w:rsidRPr="00364A80">
        <w:rPr>
          <w:rFonts w:ascii="Arial" w:eastAsia="Times New Roman" w:hAnsi="Arial" w:cs="Arial"/>
          <w:color w:val="000000"/>
          <w:u w:val="single"/>
          <w:lang w:val="es-ES" w:eastAsia="es-ES"/>
        </w:rPr>
        <w:lastRenderedPageBreak/>
        <w:t>Investigación sin riesgo:</w:t>
      </w:r>
      <w:r w:rsidR="00364A80">
        <w:rPr>
          <w:rFonts w:ascii="Arial" w:eastAsia="Times New Roman" w:hAnsi="Arial" w:cs="Arial"/>
          <w:color w:val="000000"/>
          <w:lang w:val="es-ES" w:eastAsia="es-ES"/>
        </w:rPr>
        <w:t xml:space="preserve"> s</w:t>
      </w:r>
      <w:r w:rsidRPr="00B22A9D">
        <w:rPr>
          <w:rFonts w:ascii="Arial" w:eastAsia="Times New Roman" w:hAnsi="Arial" w:cs="Arial"/>
          <w:color w:val="000000"/>
          <w:lang w:val="es-ES" w:eastAsia="es-ES"/>
        </w:rPr>
        <w:t xml:space="preserve">on estudios que emplean técnicas y métodos de investigación documental retrospectivos y aquellos en los que no se realiza ninguna intervención o modificación intencionada de las variables biológicas, fisiológicas, sicológicas o sociales de los individuos que participan en el estudio, entre los que se consideran: revisión de historias clínicas, entrevistas, cuestionarios y otros en los que no se le identifique ni se traten aspectos sensitivos de su conducta. </w:t>
      </w:r>
    </w:p>
    <w:p w14:paraId="675B77D1" w14:textId="7C05C233" w:rsidR="00A90E98" w:rsidRPr="00B22A9D" w:rsidRDefault="00A90E98" w:rsidP="00187AB0">
      <w:pPr>
        <w:pStyle w:val="Prrafodelista"/>
        <w:numPr>
          <w:ilvl w:val="0"/>
          <w:numId w:val="3"/>
        </w:numPr>
        <w:spacing w:after="0" w:line="240" w:lineRule="auto"/>
        <w:ind w:left="284" w:hanging="284"/>
        <w:jc w:val="both"/>
        <w:rPr>
          <w:rFonts w:ascii="Arial" w:eastAsia="Times New Roman" w:hAnsi="Arial" w:cs="Arial"/>
          <w:color w:val="000000"/>
          <w:lang w:val="es-ES" w:eastAsia="es-ES"/>
        </w:rPr>
      </w:pPr>
      <w:r w:rsidRPr="00364A80">
        <w:rPr>
          <w:rFonts w:ascii="Arial" w:eastAsia="Times New Roman" w:hAnsi="Arial" w:cs="Arial"/>
          <w:color w:val="000000"/>
          <w:u w:val="single"/>
          <w:lang w:val="es-ES" w:eastAsia="es-ES"/>
        </w:rPr>
        <w:t>Investigación con riesgo mínimo</w:t>
      </w:r>
      <w:r w:rsidR="00364A80" w:rsidRPr="00364A80">
        <w:rPr>
          <w:rFonts w:ascii="Arial" w:eastAsia="Times New Roman" w:hAnsi="Arial" w:cs="Arial"/>
          <w:color w:val="000000"/>
          <w:u w:val="single"/>
          <w:lang w:val="es-ES" w:eastAsia="es-ES"/>
        </w:rPr>
        <w:t>:</w:t>
      </w:r>
      <w:r w:rsidR="00364A80">
        <w:rPr>
          <w:rFonts w:ascii="Arial" w:eastAsia="Times New Roman" w:hAnsi="Arial" w:cs="Arial"/>
          <w:color w:val="000000"/>
          <w:lang w:val="es-ES" w:eastAsia="es-ES"/>
        </w:rPr>
        <w:t xml:space="preserve"> s</w:t>
      </w:r>
      <w:r w:rsidRPr="00B22A9D">
        <w:rPr>
          <w:rFonts w:ascii="Arial" w:eastAsia="Times New Roman" w:hAnsi="Arial" w:cs="Arial"/>
          <w:color w:val="000000"/>
          <w:lang w:val="es-ES" w:eastAsia="es-ES"/>
        </w:rPr>
        <w:t xml:space="preserve">on estudios prospectivos que emplean el registro de datos a través de procedimientos comunes consistentes en: exámenes físicos o sicológicos de diagnóstico o tratamientos rutinarios, entre los que se consideran: pesar al sujeto, electrocardiogramas, pruebas de agudeza auditiva, termografías, colección de excretas y secreciones externas, obtención de placenta durante el parto, recolección de líquido amniótico al romperse las membranas, obtención de saliva, dientes deciduales y dientes permanentes extraídos por indicación terapéutica, placa dental y cálculos removidos por procedimientos profilácticos no invasores, corte de pelo y uñas sin causar desfiguración, extracción de sangre por punción venosa en adultos en buen estado de salud, con frecuencia máxima de dos veces a la semana y volumen máximo de 450 ml en dos meses excepto durante el embarazo, ejercicio moderado en voluntarios sanos, pruebas sicológicas a grupos o individuos en los que no se manipulará la conducta del sujeto, investigación con medicamentos de uso común, amplio margen terapéutico y registrados en el Ministerio o su autoridad delegada, empleando las indicaciones, dosis y vías de administración establecidas y que no sean los medicamentos que se definen en el artículo 55 de la Resolución 8430 de 1993. </w:t>
      </w:r>
    </w:p>
    <w:p w14:paraId="3B108B1B" w14:textId="76659EF6" w:rsidR="00A90E98" w:rsidRPr="00B22A9D" w:rsidRDefault="00A90E98" w:rsidP="00187AB0">
      <w:pPr>
        <w:pStyle w:val="Prrafodelista"/>
        <w:numPr>
          <w:ilvl w:val="0"/>
          <w:numId w:val="3"/>
        </w:numPr>
        <w:spacing w:after="0" w:line="240" w:lineRule="auto"/>
        <w:ind w:left="284" w:hanging="284"/>
        <w:jc w:val="both"/>
        <w:rPr>
          <w:rFonts w:ascii="Arial" w:eastAsia="Times New Roman" w:hAnsi="Arial" w:cs="Arial"/>
          <w:color w:val="000000"/>
          <w:lang w:val="es-ES" w:eastAsia="es-ES"/>
        </w:rPr>
      </w:pPr>
      <w:r w:rsidRPr="00364A80">
        <w:rPr>
          <w:rFonts w:ascii="Arial" w:eastAsia="Times New Roman" w:hAnsi="Arial" w:cs="Arial"/>
          <w:color w:val="000000"/>
          <w:u w:val="single"/>
          <w:lang w:val="es-ES" w:eastAsia="es-ES"/>
        </w:rPr>
        <w:t>Investigaciones con riesgo mayor que el mínimo:</w:t>
      </w:r>
      <w:r w:rsidR="00364A80">
        <w:rPr>
          <w:rFonts w:ascii="Arial" w:eastAsia="Times New Roman" w:hAnsi="Arial" w:cs="Arial"/>
          <w:color w:val="000000"/>
          <w:lang w:val="es-ES" w:eastAsia="es-ES"/>
        </w:rPr>
        <w:t xml:space="preserve"> s</w:t>
      </w:r>
      <w:r w:rsidRPr="00B22A9D">
        <w:rPr>
          <w:rFonts w:ascii="Arial" w:eastAsia="Times New Roman" w:hAnsi="Arial" w:cs="Arial"/>
          <w:color w:val="000000"/>
          <w:lang w:val="es-ES" w:eastAsia="es-ES"/>
        </w:rPr>
        <w:t>on aquellas en que las probabilidades de afectar al sujeto son significativas, entre las que se consideran: estudios radiológicos y con microondas, estudios con los medicamentos y modalidades que se definen en los títulos III y IV de la Resolución 2378 de 2008, ensayos con nuevos dispositivos, estudios que incluyen procedimientos quirúrgicos, extracción de sangre mayor al 2% del volumen circulante en neonatos, amniocentesis y otras técnicas invasoras o procedimientos mayores, los que empleen métodos aleatorios de asignación a esquemas terapéuticos y los que tengan control con placebos, entre otros.</w:t>
      </w:r>
    </w:p>
    <w:p w14:paraId="34E79352" w14:textId="77777777" w:rsidR="000211AA" w:rsidRPr="00B22A9D" w:rsidRDefault="000211AA" w:rsidP="00EE653F">
      <w:pPr>
        <w:spacing w:after="0"/>
        <w:jc w:val="both"/>
        <w:rPr>
          <w:rFonts w:ascii="Arial" w:eastAsia="Times New Roman" w:hAnsi="Arial" w:cs="Arial"/>
          <w:color w:val="000000"/>
          <w:lang w:val="es-ES" w:eastAsia="es-ES"/>
        </w:rPr>
      </w:pPr>
    </w:p>
    <w:p w14:paraId="40E1C395" w14:textId="6E4365AF" w:rsidR="00326322" w:rsidRPr="00B22A9D" w:rsidRDefault="00B50719" w:rsidP="00EE653F">
      <w:pPr>
        <w:spacing w:after="0"/>
        <w:jc w:val="both"/>
        <w:rPr>
          <w:rFonts w:ascii="Arial" w:eastAsia="Times New Roman" w:hAnsi="Arial" w:cs="Arial"/>
          <w:color w:val="000000"/>
          <w:lang w:val="es-ES" w:eastAsia="es-ES"/>
        </w:rPr>
      </w:pPr>
      <w:r w:rsidRPr="008D306E">
        <w:rPr>
          <w:rFonts w:ascii="Arial" w:eastAsia="Times New Roman" w:hAnsi="Arial" w:cs="Arial"/>
          <w:b/>
          <w:i/>
          <w:color w:val="000000"/>
          <w:lang w:val="es-ES" w:eastAsia="es-ES"/>
        </w:rPr>
        <w:t>Consentimiento Informado</w:t>
      </w:r>
      <w:r w:rsidR="00FE66D9" w:rsidRPr="008D306E">
        <w:rPr>
          <w:rFonts w:ascii="Arial" w:eastAsia="Times New Roman" w:hAnsi="Arial" w:cs="Arial"/>
          <w:i/>
          <w:color w:val="000000"/>
          <w:lang w:val="es-ES" w:eastAsia="es-ES"/>
        </w:rPr>
        <w:t>:</w:t>
      </w:r>
      <w:r w:rsidRPr="00B22A9D">
        <w:rPr>
          <w:rFonts w:ascii="Arial" w:eastAsia="Times New Roman" w:hAnsi="Arial" w:cs="Arial"/>
          <w:color w:val="000000"/>
          <w:lang w:val="es-ES" w:eastAsia="es-ES"/>
        </w:rPr>
        <w:t xml:space="preserve"> </w:t>
      </w:r>
      <w:r w:rsidR="008D306E">
        <w:rPr>
          <w:rFonts w:ascii="Arial" w:eastAsia="Times New Roman" w:hAnsi="Arial" w:cs="Arial"/>
          <w:color w:val="000000"/>
          <w:lang w:val="es-ES" w:eastAsia="es-ES"/>
        </w:rPr>
        <w:t>proceso</w:t>
      </w:r>
      <w:r w:rsidRPr="00B22A9D">
        <w:rPr>
          <w:rFonts w:ascii="Arial" w:eastAsia="Times New Roman" w:hAnsi="Arial" w:cs="Arial"/>
          <w:color w:val="000000"/>
          <w:lang w:val="es-ES" w:eastAsia="es-ES"/>
        </w:rPr>
        <w:t xml:space="preserve">, mediante el cual el sujeto de investigación o en su caso, su representante legal, autoriza su participación en la investigación, con pleno conocimiento de la naturaleza de los procedimientos, beneficios y riesgos a que se someterá, con la capacidad de libre </w:t>
      </w:r>
      <w:r w:rsidR="005327FB" w:rsidRPr="00B22A9D">
        <w:rPr>
          <w:rFonts w:ascii="Arial" w:eastAsia="Times New Roman" w:hAnsi="Arial" w:cs="Arial"/>
          <w:color w:val="000000"/>
          <w:lang w:val="es-ES" w:eastAsia="es-ES"/>
        </w:rPr>
        <w:t>elección y sin coacción alguna.</w:t>
      </w:r>
    </w:p>
    <w:p w14:paraId="605C29E5" w14:textId="485700FB" w:rsidR="00B50719" w:rsidRPr="00B22A9D" w:rsidRDefault="005327FB" w:rsidP="00EE653F">
      <w:pPr>
        <w:spacing w:after="0"/>
        <w:jc w:val="both"/>
        <w:rPr>
          <w:rFonts w:ascii="Arial" w:eastAsia="Times New Roman" w:hAnsi="Arial" w:cs="Arial"/>
          <w:color w:val="000000"/>
          <w:lang w:val="es-ES" w:eastAsia="es-ES"/>
        </w:rPr>
      </w:pPr>
      <w:r w:rsidRPr="008D306E">
        <w:rPr>
          <w:rFonts w:ascii="Arial" w:eastAsia="Times New Roman" w:hAnsi="Arial" w:cs="Arial"/>
          <w:i/>
          <w:color w:val="000000"/>
          <w:u w:val="single"/>
          <w:lang w:val="es-ES" w:eastAsia="es-ES"/>
        </w:rPr>
        <w:t>Validez:</w:t>
      </w:r>
      <w:r w:rsidRPr="00B22A9D">
        <w:rPr>
          <w:rFonts w:ascii="Arial" w:eastAsia="Times New Roman" w:hAnsi="Arial" w:cs="Arial"/>
          <w:color w:val="000000"/>
          <w:lang w:val="es-ES" w:eastAsia="es-ES"/>
        </w:rPr>
        <w:t xml:space="preserve"> </w:t>
      </w:r>
      <w:r w:rsidR="00B50719" w:rsidRPr="00B22A9D">
        <w:rPr>
          <w:rFonts w:ascii="Arial" w:eastAsia="Times New Roman" w:hAnsi="Arial" w:cs="Arial"/>
          <w:color w:val="000000"/>
          <w:lang w:val="es-ES" w:eastAsia="es-ES"/>
        </w:rPr>
        <w:t xml:space="preserve"> el </w:t>
      </w:r>
      <w:r w:rsidR="008D306E" w:rsidRPr="00B22A9D">
        <w:rPr>
          <w:rFonts w:ascii="Arial" w:eastAsia="Times New Roman" w:hAnsi="Arial" w:cs="Arial"/>
          <w:color w:val="000000"/>
          <w:lang w:val="es-ES" w:eastAsia="es-ES"/>
        </w:rPr>
        <w:t>documento elaborado</w:t>
      </w:r>
      <w:r w:rsidR="00B50719" w:rsidRPr="00B22A9D">
        <w:rPr>
          <w:rFonts w:ascii="Arial" w:eastAsia="Times New Roman" w:hAnsi="Arial" w:cs="Arial"/>
          <w:color w:val="000000"/>
          <w:lang w:val="es-ES" w:eastAsia="es-ES"/>
        </w:rPr>
        <w:t xml:space="preserve"> por el Investigador </w:t>
      </w:r>
      <w:r w:rsidR="00FE66D9" w:rsidRPr="00B22A9D">
        <w:rPr>
          <w:rFonts w:ascii="Arial" w:eastAsia="Times New Roman" w:hAnsi="Arial" w:cs="Arial"/>
          <w:color w:val="000000"/>
          <w:lang w:val="es-ES" w:eastAsia="es-ES"/>
        </w:rPr>
        <w:t>P</w:t>
      </w:r>
      <w:r w:rsidR="00B50719" w:rsidRPr="00B22A9D">
        <w:rPr>
          <w:rFonts w:ascii="Arial" w:eastAsia="Times New Roman" w:hAnsi="Arial" w:cs="Arial"/>
          <w:color w:val="000000"/>
          <w:lang w:val="es-ES" w:eastAsia="es-ES"/>
        </w:rPr>
        <w:t xml:space="preserve">rincipal, revisado por el comité de ética, </w:t>
      </w:r>
      <w:r w:rsidR="00FE66D9" w:rsidRPr="00B22A9D">
        <w:rPr>
          <w:rFonts w:ascii="Arial" w:eastAsia="Times New Roman" w:hAnsi="Arial" w:cs="Arial"/>
          <w:color w:val="000000"/>
          <w:lang w:val="es-ES" w:eastAsia="es-ES"/>
        </w:rPr>
        <w:t>d</w:t>
      </w:r>
      <w:r w:rsidR="00B50719" w:rsidRPr="00B22A9D">
        <w:rPr>
          <w:rFonts w:ascii="Arial" w:eastAsia="Times New Roman" w:hAnsi="Arial" w:cs="Arial"/>
          <w:color w:val="000000"/>
          <w:lang w:val="es-ES" w:eastAsia="es-ES"/>
        </w:rPr>
        <w:t xml:space="preserve">eberá tener nombres, direcciones y tipo de relación de testigos (2), firmas, </w:t>
      </w:r>
      <w:r w:rsidRPr="00B22A9D">
        <w:rPr>
          <w:rFonts w:ascii="Arial" w:eastAsia="Times New Roman" w:hAnsi="Arial" w:cs="Arial"/>
          <w:color w:val="000000"/>
          <w:lang w:val="es-ES" w:eastAsia="es-ES"/>
        </w:rPr>
        <w:t>así</w:t>
      </w:r>
      <w:r w:rsidR="00B50719" w:rsidRPr="00B22A9D">
        <w:rPr>
          <w:rFonts w:ascii="Arial" w:eastAsia="Times New Roman" w:hAnsi="Arial" w:cs="Arial"/>
          <w:color w:val="000000"/>
          <w:lang w:val="es-ES" w:eastAsia="es-ES"/>
        </w:rPr>
        <w:t xml:space="preserve"> mismo del sujeto de investigación (o su representante legal), si este no sabe firmar se imprimirá su huella digital y en su nombre </w:t>
      </w:r>
      <w:r w:rsidR="008D306E" w:rsidRPr="00B22A9D">
        <w:rPr>
          <w:rFonts w:ascii="Arial" w:eastAsia="Times New Roman" w:hAnsi="Arial" w:cs="Arial"/>
          <w:color w:val="000000"/>
          <w:lang w:val="es-ES" w:eastAsia="es-ES"/>
        </w:rPr>
        <w:t>firmará</w:t>
      </w:r>
      <w:r w:rsidR="00B50719" w:rsidRPr="00B22A9D">
        <w:rPr>
          <w:rFonts w:ascii="Arial" w:eastAsia="Times New Roman" w:hAnsi="Arial" w:cs="Arial"/>
          <w:color w:val="000000"/>
          <w:lang w:val="es-ES" w:eastAsia="es-ES"/>
        </w:rPr>
        <w:t xml:space="preserve"> una persona que el designe. </w:t>
      </w:r>
      <w:r w:rsidR="008D306E">
        <w:rPr>
          <w:rFonts w:ascii="Arial" w:eastAsia="Times New Roman" w:hAnsi="Arial" w:cs="Arial"/>
          <w:color w:val="000000"/>
          <w:lang w:val="es-ES" w:eastAsia="es-ES"/>
        </w:rPr>
        <w:t>El d</w:t>
      </w:r>
      <w:r w:rsidR="00B50719" w:rsidRPr="00B22A9D">
        <w:rPr>
          <w:rFonts w:ascii="Arial" w:eastAsia="Times New Roman" w:hAnsi="Arial" w:cs="Arial"/>
          <w:color w:val="000000"/>
          <w:lang w:val="es-ES" w:eastAsia="es-ES"/>
        </w:rPr>
        <w:t xml:space="preserve">ocumento se </w:t>
      </w:r>
      <w:r w:rsidR="0019786F" w:rsidRPr="00B22A9D">
        <w:rPr>
          <w:rFonts w:ascii="Arial" w:eastAsia="Times New Roman" w:hAnsi="Arial" w:cs="Arial"/>
          <w:color w:val="000000"/>
          <w:lang w:val="es-ES" w:eastAsia="es-ES"/>
        </w:rPr>
        <w:t>elaborará</w:t>
      </w:r>
      <w:r w:rsidR="00B50719" w:rsidRPr="00B22A9D">
        <w:rPr>
          <w:rFonts w:ascii="Arial" w:eastAsia="Times New Roman" w:hAnsi="Arial" w:cs="Arial"/>
          <w:color w:val="000000"/>
          <w:lang w:val="es-ES" w:eastAsia="es-ES"/>
        </w:rPr>
        <w:t xml:space="preserve"> por duplicado</w:t>
      </w:r>
      <w:r w:rsidR="00FE66D9" w:rsidRPr="00B22A9D">
        <w:rPr>
          <w:rFonts w:ascii="Arial" w:eastAsia="Times New Roman" w:hAnsi="Arial" w:cs="Arial"/>
          <w:color w:val="000000"/>
          <w:lang w:val="es-ES" w:eastAsia="es-ES"/>
        </w:rPr>
        <w:t xml:space="preserve"> </w:t>
      </w:r>
      <w:r w:rsidR="00B50719" w:rsidRPr="00B22A9D">
        <w:rPr>
          <w:rFonts w:ascii="Arial" w:eastAsia="Times New Roman" w:hAnsi="Arial" w:cs="Arial"/>
          <w:color w:val="000000"/>
          <w:lang w:val="es-ES" w:eastAsia="es-ES"/>
        </w:rPr>
        <w:t>(</w:t>
      </w:r>
      <w:r w:rsidR="00FE66D9" w:rsidRPr="00B22A9D">
        <w:rPr>
          <w:rFonts w:ascii="Arial" w:eastAsia="Times New Roman" w:hAnsi="Arial" w:cs="Arial"/>
          <w:color w:val="000000"/>
          <w:lang w:val="es-ES" w:eastAsia="es-ES"/>
        </w:rPr>
        <w:t>e</w:t>
      </w:r>
      <w:r w:rsidR="00B50719" w:rsidRPr="00B22A9D">
        <w:rPr>
          <w:rFonts w:ascii="Arial" w:eastAsia="Times New Roman" w:hAnsi="Arial" w:cs="Arial"/>
          <w:color w:val="000000"/>
          <w:lang w:val="es-ES" w:eastAsia="es-ES"/>
        </w:rPr>
        <w:t>n el caso que sea investigaciones con riesgo mínimo, el Comité de Ética en Investigación de la institución investigadora, por razones justificadas, podrá autorizar que el Consentimiento Informado se obtenga sin formularse por escrito y tratándose de investigaciones sin riesgo, podrá dispensar al investigador de la obtención del mismo). Par</w:t>
      </w:r>
      <w:r w:rsidR="00FE66D9" w:rsidRPr="00B22A9D">
        <w:rPr>
          <w:rFonts w:ascii="Arial" w:eastAsia="Times New Roman" w:hAnsi="Arial" w:cs="Arial"/>
          <w:color w:val="000000"/>
          <w:lang w:val="es-ES" w:eastAsia="es-ES"/>
        </w:rPr>
        <w:t>a</w:t>
      </w:r>
      <w:r w:rsidR="00B50719" w:rsidRPr="00B22A9D">
        <w:rPr>
          <w:rFonts w:ascii="Arial" w:eastAsia="Times New Roman" w:hAnsi="Arial" w:cs="Arial"/>
          <w:color w:val="000000"/>
          <w:lang w:val="es-ES" w:eastAsia="es-ES"/>
        </w:rPr>
        <w:t xml:space="preserve"> el caso de enfermos siquiátricos internados en una institución, además de cumplir con lo señalado en los artículos anteriores, será necesario obtener la aprobación previa de la autoridad que conozca del caso. </w:t>
      </w:r>
    </w:p>
    <w:p w14:paraId="5DF7CA14" w14:textId="77777777" w:rsidR="00A90E98" w:rsidRPr="00B22A9D" w:rsidRDefault="00A90E98" w:rsidP="00EE653F">
      <w:pPr>
        <w:spacing w:after="0"/>
        <w:jc w:val="both"/>
        <w:rPr>
          <w:rFonts w:ascii="Arial" w:eastAsia="Times New Roman" w:hAnsi="Arial" w:cs="Arial"/>
          <w:color w:val="000000"/>
          <w:lang w:val="es-ES" w:eastAsia="es-ES"/>
        </w:rPr>
      </w:pPr>
    </w:p>
    <w:p w14:paraId="06105C4D" w14:textId="6C0353CC" w:rsidR="00A90E98" w:rsidRPr="00B22A9D" w:rsidRDefault="00A90E98" w:rsidP="00EE653F">
      <w:pPr>
        <w:spacing w:after="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Es importante destacar que el documento Consentimiento Informado constituye el registro evidencia que se surtió el procedimiento estructurado de aplicación de consentimiento informado.</w:t>
      </w:r>
    </w:p>
    <w:p w14:paraId="2170AE09" w14:textId="77777777" w:rsidR="00B50719" w:rsidRPr="00B22A9D" w:rsidRDefault="00B50719" w:rsidP="00EE653F">
      <w:pPr>
        <w:spacing w:after="0"/>
        <w:jc w:val="both"/>
        <w:rPr>
          <w:rFonts w:ascii="Arial" w:eastAsia="Times New Roman" w:hAnsi="Arial" w:cs="Arial"/>
          <w:color w:val="000000"/>
          <w:lang w:val="es-ES" w:eastAsia="es-ES"/>
        </w:rPr>
      </w:pPr>
    </w:p>
    <w:p w14:paraId="7A500941" w14:textId="76FD94BC" w:rsidR="00D16113" w:rsidRPr="00B22A9D" w:rsidRDefault="00B50719" w:rsidP="00EE653F">
      <w:pPr>
        <w:spacing w:after="0"/>
        <w:jc w:val="both"/>
        <w:rPr>
          <w:rFonts w:ascii="Arial" w:eastAsia="Times New Roman" w:hAnsi="Arial" w:cs="Arial"/>
          <w:color w:val="000000"/>
          <w:lang w:val="es-ES" w:eastAsia="es-ES"/>
        </w:rPr>
      </w:pPr>
      <w:r w:rsidRPr="008D306E">
        <w:rPr>
          <w:rFonts w:ascii="Arial" w:eastAsia="Times New Roman" w:hAnsi="Arial" w:cs="Arial"/>
          <w:i/>
          <w:color w:val="000000"/>
          <w:u w:val="single"/>
          <w:lang w:val="es-ES" w:eastAsia="es-ES"/>
        </w:rPr>
        <w:lastRenderedPageBreak/>
        <w:t>Contenido del consentimiento informado:</w:t>
      </w:r>
      <w:r w:rsidRPr="00B22A9D">
        <w:rPr>
          <w:rFonts w:ascii="Arial" w:eastAsia="Times New Roman" w:hAnsi="Arial" w:cs="Arial"/>
          <w:color w:val="000000"/>
          <w:lang w:val="es-ES" w:eastAsia="es-ES"/>
        </w:rPr>
        <w:t xml:space="preserve"> deberá presentar la siguiente información, la cual será explicada, en forma completa y clara al sujeto de investigación o, en su defecto, a su representante legal, en tal forma que puedan comprenderla</w:t>
      </w:r>
      <w:r w:rsidR="00FE66D9" w:rsidRPr="00B22A9D">
        <w:rPr>
          <w:rFonts w:ascii="Arial" w:eastAsia="Times New Roman" w:hAnsi="Arial" w:cs="Arial"/>
          <w:color w:val="000000"/>
          <w:lang w:val="es-ES" w:eastAsia="es-ES"/>
        </w:rPr>
        <w:t xml:space="preserve">:  </w:t>
      </w:r>
      <w:r w:rsidR="008D306E">
        <w:rPr>
          <w:rFonts w:ascii="Arial" w:eastAsia="Times New Roman" w:hAnsi="Arial" w:cs="Arial"/>
          <w:color w:val="000000"/>
          <w:lang w:val="es-ES" w:eastAsia="es-ES"/>
        </w:rPr>
        <w:t>j</w:t>
      </w:r>
      <w:r w:rsidR="00B56CF8" w:rsidRPr="00B22A9D">
        <w:rPr>
          <w:rFonts w:ascii="Arial" w:eastAsia="Times New Roman" w:hAnsi="Arial" w:cs="Arial"/>
          <w:color w:val="000000"/>
          <w:lang w:val="es-ES" w:eastAsia="es-ES"/>
        </w:rPr>
        <w:t xml:space="preserve">ustificación y </w:t>
      </w:r>
      <w:r w:rsidR="00D16113" w:rsidRPr="00B22A9D">
        <w:rPr>
          <w:rFonts w:ascii="Arial" w:eastAsia="Times New Roman" w:hAnsi="Arial" w:cs="Arial"/>
          <w:color w:val="000000"/>
          <w:lang w:val="es-ES" w:eastAsia="es-ES"/>
        </w:rPr>
        <w:t>objetivos</w:t>
      </w:r>
      <w:r w:rsidR="00B56CF8" w:rsidRPr="00B22A9D">
        <w:rPr>
          <w:rFonts w:ascii="Arial" w:eastAsia="Times New Roman" w:hAnsi="Arial" w:cs="Arial"/>
          <w:color w:val="000000"/>
          <w:lang w:val="es-ES" w:eastAsia="es-ES"/>
        </w:rPr>
        <w:t xml:space="preserve">, </w:t>
      </w:r>
      <w:r w:rsidRPr="00B22A9D">
        <w:rPr>
          <w:rFonts w:ascii="Arial" w:eastAsia="Times New Roman" w:hAnsi="Arial" w:cs="Arial"/>
          <w:color w:val="000000"/>
          <w:lang w:val="es-ES" w:eastAsia="es-ES"/>
        </w:rPr>
        <w:t xml:space="preserve"> procedimientos que vayan</w:t>
      </w:r>
      <w:r w:rsidR="00D16113" w:rsidRPr="00B22A9D">
        <w:rPr>
          <w:rFonts w:ascii="Arial" w:eastAsia="Times New Roman" w:hAnsi="Arial" w:cs="Arial"/>
          <w:color w:val="000000"/>
          <w:lang w:val="es-ES" w:eastAsia="es-ES"/>
        </w:rPr>
        <w:t xml:space="preserve"> a usarse y su propósito, </w:t>
      </w:r>
      <w:r w:rsidRPr="00B22A9D">
        <w:rPr>
          <w:rFonts w:ascii="Arial" w:eastAsia="Times New Roman" w:hAnsi="Arial" w:cs="Arial"/>
          <w:color w:val="000000"/>
          <w:lang w:val="es-ES" w:eastAsia="es-ES"/>
        </w:rPr>
        <w:t>mole</w:t>
      </w:r>
      <w:r w:rsidR="00D16113" w:rsidRPr="00B22A9D">
        <w:rPr>
          <w:rFonts w:ascii="Arial" w:eastAsia="Times New Roman" w:hAnsi="Arial" w:cs="Arial"/>
          <w:color w:val="000000"/>
          <w:lang w:val="es-ES" w:eastAsia="es-ES"/>
        </w:rPr>
        <w:t xml:space="preserve">stias o los riesgos esperados, </w:t>
      </w:r>
      <w:r w:rsidRPr="00B22A9D">
        <w:rPr>
          <w:rFonts w:ascii="Arial" w:eastAsia="Times New Roman" w:hAnsi="Arial" w:cs="Arial"/>
          <w:color w:val="000000"/>
          <w:lang w:val="es-ES" w:eastAsia="es-ES"/>
        </w:rPr>
        <w:t>be</w:t>
      </w:r>
      <w:r w:rsidR="00D16113" w:rsidRPr="00B22A9D">
        <w:rPr>
          <w:rFonts w:ascii="Arial" w:eastAsia="Times New Roman" w:hAnsi="Arial" w:cs="Arial"/>
          <w:color w:val="000000"/>
          <w:lang w:val="es-ES" w:eastAsia="es-ES"/>
        </w:rPr>
        <w:t xml:space="preserve">neficios que puedan obtenerse, </w:t>
      </w:r>
      <w:r w:rsidRPr="00B22A9D">
        <w:rPr>
          <w:rFonts w:ascii="Arial" w:eastAsia="Times New Roman" w:hAnsi="Arial" w:cs="Arial"/>
          <w:color w:val="000000"/>
          <w:lang w:val="es-ES" w:eastAsia="es-ES"/>
        </w:rPr>
        <w:t xml:space="preserve">procedimientos alternativos que pudieran </w:t>
      </w:r>
      <w:r w:rsidR="00D16113" w:rsidRPr="00B22A9D">
        <w:rPr>
          <w:rFonts w:ascii="Arial" w:eastAsia="Times New Roman" w:hAnsi="Arial" w:cs="Arial"/>
          <w:color w:val="000000"/>
          <w:lang w:val="es-ES" w:eastAsia="es-ES"/>
        </w:rPr>
        <w:t xml:space="preserve">ser ventajosos para el sujeto, </w:t>
      </w:r>
      <w:r w:rsidRPr="00B22A9D">
        <w:rPr>
          <w:rFonts w:ascii="Arial" w:eastAsia="Times New Roman" w:hAnsi="Arial" w:cs="Arial"/>
          <w:color w:val="000000"/>
          <w:lang w:val="es-ES" w:eastAsia="es-ES"/>
        </w:rPr>
        <w:t>garantía de recibir respuesta a cualquier pregunta y aclaración a cualquier duda acerca de los procedimientos, riesgos, beneficios y otros asuntos relacionados con la investigació</w:t>
      </w:r>
      <w:r w:rsidR="00D16113" w:rsidRPr="00B22A9D">
        <w:rPr>
          <w:rFonts w:ascii="Arial" w:eastAsia="Times New Roman" w:hAnsi="Arial" w:cs="Arial"/>
          <w:color w:val="000000"/>
          <w:lang w:val="es-ES" w:eastAsia="es-ES"/>
        </w:rPr>
        <w:t>n y el tratamiento del sujeto, l</w:t>
      </w:r>
      <w:r w:rsidRPr="00B22A9D">
        <w:rPr>
          <w:rFonts w:ascii="Arial" w:eastAsia="Times New Roman" w:hAnsi="Arial" w:cs="Arial"/>
          <w:color w:val="000000"/>
          <w:lang w:val="es-ES" w:eastAsia="es-ES"/>
        </w:rPr>
        <w:t>a libertad de retirar su consentimiento en cualquier momento y dejar de participar en el estudio sin que por ello se creen perjuicios para conti</w:t>
      </w:r>
      <w:r w:rsidR="00D16113" w:rsidRPr="00B22A9D">
        <w:rPr>
          <w:rFonts w:ascii="Arial" w:eastAsia="Times New Roman" w:hAnsi="Arial" w:cs="Arial"/>
          <w:color w:val="000000"/>
          <w:lang w:val="es-ES" w:eastAsia="es-ES"/>
        </w:rPr>
        <w:t>nuar su cuidado y tratamiento, l</w:t>
      </w:r>
      <w:r w:rsidRPr="00B22A9D">
        <w:rPr>
          <w:rFonts w:ascii="Arial" w:eastAsia="Times New Roman" w:hAnsi="Arial" w:cs="Arial"/>
          <w:color w:val="000000"/>
          <w:lang w:val="es-ES" w:eastAsia="es-ES"/>
        </w:rPr>
        <w:t>a seguridad que no se identificará al sujeto y que se mantendrá la confidencialidad de la informació</w:t>
      </w:r>
      <w:r w:rsidR="00B56CF8" w:rsidRPr="00B22A9D">
        <w:rPr>
          <w:rFonts w:ascii="Arial" w:eastAsia="Times New Roman" w:hAnsi="Arial" w:cs="Arial"/>
          <w:color w:val="000000"/>
          <w:lang w:val="es-ES" w:eastAsia="es-ES"/>
        </w:rPr>
        <w:t xml:space="preserve">n relacionada con su privacidad, </w:t>
      </w:r>
      <w:r w:rsidRPr="00B22A9D">
        <w:rPr>
          <w:rFonts w:ascii="Arial" w:eastAsia="Times New Roman" w:hAnsi="Arial" w:cs="Arial"/>
          <w:color w:val="000000"/>
          <w:lang w:val="es-ES" w:eastAsia="es-ES"/>
        </w:rPr>
        <w:t>compromiso de proporcionarle información actualizada obtenida durante el estudio, aunque ésta pudiera afectar la voluntad del sujet</w:t>
      </w:r>
      <w:r w:rsidR="00B56CF8" w:rsidRPr="00B22A9D">
        <w:rPr>
          <w:rFonts w:ascii="Arial" w:eastAsia="Times New Roman" w:hAnsi="Arial" w:cs="Arial"/>
          <w:color w:val="000000"/>
          <w:lang w:val="es-ES" w:eastAsia="es-ES"/>
        </w:rPr>
        <w:t>o para continuar participando, l</w:t>
      </w:r>
      <w:r w:rsidRPr="00B22A9D">
        <w:rPr>
          <w:rFonts w:ascii="Arial" w:eastAsia="Times New Roman" w:hAnsi="Arial" w:cs="Arial"/>
          <w:color w:val="000000"/>
          <w:lang w:val="es-ES" w:eastAsia="es-ES"/>
        </w:rPr>
        <w:t xml:space="preserve">a disponibilidad de tratamiento médico y la indemnización a que legalmente tendría derecho, por parte de la institución responsable de la investigación, en el caso de daños </w:t>
      </w:r>
      <w:r w:rsidR="00B56CF8" w:rsidRPr="00B22A9D">
        <w:rPr>
          <w:rFonts w:ascii="Arial" w:eastAsia="Times New Roman" w:hAnsi="Arial" w:cs="Arial"/>
          <w:color w:val="000000"/>
          <w:lang w:val="es-ES" w:eastAsia="es-ES"/>
        </w:rPr>
        <w:t>que</w:t>
      </w:r>
      <w:r w:rsidRPr="00B22A9D">
        <w:rPr>
          <w:rFonts w:ascii="Arial" w:eastAsia="Times New Roman" w:hAnsi="Arial" w:cs="Arial"/>
          <w:color w:val="000000"/>
          <w:lang w:val="es-ES" w:eastAsia="es-ES"/>
        </w:rPr>
        <w:t xml:space="preserve"> le afecten directamente, </w:t>
      </w:r>
      <w:r w:rsidR="00B56CF8" w:rsidRPr="00B22A9D">
        <w:rPr>
          <w:rFonts w:ascii="Arial" w:eastAsia="Times New Roman" w:hAnsi="Arial" w:cs="Arial"/>
          <w:color w:val="000000"/>
          <w:lang w:val="es-ES" w:eastAsia="es-ES"/>
        </w:rPr>
        <w:t xml:space="preserve">causados por la investigación, </w:t>
      </w:r>
      <w:r w:rsidRPr="00B22A9D">
        <w:rPr>
          <w:rFonts w:ascii="Arial" w:eastAsia="Times New Roman" w:hAnsi="Arial" w:cs="Arial"/>
          <w:color w:val="000000"/>
          <w:lang w:val="es-ES" w:eastAsia="es-ES"/>
        </w:rPr>
        <w:t>gastos adicionales, éstos serán cubiertos por el presupuesto de la investigación o de la institución responsable de la mism</w:t>
      </w:r>
      <w:r w:rsidR="00D16113" w:rsidRPr="00B22A9D">
        <w:rPr>
          <w:rFonts w:ascii="Arial" w:eastAsia="Times New Roman" w:hAnsi="Arial" w:cs="Arial"/>
          <w:color w:val="000000"/>
          <w:lang w:val="es-ES" w:eastAsia="es-ES"/>
        </w:rPr>
        <w:t>a</w:t>
      </w:r>
      <w:r w:rsidR="001B5F01" w:rsidRPr="00B22A9D">
        <w:rPr>
          <w:rFonts w:ascii="Arial" w:eastAsia="Times New Roman" w:hAnsi="Arial" w:cs="Arial"/>
          <w:color w:val="000000"/>
          <w:lang w:val="es-ES" w:eastAsia="es-ES"/>
        </w:rPr>
        <w:t xml:space="preserve">. </w:t>
      </w:r>
    </w:p>
    <w:p w14:paraId="6B800B6E" w14:textId="77777777" w:rsidR="001B5F01" w:rsidRPr="00B22A9D" w:rsidRDefault="001B5F01" w:rsidP="00EE653F">
      <w:pPr>
        <w:spacing w:after="0"/>
        <w:jc w:val="both"/>
        <w:rPr>
          <w:rFonts w:ascii="Arial" w:eastAsia="Times New Roman" w:hAnsi="Arial" w:cs="Arial"/>
          <w:color w:val="000000"/>
          <w:lang w:val="es-ES" w:eastAsia="es-ES"/>
        </w:rPr>
      </w:pPr>
    </w:p>
    <w:p w14:paraId="2A436EE0" w14:textId="77777777" w:rsidR="001B5F01" w:rsidRPr="00B22A9D" w:rsidRDefault="001B5F01" w:rsidP="00EE653F">
      <w:pPr>
        <w:spacing w:after="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Se hace referencia a los aspectos particulares en caso de investigación en comunidades, investigaciones en menores de edad o discapacitados, investigación en mujeres en edad fértil, embarazadas, durante el trabajo de parto, puerperio, lactancia y recién nacidos; de la utilización de embriones, óbitos y fetos y de la fertilización artificial, investigaciones en grupos subordinados, investigación en órganos, tejidos y sus derivados, productos y cadáveres de seres humanos, investigaciones de nuevos recursos profilácticos, de diagnóstico, terapéuticos y de rehabilitación.</w:t>
      </w:r>
    </w:p>
    <w:p w14:paraId="78016136" w14:textId="77777777" w:rsidR="001B5F01" w:rsidRPr="00B22A9D" w:rsidRDefault="001B5F01" w:rsidP="00EE653F">
      <w:pPr>
        <w:spacing w:after="0"/>
        <w:jc w:val="both"/>
        <w:rPr>
          <w:rFonts w:ascii="Arial" w:eastAsia="Times New Roman" w:hAnsi="Arial" w:cs="Arial"/>
          <w:color w:val="000000"/>
          <w:lang w:val="es-ES" w:eastAsia="es-ES"/>
        </w:rPr>
      </w:pPr>
    </w:p>
    <w:p w14:paraId="7681D96A" w14:textId="23755006" w:rsidR="00022DEC" w:rsidRPr="00B22A9D" w:rsidRDefault="008E2735" w:rsidP="00EE653F">
      <w:pPr>
        <w:spacing w:after="0"/>
        <w:jc w:val="both"/>
        <w:rPr>
          <w:rFonts w:ascii="Arial" w:eastAsia="Times New Roman" w:hAnsi="Arial" w:cs="Arial"/>
          <w:color w:val="000000"/>
          <w:lang w:val="es-ES" w:eastAsia="es-ES"/>
        </w:rPr>
      </w:pPr>
      <w:r w:rsidRPr="008D306E">
        <w:rPr>
          <w:rFonts w:ascii="Arial" w:eastAsia="Times New Roman" w:hAnsi="Arial" w:cs="Arial"/>
          <w:b/>
          <w:color w:val="000000"/>
          <w:lang w:val="es-ES" w:eastAsia="es-ES"/>
        </w:rPr>
        <w:t>Investigación Farmacológica</w:t>
      </w:r>
      <w:r w:rsidR="0072224A" w:rsidRPr="008D306E">
        <w:rPr>
          <w:rFonts w:ascii="Arial" w:eastAsia="Times New Roman" w:hAnsi="Arial" w:cs="Arial"/>
          <w:b/>
          <w:color w:val="000000"/>
          <w:lang w:val="es-ES" w:eastAsia="es-ES"/>
        </w:rPr>
        <w:t>:</w:t>
      </w:r>
      <w:r w:rsidR="0072224A" w:rsidRPr="00B22A9D">
        <w:rPr>
          <w:rFonts w:ascii="Arial" w:eastAsia="Times New Roman" w:hAnsi="Arial" w:cs="Arial"/>
          <w:color w:val="000000"/>
          <w:lang w:val="es-ES" w:eastAsia="es-ES"/>
        </w:rPr>
        <w:t xml:space="preserve"> </w:t>
      </w:r>
      <w:r w:rsidR="008D306E">
        <w:rPr>
          <w:rFonts w:ascii="Arial" w:eastAsia="Times New Roman" w:hAnsi="Arial" w:cs="Arial"/>
          <w:color w:val="000000"/>
          <w:lang w:val="es-ES" w:eastAsia="es-ES"/>
        </w:rPr>
        <w:t>a</w:t>
      </w:r>
      <w:r w:rsidR="00856D4D" w:rsidRPr="00B22A9D">
        <w:rPr>
          <w:rFonts w:ascii="Arial" w:eastAsia="Times New Roman" w:hAnsi="Arial" w:cs="Arial"/>
          <w:color w:val="000000"/>
          <w:lang w:val="es-ES" w:eastAsia="es-ES"/>
        </w:rPr>
        <w:t>ctividades científicas tendientes al estudio de medicamentos y produ</w:t>
      </w:r>
      <w:r w:rsidR="001B5F01" w:rsidRPr="00B22A9D">
        <w:rPr>
          <w:rFonts w:ascii="Arial" w:eastAsia="Times New Roman" w:hAnsi="Arial" w:cs="Arial"/>
          <w:color w:val="000000"/>
          <w:lang w:val="es-ES" w:eastAsia="es-ES"/>
        </w:rPr>
        <w:t>ctos biológicos para uso humano</w:t>
      </w:r>
      <w:r w:rsidR="00856D4D" w:rsidRPr="00B22A9D">
        <w:rPr>
          <w:rFonts w:ascii="Arial" w:eastAsia="Times New Roman" w:hAnsi="Arial" w:cs="Arial"/>
          <w:color w:val="000000"/>
          <w:lang w:val="es-ES" w:eastAsia="es-ES"/>
        </w:rPr>
        <w:t>: no se tenga experiencia previa en el país, que no estén contemplados en las Normas Farmacológicas (no sean distribuidos en forma comercial), medicamentos registrados y aprobados para su venta, cuando se investigue su uso con modalidades, indicaciones, dosis o vías de administración diferentes a las establecidas, incluyendo su empleo en combinaciones.</w:t>
      </w:r>
    </w:p>
    <w:p w14:paraId="6E7EA161" w14:textId="77777777" w:rsidR="00022DEC" w:rsidRPr="00B22A9D" w:rsidRDefault="00022DEC" w:rsidP="00EE653F">
      <w:pPr>
        <w:spacing w:after="0"/>
        <w:jc w:val="both"/>
        <w:rPr>
          <w:rFonts w:ascii="Arial" w:eastAsia="Times New Roman" w:hAnsi="Arial" w:cs="Arial"/>
          <w:color w:val="000000"/>
          <w:lang w:val="es-ES" w:eastAsia="es-ES"/>
        </w:rPr>
      </w:pPr>
    </w:p>
    <w:p w14:paraId="0B01F968" w14:textId="77777777" w:rsidR="00022DEC" w:rsidRPr="00B22A9D" w:rsidRDefault="00856D4D" w:rsidP="00EE653F">
      <w:pPr>
        <w:spacing w:after="0"/>
        <w:jc w:val="both"/>
        <w:rPr>
          <w:rFonts w:ascii="Arial" w:eastAsia="Times New Roman" w:hAnsi="Arial" w:cs="Arial"/>
          <w:color w:val="000000"/>
          <w:lang w:val="es-ES" w:eastAsia="es-ES"/>
        </w:rPr>
      </w:pPr>
      <w:r w:rsidRPr="008D306E">
        <w:rPr>
          <w:rFonts w:ascii="Arial" w:eastAsia="Times New Roman" w:hAnsi="Arial" w:cs="Arial"/>
          <w:i/>
          <w:color w:val="000000"/>
          <w:u w:val="single"/>
          <w:lang w:val="es-ES" w:eastAsia="es-ES"/>
        </w:rPr>
        <w:t>Comprende:</w:t>
      </w:r>
      <w:r w:rsidRPr="00B22A9D">
        <w:rPr>
          <w:rFonts w:ascii="Arial" w:eastAsia="Times New Roman" w:hAnsi="Arial" w:cs="Arial"/>
          <w:color w:val="000000"/>
          <w:lang w:val="es-ES" w:eastAsia="es-ES"/>
        </w:rPr>
        <w:t xml:space="preserve"> desde que se administra por primera vez al ser humano, hasta que se obtienen datos sobre su eficacia y seguridad terapéutica en grandes grupos de población. Para tal efecto, se consideran las siguientes fases:</w:t>
      </w:r>
      <w:r w:rsidR="00022DEC" w:rsidRPr="00B22A9D">
        <w:rPr>
          <w:rFonts w:ascii="Arial" w:eastAsia="Times New Roman" w:hAnsi="Arial" w:cs="Arial"/>
          <w:color w:val="000000"/>
          <w:lang w:val="es-ES" w:eastAsia="es-ES"/>
        </w:rPr>
        <w:t xml:space="preserve"> </w:t>
      </w:r>
      <w:r w:rsidR="00C92297" w:rsidRPr="00B22A9D">
        <w:rPr>
          <w:rFonts w:ascii="Arial" w:eastAsia="Times New Roman" w:hAnsi="Arial" w:cs="Arial"/>
          <w:color w:val="000000"/>
          <w:lang w:val="es-ES" w:eastAsia="es-ES"/>
        </w:rPr>
        <w:t xml:space="preserve">FASE I, </w:t>
      </w:r>
      <w:r w:rsidRPr="00B22A9D">
        <w:rPr>
          <w:rFonts w:ascii="Arial" w:eastAsia="Times New Roman" w:hAnsi="Arial" w:cs="Arial"/>
          <w:color w:val="000000"/>
          <w:lang w:val="es-ES" w:eastAsia="es-ES"/>
        </w:rPr>
        <w:t>FASE II</w:t>
      </w:r>
      <w:r w:rsidR="00C92297" w:rsidRPr="00B22A9D">
        <w:rPr>
          <w:rFonts w:ascii="Arial" w:eastAsia="Times New Roman" w:hAnsi="Arial" w:cs="Arial"/>
          <w:color w:val="000000"/>
          <w:lang w:val="es-ES" w:eastAsia="es-ES"/>
        </w:rPr>
        <w:t xml:space="preserve">, </w:t>
      </w:r>
      <w:r w:rsidRPr="00B22A9D">
        <w:rPr>
          <w:rFonts w:ascii="Arial" w:eastAsia="Times New Roman" w:hAnsi="Arial" w:cs="Arial"/>
          <w:color w:val="000000"/>
          <w:lang w:val="es-ES" w:eastAsia="es-ES"/>
        </w:rPr>
        <w:t>FASE III</w:t>
      </w:r>
      <w:r w:rsidR="00C92297" w:rsidRPr="00B22A9D">
        <w:rPr>
          <w:rFonts w:ascii="Arial" w:eastAsia="Times New Roman" w:hAnsi="Arial" w:cs="Arial"/>
          <w:color w:val="000000"/>
          <w:lang w:val="es-ES" w:eastAsia="es-ES"/>
        </w:rPr>
        <w:t xml:space="preserve">, </w:t>
      </w:r>
      <w:r w:rsidRPr="00B22A9D">
        <w:rPr>
          <w:rFonts w:ascii="Arial" w:eastAsia="Times New Roman" w:hAnsi="Arial" w:cs="Arial"/>
          <w:color w:val="000000"/>
          <w:lang w:val="es-ES" w:eastAsia="es-ES"/>
        </w:rPr>
        <w:t>FASE IV.</w:t>
      </w:r>
    </w:p>
    <w:p w14:paraId="65C9C54C" w14:textId="77777777" w:rsidR="008C3DB5" w:rsidRPr="00B22A9D" w:rsidRDefault="008C3DB5" w:rsidP="00EE653F">
      <w:pPr>
        <w:pStyle w:val="Prrafodelista"/>
        <w:spacing w:after="0"/>
        <w:ind w:left="0"/>
        <w:jc w:val="both"/>
        <w:rPr>
          <w:rFonts w:ascii="Arial" w:eastAsia="Times New Roman" w:hAnsi="Arial" w:cs="Arial"/>
          <w:color w:val="000000"/>
          <w:lang w:val="es-ES" w:eastAsia="es-ES"/>
        </w:rPr>
      </w:pPr>
    </w:p>
    <w:p w14:paraId="08A2EF7F" w14:textId="0687DD78" w:rsidR="001B5F01" w:rsidRPr="00B22A9D" w:rsidRDefault="001B5F01" w:rsidP="00EE653F">
      <w:pPr>
        <w:pStyle w:val="Prrafodelista"/>
        <w:spacing w:after="0"/>
        <w:ind w:left="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 xml:space="preserve">Establece los </w:t>
      </w:r>
      <w:r w:rsidR="008D306E">
        <w:rPr>
          <w:rFonts w:ascii="Arial" w:eastAsia="Times New Roman" w:hAnsi="Arial" w:cs="Arial"/>
          <w:color w:val="000000"/>
          <w:lang w:val="es-ES" w:eastAsia="es-ES"/>
        </w:rPr>
        <w:t>lineamientos para llevar a cabo:</w:t>
      </w:r>
    </w:p>
    <w:p w14:paraId="6DCA8A6A" w14:textId="77777777" w:rsidR="001B5F01" w:rsidRPr="00B22A9D" w:rsidRDefault="001B5F01" w:rsidP="00EE653F">
      <w:pPr>
        <w:pStyle w:val="Prrafodelista"/>
        <w:spacing w:after="0"/>
        <w:ind w:left="0"/>
        <w:jc w:val="both"/>
        <w:rPr>
          <w:rFonts w:ascii="Arial" w:eastAsia="Times New Roman" w:hAnsi="Arial" w:cs="Arial"/>
          <w:color w:val="000000"/>
          <w:lang w:val="es-ES" w:eastAsia="es-ES"/>
        </w:rPr>
      </w:pPr>
    </w:p>
    <w:p w14:paraId="0E2CF5F4" w14:textId="77777777" w:rsidR="008C3DB5" w:rsidRPr="00B22A9D" w:rsidRDefault="001B5F01" w:rsidP="00187AB0">
      <w:pPr>
        <w:pStyle w:val="Prrafodelista"/>
        <w:numPr>
          <w:ilvl w:val="0"/>
          <w:numId w:val="2"/>
        </w:numPr>
        <w:spacing w:after="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Bioseguridad de las investigaciones.</w:t>
      </w:r>
    </w:p>
    <w:p w14:paraId="6DE4456A" w14:textId="77777777" w:rsidR="008C3DB5" w:rsidRPr="00B22A9D" w:rsidRDefault="001B5F01" w:rsidP="00187AB0">
      <w:pPr>
        <w:pStyle w:val="Prrafodelista"/>
        <w:numPr>
          <w:ilvl w:val="0"/>
          <w:numId w:val="2"/>
        </w:numPr>
        <w:spacing w:after="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Investigación con microorganismos patógenos o material biológico que pueda contenerlos.</w:t>
      </w:r>
    </w:p>
    <w:p w14:paraId="6947E10D" w14:textId="77777777" w:rsidR="001B5F01" w:rsidRPr="00B22A9D" w:rsidRDefault="001B5F01" w:rsidP="00187AB0">
      <w:pPr>
        <w:pStyle w:val="Prrafodelista"/>
        <w:numPr>
          <w:ilvl w:val="0"/>
          <w:numId w:val="2"/>
        </w:numPr>
        <w:spacing w:after="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Investigación con isotopos radiactivos y dispositivos y generadores de radiaciones ionizantes y electromagnéticas.</w:t>
      </w:r>
    </w:p>
    <w:p w14:paraId="05919F25" w14:textId="77777777" w:rsidR="001B5F01" w:rsidRPr="00B22A9D" w:rsidRDefault="001B5F01" w:rsidP="00187AB0">
      <w:pPr>
        <w:pStyle w:val="Prrafodelista"/>
        <w:numPr>
          <w:ilvl w:val="0"/>
          <w:numId w:val="2"/>
        </w:numPr>
        <w:spacing w:after="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Investigación biomédica con animales.</w:t>
      </w:r>
    </w:p>
    <w:p w14:paraId="3E9305BD" w14:textId="77777777" w:rsidR="008B1285" w:rsidRPr="00B22A9D" w:rsidRDefault="008B1285" w:rsidP="00187AB0">
      <w:pPr>
        <w:pStyle w:val="Prrafodelista"/>
        <w:numPr>
          <w:ilvl w:val="0"/>
          <w:numId w:val="2"/>
        </w:numPr>
        <w:spacing w:after="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Investigación de otros nuevos recursos.</w:t>
      </w:r>
    </w:p>
    <w:p w14:paraId="294FFF73" w14:textId="77777777" w:rsidR="008C3DB5" w:rsidRPr="00B22A9D" w:rsidRDefault="001B5F01" w:rsidP="00187AB0">
      <w:pPr>
        <w:pStyle w:val="Prrafodelista"/>
        <w:numPr>
          <w:ilvl w:val="0"/>
          <w:numId w:val="2"/>
        </w:numPr>
        <w:spacing w:after="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lastRenderedPageBreak/>
        <w:t>Investigación que implique construcción y manejo de</w:t>
      </w:r>
      <w:r w:rsidR="00897704" w:rsidRPr="00B22A9D">
        <w:rPr>
          <w:rFonts w:ascii="Arial" w:eastAsia="Times New Roman" w:hAnsi="Arial" w:cs="Arial"/>
          <w:color w:val="000000"/>
          <w:lang w:val="es-ES" w:eastAsia="es-ES"/>
        </w:rPr>
        <w:t xml:space="preserve"> </w:t>
      </w:r>
      <w:r w:rsidRPr="00B22A9D">
        <w:rPr>
          <w:rFonts w:ascii="Arial" w:eastAsia="Times New Roman" w:hAnsi="Arial" w:cs="Arial"/>
          <w:color w:val="000000"/>
          <w:lang w:val="es-ES" w:eastAsia="es-ES"/>
        </w:rPr>
        <w:t>ácidos nucleicos recombinantes.</w:t>
      </w:r>
    </w:p>
    <w:p w14:paraId="7D07A5CE" w14:textId="77777777" w:rsidR="008C3DB5" w:rsidRPr="00B22A9D" w:rsidRDefault="008C3DB5" w:rsidP="00EE653F">
      <w:pPr>
        <w:pStyle w:val="Prrafodelista"/>
        <w:spacing w:after="0"/>
        <w:ind w:left="0"/>
        <w:jc w:val="both"/>
        <w:rPr>
          <w:rFonts w:ascii="Arial" w:eastAsia="Times New Roman" w:hAnsi="Arial" w:cs="Arial"/>
          <w:color w:val="000000"/>
          <w:lang w:val="es-ES" w:eastAsia="es-ES"/>
        </w:rPr>
      </w:pPr>
    </w:p>
    <w:p w14:paraId="2970D788" w14:textId="52906816" w:rsidR="00C660E3" w:rsidRPr="008D306E" w:rsidRDefault="00240A0A" w:rsidP="00187AB0">
      <w:pPr>
        <w:pStyle w:val="NormalWeb"/>
        <w:numPr>
          <w:ilvl w:val="1"/>
          <w:numId w:val="9"/>
        </w:numPr>
        <w:spacing w:before="0" w:beforeAutospacing="0" w:after="0" w:afterAutospacing="0" w:line="276" w:lineRule="auto"/>
        <w:jc w:val="both"/>
        <w:rPr>
          <w:rFonts w:ascii="Arial" w:hAnsi="Arial" w:cs="Arial"/>
          <w:b/>
          <w:color w:val="000000"/>
          <w:sz w:val="22"/>
          <w:szCs w:val="22"/>
          <w:lang w:val="es-ES" w:eastAsia="es-ES"/>
        </w:rPr>
      </w:pPr>
      <w:r w:rsidRPr="008D306E">
        <w:rPr>
          <w:rFonts w:ascii="Arial" w:hAnsi="Arial" w:cs="Arial"/>
          <w:b/>
          <w:color w:val="000000"/>
          <w:sz w:val="22"/>
          <w:szCs w:val="22"/>
          <w:lang w:val="es-ES" w:eastAsia="es-ES"/>
        </w:rPr>
        <w:t>Resolución 3823 de 1997</w:t>
      </w:r>
      <w:r w:rsidR="00F863FF">
        <w:rPr>
          <w:rFonts w:ascii="Arial" w:hAnsi="Arial" w:cs="Arial"/>
          <w:b/>
          <w:color w:val="000000"/>
          <w:sz w:val="22"/>
          <w:szCs w:val="22"/>
          <w:lang w:val="es-ES" w:eastAsia="es-ES"/>
        </w:rPr>
        <w:t>.</w:t>
      </w:r>
      <w:r w:rsidRPr="008D306E">
        <w:rPr>
          <w:rFonts w:ascii="Arial" w:hAnsi="Arial" w:cs="Arial"/>
          <w:b/>
          <w:color w:val="000000"/>
          <w:sz w:val="22"/>
          <w:szCs w:val="22"/>
          <w:lang w:val="es-ES" w:eastAsia="es-ES"/>
        </w:rPr>
        <w:t xml:space="preserve"> Por la cual se crea </w:t>
      </w:r>
      <w:r w:rsidR="00FE66D9" w:rsidRPr="008D306E">
        <w:rPr>
          <w:rFonts w:ascii="Arial" w:hAnsi="Arial" w:cs="Arial"/>
          <w:b/>
          <w:color w:val="000000"/>
          <w:sz w:val="22"/>
          <w:szCs w:val="22"/>
          <w:lang w:val="es-ES" w:eastAsia="es-ES"/>
        </w:rPr>
        <w:t>l</w:t>
      </w:r>
      <w:r w:rsidRPr="008D306E">
        <w:rPr>
          <w:rFonts w:ascii="Arial" w:hAnsi="Arial" w:cs="Arial"/>
          <w:b/>
          <w:color w:val="000000"/>
          <w:sz w:val="22"/>
          <w:szCs w:val="22"/>
          <w:lang w:val="es-ES" w:eastAsia="es-ES"/>
        </w:rPr>
        <w:t>a Comisión Asesora de Ciencia y Tecnología del Ministerio de Salud y se dictan normas para regular las actividades de desarrollo científico en el sector salud</w:t>
      </w:r>
      <w:r w:rsidR="008D306E">
        <w:rPr>
          <w:rFonts w:ascii="Arial" w:hAnsi="Arial" w:cs="Arial"/>
          <w:b/>
          <w:color w:val="000000"/>
          <w:sz w:val="22"/>
          <w:szCs w:val="22"/>
          <w:lang w:val="es-ES" w:eastAsia="es-ES"/>
        </w:rPr>
        <w:t>.</w:t>
      </w:r>
      <w:r w:rsidR="005E1558" w:rsidRPr="008D306E">
        <w:rPr>
          <w:rFonts w:ascii="Arial" w:hAnsi="Arial" w:cs="Arial"/>
          <w:b/>
          <w:color w:val="000000"/>
          <w:sz w:val="22"/>
          <w:szCs w:val="22"/>
          <w:lang w:val="es-ES" w:eastAsia="es-ES"/>
        </w:rPr>
        <w:t xml:space="preserve"> </w:t>
      </w:r>
      <w:r w:rsidR="008D306E">
        <w:rPr>
          <w:rFonts w:ascii="Arial" w:hAnsi="Arial" w:cs="Arial"/>
          <w:b/>
          <w:color w:val="000000"/>
          <w:sz w:val="22"/>
          <w:szCs w:val="22"/>
          <w:lang w:val="es-ES" w:eastAsia="es-ES"/>
        </w:rPr>
        <w:t>(</w:t>
      </w:r>
      <w:r w:rsidR="002731CD">
        <w:rPr>
          <w:rFonts w:ascii="Arial" w:hAnsi="Arial" w:cs="Arial"/>
          <w:b/>
          <w:color w:val="000000"/>
          <w:sz w:val="22"/>
          <w:szCs w:val="22"/>
          <w:lang w:val="es-ES" w:eastAsia="es-ES"/>
        </w:rPr>
        <w:t>8</w:t>
      </w:r>
      <w:r w:rsidR="008D306E">
        <w:rPr>
          <w:rFonts w:ascii="Arial" w:hAnsi="Arial" w:cs="Arial"/>
          <w:b/>
          <w:color w:val="000000"/>
          <w:sz w:val="22"/>
          <w:szCs w:val="22"/>
          <w:lang w:val="es-ES" w:eastAsia="es-ES"/>
        </w:rPr>
        <w:t>)</w:t>
      </w:r>
    </w:p>
    <w:p w14:paraId="008E45ED" w14:textId="77777777" w:rsidR="008D306E" w:rsidRDefault="008D306E" w:rsidP="00EE653F">
      <w:pPr>
        <w:jc w:val="both"/>
        <w:rPr>
          <w:rFonts w:ascii="Arial" w:eastAsia="Times New Roman" w:hAnsi="Arial" w:cs="Arial"/>
          <w:color w:val="000000"/>
          <w:lang w:val="es-ES" w:eastAsia="es-ES"/>
        </w:rPr>
      </w:pPr>
    </w:p>
    <w:p w14:paraId="703CD9F6" w14:textId="6D1D3CE2" w:rsidR="008B1285" w:rsidRPr="00B22A9D" w:rsidRDefault="002F40A5" w:rsidP="00EE653F">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Capitulo II. De la Actividad Científica y Tecnológica En Salud</w:t>
      </w:r>
      <w:r w:rsidR="008D306E">
        <w:rPr>
          <w:rFonts w:ascii="Arial" w:eastAsia="Times New Roman" w:hAnsi="Arial" w:cs="Arial"/>
          <w:color w:val="000000"/>
          <w:lang w:val="es-ES" w:eastAsia="es-ES"/>
        </w:rPr>
        <w:t>.</w:t>
      </w:r>
    </w:p>
    <w:p w14:paraId="69829DF6" w14:textId="0A1AD9AF" w:rsidR="005C0DED" w:rsidRPr="00B22A9D" w:rsidRDefault="008F32CD" w:rsidP="00EE653F">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 xml:space="preserve">Los proyectos de investigación en medicamentos serán evaluados por el instituto Nacional de Vigilancia de Medicamentos y Alimentos INVIMA, quien remitirá informe trimestral a la Dirección de Desarrollo Científico y Tecnológico, en el formato diseñado para el efecto. </w:t>
      </w:r>
      <w:r w:rsidR="008C0345" w:rsidRPr="00B22A9D">
        <w:rPr>
          <w:rFonts w:ascii="Arial" w:eastAsia="Times New Roman" w:hAnsi="Arial" w:cs="Arial"/>
          <w:color w:val="000000"/>
          <w:lang w:val="es-ES" w:eastAsia="es-ES"/>
        </w:rPr>
        <w:t>Igualmente</w:t>
      </w:r>
      <w:r w:rsidRPr="00B22A9D">
        <w:rPr>
          <w:rFonts w:ascii="Arial" w:eastAsia="Times New Roman" w:hAnsi="Arial" w:cs="Arial"/>
          <w:color w:val="000000"/>
          <w:lang w:val="es-ES" w:eastAsia="es-ES"/>
        </w:rPr>
        <w:t xml:space="preserve">, enviara copia de los resultados de dichos estudios, una vez éstos hayan concluido. </w:t>
      </w:r>
    </w:p>
    <w:p w14:paraId="52F2E046" w14:textId="2E707960" w:rsidR="00730248" w:rsidRPr="008D306E" w:rsidRDefault="00240A0A" w:rsidP="00187AB0">
      <w:pPr>
        <w:pStyle w:val="NormalWeb"/>
        <w:numPr>
          <w:ilvl w:val="1"/>
          <w:numId w:val="9"/>
        </w:numPr>
        <w:spacing w:after="0" w:afterAutospacing="0" w:line="276" w:lineRule="auto"/>
        <w:jc w:val="both"/>
        <w:rPr>
          <w:rFonts w:ascii="Arial" w:hAnsi="Arial" w:cs="Arial"/>
          <w:b/>
          <w:color w:val="000000"/>
          <w:sz w:val="22"/>
          <w:szCs w:val="22"/>
          <w:lang w:val="es-ES" w:eastAsia="es-ES"/>
        </w:rPr>
      </w:pPr>
      <w:r w:rsidRPr="008D306E">
        <w:rPr>
          <w:rFonts w:ascii="Arial" w:hAnsi="Arial" w:cs="Arial"/>
          <w:b/>
          <w:color w:val="000000"/>
          <w:sz w:val="22"/>
          <w:szCs w:val="22"/>
          <w:lang w:val="es-ES" w:eastAsia="es-ES"/>
        </w:rPr>
        <w:t>Resolución 2378 de 2008</w:t>
      </w:r>
      <w:r w:rsidR="00F863FF">
        <w:rPr>
          <w:rFonts w:ascii="Arial" w:hAnsi="Arial" w:cs="Arial"/>
          <w:b/>
          <w:color w:val="000000"/>
          <w:sz w:val="22"/>
          <w:szCs w:val="22"/>
          <w:lang w:val="es-ES" w:eastAsia="es-ES"/>
        </w:rPr>
        <w:t>.</w:t>
      </w:r>
      <w:r w:rsidRPr="008D306E">
        <w:rPr>
          <w:rFonts w:ascii="Arial" w:hAnsi="Arial" w:cs="Arial"/>
          <w:b/>
          <w:color w:val="000000"/>
          <w:sz w:val="22"/>
          <w:szCs w:val="22"/>
          <w:lang w:val="es-ES" w:eastAsia="es-ES"/>
        </w:rPr>
        <w:t xml:space="preserve"> Por la cual se adoptan las Buenas Prácticas Clínicas para las instituciones que </w:t>
      </w:r>
      <w:r w:rsidR="008D306E" w:rsidRPr="008D306E">
        <w:rPr>
          <w:rFonts w:ascii="Arial" w:hAnsi="Arial" w:cs="Arial"/>
          <w:b/>
          <w:color w:val="000000"/>
          <w:sz w:val="22"/>
          <w:szCs w:val="22"/>
          <w:lang w:val="es-ES" w:eastAsia="es-ES"/>
        </w:rPr>
        <w:t>conducen investigación</w:t>
      </w:r>
      <w:r w:rsidRPr="008D306E">
        <w:rPr>
          <w:rFonts w:ascii="Arial" w:hAnsi="Arial" w:cs="Arial"/>
          <w:b/>
          <w:color w:val="000000"/>
          <w:sz w:val="22"/>
          <w:szCs w:val="22"/>
          <w:lang w:val="es-ES" w:eastAsia="es-ES"/>
        </w:rPr>
        <w:t xml:space="preserve"> co</w:t>
      </w:r>
      <w:r w:rsidR="00730248" w:rsidRPr="008D306E">
        <w:rPr>
          <w:rFonts w:ascii="Arial" w:hAnsi="Arial" w:cs="Arial"/>
          <w:b/>
          <w:color w:val="000000"/>
          <w:sz w:val="22"/>
          <w:szCs w:val="22"/>
          <w:lang w:val="es-ES" w:eastAsia="es-ES"/>
        </w:rPr>
        <w:t>n medicamentos en seres humanos</w:t>
      </w:r>
      <w:r w:rsidR="008D306E">
        <w:rPr>
          <w:rFonts w:ascii="Arial" w:hAnsi="Arial" w:cs="Arial"/>
          <w:b/>
          <w:color w:val="000000"/>
          <w:sz w:val="22"/>
          <w:szCs w:val="22"/>
          <w:lang w:val="es-ES" w:eastAsia="es-ES"/>
        </w:rPr>
        <w:t>.</w:t>
      </w:r>
      <w:r w:rsidR="005E1558" w:rsidRPr="008D306E">
        <w:rPr>
          <w:rFonts w:ascii="Arial" w:hAnsi="Arial" w:cs="Arial"/>
          <w:b/>
          <w:color w:val="000000"/>
          <w:sz w:val="22"/>
          <w:szCs w:val="22"/>
          <w:lang w:val="es-ES" w:eastAsia="es-ES"/>
        </w:rPr>
        <w:t xml:space="preserve"> </w:t>
      </w:r>
      <w:r w:rsidR="008D306E">
        <w:rPr>
          <w:rFonts w:ascii="Arial" w:hAnsi="Arial" w:cs="Arial"/>
          <w:b/>
          <w:color w:val="000000"/>
          <w:sz w:val="22"/>
          <w:szCs w:val="22"/>
          <w:lang w:val="es-ES" w:eastAsia="es-ES"/>
        </w:rPr>
        <w:t>(</w:t>
      </w:r>
      <w:r w:rsidR="002731CD">
        <w:rPr>
          <w:rFonts w:ascii="Arial" w:hAnsi="Arial" w:cs="Arial"/>
          <w:b/>
          <w:color w:val="000000"/>
          <w:sz w:val="22"/>
          <w:szCs w:val="22"/>
          <w:lang w:val="es-ES" w:eastAsia="es-ES"/>
        </w:rPr>
        <w:t>5</w:t>
      </w:r>
      <w:r w:rsidR="008D306E">
        <w:rPr>
          <w:rFonts w:ascii="Arial" w:hAnsi="Arial" w:cs="Arial"/>
          <w:b/>
          <w:color w:val="000000"/>
          <w:sz w:val="22"/>
          <w:szCs w:val="22"/>
          <w:lang w:val="es-ES" w:eastAsia="es-ES"/>
        </w:rPr>
        <w:t>)</w:t>
      </w:r>
    </w:p>
    <w:p w14:paraId="220D568B" w14:textId="77777777" w:rsidR="002F40A5" w:rsidRPr="00B22A9D" w:rsidRDefault="002F40A5"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7C98A0B0" w14:textId="2A8E7B0E" w:rsidR="002A29DC" w:rsidRPr="00B22A9D" w:rsidRDefault="00730248" w:rsidP="00EE653F">
      <w:pPr>
        <w:pStyle w:val="NormalWeb"/>
        <w:spacing w:before="0" w:beforeAutospacing="0" w:after="0" w:afterAutospacing="0" w:line="276" w:lineRule="auto"/>
        <w:jc w:val="both"/>
        <w:rPr>
          <w:rFonts w:ascii="Arial" w:hAnsi="Arial" w:cs="Arial"/>
          <w:color w:val="000000"/>
          <w:sz w:val="22"/>
          <w:szCs w:val="22"/>
          <w:lang w:val="es-ES" w:eastAsia="es-ES"/>
        </w:rPr>
      </w:pPr>
      <w:r w:rsidRPr="008D306E">
        <w:rPr>
          <w:rFonts w:ascii="Arial" w:hAnsi="Arial" w:cs="Arial"/>
          <w:b/>
          <w:color w:val="000000"/>
          <w:sz w:val="22"/>
          <w:szCs w:val="22"/>
          <w:lang w:val="es-ES" w:eastAsia="es-ES"/>
        </w:rPr>
        <w:t>Considera:</w:t>
      </w:r>
      <w:r w:rsidRPr="00B22A9D">
        <w:rPr>
          <w:rFonts w:ascii="Arial" w:hAnsi="Arial" w:cs="Arial"/>
          <w:color w:val="000000"/>
          <w:sz w:val="22"/>
          <w:szCs w:val="22"/>
          <w:lang w:val="es-ES" w:eastAsia="es-ES"/>
        </w:rPr>
        <w:t xml:space="preserve"> </w:t>
      </w:r>
      <w:r w:rsidR="008D306E">
        <w:rPr>
          <w:rFonts w:ascii="Arial" w:hAnsi="Arial" w:cs="Arial"/>
          <w:color w:val="000000"/>
          <w:sz w:val="22"/>
          <w:szCs w:val="22"/>
          <w:lang w:val="es-ES" w:eastAsia="es-ES"/>
        </w:rPr>
        <w:t>q</w:t>
      </w:r>
      <w:r w:rsidRPr="00B22A9D">
        <w:rPr>
          <w:rFonts w:ascii="Arial" w:hAnsi="Arial" w:cs="Arial"/>
          <w:color w:val="000000"/>
          <w:sz w:val="22"/>
          <w:szCs w:val="22"/>
          <w:lang w:val="es-ES" w:eastAsia="es-ES"/>
        </w:rPr>
        <w:t xml:space="preserve">ue la </w:t>
      </w:r>
      <w:r w:rsidR="00591D5B" w:rsidRPr="00B22A9D">
        <w:rPr>
          <w:rFonts w:ascii="Arial" w:hAnsi="Arial" w:cs="Arial"/>
          <w:color w:val="000000"/>
          <w:sz w:val="22"/>
          <w:szCs w:val="22"/>
          <w:lang w:val="es-ES" w:eastAsia="es-ES"/>
        </w:rPr>
        <w:t xml:space="preserve">investigación que se realice en seres humanos </w:t>
      </w:r>
      <w:r w:rsidR="006F0430" w:rsidRPr="00B22A9D">
        <w:rPr>
          <w:rFonts w:ascii="Arial" w:hAnsi="Arial" w:cs="Arial"/>
          <w:color w:val="000000"/>
          <w:sz w:val="22"/>
          <w:szCs w:val="22"/>
          <w:lang w:val="es-ES" w:eastAsia="es-ES"/>
        </w:rPr>
        <w:t xml:space="preserve">se debe realizar por </w:t>
      </w:r>
      <w:r w:rsidR="00591D5B" w:rsidRPr="00B22A9D">
        <w:rPr>
          <w:rFonts w:ascii="Arial" w:hAnsi="Arial" w:cs="Arial"/>
          <w:color w:val="000000"/>
          <w:sz w:val="22"/>
          <w:szCs w:val="22"/>
          <w:lang w:val="es-ES" w:eastAsia="es-ES"/>
        </w:rPr>
        <w:t xml:space="preserve">profesionales con conocimiento y experiencia para cuidar la integridad del ser humano bajo la </w:t>
      </w:r>
      <w:r w:rsidR="00CC63CF" w:rsidRPr="00B22A9D">
        <w:rPr>
          <w:rFonts w:ascii="Arial" w:hAnsi="Arial" w:cs="Arial"/>
          <w:color w:val="000000"/>
          <w:sz w:val="22"/>
          <w:szCs w:val="22"/>
          <w:lang w:val="es-ES" w:eastAsia="es-ES"/>
        </w:rPr>
        <w:t>responsabilidad de</w:t>
      </w:r>
      <w:r w:rsidR="00591D5B" w:rsidRPr="00B22A9D">
        <w:rPr>
          <w:rFonts w:ascii="Arial" w:hAnsi="Arial" w:cs="Arial"/>
          <w:color w:val="000000"/>
          <w:sz w:val="22"/>
          <w:szCs w:val="22"/>
          <w:lang w:val="es-ES" w:eastAsia="es-ES"/>
        </w:rPr>
        <w:t xml:space="preserve"> una entidad de salud, supervis</w:t>
      </w:r>
      <w:r w:rsidR="00CC63CF">
        <w:rPr>
          <w:rFonts w:ascii="Arial" w:hAnsi="Arial" w:cs="Arial"/>
          <w:color w:val="000000"/>
          <w:sz w:val="22"/>
          <w:szCs w:val="22"/>
          <w:lang w:val="es-ES" w:eastAsia="es-ES"/>
        </w:rPr>
        <w:t>ada por las autoridades competentes, siempre y cuando</w:t>
      </w:r>
      <w:r w:rsidR="00591D5B" w:rsidRPr="00B22A9D">
        <w:rPr>
          <w:rFonts w:ascii="Arial" w:hAnsi="Arial" w:cs="Arial"/>
          <w:color w:val="000000"/>
          <w:sz w:val="22"/>
          <w:szCs w:val="22"/>
          <w:lang w:val="es-ES" w:eastAsia="es-ES"/>
        </w:rPr>
        <w:t xml:space="preserve"> cuenten con los recursos humanos y materiales necesarios que garanticen el bienestar del sujeto de investigación.</w:t>
      </w:r>
    </w:p>
    <w:p w14:paraId="06597B6C" w14:textId="1B81FBA6" w:rsidR="00730248" w:rsidRPr="00B22A9D" w:rsidRDefault="00591D5B" w:rsidP="00EE653F">
      <w:pPr>
        <w:pStyle w:val="NormalWeb"/>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Que las investigaciones clínicas con</w:t>
      </w:r>
      <w:r w:rsidR="002A29DC" w:rsidRPr="00B22A9D">
        <w:rPr>
          <w:rFonts w:ascii="Arial" w:hAnsi="Arial" w:cs="Arial"/>
          <w:color w:val="000000"/>
          <w:sz w:val="22"/>
          <w:szCs w:val="22"/>
          <w:lang w:val="es-ES" w:eastAsia="es-ES"/>
        </w:rPr>
        <w:t xml:space="preserve"> medicamentos en seres humanos tienen la </w:t>
      </w:r>
      <w:r w:rsidRPr="00B22A9D">
        <w:rPr>
          <w:rFonts w:ascii="Arial" w:hAnsi="Arial" w:cs="Arial"/>
          <w:color w:val="000000"/>
          <w:sz w:val="22"/>
          <w:szCs w:val="22"/>
          <w:lang w:val="es-ES" w:eastAsia="es-ES"/>
        </w:rPr>
        <w:t xml:space="preserve">probabilidad de generar efectos no deseados en los participantes y, la </w:t>
      </w:r>
      <w:r w:rsidR="008D306E">
        <w:rPr>
          <w:rFonts w:ascii="Arial" w:hAnsi="Arial" w:cs="Arial"/>
          <w:color w:val="000000"/>
          <w:sz w:val="22"/>
          <w:szCs w:val="22"/>
          <w:lang w:val="es-ES" w:eastAsia="es-ES"/>
        </w:rPr>
        <w:t>persona “sujeto”</w:t>
      </w:r>
      <w:r w:rsidRPr="00B22A9D">
        <w:rPr>
          <w:rFonts w:ascii="Arial" w:hAnsi="Arial" w:cs="Arial"/>
          <w:color w:val="000000"/>
          <w:sz w:val="22"/>
          <w:szCs w:val="22"/>
          <w:lang w:val="es-ES" w:eastAsia="es-ES"/>
        </w:rPr>
        <w:t xml:space="preserve"> de investigación puede sufrir algún daño, como consecuencia inmediata o tardía del estudio.</w:t>
      </w:r>
    </w:p>
    <w:p w14:paraId="31E09EE6" w14:textId="77777777" w:rsidR="00730248" w:rsidRPr="00B22A9D" w:rsidRDefault="00591D5B" w:rsidP="00EE653F">
      <w:pPr>
        <w:pStyle w:val="NormalWeb"/>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Que son derechos fundamentales de los ciudadanos la vida, la integridad física y la salud.</w:t>
      </w:r>
    </w:p>
    <w:p w14:paraId="126D8B58" w14:textId="77777777" w:rsidR="008E2735" w:rsidRPr="00B22A9D" w:rsidRDefault="00591D5B" w:rsidP="008E2735">
      <w:pPr>
        <w:pStyle w:val="NormalWeb"/>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Que en toda investigación en la que el ser humano sea sujeto de estudio, deberá prevalecer el criterio del respeto a su dignidad y la protección de sus derechos y su bienestar.</w:t>
      </w:r>
    </w:p>
    <w:p w14:paraId="5FED1F87" w14:textId="793794F3" w:rsidR="00730248" w:rsidRDefault="00591D5B" w:rsidP="008E2735">
      <w:pPr>
        <w:pStyle w:val="NormalWeb"/>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Que las investigaciones de medicamentos en farmacología clínica comprenden la secuencia de estudios que se llevan a cabo, desde que se administran por primera vez al ser humano, hasta que se obtienen datos sobre su eficacia y seguridad terapéutica en grandes grupos de población.</w:t>
      </w:r>
    </w:p>
    <w:p w14:paraId="645A2B08" w14:textId="77777777" w:rsidR="00AB053C" w:rsidRPr="00B22A9D" w:rsidRDefault="00AB053C" w:rsidP="008E2735">
      <w:pPr>
        <w:pStyle w:val="NormalWeb"/>
        <w:spacing w:before="0" w:beforeAutospacing="0" w:after="0" w:afterAutospacing="0" w:line="276" w:lineRule="auto"/>
        <w:jc w:val="both"/>
        <w:rPr>
          <w:rFonts w:ascii="Arial" w:hAnsi="Arial" w:cs="Arial"/>
          <w:color w:val="000000"/>
          <w:sz w:val="22"/>
          <w:szCs w:val="22"/>
          <w:lang w:val="es-ES" w:eastAsia="es-ES"/>
        </w:rPr>
      </w:pPr>
    </w:p>
    <w:p w14:paraId="5AF73E34" w14:textId="6CC20435" w:rsidR="00587657" w:rsidRDefault="00730248" w:rsidP="00EE653F">
      <w:pPr>
        <w:jc w:val="both"/>
        <w:rPr>
          <w:rFonts w:ascii="Arial" w:eastAsia="Times New Roman" w:hAnsi="Arial" w:cs="Arial"/>
          <w:color w:val="000000"/>
          <w:lang w:val="es-ES" w:eastAsia="es-ES"/>
        </w:rPr>
      </w:pPr>
      <w:r w:rsidRPr="00AB053C">
        <w:rPr>
          <w:rFonts w:ascii="Arial" w:eastAsia="Times New Roman" w:hAnsi="Arial" w:cs="Arial"/>
          <w:b/>
          <w:color w:val="000000"/>
          <w:lang w:val="es-ES" w:eastAsia="es-ES"/>
        </w:rPr>
        <w:t>Establece:</w:t>
      </w:r>
      <w:r w:rsidRPr="00B22A9D">
        <w:rPr>
          <w:rFonts w:ascii="Arial" w:eastAsia="Times New Roman" w:hAnsi="Arial" w:cs="Arial"/>
          <w:color w:val="000000"/>
          <w:lang w:val="es-ES" w:eastAsia="es-ES"/>
        </w:rPr>
        <w:t xml:space="preserve"> </w:t>
      </w:r>
      <w:r w:rsidR="0072224A" w:rsidRPr="00B22A9D">
        <w:rPr>
          <w:rFonts w:ascii="Arial" w:eastAsia="Times New Roman" w:hAnsi="Arial" w:cs="Arial"/>
          <w:color w:val="000000"/>
          <w:lang w:val="es-ES" w:eastAsia="es-ES"/>
        </w:rPr>
        <w:t xml:space="preserve"> </w:t>
      </w:r>
      <w:r w:rsidR="005518E5" w:rsidRPr="00B22A9D">
        <w:rPr>
          <w:rFonts w:ascii="Arial" w:eastAsia="Times New Roman" w:hAnsi="Arial" w:cs="Arial"/>
          <w:color w:val="000000"/>
          <w:lang w:val="es-ES" w:eastAsia="es-ES"/>
        </w:rPr>
        <w:t xml:space="preserve"> </w:t>
      </w:r>
      <w:r w:rsidR="00AB053C">
        <w:rPr>
          <w:rFonts w:ascii="Arial" w:eastAsia="Times New Roman" w:hAnsi="Arial" w:cs="Arial"/>
          <w:color w:val="000000"/>
          <w:lang w:val="es-ES" w:eastAsia="es-ES"/>
        </w:rPr>
        <w:t>r</w:t>
      </w:r>
      <w:r w:rsidR="00580D34" w:rsidRPr="00B22A9D">
        <w:rPr>
          <w:rFonts w:ascii="Arial" w:eastAsia="Times New Roman" w:hAnsi="Arial" w:cs="Arial"/>
          <w:color w:val="000000"/>
          <w:lang w:val="es-ES" w:eastAsia="es-ES"/>
        </w:rPr>
        <w:t>esponsabilidad de las</w:t>
      </w:r>
      <w:r w:rsidR="0088722B" w:rsidRPr="00B22A9D">
        <w:rPr>
          <w:rFonts w:ascii="Arial" w:eastAsia="Times New Roman" w:hAnsi="Arial" w:cs="Arial"/>
          <w:color w:val="000000"/>
          <w:lang w:val="es-ES" w:eastAsia="es-ES"/>
        </w:rPr>
        <w:t xml:space="preserve"> Buenas Prácticas Clínicas e</w:t>
      </w:r>
      <w:r w:rsidR="002A29DC" w:rsidRPr="00B22A9D">
        <w:rPr>
          <w:rFonts w:ascii="Arial" w:eastAsia="Times New Roman" w:hAnsi="Arial" w:cs="Arial"/>
          <w:color w:val="000000"/>
          <w:lang w:val="es-ES" w:eastAsia="es-ES"/>
        </w:rPr>
        <w:t>n cabeza</w:t>
      </w:r>
      <w:r w:rsidR="00580D34" w:rsidRPr="00B22A9D">
        <w:rPr>
          <w:rFonts w:ascii="Arial" w:eastAsia="Times New Roman" w:hAnsi="Arial" w:cs="Arial"/>
          <w:color w:val="000000"/>
          <w:lang w:val="es-ES" w:eastAsia="es-ES"/>
        </w:rPr>
        <w:t xml:space="preserve"> del área de investigación de la institución investigadora, o quien haga sus veces.</w:t>
      </w:r>
    </w:p>
    <w:p w14:paraId="6A285E7C" w14:textId="77777777" w:rsidR="00CC63CF" w:rsidRDefault="00CC63CF" w:rsidP="00EE653F">
      <w:pPr>
        <w:jc w:val="both"/>
        <w:rPr>
          <w:rFonts w:ascii="Arial" w:eastAsia="Times New Roman" w:hAnsi="Arial" w:cs="Arial"/>
          <w:color w:val="000000"/>
          <w:lang w:val="es-ES" w:eastAsia="es-ES"/>
        </w:rPr>
      </w:pPr>
    </w:p>
    <w:tbl>
      <w:tblPr>
        <w:tblStyle w:val="Tablaconcuadrcula"/>
        <w:tblW w:w="0" w:type="auto"/>
        <w:tblLook w:val="04A0" w:firstRow="1" w:lastRow="0" w:firstColumn="1" w:lastColumn="0" w:noHBand="0" w:noVBand="1"/>
      </w:tblPr>
      <w:tblGrid>
        <w:gridCol w:w="9394"/>
      </w:tblGrid>
      <w:tr w:rsidR="00AB053C" w14:paraId="5426E979" w14:textId="77777777" w:rsidTr="00AB053C">
        <w:tc>
          <w:tcPr>
            <w:tcW w:w="9394" w:type="dxa"/>
            <w:shd w:val="clear" w:color="auto" w:fill="8DB3E2" w:themeFill="text2" w:themeFillTint="66"/>
          </w:tcPr>
          <w:p w14:paraId="4D8B4EF6" w14:textId="77777777" w:rsidR="00391789" w:rsidRDefault="00391789" w:rsidP="00AB053C">
            <w:pPr>
              <w:jc w:val="center"/>
              <w:rPr>
                <w:rFonts w:ascii="Arial" w:eastAsia="Times New Roman" w:hAnsi="Arial" w:cs="Arial"/>
                <w:color w:val="000000"/>
                <w:lang w:val="es-ES" w:eastAsia="es-ES"/>
              </w:rPr>
            </w:pPr>
          </w:p>
          <w:p w14:paraId="073AB2A5" w14:textId="5D76DFD3" w:rsidR="00CC63CF" w:rsidRPr="00391789" w:rsidRDefault="00AB053C" w:rsidP="00AB053C">
            <w:pPr>
              <w:jc w:val="center"/>
              <w:rPr>
                <w:rFonts w:ascii="Arial" w:eastAsia="Times New Roman" w:hAnsi="Arial" w:cs="Arial"/>
                <w:b/>
                <w:color w:val="000000"/>
                <w:lang w:val="es-ES" w:eastAsia="es-ES"/>
              </w:rPr>
            </w:pPr>
            <w:r w:rsidRPr="00391789">
              <w:rPr>
                <w:rFonts w:ascii="Arial" w:eastAsia="Times New Roman" w:hAnsi="Arial" w:cs="Arial"/>
                <w:b/>
                <w:color w:val="000000"/>
                <w:lang w:val="es-ES" w:eastAsia="es-ES"/>
              </w:rPr>
              <w:t xml:space="preserve">CERTIFICADO DE BUENAS </w:t>
            </w:r>
            <w:r w:rsidR="00391789">
              <w:rPr>
                <w:rFonts w:ascii="Arial" w:eastAsia="Times New Roman" w:hAnsi="Arial" w:cs="Arial"/>
                <w:b/>
                <w:color w:val="000000"/>
                <w:lang w:val="es-ES" w:eastAsia="es-ES"/>
              </w:rPr>
              <w:t>PRÁCTICAS CLÍNICAS</w:t>
            </w:r>
          </w:p>
          <w:p w14:paraId="49A0A34C" w14:textId="77777777" w:rsidR="00AB053C" w:rsidRDefault="00AB053C" w:rsidP="00AB053C">
            <w:pPr>
              <w:jc w:val="center"/>
              <w:rPr>
                <w:rFonts w:ascii="Arial" w:eastAsia="Times New Roman" w:hAnsi="Arial" w:cs="Arial"/>
                <w:color w:val="000000"/>
                <w:lang w:val="es-ES" w:eastAsia="es-ES"/>
              </w:rPr>
            </w:pPr>
            <w:r>
              <w:rPr>
                <w:rFonts w:ascii="Arial" w:eastAsia="Times New Roman" w:hAnsi="Arial" w:cs="Arial"/>
                <w:color w:val="000000"/>
                <w:lang w:val="es-ES" w:eastAsia="es-ES"/>
              </w:rPr>
              <w:t>Lo otorga</w:t>
            </w:r>
            <w:r w:rsidRPr="00B22A9D">
              <w:rPr>
                <w:rFonts w:ascii="Arial" w:eastAsia="Times New Roman" w:hAnsi="Arial" w:cs="Arial"/>
                <w:color w:val="000000"/>
                <w:lang w:val="es-ES" w:eastAsia="es-ES"/>
              </w:rPr>
              <w:t xml:space="preserve"> Invima a través de un certificado, previa verificación. </w:t>
            </w:r>
            <w:r w:rsidRPr="00391789">
              <w:rPr>
                <w:rFonts w:ascii="Arial" w:eastAsia="Times New Roman" w:hAnsi="Arial" w:cs="Arial"/>
                <w:b/>
                <w:i/>
                <w:color w:val="000000"/>
                <w:lang w:val="es-ES" w:eastAsia="es-ES"/>
              </w:rPr>
              <w:t>Validez 5 años.</w:t>
            </w:r>
          </w:p>
          <w:p w14:paraId="5AB7B1A5" w14:textId="746108EF" w:rsidR="00391789" w:rsidRDefault="00391789" w:rsidP="00AB053C">
            <w:pPr>
              <w:jc w:val="center"/>
              <w:rPr>
                <w:rFonts w:ascii="Arial" w:eastAsia="Times New Roman" w:hAnsi="Arial" w:cs="Arial"/>
                <w:color w:val="000000"/>
                <w:lang w:val="es-ES" w:eastAsia="es-ES"/>
              </w:rPr>
            </w:pPr>
          </w:p>
        </w:tc>
      </w:tr>
    </w:tbl>
    <w:p w14:paraId="7C5DBEFF" w14:textId="77777777" w:rsidR="00AB053C" w:rsidRPr="00B22A9D" w:rsidRDefault="00AB053C" w:rsidP="00EE653F">
      <w:pPr>
        <w:jc w:val="both"/>
        <w:rPr>
          <w:rFonts w:ascii="Arial" w:eastAsia="Times New Roman" w:hAnsi="Arial" w:cs="Arial"/>
          <w:color w:val="000000"/>
          <w:lang w:val="es-ES" w:eastAsia="es-ES"/>
        </w:rPr>
      </w:pPr>
    </w:p>
    <w:p w14:paraId="5A1A2DE0" w14:textId="6A897DEB" w:rsidR="00587657" w:rsidRDefault="00580D34" w:rsidP="00EE653F">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Todo proyecto de investigación con medicamentos en seres humanos deberá reg</w:t>
      </w:r>
      <w:r w:rsidR="00CC63CF">
        <w:rPr>
          <w:rFonts w:ascii="Arial" w:eastAsia="Times New Roman" w:hAnsi="Arial" w:cs="Arial"/>
          <w:color w:val="000000"/>
          <w:lang w:val="es-ES" w:eastAsia="es-ES"/>
        </w:rPr>
        <w:t>istrarse ante el Invima, este ente regulador</w:t>
      </w:r>
      <w:r w:rsidRPr="00B22A9D">
        <w:rPr>
          <w:rFonts w:ascii="Arial" w:eastAsia="Times New Roman" w:hAnsi="Arial" w:cs="Arial"/>
          <w:color w:val="000000"/>
          <w:lang w:val="es-ES" w:eastAsia="es-ES"/>
        </w:rPr>
        <w:t xml:space="preserve"> verificar</w:t>
      </w:r>
      <w:r w:rsidR="00FE66D9" w:rsidRPr="00B22A9D">
        <w:rPr>
          <w:rFonts w:ascii="Arial" w:eastAsia="Times New Roman" w:hAnsi="Arial" w:cs="Arial"/>
          <w:color w:val="000000"/>
          <w:lang w:val="es-ES" w:eastAsia="es-ES"/>
        </w:rPr>
        <w:t>á</w:t>
      </w:r>
      <w:r w:rsidRPr="00B22A9D">
        <w:rPr>
          <w:rFonts w:ascii="Arial" w:eastAsia="Times New Roman" w:hAnsi="Arial" w:cs="Arial"/>
          <w:color w:val="000000"/>
          <w:lang w:val="es-ES" w:eastAsia="es-ES"/>
        </w:rPr>
        <w:t xml:space="preserve"> a potestad el cumplimie</w:t>
      </w:r>
      <w:r w:rsidR="00AB053C">
        <w:rPr>
          <w:rFonts w:ascii="Arial" w:eastAsia="Times New Roman" w:hAnsi="Arial" w:cs="Arial"/>
          <w:color w:val="000000"/>
          <w:lang w:val="es-ES" w:eastAsia="es-ES"/>
        </w:rPr>
        <w:t xml:space="preserve">nto de las Buenas Prácticas Clínicas </w:t>
      </w:r>
      <w:r w:rsidR="00AB053C">
        <w:rPr>
          <w:rFonts w:ascii="Arial" w:eastAsia="Times New Roman" w:hAnsi="Arial" w:cs="Arial"/>
          <w:color w:val="000000"/>
          <w:lang w:val="es-ES" w:eastAsia="es-ES"/>
        </w:rPr>
        <w:lastRenderedPageBreak/>
        <w:t>(BPC)</w:t>
      </w:r>
      <w:r w:rsidRPr="00B22A9D">
        <w:rPr>
          <w:rFonts w:ascii="Arial" w:eastAsia="Times New Roman" w:hAnsi="Arial" w:cs="Arial"/>
          <w:color w:val="000000"/>
          <w:lang w:val="es-ES" w:eastAsia="es-ES"/>
        </w:rPr>
        <w:t xml:space="preserve">, las instituciones que conduzcan investigaciones con seres humanos deben </w:t>
      </w:r>
      <w:r w:rsidR="00CC63CF">
        <w:rPr>
          <w:rFonts w:ascii="Arial" w:eastAsia="Times New Roman" w:hAnsi="Arial" w:cs="Arial"/>
          <w:color w:val="000000"/>
          <w:lang w:val="es-ES" w:eastAsia="es-ES"/>
        </w:rPr>
        <w:t>contar con el certificado de habilitación en salud</w:t>
      </w:r>
      <w:r w:rsidRPr="00B22A9D">
        <w:rPr>
          <w:rFonts w:ascii="Arial" w:eastAsia="Times New Roman" w:hAnsi="Arial" w:cs="Arial"/>
          <w:color w:val="000000"/>
          <w:lang w:val="es-ES" w:eastAsia="es-ES"/>
        </w:rPr>
        <w:t xml:space="preserve">. </w:t>
      </w:r>
    </w:p>
    <w:p w14:paraId="16862203" w14:textId="77777777" w:rsidR="00CC63CF" w:rsidRDefault="00CC63CF" w:rsidP="00CC63CF">
      <w:pPr>
        <w:jc w:val="both"/>
        <w:rPr>
          <w:rFonts w:ascii="Arial" w:eastAsia="Times New Roman" w:hAnsi="Arial" w:cs="Arial"/>
          <w:color w:val="000000"/>
          <w:lang w:val="es-ES" w:eastAsia="es-ES"/>
        </w:rPr>
      </w:pPr>
    </w:p>
    <w:tbl>
      <w:tblPr>
        <w:tblStyle w:val="Tablaconcuadrcula"/>
        <w:tblW w:w="0" w:type="auto"/>
        <w:tblLook w:val="04A0" w:firstRow="1" w:lastRow="0" w:firstColumn="1" w:lastColumn="0" w:noHBand="0" w:noVBand="1"/>
      </w:tblPr>
      <w:tblGrid>
        <w:gridCol w:w="9394"/>
      </w:tblGrid>
      <w:tr w:rsidR="00CC63CF" w14:paraId="73231D17" w14:textId="77777777" w:rsidTr="00CC63CF">
        <w:tc>
          <w:tcPr>
            <w:tcW w:w="9394" w:type="dxa"/>
            <w:shd w:val="clear" w:color="auto" w:fill="8DB3E2" w:themeFill="text2" w:themeFillTint="66"/>
          </w:tcPr>
          <w:p w14:paraId="1B9370FD" w14:textId="77777777" w:rsidR="00391789" w:rsidRDefault="00391789" w:rsidP="00CC63CF">
            <w:pPr>
              <w:jc w:val="center"/>
              <w:rPr>
                <w:rFonts w:ascii="Arial" w:eastAsia="Times New Roman" w:hAnsi="Arial" w:cs="Arial"/>
                <w:color w:val="000000"/>
                <w:lang w:val="es-ES" w:eastAsia="es-ES"/>
              </w:rPr>
            </w:pPr>
          </w:p>
          <w:p w14:paraId="03238543" w14:textId="3475859C" w:rsidR="00CC63CF" w:rsidRPr="00B22A9D" w:rsidRDefault="00CC63CF" w:rsidP="00CC63CF">
            <w:pPr>
              <w:jc w:val="center"/>
              <w:rPr>
                <w:rFonts w:ascii="Arial" w:eastAsia="Times New Roman" w:hAnsi="Arial" w:cs="Arial"/>
                <w:color w:val="000000"/>
                <w:lang w:val="es-ES" w:eastAsia="es-ES"/>
              </w:rPr>
            </w:pPr>
            <w:r w:rsidRPr="00B22A9D">
              <w:rPr>
                <w:rFonts w:ascii="Arial" w:eastAsia="Times New Roman" w:hAnsi="Arial" w:cs="Arial"/>
                <w:color w:val="000000"/>
                <w:lang w:val="es-ES" w:eastAsia="es-ES"/>
              </w:rPr>
              <w:t>No se podrán iniciar proyectos de investigación clínica con medicamentos en seres humanos, que no estén aprobados por Invima, o que no hayan obtenido visto</w:t>
            </w:r>
            <w:r>
              <w:rPr>
                <w:rFonts w:ascii="Arial" w:eastAsia="Times New Roman" w:hAnsi="Arial" w:cs="Arial"/>
                <w:color w:val="000000"/>
                <w:lang w:val="es-ES" w:eastAsia="es-ES"/>
              </w:rPr>
              <w:t xml:space="preserve"> bueno previo por parte de dicha Institución</w:t>
            </w:r>
            <w:r w:rsidRPr="00B22A9D">
              <w:rPr>
                <w:rFonts w:ascii="Arial" w:eastAsia="Times New Roman" w:hAnsi="Arial" w:cs="Arial"/>
                <w:color w:val="000000"/>
                <w:lang w:val="es-ES" w:eastAsia="es-ES"/>
              </w:rPr>
              <w:t>.</w:t>
            </w:r>
          </w:p>
          <w:p w14:paraId="7ABB0105" w14:textId="084611BF" w:rsidR="00CC63CF" w:rsidRDefault="00CC63CF" w:rsidP="00CC63CF">
            <w:pPr>
              <w:jc w:val="center"/>
              <w:rPr>
                <w:rFonts w:ascii="Arial" w:eastAsia="Times New Roman" w:hAnsi="Arial" w:cs="Arial"/>
                <w:color w:val="000000"/>
                <w:lang w:val="es-ES" w:eastAsia="es-ES"/>
              </w:rPr>
            </w:pPr>
          </w:p>
        </w:tc>
      </w:tr>
    </w:tbl>
    <w:p w14:paraId="6DCD9F2D" w14:textId="2EF6E4C6" w:rsidR="00CC63CF" w:rsidRPr="00B22A9D" w:rsidRDefault="00CC63CF" w:rsidP="00EE653F">
      <w:pPr>
        <w:jc w:val="both"/>
        <w:rPr>
          <w:rFonts w:ascii="Arial" w:eastAsia="Times New Roman" w:hAnsi="Arial" w:cs="Arial"/>
          <w:color w:val="000000"/>
          <w:lang w:val="es-ES" w:eastAsia="es-ES"/>
        </w:rPr>
      </w:pPr>
    </w:p>
    <w:p w14:paraId="05FE881C" w14:textId="47516C76" w:rsidR="00587657" w:rsidRPr="00B22A9D" w:rsidRDefault="00580D34" w:rsidP="00EE653F">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 xml:space="preserve">El Invima puede interrumpir en cualquier momento la </w:t>
      </w:r>
      <w:r w:rsidR="007B1D01" w:rsidRPr="00B22A9D">
        <w:rPr>
          <w:rFonts w:ascii="Arial" w:eastAsia="Times New Roman" w:hAnsi="Arial" w:cs="Arial"/>
          <w:color w:val="000000"/>
          <w:lang w:val="es-ES" w:eastAsia="es-ES"/>
        </w:rPr>
        <w:t>investigación</w:t>
      </w:r>
      <w:r w:rsidRPr="00B22A9D">
        <w:rPr>
          <w:rFonts w:ascii="Arial" w:eastAsia="Times New Roman" w:hAnsi="Arial" w:cs="Arial"/>
          <w:color w:val="000000"/>
          <w:lang w:val="es-ES" w:eastAsia="es-ES"/>
        </w:rPr>
        <w:t xml:space="preserve"> cuando: haya alteración de las condiciones de autorización, incumplimiento </w:t>
      </w:r>
      <w:r w:rsidR="00CC63CF">
        <w:rPr>
          <w:rFonts w:ascii="Arial" w:eastAsia="Times New Roman" w:hAnsi="Arial" w:cs="Arial"/>
          <w:color w:val="000000"/>
          <w:lang w:val="es-ES" w:eastAsia="es-ES"/>
        </w:rPr>
        <w:t xml:space="preserve">de las </w:t>
      </w:r>
      <w:r w:rsidRPr="00B22A9D">
        <w:rPr>
          <w:rFonts w:ascii="Arial" w:eastAsia="Times New Roman" w:hAnsi="Arial" w:cs="Arial"/>
          <w:color w:val="000000"/>
          <w:lang w:val="es-ES" w:eastAsia="es-ES"/>
        </w:rPr>
        <w:t xml:space="preserve">BPC, </w:t>
      </w:r>
      <w:r w:rsidR="00CC63CF">
        <w:rPr>
          <w:rFonts w:ascii="Arial" w:eastAsia="Times New Roman" w:hAnsi="Arial" w:cs="Arial"/>
          <w:color w:val="000000"/>
          <w:lang w:val="es-ES" w:eastAsia="es-ES"/>
        </w:rPr>
        <w:t xml:space="preserve">en casos de </w:t>
      </w:r>
      <w:r w:rsidR="00FE66D9" w:rsidRPr="00B22A9D">
        <w:rPr>
          <w:rFonts w:ascii="Arial" w:eastAsia="Times New Roman" w:hAnsi="Arial" w:cs="Arial"/>
          <w:color w:val="000000"/>
          <w:lang w:val="es-ES" w:eastAsia="es-ES"/>
        </w:rPr>
        <w:t>p</w:t>
      </w:r>
      <w:r w:rsidR="007B1D01" w:rsidRPr="00B22A9D">
        <w:rPr>
          <w:rFonts w:ascii="Arial" w:eastAsia="Times New Roman" w:hAnsi="Arial" w:cs="Arial"/>
          <w:color w:val="000000"/>
          <w:lang w:val="es-ES" w:eastAsia="es-ES"/>
        </w:rPr>
        <w:t>rotección</w:t>
      </w:r>
      <w:r w:rsidRPr="00B22A9D">
        <w:rPr>
          <w:rFonts w:ascii="Arial" w:eastAsia="Times New Roman" w:hAnsi="Arial" w:cs="Arial"/>
          <w:color w:val="000000"/>
          <w:lang w:val="es-ES" w:eastAsia="es-ES"/>
        </w:rPr>
        <w:t xml:space="preserve"> de sujetos, defensa de la salud </w:t>
      </w:r>
      <w:r w:rsidR="007B1D01" w:rsidRPr="00B22A9D">
        <w:rPr>
          <w:rFonts w:ascii="Arial" w:eastAsia="Times New Roman" w:hAnsi="Arial" w:cs="Arial"/>
          <w:color w:val="000000"/>
          <w:lang w:val="es-ES" w:eastAsia="es-ES"/>
        </w:rPr>
        <w:t>pública</w:t>
      </w:r>
      <w:r w:rsidR="00CC63CF">
        <w:rPr>
          <w:rFonts w:ascii="Arial" w:eastAsia="Times New Roman" w:hAnsi="Arial" w:cs="Arial"/>
          <w:color w:val="000000"/>
          <w:lang w:val="es-ES" w:eastAsia="es-ES"/>
        </w:rPr>
        <w:t>, adicionalmente, l</w:t>
      </w:r>
      <w:r w:rsidRPr="00B22A9D">
        <w:rPr>
          <w:rFonts w:ascii="Arial" w:eastAsia="Times New Roman" w:hAnsi="Arial" w:cs="Arial"/>
          <w:color w:val="000000"/>
          <w:lang w:val="es-ES" w:eastAsia="es-ES"/>
        </w:rPr>
        <w:t xml:space="preserve">os resultados de la </w:t>
      </w:r>
      <w:r w:rsidR="007B1D01" w:rsidRPr="00B22A9D">
        <w:rPr>
          <w:rFonts w:ascii="Arial" w:eastAsia="Times New Roman" w:hAnsi="Arial" w:cs="Arial"/>
          <w:color w:val="000000"/>
          <w:lang w:val="es-ES" w:eastAsia="es-ES"/>
        </w:rPr>
        <w:t>investigación</w:t>
      </w:r>
      <w:r w:rsidR="00AB053C">
        <w:rPr>
          <w:rFonts w:ascii="Arial" w:eastAsia="Times New Roman" w:hAnsi="Arial" w:cs="Arial"/>
          <w:color w:val="000000"/>
          <w:lang w:val="es-ES" w:eastAsia="es-ES"/>
        </w:rPr>
        <w:t xml:space="preserve"> deben ser reportados a Invima.</w:t>
      </w:r>
    </w:p>
    <w:p w14:paraId="10B851C6" w14:textId="0DBE186B" w:rsidR="00591D5B" w:rsidRPr="00B22A9D" w:rsidRDefault="00AB053C" w:rsidP="00EE653F">
      <w:pPr>
        <w:jc w:val="both"/>
        <w:rPr>
          <w:rFonts w:ascii="Arial" w:eastAsia="Times New Roman" w:hAnsi="Arial" w:cs="Arial"/>
          <w:color w:val="000000"/>
          <w:lang w:val="es-ES" w:eastAsia="es-ES"/>
        </w:rPr>
      </w:pPr>
      <w:r>
        <w:rPr>
          <w:rFonts w:ascii="Arial" w:eastAsia="Times New Roman" w:hAnsi="Arial" w:cs="Arial"/>
          <w:color w:val="000000"/>
          <w:lang w:val="es-ES" w:eastAsia="es-ES"/>
        </w:rPr>
        <w:t xml:space="preserve">Las </w:t>
      </w:r>
      <w:r w:rsidR="00580D34" w:rsidRPr="00B22A9D">
        <w:rPr>
          <w:rFonts w:ascii="Arial" w:eastAsia="Times New Roman" w:hAnsi="Arial" w:cs="Arial"/>
          <w:color w:val="000000"/>
          <w:lang w:val="es-ES" w:eastAsia="es-ES"/>
        </w:rPr>
        <w:t>Instituciones investigador</w:t>
      </w:r>
      <w:r w:rsidR="0088722B" w:rsidRPr="00B22A9D">
        <w:rPr>
          <w:rFonts w:ascii="Arial" w:eastAsia="Times New Roman" w:hAnsi="Arial" w:cs="Arial"/>
          <w:color w:val="000000"/>
          <w:lang w:val="es-ES" w:eastAsia="es-ES"/>
        </w:rPr>
        <w:t>a</w:t>
      </w:r>
      <w:r w:rsidR="00580D34" w:rsidRPr="00B22A9D">
        <w:rPr>
          <w:rFonts w:ascii="Arial" w:eastAsia="Times New Roman" w:hAnsi="Arial" w:cs="Arial"/>
          <w:color w:val="000000"/>
          <w:lang w:val="es-ES" w:eastAsia="es-ES"/>
        </w:rPr>
        <w:t xml:space="preserve">s </w:t>
      </w:r>
      <w:r>
        <w:rPr>
          <w:rFonts w:ascii="Arial" w:eastAsia="Times New Roman" w:hAnsi="Arial" w:cs="Arial"/>
          <w:color w:val="000000"/>
          <w:lang w:val="es-ES" w:eastAsia="es-ES"/>
        </w:rPr>
        <w:t xml:space="preserve">deben </w:t>
      </w:r>
      <w:r w:rsidR="00580D34" w:rsidRPr="00B22A9D">
        <w:rPr>
          <w:rFonts w:ascii="Arial" w:eastAsia="Times New Roman" w:hAnsi="Arial" w:cs="Arial"/>
          <w:color w:val="000000"/>
          <w:lang w:val="es-ES" w:eastAsia="es-ES"/>
        </w:rPr>
        <w:t>contar con CEI</w:t>
      </w:r>
      <w:r>
        <w:rPr>
          <w:rFonts w:ascii="Arial" w:eastAsia="Times New Roman" w:hAnsi="Arial" w:cs="Arial"/>
          <w:color w:val="000000"/>
          <w:lang w:val="es-ES" w:eastAsia="es-ES"/>
        </w:rPr>
        <w:t xml:space="preserve"> (Comité de Ética en Investigación)</w:t>
      </w:r>
      <w:r w:rsidR="00580D34" w:rsidRPr="00B22A9D">
        <w:rPr>
          <w:rFonts w:ascii="Arial" w:eastAsia="Times New Roman" w:hAnsi="Arial" w:cs="Arial"/>
          <w:color w:val="000000"/>
          <w:lang w:val="es-ES" w:eastAsia="es-ES"/>
        </w:rPr>
        <w:t xml:space="preserve">, </w:t>
      </w:r>
      <w:r w:rsidR="004C4FF6" w:rsidRPr="00B22A9D">
        <w:rPr>
          <w:rFonts w:ascii="Arial" w:eastAsia="Times New Roman" w:hAnsi="Arial" w:cs="Arial"/>
          <w:color w:val="000000"/>
          <w:lang w:val="es-ES" w:eastAsia="es-ES"/>
        </w:rPr>
        <w:t xml:space="preserve">el cual debe aprobar toda </w:t>
      </w:r>
      <w:r w:rsidR="007B1D01" w:rsidRPr="00B22A9D">
        <w:rPr>
          <w:rFonts w:ascii="Arial" w:eastAsia="Times New Roman" w:hAnsi="Arial" w:cs="Arial"/>
          <w:color w:val="000000"/>
          <w:lang w:val="es-ES" w:eastAsia="es-ES"/>
        </w:rPr>
        <w:t>investigación</w:t>
      </w:r>
      <w:r w:rsidR="004C4FF6" w:rsidRPr="00B22A9D">
        <w:rPr>
          <w:rFonts w:ascii="Arial" w:eastAsia="Times New Roman" w:hAnsi="Arial" w:cs="Arial"/>
          <w:color w:val="000000"/>
          <w:lang w:val="es-ES" w:eastAsia="es-ES"/>
        </w:rPr>
        <w:t xml:space="preserve"> con seres humanos, si n</w:t>
      </w:r>
      <w:r>
        <w:rPr>
          <w:rFonts w:ascii="Arial" w:eastAsia="Times New Roman" w:hAnsi="Arial" w:cs="Arial"/>
          <w:color w:val="000000"/>
          <w:lang w:val="es-ES" w:eastAsia="es-ES"/>
        </w:rPr>
        <w:t>o se dispone de CEI se acepta el</w:t>
      </w:r>
      <w:r w:rsidR="004C4FF6" w:rsidRPr="00B22A9D">
        <w:rPr>
          <w:rFonts w:ascii="Arial" w:eastAsia="Times New Roman" w:hAnsi="Arial" w:cs="Arial"/>
          <w:color w:val="000000"/>
          <w:lang w:val="es-ES" w:eastAsia="es-ES"/>
        </w:rPr>
        <w:t xml:space="preserve"> de otra </w:t>
      </w:r>
      <w:r w:rsidR="007B1D01" w:rsidRPr="00B22A9D">
        <w:rPr>
          <w:rFonts w:ascii="Arial" w:eastAsia="Times New Roman" w:hAnsi="Arial" w:cs="Arial"/>
          <w:color w:val="000000"/>
          <w:lang w:val="es-ES" w:eastAsia="es-ES"/>
        </w:rPr>
        <w:t>institución</w:t>
      </w:r>
      <w:r w:rsidR="004C4FF6" w:rsidRPr="00B22A9D">
        <w:rPr>
          <w:rFonts w:ascii="Arial" w:eastAsia="Times New Roman" w:hAnsi="Arial" w:cs="Arial"/>
          <w:color w:val="000000"/>
          <w:lang w:val="es-ES" w:eastAsia="es-ES"/>
        </w:rPr>
        <w:t xml:space="preserve"> que este acreditada en BPC.</w:t>
      </w:r>
    </w:p>
    <w:p w14:paraId="7A2E2BE9" w14:textId="77777777" w:rsidR="00D32AFD" w:rsidRPr="00B22A9D" w:rsidRDefault="00750CDF" w:rsidP="00EE653F">
      <w:pPr>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 xml:space="preserve">A través de la Resolución 2378 se establecen los criterios </w:t>
      </w:r>
      <w:r w:rsidR="002C024C" w:rsidRPr="00B22A9D">
        <w:rPr>
          <w:rFonts w:ascii="Arial" w:eastAsia="Times New Roman" w:hAnsi="Arial" w:cs="Arial"/>
          <w:color w:val="000000"/>
          <w:lang w:val="es-ES" w:eastAsia="es-ES"/>
        </w:rPr>
        <w:t xml:space="preserve">que deben cumplir las instituciones que realicen investigación clínica y </w:t>
      </w:r>
      <w:r w:rsidRPr="00B22A9D">
        <w:rPr>
          <w:rFonts w:ascii="Arial" w:eastAsia="Times New Roman" w:hAnsi="Arial" w:cs="Arial"/>
          <w:color w:val="000000"/>
          <w:lang w:val="es-ES" w:eastAsia="es-ES"/>
        </w:rPr>
        <w:t xml:space="preserve">que serán </w:t>
      </w:r>
      <w:r w:rsidR="002C024C" w:rsidRPr="00B22A9D">
        <w:rPr>
          <w:rFonts w:ascii="Arial" w:eastAsia="Times New Roman" w:hAnsi="Arial" w:cs="Arial"/>
          <w:color w:val="000000"/>
          <w:lang w:val="es-ES" w:eastAsia="es-ES"/>
        </w:rPr>
        <w:t>objeto de evaluación</w:t>
      </w:r>
      <w:r w:rsidRPr="00B22A9D">
        <w:rPr>
          <w:rFonts w:ascii="Arial" w:eastAsia="Times New Roman" w:hAnsi="Arial" w:cs="Arial"/>
          <w:color w:val="000000"/>
          <w:lang w:val="es-ES" w:eastAsia="es-ES"/>
        </w:rPr>
        <w:t xml:space="preserve"> en el proceso de certificación de Buenas Prácticas Clínicas</w:t>
      </w:r>
      <w:r w:rsidR="002C024C" w:rsidRPr="00B22A9D">
        <w:rPr>
          <w:rFonts w:ascii="Arial" w:eastAsia="Times New Roman" w:hAnsi="Arial" w:cs="Arial"/>
          <w:color w:val="000000"/>
          <w:lang w:val="es-ES" w:eastAsia="es-ES"/>
        </w:rPr>
        <w:t>. Es importante señalar que estos deben estar soportados</w:t>
      </w:r>
      <w:r w:rsidRPr="00B22A9D">
        <w:rPr>
          <w:rFonts w:ascii="Arial" w:eastAsia="Times New Roman" w:hAnsi="Arial" w:cs="Arial"/>
          <w:color w:val="000000"/>
          <w:lang w:val="es-ES" w:eastAsia="es-ES"/>
        </w:rPr>
        <w:t xml:space="preserve"> dentro de un sistema de gestión de calidad, con procedimientos estandarizados, documentados y con auditorias de proceso que garanticen la conformidad </w:t>
      </w:r>
      <w:r w:rsidR="007440E4" w:rsidRPr="00B22A9D">
        <w:rPr>
          <w:rFonts w:ascii="Arial" w:eastAsia="Times New Roman" w:hAnsi="Arial" w:cs="Arial"/>
          <w:color w:val="000000"/>
          <w:lang w:val="es-ES" w:eastAsia="es-ES"/>
        </w:rPr>
        <w:t>de este</w:t>
      </w:r>
      <w:r w:rsidRPr="00B22A9D">
        <w:rPr>
          <w:rFonts w:ascii="Arial" w:eastAsia="Times New Roman" w:hAnsi="Arial" w:cs="Arial"/>
          <w:color w:val="000000"/>
          <w:lang w:val="es-ES" w:eastAsia="es-ES"/>
        </w:rPr>
        <w:t xml:space="preserve"> con los estándare</w:t>
      </w:r>
      <w:r w:rsidR="00D32AFD" w:rsidRPr="00B22A9D">
        <w:rPr>
          <w:rFonts w:ascii="Arial" w:eastAsia="Times New Roman" w:hAnsi="Arial" w:cs="Arial"/>
          <w:color w:val="000000"/>
          <w:lang w:val="es-ES" w:eastAsia="es-ES"/>
        </w:rPr>
        <w:t xml:space="preserve">s exigidos en la normatividad. </w:t>
      </w:r>
    </w:p>
    <w:p w14:paraId="674E9DEE" w14:textId="372A38F7" w:rsidR="00750CDF" w:rsidRDefault="00AB053C" w:rsidP="00EE653F">
      <w:pPr>
        <w:jc w:val="both"/>
        <w:rPr>
          <w:rFonts w:ascii="Arial" w:eastAsia="Times New Roman" w:hAnsi="Arial" w:cs="Arial"/>
          <w:color w:val="000000"/>
          <w:lang w:val="es-ES" w:eastAsia="es-ES"/>
        </w:rPr>
      </w:pPr>
      <w:r>
        <w:rPr>
          <w:rFonts w:ascii="Arial" w:eastAsia="Times New Roman" w:hAnsi="Arial" w:cs="Arial"/>
          <w:color w:val="000000"/>
          <w:lang w:val="es-ES" w:eastAsia="es-ES"/>
        </w:rPr>
        <w:t>En la figura No 2 se mencionan los a</w:t>
      </w:r>
      <w:r w:rsidR="00D32AFD" w:rsidRPr="00B22A9D">
        <w:rPr>
          <w:rFonts w:ascii="Arial" w:eastAsia="Times New Roman" w:hAnsi="Arial" w:cs="Arial"/>
          <w:color w:val="000000"/>
          <w:lang w:val="es-ES" w:eastAsia="es-ES"/>
        </w:rPr>
        <w:t xml:space="preserve">spectos que se evalúan en </w:t>
      </w:r>
      <w:r w:rsidR="00CC63CF">
        <w:rPr>
          <w:rFonts w:ascii="Arial" w:eastAsia="Times New Roman" w:hAnsi="Arial" w:cs="Arial"/>
          <w:color w:val="000000"/>
          <w:lang w:val="es-ES" w:eastAsia="es-ES"/>
        </w:rPr>
        <w:t xml:space="preserve">el </w:t>
      </w:r>
      <w:r w:rsidR="00D32AFD" w:rsidRPr="00B22A9D">
        <w:rPr>
          <w:rFonts w:ascii="Arial" w:eastAsia="Times New Roman" w:hAnsi="Arial" w:cs="Arial"/>
          <w:color w:val="000000"/>
          <w:lang w:val="es-ES" w:eastAsia="es-ES"/>
        </w:rPr>
        <w:t xml:space="preserve">proceso de certificación, renovación y seguimiento </w:t>
      </w:r>
      <w:r w:rsidR="009E14D0" w:rsidRPr="00B22A9D">
        <w:rPr>
          <w:rFonts w:ascii="Arial" w:eastAsia="Times New Roman" w:hAnsi="Arial" w:cs="Arial"/>
          <w:color w:val="000000"/>
          <w:lang w:val="es-ES" w:eastAsia="es-ES"/>
        </w:rPr>
        <w:t>de la certificación de</w:t>
      </w:r>
      <w:r w:rsidR="00CC63CF">
        <w:rPr>
          <w:rFonts w:ascii="Arial" w:eastAsia="Times New Roman" w:hAnsi="Arial" w:cs="Arial"/>
          <w:color w:val="000000"/>
          <w:lang w:val="es-ES" w:eastAsia="es-ES"/>
        </w:rPr>
        <w:t xml:space="preserve"> Buenas Prácticas C</w:t>
      </w:r>
      <w:r w:rsidR="00D32AFD" w:rsidRPr="00B22A9D">
        <w:rPr>
          <w:rFonts w:ascii="Arial" w:eastAsia="Times New Roman" w:hAnsi="Arial" w:cs="Arial"/>
          <w:color w:val="000000"/>
          <w:lang w:val="es-ES" w:eastAsia="es-ES"/>
        </w:rPr>
        <w:t>línicas:</w:t>
      </w:r>
    </w:p>
    <w:p w14:paraId="65466D17" w14:textId="0262600C" w:rsidR="00AB053C" w:rsidRDefault="00AB053C" w:rsidP="00EE653F">
      <w:pPr>
        <w:jc w:val="both"/>
        <w:rPr>
          <w:rFonts w:ascii="Arial" w:eastAsia="Times New Roman" w:hAnsi="Arial" w:cs="Arial"/>
          <w:color w:val="000000"/>
          <w:lang w:val="es-ES" w:eastAsia="es-ES"/>
        </w:rPr>
      </w:pPr>
    </w:p>
    <w:p w14:paraId="130B6070" w14:textId="367F6562" w:rsidR="00391789" w:rsidRDefault="00391789" w:rsidP="00EE653F">
      <w:pPr>
        <w:jc w:val="both"/>
        <w:rPr>
          <w:rFonts w:ascii="Arial" w:eastAsia="Times New Roman" w:hAnsi="Arial" w:cs="Arial"/>
          <w:color w:val="000000"/>
          <w:lang w:val="es-ES" w:eastAsia="es-ES"/>
        </w:rPr>
      </w:pPr>
    </w:p>
    <w:p w14:paraId="50613006" w14:textId="3B7C44B3" w:rsidR="00391789" w:rsidRDefault="00391789" w:rsidP="00EE653F">
      <w:pPr>
        <w:jc w:val="both"/>
        <w:rPr>
          <w:rFonts w:ascii="Arial" w:eastAsia="Times New Roman" w:hAnsi="Arial" w:cs="Arial"/>
          <w:color w:val="000000"/>
          <w:lang w:val="es-ES" w:eastAsia="es-ES"/>
        </w:rPr>
      </w:pPr>
    </w:p>
    <w:p w14:paraId="29645DCC" w14:textId="0A6F1BA0" w:rsidR="00391789" w:rsidRDefault="00391789" w:rsidP="00EE653F">
      <w:pPr>
        <w:jc w:val="both"/>
        <w:rPr>
          <w:rFonts w:ascii="Arial" w:eastAsia="Times New Roman" w:hAnsi="Arial" w:cs="Arial"/>
          <w:color w:val="000000"/>
          <w:lang w:val="es-ES" w:eastAsia="es-ES"/>
        </w:rPr>
      </w:pPr>
    </w:p>
    <w:p w14:paraId="63838BA9" w14:textId="4891B79F" w:rsidR="00391789" w:rsidRDefault="00391789" w:rsidP="00EE653F">
      <w:pPr>
        <w:jc w:val="both"/>
        <w:rPr>
          <w:rFonts w:ascii="Arial" w:eastAsia="Times New Roman" w:hAnsi="Arial" w:cs="Arial"/>
          <w:color w:val="000000"/>
          <w:lang w:val="es-ES" w:eastAsia="es-ES"/>
        </w:rPr>
      </w:pPr>
    </w:p>
    <w:p w14:paraId="193E37D0" w14:textId="02EFF35E" w:rsidR="00391789" w:rsidRDefault="00391789" w:rsidP="00EE653F">
      <w:pPr>
        <w:jc w:val="both"/>
        <w:rPr>
          <w:rFonts w:ascii="Arial" w:eastAsia="Times New Roman" w:hAnsi="Arial" w:cs="Arial"/>
          <w:color w:val="000000"/>
          <w:lang w:val="es-ES" w:eastAsia="es-ES"/>
        </w:rPr>
      </w:pPr>
    </w:p>
    <w:p w14:paraId="4A581798" w14:textId="308DEFC6" w:rsidR="00391789" w:rsidRDefault="00391789" w:rsidP="00EE653F">
      <w:pPr>
        <w:jc w:val="both"/>
        <w:rPr>
          <w:rFonts w:ascii="Arial" w:eastAsia="Times New Roman" w:hAnsi="Arial" w:cs="Arial"/>
          <w:color w:val="000000"/>
          <w:lang w:val="es-ES" w:eastAsia="es-ES"/>
        </w:rPr>
      </w:pPr>
    </w:p>
    <w:p w14:paraId="50344955" w14:textId="00EE29E2" w:rsidR="00391789" w:rsidRDefault="00391789" w:rsidP="00EE653F">
      <w:pPr>
        <w:jc w:val="both"/>
        <w:rPr>
          <w:rFonts w:ascii="Arial" w:eastAsia="Times New Roman" w:hAnsi="Arial" w:cs="Arial"/>
          <w:color w:val="000000"/>
          <w:lang w:val="es-ES" w:eastAsia="es-ES"/>
        </w:rPr>
      </w:pPr>
    </w:p>
    <w:p w14:paraId="4BC97B13" w14:textId="77777777" w:rsidR="00391789" w:rsidRDefault="00391789" w:rsidP="00EE653F">
      <w:pPr>
        <w:jc w:val="both"/>
        <w:rPr>
          <w:rFonts w:ascii="Arial" w:eastAsia="Times New Roman" w:hAnsi="Arial" w:cs="Arial"/>
          <w:color w:val="000000"/>
          <w:lang w:val="es-ES" w:eastAsia="es-ES"/>
        </w:rPr>
      </w:pPr>
    </w:p>
    <w:p w14:paraId="32B5EDB2" w14:textId="37CCD9EE" w:rsidR="00AB053C" w:rsidRPr="00FA4567" w:rsidRDefault="00AB053C" w:rsidP="00AB053C">
      <w:pPr>
        <w:jc w:val="both"/>
        <w:rPr>
          <w:rFonts w:ascii="Arial" w:eastAsia="Times New Roman" w:hAnsi="Arial" w:cs="Arial"/>
          <w:i/>
          <w:color w:val="000000"/>
          <w:lang w:val="es-ES" w:eastAsia="es-ES"/>
        </w:rPr>
      </w:pPr>
      <w:r w:rsidRPr="00FA4567">
        <w:rPr>
          <w:rFonts w:ascii="Arial" w:eastAsia="Times New Roman" w:hAnsi="Arial" w:cs="Arial"/>
          <w:i/>
          <w:color w:val="000000"/>
          <w:lang w:val="es-ES" w:eastAsia="es-ES"/>
        </w:rPr>
        <w:lastRenderedPageBreak/>
        <w:t>Figura No 2. Aspectos que se evalúan en</w:t>
      </w:r>
      <w:r w:rsidR="00CC63CF" w:rsidRPr="00FA4567">
        <w:rPr>
          <w:rFonts w:ascii="Arial" w:eastAsia="Times New Roman" w:hAnsi="Arial" w:cs="Arial"/>
          <w:i/>
          <w:color w:val="000000"/>
          <w:lang w:val="es-ES" w:eastAsia="es-ES"/>
        </w:rPr>
        <w:t xml:space="preserve"> el</w:t>
      </w:r>
      <w:r w:rsidRPr="00FA4567">
        <w:rPr>
          <w:rFonts w:ascii="Arial" w:eastAsia="Times New Roman" w:hAnsi="Arial" w:cs="Arial"/>
          <w:i/>
          <w:color w:val="000000"/>
          <w:lang w:val="es-ES" w:eastAsia="es-ES"/>
        </w:rPr>
        <w:t xml:space="preserve"> proceso de certificación, renovación y seguimiento de la certificación de BPC.</w:t>
      </w:r>
    </w:p>
    <w:p w14:paraId="7DD2D176" w14:textId="21AC8916" w:rsidR="00C8475A" w:rsidRPr="00B22A9D" w:rsidRDefault="00C8475A" w:rsidP="00C8475A">
      <w:pPr>
        <w:jc w:val="both"/>
        <w:rPr>
          <w:rFonts w:ascii="Arial" w:eastAsia="Times New Roman" w:hAnsi="Arial" w:cs="Arial"/>
          <w:color w:val="000000"/>
          <w:lang w:val="es-ES" w:eastAsia="es-ES"/>
        </w:rPr>
      </w:pPr>
      <w:r w:rsidRPr="00B22A9D">
        <w:rPr>
          <w:rFonts w:ascii="Arial" w:eastAsia="Times New Roman" w:hAnsi="Arial" w:cs="Arial"/>
          <w:noProof/>
          <w:color w:val="000000"/>
          <w:lang w:val="en-US"/>
        </w:rPr>
        <mc:AlternateContent>
          <mc:Choice Requires="wps">
            <w:drawing>
              <wp:anchor distT="0" distB="0" distL="114300" distR="114300" simplePos="0" relativeHeight="251659264" behindDoc="0" locked="0" layoutInCell="1" allowOverlap="1" wp14:anchorId="7313E07D" wp14:editId="39DEB7D4">
                <wp:simplePos x="0" y="0"/>
                <wp:positionH relativeFrom="column">
                  <wp:posOffset>3833495</wp:posOffset>
                </wp:positionH>
                <wp:positionV relativeFrom="paragraph">
                  <wp:posOffset>187960</wp:posOffset>
                </wp:positionV>
                <wp:extent cx="2105025" cy="1400175"/>
                <wp:effectExtent l="76200" t="76200" r="104775" b="104775"/>
                <wp:wrapNone/>
                <wp:docPr id="4" name="4 Cuadro de texto"/>
                <wp:cNvGraphicFramePr/>
                <a:graphic xmlns:a="http://schemas.openxmlformats.org/drawingml/2006/main">
                  <a:graphicData uri="http://schemas.microsoft.com/office/word/2010/wordprocessingShape">
                    <wps:wsp>
                      <wps:cNvSpPr txBox="1"/>
                      <wps:spPr>
                        <a:xfrm>
                          <a:off x="0" y="0"/>
                          <a:ext cx="2105025" cy="1400175"/>
                        </a:xfrm>
                        <a:prstGeom prst="rect">
                          <a:avLst/>
                        </a:prstGeom>
                        <a:ln/>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5CC8ED50" w14:textId="1EBCF800" w:rsidR="00CC63CF" w:rsidRDefault="00CC63CF">
                            <w:pPr>
                              <w:rPr>
                                <w:rFonts w:ascii="Times New Roman" w:hAnsi="Times New Roman" w:cs="Times New Roman"/>
                                <w:sz w:val="20"/>
                                <w:szCs w:val="20"/>
                              </w:rPr>
                            </w:pPr>
                            <w:r w:rsidRPr="00ED36D4">
                              <w:rPr>
                                <w:rFonts w:ascii="Times New Roman" w:hAnsi="Times New Roman" w:cs="Times New Roman"/>
                                <w:sz w:val="20"/>
                                <w:szCs w:val="20"/>
                              </w:rPr>
                              <w:t>Análisis de la información obtenida dura</w:t>
                            </w:r>
                            <w:r>
                              <w:rPr>
                                <w:rFonts w:ascii="Times New Roman" w:hAnsi="Times New Roman" w:cs="Times New Roman"/>
                                <w:sz w:val="20"/>
                                <w:szCs w:val="20"/>
                              </w:rPr>
                              <w:t>nte la evaluación institucional:</w:t>
                            </w:r>
                          </w:p>
                          <w:p w14:paraId="417EA0AC" w14:textId="1B1F9038" w:rsidR="00CC63CF" w:rsidRDefault="00CC63CF">
                            <w:pPr>
                              <w:rPr>
                                <w:rFonts w:ascii="Times New Roman" w:hAnsi="Times New Roman" w:cs="Times New Roman"/>
                                <w:sz w:val="20"/>
                                <w:szCs w:val="20"/>
                              </w:rPr>
                            </w:pPr>
                            <w:r w:rsidRPr="00C8475A">
                              <w:rPr>
                                <w:rFonts w:ascii="Times New Roman" w:hAnsi="Times New Roman" w:cs="Times New Roman"/>
                                <w:sz w:val="20"/>
                                <w:szCs w:val="20"/>
                              </w:rPr>
                              <w:t>Aspectos de alta importancia o críticos</w:t>
                            </w:r>
                            <w:r>
                              <w:rPr>
                                <w:rFonts w:ascii="Times New Roman" w:hAnsi="Times New Roman" w:cs="Times New Roman"/>
                                <w:sz w:val="20"/>
                                <w:szCs w:val="20"/>
                              </w:rPr>
                              <w:t>.</w:t>
                            </w:r>
                          </w:p>
                          <w:p w14:paraId="3A0CE0F9" w14:textId="56B4DBD1" w:rsidR="00CC63CF" w:rsidRPr="00C8475A" w:rsidRDefault="00CC63CF">
                            <w:pPr>
                              <w:rPr>
                                <w:rFonts w:ascii="Times New Roman" w:hAnsi="Times New Roman" w:cs="Times New Roman"/>
                                <w:sz w:val="20"/>
                                <w:szCs w:val="20"/>
                              </w:rPr>
                            </w:pPr>
                            <w:r w:rsidRPr="00C8475A">
                              <w:rPr>
                                <w:rFonts w:ascii="Times New Roman" w:hAnsi="Times New Roman" w:cs="Times New Roman"/>
                                <w:sz w:val="20"/>
                                <w:szCs w:val="20"/>
                              </w:rPr>
                              <w:t>Aspectos de mediana importancia o no críticos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13E07D" id="_x0000_t202" coordsize="21600,21600" o:spt="202" path="m,l,21600r21600,l21600,xe">
                <v:stroke joinstyle="miter"/>
                <v:path gradientshapeok="t" o:connecttype="rect"/>
              </v:shapetype>
              <v:shape id="4 Cuadro de texto" o:spid="_x0000_s1027" type="#_x0000_t202" style="position:absolute;left:0;text-align:left;margin-left:301.85pt;margin-top:14.8pt;width:165.75pt;height:1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" fillcolor="white [3201]" strokecolor="#4f81bd [3204]" strokeweight="2pt">
                <v:textbox>
                  <w:txbxContent>
                    <w:p w14:paraId="5CC8ED50" w14:textId="1EBCF800" w:rsidR="00CC63CF" w:rsidRDefault="00CC63CF">
                      <w:pPr>
                        <w:rPr>
                          <w:rFonts w:ascii="Times New Roman" w:hAnsi="Times New Roman" w:cs="Times New Roman"/>
                          <w:sz w:val="20"/>
                          <w:szCs w:val="20"/>
                        </w:rPr>
                      </w:pPr>
                      <w:r w:rsidRPr="00ED36D4">
                        <w:rPr>
                          <w:rFonts w:ascii="Times New Roman" w:hAnsi="Times New Roman" w:cs="Times New Roman"/>
                          <w:sz w:val="20"/>
                          <w:szCs w:val="20"/>
                        </w:rPr>
                        <w:t>Análisis de la información obtenida dura</w:t>
                      </w:r>
                      <w:r>
                        <w:rPr>
                          <w:rFonts w:ascii="Times New Roman" w:hAnsi="Times New Roman" w:cs="Times New Roman"/>
                          <w:sz w:val="20"/>
                          <w:szCs w:val="20"/>
                        </w:rPr>
                        <w:t>nte la evaluación institucional:</w:t>
                      </w:r>
                    </w:p>
                    <w:p w14:paraId="417EA0AC" w14:textId="1B1F9038" w:rsidR="00CC63CF" w:rsidRDefault="00CC63CF">
                      <w:pPr>
                        <w:rPr>
                          <w:rFonts w:ascii="Times New Roman" w:hAnsi="Times New Roman" w:cs="Times New Roman"/>
                          <w:sz w:val="20"/>
                          <w:szCs w:val="20"/>
                        </w:rPr>
                      </w:pPr>
                      <w:r w:rsidRPr="00C8475A">
                        <w:rPr>
                          <w:rFonts w:ascii="Times New Roman" w:hAnsi="Times New Roman" w:cs="Times New Roman"/>
                          <w:sz w:val="20"/>
                          <w:szCs w:val="20"/>
                        </w:rPr>
                        <w:t>Aspectos de alta importancia o críticos</w:t>
                      </w:r>
                      <w:r>
                        <w:rPr>
                          <w:rFonts w:ascii="Times New Roman" w:hAnsi="Times New Roman" w:cs="Times New Roman"/>
                          <w:sz w:val="20"/>
                          <w:szCs w:val="20"/>
                        </w:rPr>
                        <w:t>.</w:t>
                      </w:r>
                    </w:p>
                    <w:p w14:paraId="3A0CE0F9" w14:textId="56B4DBD1" w:rsidR="00CC63CF" w:rsidRPr="00C8475A" w:rsidRDefault="00CC63CF">
                      <w:pPr>
                        <w:rPr>
                          <w:rFonts w:ascii="Times New Roman" w:hAnsi="Times New Roman" w:cs="Times New Roman"/>
                          <w:sz w:val="20"/>
                          <w:szCs w:val="20"/>
                        </w:rPr>
                      </w:pPr>
                      <w:r w:rsidRPr="00C8475A">
                        <w:rPr>
                          <w:rFonts w:ascii="Times New Roman" w:hAnsi="Times New Roman" w:cs="Times New Roman"/>
                          <w:sz w:val="20"/>
                          <w:szCs w:val="20"/>
                        </w:rPr>
                        <w:t>Aspectos de mediana importancia o no críticos</w:t>
                      </w:r>
                    </w:p>
                  </w:txbxContent>
                </v:textbox>
              </v:shape>
            </w:pict>
          </mc:Fallback>
        </mc:AlternateContent>
      </w:r>
      <w:r w:rsidR="00D32AFD" w:rsidRPr="00B22A9D">
        <w:rPr>
          <w:rFonts w:ascii="Arial" w:eastAsia="Times New Roman" w:hAnsi="Arial" w:cs="Arial"/>
          <w:noProof/>
          <w:color w:val="000000"/>
          <w:lang w:val="en-US"/>
        </w:rPr>
        <w:drawing>
          <wp:inline distT="0" distB="0" distL="0" distR="0" wp14:anchorId="40063AB7" wp14:editId="39183B81">
            <wp:extent cx="3714750" cy="27813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CD51432" w14:textId="77777777" w:rsidR="00B55447" w:rsidRPr="00B22A9D" w:rsidRDefault="00B55447" w:rsidP="00C8475A">
      <w:pPr>
        <w:jc w:val="both"/>
        <w:rPr>
          <w:rFonts w:ascii="Arial" w:eastAsia="Times New Roman" w:hAnsi="Arial" w:cs="Arial"/>
          <w:color w:val="000000"/>
          <w:lang w:val="es-ES" w:eastAsia="es-ES"/>
        </w:rPr>
      </w:pPr>
    </w:p>
    <w:p w14:paraId="5D12B764" w14:textId="0E0E898E" w:rsidR="00F37D05" w:rsidRDefault="00586B29" w:rsidP="00C8475A">
      <w:pPr>
        <w:jc w:val="both"/>
        <w:rPr>
          <w:rFonts w:ascii="Arial" w:eastAsia="Times New Roman" w:hAnsi="Arial" w:cs="Arial"/>
          <w:color w:val="000000"/>
          <w:lang w:val="es-ES" w:eastAsia="es-ES"/>
        </w:rPr>
      </w:pPr>
      <w:r>
        <w:rPr>
          <w:rFonts w:ascii="Arial" w:eastAsia="Times New Roman" w:hAnsi="Arial" w:cs="Arial"/>
          <w:color w:val="000000"/>
          <w:lang w:val="es-ES" w:eastAsia="es-ES"/>
        </w:rPr>
        <w:t>En la conducción de estudios clínicos, es importante conocer las responsabilidades de los diferentes actores.</w:t>
      </w:r>
      <w:r w:rsidR="00391789">
        <w:rPr>
          <w:rFonts w:ascii="Arial" w:eastAsia="Times New Roman" w:hAnsi="Arial" w:cs="Arial"/>
          <w:color w:val="000000"/>
          <w:lang w:val="es-ES" w:eastAsia="es-ES"/>
        </w:rPr>
        <w:t xml:space="preserve"> En las tablas No 2 y No 3, se mencionan</w:t>
      </w:r>
      <w:r w:rsidR="00CC63CF">
        <w:rPr>
          <w:rFonts w:ascii="Arial" w:eastAsia="Times New Roman" w:hAnsi="Arial" w:cs="Arial"/>
          <w:color w:val="000000"/>
          <w:lang w:val="es-ES" w:eastAsia="es-ES"/>
        </w:rPr>
        <w:t xml:space="preserve"> las responsabilidades del investigador y del patrocinador.</w:t>
      </w:r>
    </w:p>
    <w:p w14:paraId="55CDF17C" w14:textId="58B60CE5" w:rsidR="00CC63CF" w:rsidRDefault="00CC63CF" w:rsidP="00C8475A">
      <w:pPr>
        <w:jc w:val="both"/>
        <w:rPr>
          <w:rFonts w:ascii="Arial" w:eastAsia="Times New Roman" w:hAnsi="Arial" w:cs="Arial"/>
          <w:color w:val="000000"/>
          <w:lang w:val="es-ES" w:eastAsia="es-ES"/>
        </w:rPr>
      </w:pPr>
    </w:p>
    <w:p w14:paraId="5B1987C7" w14:textId="0C54CA44" w:rsidR="00CC63CF" w:rsidRPr="00FA4567" w:rsidRDefault="00391789" w:rsidP="00C8475A">
      <w:pPr>
        <w:jc w:val="both"/>
        <w:rPr>
          <w:rFonts w:ascii="Arial" w:eastAsia="Times New Roman" w:hAnsi="Arial" w:cs="Arial"/>
          <w:i/>
          <w:color w:val="000000"/>
          <w:lang w:val="es-ES" w:eastAsia="es-ES"/>
        </w:rPr>
      </w:pPr>
      <w:r w:rsidRPr="00FA4567">
        <w:rPr>
          <w:rFonts w:ascii="Arial" w:eastAsia="Times New Roman" w:hAnsi="Arial" w:cs="Arial"/>
          <w:i/>
          <w:color w:val="000000"/>
          <w:lang w:val="es-ES" w:eastAsia="es-ES"/>
        </w:rPr>
        <w:t>Tabla No 2. Responsabilidades del Investigador.</w:t>
      </w:r>
      <w:r w:rsidR="002731CD" w:rsidRPr="00FA4567">
        <w:rPr>
          <w:rFonts w:ascii="Arial" w:eastAsia="Times New Roman" w:hAnsi="Arial" w:cs="Arial"/>
          <w:i/>
          <w:color w:val="000000"/>
          <w:lang w:val="es-ES" w:eastAsia="es-ES"/>
        </w:rPr>
        <w:t xml:space="preserve"> (5</w:t>
      </w:r>
      <w:r w:rsidR="00B274FD" w:rsidRPr="00FA4567">
        <w:rPr>
          <w:rFonts w:ascii="Arial" w:eastAsia="Times New Roman" w:hAnsi="Arial" w:cs="Arial"/>
          <w:i/>
          <w:color w:val="000000"/>
          <w:lang w:val="es-ES" w:eastAsia="es-ES"/>
        </w:rPr>
        <w:t>)</w:t>
      </w:r>
    </w:p>
    <w:tbl>
      <w:tblPr>
        <w:tblStyle w:val="Tablaconcuadrcula"/>
        <w:tblW w:w="0" w:type="auto"/>
        <w:tblLook w:val="04A0" w:firstRow="1" w:lastRow="0" w:firstColumn="1" w:lastColumn="0" w:noHBand="0" w:noVBand="1"/>
      </w:tblPr>
      <w:tblGrid>
        <w:gridCol w:w="9394"/>
      </w:tblGrid>
      <w:tr w:rsidR="00586B29" w14:paraId="2AF48253" w14:textId="77777777" w:rsidTr="00CC63CF">
        <w:tc>
          <w:tcPr>
            <w:tcW w:w="9394" w:type="dxa"/>
            <w:shd w:val="clear" w:color="auto" w:fill="8DB3E2" w:themeFill="text2" w:themeFillTint="66"/>
          </w:tcPr>
          <w:p w14:paraId="5B394420" w14:textId="77777777" w:rsidR="00391789" w:rsidRDefault="00391789" w:rsidP="00586B29">
            <w:pPr>
              <w:jc w:val="center"/>
              <w:rPr>
                <w:rFonts w:ascii="Arial" w:eastAsia="Times New Roman" w:hAnsi="Arial" w:cs="Arial"/>
                <w:b/>
                <w:color w:val="000000"/>
                <w:lang w:val="es-ES" w:eastAsia="es-ES"/>
              </w:rPr>
            </w:pPr>
          </w:p>
          <w:p w14:paraId="35719666" w14:textId="77777777" w:rsidR="00586B29" w:rsidRDefault="00586B29" w:rsidP="00586B29">
            <w:pPr>
              <w:jc w:val="center"/>
              <w:rPr>
                <w:rFonts w:ascii="Arial" w:eastAsia="Times New Roman" w:hAnsi="Arial" w:cs="Arial"/>
                <w:b/>
                <w:color w:val="000000"/>
                <w:lang w:val="es-ES" w:eastAsia="es-ES"/>
              </w:rPr>
            </w:pPr>
            <w:r w:rsidRPr="00CC63CF">
              <w:rPr>
                <w:rFonts w:ascii="Arial" w:eastAsia="Times New Roman" w:hAnsi="Arial" w:cs="Arial"/>
                <w:b/>
                <w:color w:val="000000"/>
                <w:lang w:val="es-ES" w:eastAsia="es-ES"/>
              </w:rPr>
              <w:t>RESPONSABILIDADES DEL INVESTIGADOR</w:t>
            </w:r>
          </w:p>
          <w:p w14:paraId="15E91C6F" w14:textId="3EF76F32" w:rsidR="00391789" w:rsidRPr="00CC63CF" w:rsidRDefault="00391789" w:rsidP="00586B29">
            <w:pPr>
              <w:jc w:val="center"/>
              <w:rPr>
                <w:rFonts w:ascii="Arial" w:eastAsia="Times New Roman" w:hAnsi="Arial" w:cs="Arial"/>
                <w:b/>
                <w:color w:val="000000"/>
                <w:lang w:val="es-ES" w:eastAsia="es-ES"/>
              </w:rPr>
            </w:pPr>
          </w:p>
        </w:tc>
      </w:tr>
      <w:tr w:rsidR="00586B29" w14:paraId="7082B510" w14:textId="77777777" w:rsidTr="00586B29">
        <w:tc>
          <w:tcPr>
            <w:tcW w:w="9394" w:type="dxa"/>
          </w:tcPr>
          <w:p w14:paraId="7B2D3AF0" w14:textId="38071B1C" w:rsidR="00586B29" w:rsidRPr="00CC63CF" w:rsidRDefault="00586B29" w:rsidP="00187AB0">
            <w:pPr>
              <w:pStyle w:val="Prrafodelista"/>
              <w:numPr>
                <w:ilvl w:val="0"/>
                <w:numId w:val="10"/>
              </w:numPr>
              <w:jc w:val="both"/>
              <w:rPr>
                <w:rFonts w:ascii="Arial" w:hAnsi="Arial" w:cs="Arial"/>
                <w:color w:val="000000"/>
                <w:lang w:val="es-ES" w:eastAsia="es-ES"/>
              </w:rPr>
            </w:pPr>
            <w:r w:rsidRPr="00CC63CF">
              <w:rPr>
                <w:rFonts w:ascii="Arial" w:hAnsi="Arial" w:cs="Arial"/>
                <w:color w:val="000000"/>
                <w:lang w:val="es-ES" w:eastAsia="es-ES"/>
              </w:rPr>
              <w:t xml:space="preserve">Estandarización de procesos. </w:t>
            </w:r>
          </w:p>
          <w:p w14:paraId="77613C35" w14:textId="77777777" w:rsidR="00586B29" w:rsidRPr="00CC63CF" w:rsidRDefault="00586B29" w:rsidP="00187AB0">
            <w:pPr>
              <w:pStyle w:val="Prrafodelista"/>
              <w:numPr>
                <w:ilvl w:val="0"/>
                <w:numId w:val="10"/>
              </w:numPr>
              <w:jc w:val="both"/>
              <w:rPr>
                <w:rFonts w:ascii="Arial" w:hAnsi="Arial" w:cs="Arial"/>
                <w:color w:val="000000"/>
                <w:lang w:val="es-ES" w:eastAsia="es-ES"/>
              </w:rPr>
            </w:pPr>
            <w:r w:rsidRPr="00CC63CF">
              <w:rPr>
                <w:rFonts w:ascii="Arial" w:hAnsi="Arial" w:cs="Arial"/>
                <w:color w:val="000000"/>
                <w:lang w:val="es-ES" w:eastAsia="es-ES"/>
              </w:rPr>
              <w:t xml:space="preserve">Entrenamiento, actualización, información y apoyo personal de estudio en el centro de investigación. </w:t>
            </w:r>
          </w:p>
          <w:p w14:paraId="292601CC" w14:textId="05C02D41" w:rsidR="00586B29" w:rsidRPr="00CC63CF" w:rsidRDefault="00586B29" w:rsidP="00187AB0">
            <w:pPr>
              <w:pStyle w:val="Prrafodelista"/>
              <w:numPr>
                <w:ilvl w:val="0"/>
                <w:numId w:val="10"/>
              </w:numPr>
              <w:jc w:val="both"/>
              <w:rPr>
                <w:rFonts w:ascii="Arial" w:hAnsi="Arial" w:cs="Arial"/>
                <w:color w:val="000000"/>
                <w:lang w:val="es-ES" w:eastAsia="es-ES"/>
              </w:rPr>
            </w:pPr>
            <w:r w:rsidRPr="00CC63CF">
              <w:rPr>
                <w:rFonts w:ascii="Arial" w:hAnsi="Arial" w:cs="Arial"/>
                <w:color w:val="000000"/>
                <w:lang w:val="es-ES" w:eastAsia="es-ES"/>
              </w:rPr>
              <w:t>Cumplimiento de la normatividad y las regulaciones éticas.</w:t>
            </w:r>
          </w:p>
          <w:p w14:paraId="1983615D" w14:textId="77777777" w:rsidR="00586B29" w:rsidRPr="00CC63CF" w:rsidRDefault="00586B29" w:rsidP="00187AB0">
            <w:pPr>
              <w:pStyle w:val="Prrafodelista"/>
              <w:numPr>
                <w:ilvl w:val="0"/>
                <w:numId w:val="10"/>
              </w:numPr>
              <w:jc w:val="both"/>
              <w:rPr>
                <w:rFonts w:ascii="Arial" w:hAnsi="Arial" w:cs="Arial"/>
                <w:color w:val="000000"/>
                <w:lang w:val="es-ES" w:eastAsia="es-ES"/>
              </w:rPr>
            </w:pPr>
            <w:r w:rsidRPr="00CC63CF">
              <w:rPr>
                <w:rFonts w:ascii="Arial" w:hAnsi="Arial" w:cs="Arial"/>
                <w:color w:val="000000"/>
                <w:lang w:val="es-ES" w:eastAsia="es-ES"/>
              </w:rPr>
              <w:t>Adherencia al protocolo de investigación durante la conducción del estudio.</w:t>
            </w:r>
          </w:p>
          <w:p w14:paraId="4D7F76B4" w14:textId="3894C286" w:rsidR="00586B29" w:rsidRPr="00CC63CF" w:rsidRDefault="00586B29" w:rsidP="00187AB0">
            <w:pPr>
              <w:pStyle w:val="Prrafodelista"/>
              <w:numPr>
                <w:ilvl w:val="0"/>
                <w:numId w:val="10"/>
              </w:numPr>
              <w:jc w:val="both"/>
              <w:rPr>
                <w:rFonts w:ascii="Arial" w:hAnsi="Arial" w:cs="Arial"/>
                <w:color w:val="000000"/>
                <w:lang w:val="es-ES" w:eastAsia="es-ES"/>
              </w:rPr>
            </w:pPr>
            <w:r w:rsidRPr="00CC63CF">
              <w:rPr>
                <w:rFonts w:ascii="Arial" w:hAnsi="Arial" w:cs="Arial"/>
                <w:color w:val="000000"/>
                <w:lang w:val="es-ES" w:eastAsia="es-ES"/>
              </w:rPr>
              <w:t>Manejo adecuado de la información / confidencialidad.</w:t>
            </w:r>
          </w:p>
          <w:p w14:paraId="3DF75317" w14:textId="4C835EF1" w:rsidR="00586B29" w:rsidRPr="00CC63CF" w:rsidRDefault="00586B29" w:rsidP="00187AB0">
            <w:pPr>
              <w:pStyle w:val="Prrafodelista"/>
              <w:numPr>
                <w:ilvl w:val="0"/>
                <w:numId w:val="10"/>
              </w:numPr>
              <w:jc w:val="both"/>
              <w:rPr>
                <w:rFonts w:ascii="Arial" w:hAnsi="Arial" w:cs="Arial"/>
                <w:color w:val="000000"/>
                <w:lang w:val="es-ES" w:eastAsia="es-ES"/>
              </w:rPr>
            </w:pPr>
            <w:r w:rsidRPr="00CC63CF">
              <w:rPr>
                <w:rFonts w:ascii="Arial" w:hAnsi="Arial" w:cs="Arial"/>
                <w:color w:val="000000"/>
                <w:lang w:val="es-ES" w:eastAsia="es-ES"/>
              </w:rPr>
              <w:t>Manejo y reporte de eventos adversos.</w:t>
            </w:r>
          </w:p>
          <w:p w14:paraId="2E9E5D45" w14:textId="5B90AC89" w:rsidR="00CC63CF" w:rsidRPr="00CC63CF" w:rsidRDefault="00586B29" w:rsidP="00187AB0">
            <w:pPr>
              <w:pStyle w:val="Prrafodelista"/>
              <w:numPr>
                <w:ilvl w:val="0"/>
                <w:numId w:val="10"/>
              </w:numPr>
              <w:jc w:val="both"/>
              <w:rPr>
                <w:rFonts w:ascii="Arial" w:eastAsia="Times New Roman" w:hAnsi="Arial" w:cs="Arial"/>
                <w:color w:val="000000"/>
                <w:lang w:eastAsia="es-ES"/>
              </w:rPr>
            </w:pPr>
            <w:r w:rsidRPr="00CC63CF">
              <w:rPr>
                <w:rFonts w:ascii="Arial" w:eastAsia="Times New Roman" w:hAnsi="Arial" w:cs="Arial"/>
                <w:color w:val="000000"/>
                <w:lang w:eastAsia="es-ES"/>
              </w:rPr>
              <w:t>Supervisión en la t</w:t>
            </w:r>
            <w:r w:rsidR="00CC63CF" w:rsidRPr="00CC63CF">
              <w:rPr>
                <w:rFonts w:ascii="Arial" w:eastAsia="Times New Roman" w:hAnsi="Arial" w:cs="Arial"/>
                <w:color w:val="000000"/>
                <w:lang w:eastAsia="es-ES"/>
              </w:rPr>
              <w:t>oma y procesamiento de muestras y especímenes biológicos</w:t>
            </w:r>
            <w:r w:rsidRPr="00CC63CF">
              <w:rPr>
                <w:rFonts w:ascii="Arial" w:eastAsia="Times New Roman" w:hAnsi="Arial" w:cs="Arial"/>
                <w:color w:val="000000"/>
                <w:lang w:eastAsia="es-ES"/>
              </w:rPr>
              <w:t>.</w:t>
            </w:r>
          </w:p>
          <w:p w14:paraId="5837E5B3" w14:textId="209777C2" w:rsidR="00586B29" w:rsidRPr="00CC63CF" w:rsidRDefault="006F0FB5" w:rsidP="00187AB0">
            <w:pPr>
              <w:pStyle w:val="Prrafodelista"/>
              <w:numPr>
                <w:ilvl w:val="0"/>
                <w:numId w:val="10"/>
              </w:numPr>
              <w:jc w:val="both"/>
              <w:rPr>
                <w:rFonts w:ascii="Arial" w:eastAsia="Times New Roman" w:hAnsi="Arial" w:cs="Arial"/>
                <w:color w:val="000000"/>
                <w:lang w:eastAsia="es-ES"/>
              </w:rPr>
            </w:pPr>
            <w:r w:rsidRPr="00CC63CF">
              <w:rPr>
                <w:rFonts w:ascii="Arial" w:eastAsia="Times New Roman" w:hAnsi="Arial" w:cs="Arial"/>
                <w:color w:val="000000"/>
                <w:lang w:eastAsia="es-ES"/>
              </w:rPr>
              <w:t>Manejo del medicamento</w:t>
            </w:r>
            <w:r w:rsidR="00586B29" w:rsidRPr="00CC63CF">
              <w:rPr>
                <w:rFonts w:ascii="Arial" w:eastAsia="Times New Roman" w:hAnsi="Arial" w:cs="Arial"/>
                <w:color w:val="000000"/>
                <w:lang w:eastAsia="es-ES"/>
              </w:rPr>
              <w:t xml:space="preserve"> de investigación.</w:t>
            </w:r>
          </w:p>
          <w:p w14:paraId="6B0CDB3D" w14:textId="2F4455BB" w:rsidR="00CC63CF" w:rsidRPr="00CC63CF" w:rsidRDefault="00CC63CF" w:rsidP="00187AB0">
            <w:pPr>
              <w:pStyle w:val="Prrafodelista"/>
              <w:numPr>
                <w:ilvl w:val="0"/>
                <w:numId w:val="10"/>
              </w:numPr>
              <w:jc w:val="both"/>
              <w:rPr>
                <w:rFonts w:ascii="Arial" w:eastAsia="Times New Roman" w:hAnsi="Arial" w:cs="Arial"/>
                <w:color w:val="000000"/>
                <w:lang w:eastAsia="es-ES"/>
              </w:rPr>
            </w:pPr>
            <w:r w:rsidRPr="00CC63CF">
              <w:rPr>
                <w:rFonts w:ascii="Arial" w:eastAsia="Times New Roman" w:hAnsi="Arial" w:cs="Arial"/>
                <w:color w:val="000000"/>
                <w:lang w:eastAsia="es-ES"/>
              </w:rPr>
              <w:t>Solicitud de consentimiento informado</w:t>
            </w:r>
            <w:r w:rsidR="00F863FF">
              <w:rPr>
                <w:rFonts w:ascii="Arial" w:eastAsia="Times New Roman" w:hAnsi="Arial" w:cs="Arial"/>
                <w:color w:val="000000"/>
                <w:lang w:eastAsia="es-ES"/>
              </w:rPr>
              <w:t>.</w:t>
            </w:r>
          </w:p>
          <w:p w14:paraId="1274758D" w14:textId="59C2D0A9" w:rsidR="00CC63CF" w:rsidRPr="00CC63CF" w:rsidRDefault="00CC63CF" w:rsidP="00187AB0">
            <w:pPr>
              <w:pStyle w:val="Prrafodelista"/>
              <w:numPr>
                <w:ilvl w:val="0"/>
                <w:numId w:val="10"/>
              </w:numPr>
              <w:jc w:val="both"/>
              <w:rPr>
                <w:rFonts w:ascii="Arial" w:eastAsia="Times New Roman" w:hAnsi="Arial" w:cs="Arial"/>
                <w:color w:val="000000"/>
                <w:lang w:eastAsia="es-ES"/>
              </w:rPr>
            </w:pPr>
            <w:r w:rsidRPr="00CC63CF">
              <w:rPr>
                <w:rFonts w:ascii="Arial" w:eastAsia="Times New Roman" w:hAnsi="Arial" w:cs="Arial"/>
                <w:color w:val="000000"/>
                <w:lang w:eastAsia="es-ES"/>
              </w:rPr>
              <w:t>Inclusión y seguimiento de los participantes en el estudio</w:t>
            </w:r>
            <w:r w:rsidR="00F863FF">
              <w:rPr>
                <w:rFonts w:ascii="Arial" w:eastAsia="Times New Roman" w:hAnsi="Arial" w:cs="Arial"/>
                <w:color w:val="000000"/>
                <w:lang w:eastAsia="es-ES"/>
              </w:rPr>
              <w:t>.</w:t>
            </w:r>
          </w:p>
          <w:p w14:paraId="6811E109" w14:textId="21CBB73E" w:rsidR="00CC63CF" w:rsidRPr="00CC63CF" w:rsidRDefault="00CC63CF" w:rsidP="00187AB0">
            <w:pPr>
              <w:pStyle w:val="Prrafodelista"/>
              <w:numPr>
                <w:ilvl w:val="0"/>
                <w:numId w:val="10"/>
              </w:numPr>
              <w:jc w:val="both"/>
              <w:rPr>
                <w:rFonts w:ascii="Arial" w:eastAsia="Times New Roman" w:hAnsi="Arial" w:cs="Arial"/>
                <w:color w:val="000000"/>
                <w:lang w:eastAsia="es-ES"/>
              </w:rPr>
            </w:pPr>
            <w:r w:rsidRPr="00CC63CF">
              <w:rPr>
                <w:rFonts w:ascii="Arial" w:eastAsia="Times New Roman" w:hAnsi="Arial" w:cs="Arial"/>
                <w:color w:val="000000"/>
                <w:lang w:eastAsia="es-ES"/>
              </w:rPr>
              <w:t>Comunicación con ente regulador, comité de ética y patrocinador</w:t>
            </w:r>
            <w:r w:rsidR="00F863FF">
              <w:rPr>
                <w:rFonts w:ascii="Arial" w:eastAsia="Times New Roman" w:hAnsi="Arial" w:cs="Arial"/>
                <w:color w:val="000000"/>
                <w:lang w:eastAsia="es-ES"/>
              </w:rPr>
              <w:t>.</w:t>
            </w:r>
          </w:p>
          <w:p w14:paraId="761C1B8B" w14:textId="432B71BA" w:rsidR="00CC63CF" w:rsidRPr="00CC63CF" w:rsidRDefault="00CC63CF" w:rsidP="00187AB0">
            <w:pPr>
              <w:pStyle w:val="Prrafodelista"/>
              <w:numPr>
                <w:ilvl w:val="0"/>
                <w:numId w:val="10"/>
              </w:numPr>
              <w:jc w:val="both"/>
              <w:rPr>
                <w:rFonts w:ascii="Arial" w:eastAsia="Times New Roman" w:hAnsi="Arial" w:cs="Arial"/>
                <w:color w:val="000000"/>
                <w:lang w:eastAsia="es-ES"/>
              </w:rPr>
            </w:pPr>
            <w:r w:rsidRPr="00CC63CF">
              <w:rPr>
                <w:rFonts w:ascii="Arial" w:eastAsia="Times New Roman" w:hAnsi="Arial" w:cs="Arial"/>
                <w:color w:val="000000"/>
                <w:lang w:eastAsia="es-ES"/>
              </w:rPr>
              <w:t>Enfoque integral del paciente</w:t>
            </w:r>
            <w:r w:rsidR="006F0FB5" w:rsidRPr="00CC63CF">
              <w:rPr>
                <w:rFonts w:ascii="Arial" w:eastAsia="Times New Roman" w:hAnsi="Arial" w:cs="Arial"/>
                <w:color w:val="000000"/>
                <w:lang w:eastAsia="es-ES"/>
              </w:rPr>
              <w:t>.</w:t>
            </w:r>
          </w:p>
          <w:p w14:paraId="74B6C26F" w14:textId="6DDA1315" w:rsidR="006F0FB5" w:rsidRPr="00CC63CF" w:rsidRDefault="006F0FB5" w:rsidP="00187AB0">
            <w:pPr>
              <w:pStyle w:val="Prrafodelista"/>
              <w:numPr>
                <w:ilvl w:val="0"/>
                <w:numId w:val="10"/>
              </w:numPr>
              <w:jc w:val="both"/>
              <w:rPr>
                <w:rFonts w:ascii="Arial" w:hAnsi="Arial" w:cs="Arial"/>
                <w:color w:val="000000"/>
                <w:lang w:val="es-ES" w:eastAsia="es-ES"/>
              </w:rPr>
            </w:pPr>
            <w:r w:rsidRPr="00CC63CF">
              <w:rPr>
                <w:rFonts w:ascii="Arial" w:hAnsi="Arial" w:cs="Arial"/>
                <w:color w:val="000000"/>
                <w:lang w:val="es-ES" w:eastAsia="es-ES"/>
              </w:rPr>
              <w:t xml:space="preserve">Divulgación de los resultados de la investigación.  </w:t>
            </w:r>
          </w:p>
          <w:p w14:paraId="621B0304" w14:textId="7D942B4F" w:rsidR="006F0FB5" w:rsidRPr="00CC63CF" w:rsidRDefault="006F0FB5" w:rsidP="00187AB0">
            <w:pPr>
              <w:pStyle w:val="Prrafodelista"/>
              <w:numPr>
                <w:ilvl w:val="0"/>
                <w:numId w:val="10"/>
              </w:numPr>
              <w:jc w:val="both"/>
              <w:rPr>
                <w:rFonts w:ascii="Arial" w:eastAsia="Times New Roman" w:hAnsi="Arial" w:cs="Arial"/>
                <w:color w:val="000000"/>
                <w:lang w:eastAsia="es-ES"/>
              </w:rPr>
            </w:pPr>
            <w:r w:rsidRPr="00CC63CF">
              <w:rPr>
                <w:rFonts w:ascii="Arial" w:hAnsi="Arial" w:cs="Arial"/>
                <w:color w:val="000000"/>
                <w:lang w:val="es-ES" w:eastAsia="es-ES"/>
              </w:rPr>
              <w:t>Manejo de documentación.</w:t>
            </w:r>
          </w:p>
          <w:p w14:paraId="0138863E" w14:textId="5A461423" w:rsidR="00586B29" w:rsidRPr="00586B29" w:rsidRDefault="00586B29" w:rsidP="00586B29">
            <w:pPr>
              <w:jc w:val="both"/>
              <w:rPr>
                <w:rFonts w:ascii="Arial" w:eastAsia="Times New Roman" w:hAnsi="Arial" w:cs="Arial"/>
                <w:color w:val="000000"/>
                <w:lang w:eastAsia="es-ES"/>
              </w:rPr>
            </w:pPr>
          </w:p>
        </w:tc>
      </w:tr>
    </w:tbl>
    <w:p w14:paraId="4F379692" w14:textId="282ACB78" w:rsidR="00586B29" w:rsidRDefault="00586B29" w:rsidP="00C8475A">
      <w:pPr>
        <w:jc w:val="both"/>
        <w:rPr>
          <w:rFonts w:ascii="Arial" w:eastAsia="Times New Roman" w:hAnsi="Arial" w:cs="Arial"/>
          <w:color w:val="000000"/>
          <w:lang w:val="es-ES" w:eastAsia="es-ES"/>
        </w:rPr>
      </w:pPr>
    </w:p>
    <w:p w14:paraId="0CCC7890" w14:textId="2F588C4E" w:rsidR="00CC63CF" w:rsidRDefault="00391789" w:rsidP="00C8475A">
      <w:pPr>
        <w:jc w:val="both"/>
        <w:rPr>
          <w:rFonts w:ascii="Arial" w:eastAsia="Times New Roman" w:hAnsi="Arial" w:cs="Arial"/>
          <w:color w:val="000000"/>
          <w:lang w:val="es-ES" w:eastAsia="es-ES"/>
        </w:rPr>
      </w:pPr>
      <w:r>
        <w:rPr>
          <w:rFonts w:ascii="Arial" w:eastAsia="Times New Roman" w:hAnsi="Arial" w:cs="Arial"/>
          <w:color w:val="000000"/>
          <w:lang w:val="es-ES" w:eastAsia="es-ES"/>
        </w:rPr>
        <w:t xml:space="preserve">Es fundamental tener claro, los </w:t>
      </w:r>
      <w:r w:rsidRPr="00391789">
        <w:rPr>
          <w:rFonts w:ascii="Arial" w:eastAsia="Times New Roman" w:hAnsi="Arial" w:cs="Arial"/>
          <w:color w:val="000000"/>
          <w:lang w:val="es-ES" w:eastAsia="es-ES"/>
        </w:rPr>
        <w:t>lineamientos para la selección del investigador principal y los criterios para establecer sus funciones y responsabilidades</w:t>
      </w:r>
      <w:r>
        <w:rPr>
          <w:rFonts w:ascii="Arial" w:eastAsia="Times New Roman" w:hAnsi="Arial" w:cs="Arial"/>
          <w:color w:val="000000"/>
          <w:lang w:val="es-ES" w:eastAsia="es-ES"/>
        </w:rPr>
        <w:t>, los cuales están descritos en la Guía para la Selección del Investigador Principal de Invima y se mencionan a continuación:</w:t>
      </w:r>
      <w:r w:rsidRPr="00391789">
        <w:rPr>
          <w:rFonts w:ascii="Arial" w:eastAsia="Times New Roman" w:hAnsi="Arial" w:cs="Arial"/>
          <w:color w:val="000000"/>
          <w:lang w:val="es-ES" w:eastAsia="es-ES"/>
        </w:rPr>
        <w:t xml:space="preserve"> </w:t>
      </w:r>
      <w:r w:rsidR="002731CD">
        <w:rPr>
          <w:rFonts w:ascii="Arial" w:hAnsi="Arial" w:cs="Arial"/>
          <w:color w:val="000000"/>
          <w:lang w:val="es-ES" w:eastAsia="es-ES"/>
        </w:rPr>
        <w:t>(9)</w:t>
      </w:r>
    </w:p>
    <w:p w14:paraId="02E2A07E" w14:textId="01B330E8" w:rsidR="00391789" w:rsidRPr="00B22A9D" w:rsidRDefault="00391789" w:rsidP="00C8475A">
      <w:pPr>
        <w:jc w:val="both"/>
        <w:rPr>
          <w:rFonts w:ascii="Arial" w:eastAsia="Times New Roman" w:hAnsi="Arial" w:cs="Arial"/>
          <w:color w:val="000000"/>
          <w:lang w:val="es-ES" w:eastAsia="es-ES"/>
        </w:rPr>
      </w:pPr>
    </w:p>
    <w:tbl>
      <w:tblPr>
        <w:tblStyle w:val="Tablaconcuadrcula"/>
        <w:tblW w:w="0" w:type="auto"/>
        <w:tblLook w:val="04A0" w:firstRow="1" w:lastRow="0" w:firstColumn="1" w:lastColumn="0" w:noHBand="0" w:noVBand="1"/>
      </w:tblPr>
      <w:tblGrid>
        <w:gridCol w:w="9394"/>
      </w:tblGrid>
      <w:tr w:rsidR="006F0FB5" w14:paraId="11E2E662" w14:textId="77777777" w:rsidTr="006F0FB5">
        <w:tc>
          <w:tcPr>
            <w:tcW w:w="9394" w:type="dxa"/>
            <w:shd w:val="clear" w:color="auto" w:fill="8DB3E2" w:themeFill="text2" w:themeFillTint="66"/>
          </w:tcPr>
          <w:p w14:paraId="507D7D59" w14:textId="77777777" w:rsidR="00391789" w:rsidRDefault="00391789" w:rsidP="006F0FB5">
            <w:pPr>
              <w:pStyle w:val="NormalWeb"/>
              <w:spacing w:before="0" w:beforeAutospacing="0" w:after="0" w:afterAutospacing="0" w:line="276" w:lineRule="auto"/>
              <w:jc w:val="center"/>
              <w:rPr>
                <w:rFonts w:ascii="Arial" w:hAnsi="Arial" w:cs="Arial"/>
                <w:b/>
                <w:color w:val="000000"/>
                <w:sz w:val="22"/>
                <w:szCs w:val="22"/>
                <w:lang w:val="es-ES" w:eastAsia="es-ES"/>
              </w:rPr>
            </w:pPr>
          </w:p>
          <w:p w14:paraId="47850D35" w14:textId="76CA787E" w:rsidR="006F0FB5" w:rsidRPr="00391789" w:rsidRDefault="006F0FB5" w:rsidP="006F0FB5">
            <w:pPr>
              <w:pStyle w:val="NormalWeb"/>
              <w:spacing w:before="0" w:beforeAutospacing="0" w:after="0" w:afterAutospacing="0" w:line="276" w:lineRule="auto"/>
              <w:jc w:val="center"/>
              <w:rPr>
                <w:rFonts w:ascii="Arial" w:hAnsi="Arial" w:cs="Arial"/>
                <w:b/>
                <w:color w:val="000000"/>
                <w:sz w:val="22"/>
                <w:szCs w:val="22"/>
                <w:lang w:val="es-ES" w:eastAsia="es-ES"/>
              </w:rPr>
            </w:pPr>
            <w:r w:rsidRPr="00391789">
              <w:rPr>
                <w:rFonts w:ascii="Arial" w:hAnsi="Arial" w:cs="Arial"/>
                <w:b/>
                <w:color w:val="000000"/>
                <w:sz w:val="22"/>
                <w:szCs w:val="22"/>
                <w:lang w:val="es-ES" w:eastAsia="es-ES"/>
              </w:rPr>
              <w:t xml:space="preserve">CRITERIOS PARA LA SELECCIÓN DEL INVESTIGADOR PRINCIPAL </w:t>
            </w:r>
          </w:p>
          <w:p w14:paraId="72BAF204" w14:textId="77777777" w:rsidR="006F0FB5" w:rsidRDefault="006F0FB5" w:rsidP="006F0FB5">
            <w:pPr>
              <w:pStyle w:val="NormalWeb"/>
              <w:spacing w:after="0"/>
              <w:jc w:val="both"/>
              <w:rPr>
                <w:rFonts w:ascii="Arial" w:hAnsi="Arial" w:cs="Arial"/>
                <w:color w:val="000000"/>
                <w:sz w:val="22"/>
                <w:szCs w:val="22"/>
                <w:lang w:val="es-ES" w:eastAsia="es-ES"/>
              </w:rPr>
            </w:pPr>
            <w:r w:rsidRPr="006F0FB5">
              <w:rPr>
                <w:rFonts w:ascii="Arial" w:hAnsi="Arial" w:cs="Arial"/>
                <w:color w:val="000000"/>
                <w:sz w:val="22"/>
                <w:szCs w:val="22"/>
                <w:lang w:val="es-ES" w:eastAsia="es-ES"/>
              </w:rPr>
              <w:t>Para la conducción de un estudio clínico el investigador principal debe cumplir l</w:t>
            </w:r>
            <w:r>
              <w:rPr>
                <w:rFonts w:ascii="Arial" w:hAnsi="Arial" w:cs="Arial"/>
                <w:color w:val="000000"/>
                <w:sz w:val="22"/>
                <w:szCs w:val="22"/>
                <w:lang w:val="es-ES" w:eastAsia="es-ES"/>
              </w:rPr>
              <w:t xml:space="preserve">as siguientes características: </w:t>
            </w:r>
          </w:p>
          <w:p w14:paraId="3029E1DF" w14:textId="6122BC5A" w:rsidR="006F0FB5" w:rsidRPr="006F0FB5" w:rsidRDefault="006F0FB5" w:rsidP="00187AB0">
            <w:pPr>
              <w:pStyle w:val="NormalWeb"/>
              <w:numPr>
                <w:ilvl w:val="0"/>
                <w:numId w:val="11"/>
              </w:numPr>
              <w:spacing w:after="0"/>
              <w:jc w:val="both"/>
              <w:rPr>
                <w:rFonts w:ascii="Arial" w:hAnsi="Arial" w:cs="Arial"/>
                <w:color w:val="000000"/>
                <w:sz w:val="22"/>
                <w:szCs w:val="22"/>
                <w:lang w:val="es-ES" w:eastAsia="es-ES"/>
              </w:rPr>
            </w:pPr>
            <w:r w:rsidRPr="00391789">
              <w:rPr>
                <w:rFonts w:ascii="Arial" w:hAnsi="Arial" w:cs="Arial"/>
                <w:b/>
                <w:color w:val="000000"/>
                <w:sz w:val="22"/>
                <w:szCs w:val="22"/>
                <w:lang w:val="es-ES" w:eastAsia="es-ES"/>
              </w:rPr>
              <w:t>Formación Académica:</w:t>
            </w:r>
            <w:r w:rsidR="00391789">
              <w:rPr>
                <w:rFonts w:ascii="Arial" w:hAnsi="Arial" w:cs="Arial"/>
                <w:color w:val="000000"/>
                <w:sz w:val="22"/>
                <w:szCs w:val="22"/>
                <w:lang w:val="es-ES" w:eastAsia="es-ES"/>
              </w:rPr>
              <w:t xml:space="preserve"> p</w:t>
            </w:r>
            <w:r w:rsidRPr="006F0FB5">
              <w:rPr>
                <w:rFonts w:ascii="Arial" w:hAnsi="Arial" w:cs="Arial"/>
                <w:color w:val="000000"/>
                <w:sz w:val="22"/>
                <w:szCs w:val="22"/>
                <w:lang w:val="es-ES" w:eastAsia="es-ES"/>
              </w:rPr>
              <w:t xml:space="preserve">rofesional de la salud con especialización en el área específica del protocolo de investigación. En caso que su formación académica fuese en el exterior se debe presentar la convalidación del título obtenido emitido por la autoridad competente. </w:t>
            </w:r>
          </w:p>
          <w:p w14:paraId="7083A2DC" w14:textId="37FB5856" w:rsidR="006F0FB5" w:rsidRPr="00391789" w:rsidRDefault="006F0FB5" w:rsidP="006F0FB5">
            <w:pPr>
              <w:pStyle w:val="NormalWeb"/>
              <w:spacing w:after="0"/>
              <w:jc w:val="both"/>
              <w:rPr>
                <w:rFonts w:ascii="Arial" w:hAnsi="Arial" w:cs="Arial"/>
                <w:i/>
                <w:color w:val="000000"/>
                <w:sz w:val="22"/>
                <w:szCs w:val="22"/>
                <w:lang w:val="es-ES" w:eastAsia="es-ES"/>
              </w:rPr>
            </w:pPr>
            <w:r w:rsidRPr="00391789">
              <w:rPr>
                <w:rFonts w:ascii="Arial" w:hAnsi="Arial" w:cs="Arial"/>
                <w:i/>
                <w:color w:val="000000"/>
                <w:sz w:val="22"/>
                <w:szCs w:val="22"/>
                <w:lang w:val="es-ES" w:eastAsia="es-ES"/>
              </w:rPr>
              <w:t xml:space="preserve">Nota: Se debe contar con la verificación del título por parte de los evaluadores (Comité de Ética). </w:t>
            </w:r>
          </w:p>
          <w:p w14:paraId="31C54495" w14:textId="34B00985" w:rsidR="006F0FB5" w:rsidRPr="006F0FB5" w:rsidRDefault="006F0FB5" w:rsidP="00187AB0">
            <w:pPr>
              <w:pStyle w:val="NormalWeb"/>
              <w:numPr>
                <w:ilvl w:val="0"/>
                <w:numId w:val="11"/>
              </w:numPr>
              <w:spacing w:after="0"/>
              <w:jc w:val="both"/>
              <w:rPr>
                <w:rFonts w:ascii="Arial" w:hAnsi="Arial" w:cs="Arial"/>
                <w:color w:val="000000"/>
                <w:sz w:val="22"/>
                <w:szCs w:val="22"/>
                <w:lang w:val="es-ES" w:eastAsia="es-ES"/>
              </w:rPr>
            </w:pPr>
            <w:r w:rsidRPr="00391789">
              <w:rPr>
                <w:rFonts w:ascii="Arial" w:hAnsi="Arial" w:cs="Arial"/>
                <w:b/>
                <w:color w:val="000000"/>
                <w:sz w:val="22"/>
                <w:szCs w:val="22"/>
                <w:lang w:val="es-ES" w:eastAsia="es-ES"/>
              </w:rPr>
              <w:t>Experiencia:</w:t>
            </w:r>
            <w:r w:rsidR="00391789">
              <w:rPr>
                <w:rFonts w:ascii="Arial" w:hAnsi="Arial" w:cs="Arial"/>
                <w:color w:val="000000"/>
                <w:sz w:val="22"/>
                <w:szCs w:val="22"/>
                <w:lang w:val="es-ES" w:eastAsia="es-ES"/>
              </w:rPr>
              <w:t xml:space="preserve"> d</w:t>
            </w:r>
            <w:r w:rsidRPr="006F0FB5">
              <w:rPr>
                <w:rFonts w:ascii="Arial" w:hAnsi="Arial" w:cs="Arial"/>
                <w:color w:val="000000"/>
                <w:sz w:val="22"/>
                <w:szCs w:val="22"/>
                <w:lang w:val="es-ES" w:eastAsia="es-ES"/>
              </w:rPr>
              <w:t xml:space="preserve">ebe tener experiencia certificada de al menos tres años en el ejercicio profesional como especialista en el manejo de las enfermedades relacionadas con el tema de investigación, así mismo debe contar con dos años de experiencia certificada en investigación y producción científica en el área de la investigación propuesta.  </w:t>
            </w:r>
          </w:p>
          <w:p w14:paraId="3E1A4C03" w14:textId="0F52CE8C" w:rsidR="006F0FB5" w:rsidRDefault="006F0FB5" w:rsidP="00187AB0">
            <w:pPr>
              <w:pStyle w:val="NormalWeb"/>
              <w:numPr>
                <w:ilvl w:val="0"/>
                <w:numId w:val="12"/>
              </w:numPr>
              <w:spacing w:after="0"/>
              <w:jc w:val="both"/>
              <w:rPr>
                <w:rFonts w:ascii="Arial" w:hAnsi="Arial" w:cs="Arial"/>
                <w:color w:val="000000"/>
                <w:sz w:val="22"/>
                <w:szCs w:val="22"/>
                <w:lang w:val="es-ES" w:eastAsia="es-ES"/>
              </w:rPr>
            </w:pPr>
            <w:r w:rsidRPr="00391789">
              <w:rPr>
                <w:rFonts w:ascii="Arial" w:hAnsi="Arial" w:cs="Arial"/>
                <w:b/>
                <w:color w:val="000000"/>
                <w:sz w:val="22"/>
                <w:szCs w:val="22"/>
                <w:lang w:val="es-ES" w:eastAsia="es-ES"/>
              </w:rPr>
              <w:t>Entrenamiento:</w:t>
            </w:r>
            <w:r w:rsidR="00391789">
              <w:rPr>
                <w:rFonts w:ascii="Arial" w:hAnsi="Arial" w:cs="Arial"/>
                <w:color w:val="000000"/>
                <w:sz w:val="22"/>
                <w:szCs w:val="22"/>
                <w:lang w:val="es-ES" w:eastAsia="es-ES"/>
              </w:rPr>
              <w:t xml:space="preserve"> d</w:t>
            </w:r>
            <w:r w:rsidRPr="006F0FB5">
              <w:rPr>
                <w:rFonts w:ascii="Arial" w:hAnsi="Arial" w:cs="Arial"/>
                <w:color w:val="000000"/>
                <w:sz w:val="22"/>
                <w:szCs w:val="22"/>
                <w:lang w:val="es-ES" w:eastAsia="es-ES"/>
              </w:rPr>
              <w:t xml:space="preserve">ebe contar con certificaciones de capacitación en Buenas Prácticas Clínicas (normatividad nacional e internacional) </w:t>
            </w:r>
            <w:r w:rsidRPr="00391789">
              <w:rPr>
                <w:rFonts w:ascii="Arial" w:hAnsi="Arial" w:cs="Arial"/>
                <w:b/>
                <w:i/>
                <w:color w:val="000000"/>
                <w:sz w:val="22"/>
                <w:szCs w:val="22"/>
                <w:lang w:val="es-ES" w:eastAsia="es-ES"/>
              </w:rPr>
              <w:t>con una vigencia máxima de 2 años</w:t>
            </w:r>
            <w:r w:rsidRPr="006F0FB5">
              <w:rPr>
                <w:rFonts w:ascii="Arial" w:hAnsi="Arial" w:cs="Arial"/>
                <w:color w:val="000000"/>
                <w:sz w:val="22"/>
                <w:szCs w:val="22"/>
                <w:lang w:val="es-ES" w:eastAsia="es-ES"/>
              </w:rPr>
              <w:t>, cursos adicionales referentes a investigación clínica o en conducción de estudios clínicos.</w:t>
            </w:r>
          </w:p>
        </w:tc>
      </w:tr>
    </w:tbl>
    <w:p w14:paraId="2A7A50D9" w14:textId="0ECCA99E" w:rsidR="00F37D05" w:rsidRDefault="00F37D05" w:rsidP="00F37D05">
      <w:pPr>
        <w:pStyle w:val="NormalWeb"/>
        <w:spacing w:before="0" w:beforeAutospacing="0" w:after="0" w:afterAutospacing="0" w:line="276" w:lineRule="auto"/>
        <w:jc w:val="both"/>
        <w:rPr>
          <w:rFonts w:ascii="Arial" w:hAnsi="Arial" w:cs="Arial"/>
          <w:color w:val="000000"/>
          <w:sz w:val="22"/>
          <w:szCs w:val="22"/>
          <w:lang w:val="es-ES" w:eastAsia="es-ES"/>
        </w:rPr>
      </w:pPr>
    </w:p>
    <w:p w14:paraId="5C93C892" w14:textId="070021AA" w:rsidR="003B16B7" w:rsidRDefault="003B16B7" w:rsidP="00F37D05">
      <w:pPr>
        <w:pStyle w:val="NormalWeb"/>
        <w:spacing w:before="0" w:beforeAutospacing="0" w:after="0" w:afterAutospacing="0" w:line="276" w:lineRule="auto"/>
        <w:jc w:val="both"/>
        <w:rPr>
          <w:rFonts w:ascii="Arial" w:hAnsi="Arial" w:cs="Arial"/>
          <w:color w:val="000000"/>
          <w:sz w:val="22"/>
          <w:szCs w:val="22"/>
          <w:lang w:val="es-ES" w:eastAsia="es-ES"/>
        </w:rPr>
      </w:pPr>
    </w:p>
    <w:p w14:paraId="2B1820DE" w14:textId="77777777" w:rsidR="00391789" w:rsidRDefault="00391789" w:rsidP="00F37D05">
      <w:pPr>
        <w:pStyle w:val="NormalWeb"/>
        <w:spacing w:before="0" w:beforeAutospacing="0" w:after="0" w:afterAutospacing="0" w:line="276" w:lineRule="auto"/>
        <w:jc w:val="both"/>
        <w:rPr>
          <w:rFonts w:ascii="Arial" w:hAnsi="Arial" w:cs="Arial"/>
          <w:color w:val="000000"/>
          <w:sz w:val="22"/>
          <w:szCs w:val="22"/>
          <w:lang w:val="es-ES" w:eastAsia="es-ES"/>
        </w:rPr>
      </w:pPr>
    </w:p>
    <w:p w14:paraId="7096B243" w14:textId="66E1BCC7" w:rsidR="00391789" w:rsidRPr="00FA4567" w:rsidRDefault="00391789" w:rsidP="00391789">
      <w:pPr>
        <w:jc w:val="both"/>
        <w:rPr>
          <w:rFonts w:ascii="Arial" w:eastAsia="Times New Roman" w:hAnsi="Arial" w:cs="Arial"/>
          <w:i/>
          <w:color w:val="000000"/>
          <w:lang w:val="es-ES" w:eastAsia="es-ES"/>
        </w:rPr>
      </w:pPr>
      <w:r w:rsidRPr="00FA4567">
        <w:rPr>
          <w:rFonts w:ascii="Arial" w:eastAsia="Times New Roman" w:hAnsi="Arial" w:cs="Arial"/>
          <w:i/>
          <w:color w:val="000000"/>
          <w:lang w:val="es-ES" w:eastAsia="es-ES"/>
        </w:rPr>
        <w:t>Tabla No 3. Responsabilidades del Patrocinador.</w:t>
      </w:r>
      <w:r w:rsidR="002731CD" w:rsidRPr="00FA4567">
        <w:rPr>
          <w:rFonts w:ascii="Arial" w:eastAsia="Times New Roman" w:hAnsi="Arial" w:cs="Arial"/>
          <w:i/>
          <w:color w:val="000000"/>
          <w:lang w:val="es-ES" w:eastAsia="es-ES"/>
        </w:rPr>
        <w:t xml:space="preserve"> (5</w:t>
      </w:r>
      <w:r w:rsidR="00B274FD" w:rsidRPr="00FA4567">
        <w:rPr>
          <w:rFonts w:ascii="Arial" w:eastAsia="Times New Roman" w:hAnsi="Arial" w:cs="Arial"/>
          <w:i/>
          <w:color w:val="000000"/>
          <w:lang w:val="es-ES" w:eastAsia="es-ES"/>
        </w:rPr>
        <w:t xml:space="preserve">) </w:t>
      </w:r>
    </w:p>
    <w:p w14:paraId="602B1A24" w14:textId="77777777" w:rsidR="00391789" w:rsidRDefault="00391789" w:rsidP="00F37D05">
      <w:pPr>
        <w:pStyle w:val="NormalWeb"/>
        <w:spacing w:before="0" w:beforeAutospacing="0" w:after="0" w:afterAutospacing="0" w:line="276" w:lineRule="auto"/>
        <w:jc w:val="both"/>
        <w:rPr>
          <w:rFonts w:ascii="Arial" w:hAnsi="Arial" w:cs="Arial"/>
          <w:color w:val="000000"/>
          <w:sz w:val="22"/>
          <w:szCs w:val="22"/>
          <w:lang w:val="es-ES" w:eastAsia="es-ES"/>
        </w:rPr>
      </w:pPr>
    </w:p>
    <w:tbl>
      <w:tblPr>
        <w:tblStyle w:val="Tablaconcuadrcula"/>
        <w:tblW w:w="0" w:type="auto"/>
        <w:tblLook w:val="04A0" w:firstRow="1" w:lastRow="0" w:firstColumn="1" w:lastColumn="0" w:noHBand="0" w:noVBand="1"/>
      </w:tblPr>
      <w:tblGrid>
        <w:gridCol w:w="9394"/>
      </w:tblGrid>
      <w:tr w:rsidR="003B16B7" w14:paraId="23A9E321" w14:textId="77777777" w:rsidTr="00391789">
        <w:tc>
          <w:tcPr>
            <w:tcW w:w="9394" w:type="dxa"/>
            <w:shd w:val="clear" w:color="auto" w:fill="8DB3E2" w:themeFill="text2" w:themeFillTint="66"/>
          </w:tcPr>
          <w:p w14:paraId="5C6ECDBA" w14:textId="77777777" w:rsidR="00391789" w:rsidRDefault="00391789" w:rsidP="003B16B7">
            <w:pPr>
              <w:pStyle w:val="NormalWeb"/>
              <w:spacing w:before="0" w:beforeAutospacing="0" w:after="0" w:afterAutospacing="0" w:line="276" w:lineRule="auto"/>
              <w:jc w:val="center"/>
              <w:rPr>
                <w:rFonts w:ascii="Arial" w:hAnsi="Arial" w:cs="Arial"/>
                <w:color w:val="000000"/>
                <w:sz w:val="22"/>
                <w:szCs w:val="22"/>
                <w:lang w:val="es-ES" w:eastAsia="es-ES"/>
              </w:rPr>
            </w:pPr>
          </w:p>
          <w:p w14:paraId="57C6F70A" w14:textId="77777777" w:rsidR="003B16B7" w:rsidRPr="00391789" w:rsidRDefault="003B16B7" w:rsidP="003B16B7">
            <w:pPr>
              <w:pStyle w:val="NormalWeb"/>
              <w:spacing w:before="0" w:beforeAutospacing="0" w:after="0" w:afterAutospacing="0" w:line="276" w:lineRule="auto"/>
              <w:jc w:val="center"/>
              <w:rPr>
                <w:rFonts w:ascii="Arial" w:hAnsi="Arial" w:cs="Arial"/>
                <w:b/>
                <w:color w:val="000000"/>
                <w:sz w:val="22"/>
                <w:szCs w:val="22"/>
                <w:lang w:val="es-ES" w:eastAsia="es-ES"/>
              </w:rPr>
            </w:pPr>
            <w:r w:rsidRPr="00391789">
              <w:rPr>
                <w:rFonts w:ascii="Arial" w:hAnsi="Arial" w:cs="Arial"/>
                <w:b/>
                <w:color w:val="000000"/>
                <w:sz w:val="22"/>
                <w:szCs w:val="22"/>
                <w:lang w:val="es-ES" w:eastAsia="es-ES"/>
              </w:rPr>
              <w:t>RESPONSABILIDADES DEL PATROCINADOR</w:t>
            </w:r>
          </w:p>
          <w:p w14:paraId="707A6CB9" w14:textId="21D732DC" w:rsidR="00391789" w:rsidRDefault="00391789" w:rsidP="003B16B7">
            <w:pPr>
              <w:pStyle w:val="NormalWeb"/>
              <w:spacing w:before="0" w:beforeAutospacing="0" w:after="0" w:afterAutospacing="0" w:line="276" w:lineRule="auto"/>
              <w:jc w:val="center"/>
              <w:rPr>
                <w:rFonts w:ascii="Arial" w:hAnsi="Arial" w:cs="Arial"/>
                <w:color w:val="000000"/>
                <w:sz w:val="22"/>
                <w:szCs w:val="22"/>
                <w:lang w:val="es-ES" w:eastAsia="es-ES"/>
              </w:rPr>
            </w:pPr>
          </w:p>
        </w:tc>
      </w:tr>
      <w:tr w:rsidR="003B16B7" w14:paraId="5D6C5FF2" w14:textId="77777777" w:rsidTr="003B16B7">
        <w:tc>
          <w:tcPr>
            <w:tcW w:w="9394" w:type="dxa"/>
          </w:tcPr>
          <w:p w14:paraId="2AD12388" w14:textId="48AF1D0B"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Protección y seguridad de los participantes (sistema de monitorización de seguridad, reporte de eventos adversos a nivel mundial)</w:t>
            </w:r>
            <w:r>
              <w:rPr>
                <w:rFonts w:ascii="Arial" w:hAnsi="Arial" w:cs="Arial"/>
                <w:color w:val="000000"/>
                <w:sz w:val="22"/>
                <w:szCs w:val="22"/>
                <w:lang w:val="es-ES" w:eastAsia="es-ES"/>
              </w:rPr>
              <w:t>.</w:t>
            </w:r>
          </w:p>
          <w:p w14:paraId="344CD5A0" w14:textId="00FA1A99"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Calidad y control de calidad durante la investigación (personal idóneo, procedimientos estandarizados, cumplimiento BPC, manejo de datos para asegurar confidencialidad)</w:t>
            </w:r>
            <w:r>
              <w:rPr>
                <w:rFonts w:ascii="Arial" w:hAnsi="Arial" w:cs="Arial"/>
                <w:color w:val="000000"/>
                <w:sz w:val="22"/>
                <w:szCs w:val="22"/>
                <w:lang w:val="es-ES" w:eastAsia="es-ES"/>
              </w:rPr>
              <w:t>.</w:t>
            </w:r>
            <w:r w:rsidRPr="00B22A9D">
              <w:rPr>
                <w:rFonts w:ascii="Arial" w:hAnsi="Arial" w:cs="Arial"/>
                <w:color w:val="000000"/>
                <w:sz w:val="22"/>
                <w:szCs w:val="22"/>
                <w:lang w:val="es-ES" w:eastAsia="es-ES"/>
              </w:rPr>
              <w:t xml:space="preserve"> </w:t>
            </w:r>
          </w:p>
          <w:p w14:paraId="02AC1DF7" w14:textId="15DB0CC4"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Acuerdos escritos con el investigador o institución</w:t>
            </w:r>
            <w:r>
              <w:rPr>
                <w:rFonts w:ascii="Arial" w:hAnsi="Arial" w:cs="Arial"/>
                <w:color w:val="000000"/>
                <w:sz w:val="22"/>
                <w:szCs w:val="22"/>
                <w:lang w:val="es-ES" w:eastAsia="es-ES"/>
              </w:rPr>
              <w:t>.</w:t>
            </w:r>
          </w:p>
          <w:p w14:paraId="2006411C" w14:textId="77777777"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Aprobaciones por parte de Invima.</w:t>
            </w:r>
          </w:p>
          <w:p w14:paraId="2AFC8161" w14:textId="77777777"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lastRenderedPageBreak/>
              <w:t>Control y distribución del producto de investigación.</w:t>
            </w:r>
          </w:p>
          <w:p w14:paraId="33FC252E" w14:textId="0FFEE357"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Asegurarse que el personal del estudio conoce el producto en investigación.</w:t>
            </w:r>
          </w:p>
          <w:p w14:paraId="6B2B1F5D" w14:textId="77777777"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Disponibilidad de datos de seguridad y eficacia de estudios preclínicos y clínicos previos. </w:t>
            </w:r>
          </w:p>
          <w:p w14:paraId="705F21D4" w14:textId="40643E02"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Presupuesto del estudio</w:t>
            </w:r>
            <w:r>
              <w:rPr>
                <w:rFonts w:ascii="Arial" w:hAnsi="Arial" w:cs="Arial"/>
                <w:color w:val="000000"/>
                <w:sz w:val="22"/>
                <w:szCs w:val="22"/>
                <w:lang w:val="es-ES" w:eastAsia="es-ES"/>
              </w:rPr>
              <w:t>.</w:t>
            </w:r>
            <w:r w:rsidRPr="00B22A9D">
              <w:rPr>
                <w:rFonts w:ascii="Arial" w:hAnsi="Arial" w:cs="Arial"/>
                <w:color w:val="000000"/>
                <w:sz w:val="22"/>
                <w:szCs w:val="22"/>
                <w:lang w:val="es-ES" w:eastAsia="es-ES"/>
              </w:rPr>
              <w:t xml:space="preserve">  </w:t>
            </w:r>
          </w:p>
          <w:p w14:paraId="0CA1A35A" w14:textId="60ABBA2A"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Confidencialidad de los participantes</w:t>
            </w:r>
            <w:r>
              <w:rPr>
                <w:rFonts w:ascii="Arial" w:hAnsi="Arial" w:cs="Arial"/>
                <w:color w:val="000000"/>
                <w:sz w:val="22"/>
                <w:szCs w:val="22"/>
                <w:lang w:val="es-ES" w:eastAsia="es-ES"/>
              </w:rPr>
              <w:t>.</w:t>
            </w:r>
          </w:p>
          <w:p w14:paraId="30046560" w14:textId="3F229AD0"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Condiciones adecuadas para archivar documentos por lo menos por 2 años.</w:t>
            </w:r>
          </w:p>
          <w:p w14:paraId="33B1D7C3" w14:textId="2D99F42E" w:rsidR="003B16B7" w:rsidRPr="00B22A9D" w:rsidRDefault="003B16B7" w:rsidP="00187AB0">
            <w:pPr>
              <w:pStyle w:val="NormalWeb"/>
              <w:numPr>
                <w:ilvl w:val="0"/>
                <w:numId w:val="13"/>
              </w:numPr>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Sistema de monitoreo continuo de los protocolos, reporte de hallazgos por escrito</w:t>
            </w:r>
            <w:r>
              <w:rPr>
                <w:rFonts w:ascii="Arial" w:hAnsi="Arial" w:cs="Arial"/>
                <w:color w:val="000000"/>
                <w:sz w:val="22"/>
                <w:szCs w:val="22"/>
                <w:lang w:val="es-ES" w:eastAsia="es-ES"/>
              </w:rPr>
              <w:t>.</w:t>
            </w:r>
          </w:p>
          <w:p w14:paraId="477B39FC" w14:textId="77777777" w:rsidR="003B16B7" w:rsidRDefault="003B16B7" w:rsidP="00F37D05">
            <w:pPr>
              <w:pStyle w:val="NormalWeb"/>
              <w:spacing w:before="0" w:beforeAutospacing="0" w:after="0" w:afterAutospacing="0" w:line="276" w:lineRule="auto"/>
              <w:jc w:val="both"/>
              <w:rPr>
                <w:rFonts w:ascii="Arial" w:hAnsi="Arial" w:cs="Arial"/>
                <w:color w:val="000000"/>
                <w:sz w:val="22"/>
                <w:szCs w:val="22"/>
                <w:lang w:val="es-ES" w:eastAsia="es-ES"/>
              </w:rPr>
            </w:pPr>
          </w:p>
        </w:tc>
      </w:tr>
    </w:tbl>
    <w:p w14:paraId="22F82DD1" w14:textId="77777777" w:rsidR="003B16B7" w:rsidRPr="00B22A9D" w:rsidRDefault="003B16B7" w:rsidP="00F37D05">
      <w:pPr>
        <w:pStyle w:val="NormalWeb"/>
        <w:spacing w:before="0" w:beforeAutospacing="0" w:after="0" w:afterAutospacing="0" w:line="276" w:lineRule="auto"/>
        <w:jc w:val="both"/>
        <w:rPr>
          <w:rFonts w:ascii="Arial" w:hAnsi="Arial" w:cs="Arial"/>
          <w:color w:val="000000"/>
          <w:sz w:val="22"/>
          <w:szCs w:val="22"/>
          <w:lang w:val="es-ES" w:eastAsia="es-ES"/>
        </w:rPr>
      </w:pPr>
    </w:p>
    <w:p w14:paraId="36A58032" w14:textId="77777777" w:rsidR="00F37D05" w:rsidRPr="00B22A9D" w:rsidRDefault="00F37D05" w:rsidP="00F37D05">
      <w:pPr>
        <w:pStyle w:val="NormalWeb"/>
        <w:spacing w:before="0" w:beforeAutospacing="0" w:after="0" w:afterAutospacing="0" w:line="276" w:lineRule="auto"/>
        <w:jc w:val="both"/>
        <w:rPr>
          <w:rFonts w:ascii="Arial" w:hAnsi="Arial" w:cs="Arial"/>
          <w:color w:val="000000"/>
          <w:sz w:val="22"/>
          <w:szCs w:val="22"/>
          <w:lang w:val="es-ES" w:eastAsia="es-ES"/>
        </w:rPr>
      </w:pPr>
    </w:p>
    <w:p w14:paraId="52500C8D" w14:textId="77777777" w:rsidR="00F37D05" w:rsidRPr="00B22A9D" w:rsidRDefault="00F37D05" w:rsidP="00F37D05">
      <w:pPr>
        <w:pStyle w:val="NormalWeb"/>
        <w:spacing w:before="0" w:beforeAutospacing="0" w:after="0" w:afterAutospacing="0" w:line="276" w:lineRule="auto"/>
        <w:jc w:val="both"/>
        <w:rPr>
          <w:rFonts w:ascii="Arial" w:hAnsi="Arial" w:cs="Arial"/>
          <w:color w:val="000000"/>
          <w:sz w:val="22"/>
          <w:szCs w:val="22"/>
          <w:lang w:val="es-ES" w:eastAsia="es-ES"/>
        </w:rPr>
      </w:pPr>
    </w:p>
    <w:p w14:paraId="55F0BD17" w14:textId="3067BF08" w:rsidR="00F37D05" w:rsidRDefault="00F445CF" w:rsidP="00F445CF">
      <w:pPr>
        <w:pStyle w:val="NormalWeb"/>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Otro actor fundamental es el Comité de É</w:t>
      </w:r>
      <w:r w:rsidRPr="00B22A9D">
        <w:rPr>
          <w:rFonts w:ascii="Arial" w:hAnsi="Arial" w:cs="Arial"/>
          <w:color w:val="000000"/>
          <w:sz w:val="22"/>
          <w:szCs w:val="22"/>
          <w:lang w:val="es-ES" w:eastAsia="es-ES"/>
        </w:rPr>
        <w:t>tica</w:t>
      </w:r>
      <w:r>
        <w:rPr>
          <w:rFonts w:ascii="Arial" w:hAnsi="Arial" w:cs="Arial"/>
          <w:color w:val="000000"/>
          <w:sz w:val="22"/>
          <w:szCs w:val="22"/>
          <w:lang w:val="es-ES" w:eastAsia="es-ES"/>
        </w:rPr>
        <w:t xml:space="preserve"> </w:t>
      </w:r>
      <w:r w:rsidR="00F37D05" w:rsidRPr="00B22A9D">
        <w:rPr>
          <w:rFonts w:ascii="Arial" w:hAnsi="Arial" w:cs="Arial"/>
          <w:color w:val="000000"/>
          <w:sz w:val="22"/>
          <w:szCs w:val="22"/>
          <w:lang w:val="es-ES" w:eastAsia="es-ES"/>
        </w:rPr>
        <w:t xml:space="preserve">en Investigación Clínica </w:t>
      </w:r>
      <w:r>
        <w:rPr>
          <w:rFonts w:ascii="Arial" w:hAnsi="Arial" w:cs="Arial"/>
          <w:color w:val="000000"/>
          <w:sz w:val="22"/>
          <w:szCs w:val="22"/>
          <w:lang w:val="es-ES" w:eastAsia="es-ES"/>
        </w:rPr>
        <w:t>(CEI), el cual es una o</w:t>
      </w:r>
      <w:r w:rsidR="00F37D05" w:rsidRPr="00B22A9D">
        <w:rPr>
          <w:rFonts w:ascii="Arial" w:hAnsi="Arial" w:cs="Arial"/>
          <w:color w:val="000000"/>
          <w:sz w:val="22"/>
          <w:szCs w:val="22"/>
          <w:lang w:val="es-ES" w:eastAsia="es-ES"/>
        </w:rPr>
        <w:t xml:space="preserve">rganización independiente integrada por miembros médicos, científicos y no científicos cuya responsabilidad es garantizar la protección de los derechos, seguridad y bienestar de los seres humanos involucrados en un estudio </w:t>
      </w:r>
      <w:r>
        <w:rPr>
          <w:rFonts w:ascii="Arial" w:hAnsi="Arial" w:cs="Arial"/>
          <w:color w:val="000000"/>
          <w:sz w:val="22"/>
          <w:szCs w:val="22"/>
          <w:lang w:val="es-ES" w:eastAsia="es-ES"/>
        </w:rPr>
        <w:t xml:space="preserve">por medio de, la </w:t>
      </w:r>
      <w:r w:rsidR="00F37D05" w:rsidRPr="00B22A9D">
        <w:rPr>
          <w:rFonts w:ascii="Arial" w:hAnsi="Arial" w:cs="Arial"/>
          <w:color w:val="000000"/>
          <w:sz w:val="22"/>
          <w:szCs w:val="22"/>
          <w:lang w:val="es-ES" w:eastAsia="es-ES"/>
        </w:rPr>
        <w:t xml:space="preserve">aprobación y revisión constante del proyecto de estudio y </w:t>
      </w:r>
      <w:r>
        <w:rPr>
          <w:rFonts w:ascii="Arial" w:hAnsi="Arial" w:cs="Arial"/>
          <w:color w:val="000000"/>
          <w:sz w:val="22"/>
          <w:szCs w:val="22"/>
          <w:lang w:val="es-ES" w:eastAsia="es-ES"/>
        </w:rPr>
        <w:t xml:space="preserve">enmiendas de la documentación, </w:t>
      </w:r>
      <w:r w:rsidR="00F37D05" w:rsidRPr="00B22A9D">
        <w:rPr>
          <w:rFonts w:ascii="Arial" w:hAnsi="Arial" w:cs="Arial"/>
          <w:color w:val="000000"/>
          <w:sz w:val="22"/>
          <w:szCs w:val="22"/>
          <w:lang w:val="es-ES" w:eastAsia="es-ES"/>
        </w:rPr>
        <w:t>el consentimiento infor</w:t>
      </w:r>
      <w:r>
        <w:rPr>
          <w:rFonts w:ascii="Arial" w:hAnsi="Arial" w:cs="Arial"/>
          <w:color w:val="000000"/>
          <w:sz w:val="22"/>
          <w:szCs w:val="22"/>
          <w:lang w:val="es-ES" w:eastAsia="es-ES"/>
        </w:rPr>
        <w:t>mado de los sujetos del estudio y demás documentos de soporte.</w:t>
      </w:r>
    </w:p>
    <w:p w14:paraId="17186DE0" w14:textId="77777777" w:rsidR="00F445CF" w:rsidRDefault="00F445CF" w:rsidP="00F445CF">
      <w:pPr>
        <w:pStyle w:val="NormalWeb"/>
        <w:spacing w:before="0" w:beforeAutospacing="0" w:after="0" w:afterAutospacing="0" w:line="276" w:lineRule="auto"/>
        <w:jc w:val="both"/>
        <w:rPr>
          <w:rFonts w:ascii="Arial" w:hAnsi="Arial" w:cs="Arial"/>
          <w:color w:val="000000"/>
          <w:sz w:val="22"/>
          <w:szCs w:val="22"/>
          <w:lang w:val="es-ES" w:eastAsia="es-ES"/>
        </w:rPr>
      </w:pPr>
    </w:p>
    <w:p w14:paraId="7A76B1D5" w14:textId="05355E0A" w:rsidR="00F445CF" w:rsidRPr="00B22A9D" w:rsidRDefault="00F445CF" w:rsidP="00F445CF">
      <w:pPr>
        <w:pStyle w:val="NormalWeb"/>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A continuación, se mencionarán algunos puntos clave de los CEI.</w:t>
      </w:r>
    </w:p>
    <w:p w14:paraId="0F92F247" w14:textId="1CEDCD44" w:rsidR="00F37D05" w:rsidRPr="00B22A9D" w:rsidRDefault="00F37D05" w:rsidP="00F37D05">
      <w:pPr>
        <w:pStyle w:val="NormalWeb"/>
        <w:spacing w:after="0" w:afterAutospacing="0" w:line="276" w:lineRule="auto"/>
        <w:jc w:val="both"/>
        <w:rPr>
          <w:rFonts w:ascii="Arial" w:hAnsi="Arial" w:cs="Arial"/>
          <w:color w:val="000000"/>
          <w:sz w:val="22"/>
          <w:szCs w:val="22"/>
          <w:lang w:val="es-ES" w:eastAsia="es-ES"/>
        </w:rPr>
      </w:pPr>
      <w:r w:rsidRPr="00F445CF">
        <w:rPr>
          <w:rFonts w:ascii="Arial" w:hAnsi="Arial" w:cs="Arial"/>
          <w:b/>
          <w:color w:val="000000"/>
          <w:sz w:val="22"/>
          <w:szCs w:val="22"/>
          <w:lang w:val="es-ES" w:eastAsia="es-ES"/>
        </w:rPr>
        <w:t>Responsabilidades:</w:t>
      </w:r>
      <w:r w:rsidR="00F445CF">
        <w:rPr>
          <w:rFonts w:ascii="Arial" w:hAnsi="Arial" w:cs="Arial"/>
          <w:color w:val="000000"/>
          <w:sz w:val="22"/>
          <w:szCs w:val="22"/>
          <w:lang w:val="es-ES" w:eastAsia="es-ES"/>
        </w:rPr>
        <w:t xml:space="preserve"> s</w:t>
      </w:r>
      <w:r w:rsidRPr="00B22A9D">
        <w:rPr>
          <w:rFonts w:ascii="Arial" w:hAnsi="Arial" w:cs="Arial"/>
          <w:color w:val="000000"/>
          <w:sz w:val="22"/>
          <w:szCs w:val="22"/>
          <w:lang w:val="es-ES" w:eastAsia="es-ES"/>
        </w:rPr>
        <w:t xml:space="preserve">alvaguardar los derechos de los participantes de la investigación, evaluar y aprobar o no antes del inicio las investigaciones propuestas, obtener y mantener la documentación requerida da cada estudio, evaluar la competencia de los investigadores, evaluación periódica del desarrollo de los estudios clínicos. </w:t>
      </w:r>
    </w:p>
    <w:p w14:paraId="169CAB6C" w14:textId="77777777" w:rsidR="00F445CF" w:rsidRDefault="00F37D05" w:rsidP="00F37D05">
      <w:pPr>
        <w:pStyle w:val="NormalWeb"/>
        <w:spacing w:after="0" w:afterAutospacing="0" w:line="276" w:lineRule="auto"/>
        <w:jc w:val="both"/>
        <w:rPr>
          <w:rFonts w:ascii="Arial" w:hAnsi="Arial" w:cs="Arial"/>
          <w:color w:val="000000"/>
          <w:sz w:val="22"/>
          <w:szCs w:val="22"/>
          <w:lang w:val="es-ES" w:eastAsia="es-ES"/>
        </w:rPr>
      </w:pPr>
      <w:r w:rsidRPr="00F445CF">
        <w:rPr>
          <w:rFonts w:ascii="Arial" w:hAnsi="Arial" w:cs="Arial"/>
          <w:b/>
          <w:color w:val="000000"/>
          <w:sz w:val="22"/>
          <w:szCs w:val="22"/>
          <w:lang w:val="es-ES" w:eastAsia="es-ES"/>
        </w:rPr>
        <w:t>Composición:</w:t>
      </w:r>
      <w:r w:rsidRPr="00B22A9D">
        <w:rPr>
          <w:rFonts w:ascii="Arial" w:hAnsi="Arial" w:cs="Arial"/>
          <w:color w:val="000000"/>
          <w:sz w:val="22"/>
          <w:szCs w:val="22"/>
          <w:lang w:val="es-ES" w:eastAsia="es-ES"/>
        </w:rPr>
        <w:t xml:space="preserve"> al menos 5 miembros, balance de sexo y edad, multidisciplinario, al menos 1 miembro no científico, al menos un médico, un miembro independiente de la institución. Se sigue la norma en lo que hace referencia a la</w:t>
      </w:r>
      <w:r w:rsidR="00F445CF">
        <w:rPr>
          <w:rFonts w:ascii="Arial" w:hAnsi="Arial" w:cs="Arial"/>
          <w:color w:val="000000"/>
          <w:sz w:val="22"/>
          <w:szCs w:val="22"/>
          <w:lang w:val="es-ES" w:eastAsia="es-ES"/>
        </w:rPr>
        <w:t xml:space="preserve"> participación de consultores. </w:t>
      </w:r>
    </w:p>
    <w:p w14:paraId="3E95F33D" w14:textId="77777777" w:rsidR="00F445CF" w:rsidRDefault="00F445CF" w:rsidP="00F37D05">
      <w:pPr>
        <w:pStyle w:val="NormalWeb"/>
        <w:spacing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Deben estar e</w:t>
      </w:r>
      <w:r w:rsidR="00F37D05" w:rsidRPr="00B22A9D">
        <w:rPr>
          <w:rFonts w:ascii="Arial" w:hAnsi="Arial" w:cs="Arial"/>
          <w:color w:val="000000"/>
          <w:sz w:val="22"/>
          <w:szCs w:val="22"/>
          <w:lang w:val="es-ES" w:eastAsia="es-ES"/>
        </w:rPr>
        <w:t xml:space="preserve">xplícitos los requisitos y procesos para selección de miembros (quienes seleccionan, procedimiento utilizado, evaluación de posibles conflictos de interés, inhabilidades).  Condiciones de nombramiento de los miembros del comité (aceptación para hacer publica alguna parte de su información personal, información referente a pagos y reembolsos recibidos por su trabajo como miembros del comité, acuerdo de confidencialidad por escrito). </w:t>
      </w:r>
    </w:p>
    <w:p w14:paraId="136535E2" w14:textId="1369029D" w:rsidR="00F37D05" w:rsidRPr="00B22A9D" w:rsidRDefault="00F37D05" w:rsidP="00F37D05">
      <w:pPr>
        <w:pStyle w:val="NormalWeb"/>
        <w:spacing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Términos de la membresía (duración, renovación, descalificación, renuncia, sustitución, nombre del cargo, responsabilidades de acuerdo al cargo), requisitos sobre quórum, especificaciones claras sobre la participación de consultores, entrenamiento y capacitación de los miembros del comité. </w:t>
      </w:r>
    </w:p>
    <w:p w14:paraId="4C45CFFE" w14:textId="68679948" w:rsidR="00F445CF" w:rsidRDefault="00F37D05" w:rsidP="00F37D05">
      <w:pPr>
        <w:pStyle w:val="NormalWeb"/>
        <w:spacing w:after="0" w:afterAutospacing="0" w:line="276" w:lineRule="auto"/>
        <w:jc w:val="both"/>
        <w:rPr>
          <w:rFonts w:ascii="Arial" w:hAnsi="Arial" w:cs="Arial"/>
          <w:color w:val="000000"/>
          <w:sz w:val="22"/>
          <w:szCs w:val="22"/>
          <w:lang w:val="es-ES" w:eastAsia="es-ES"/>
        </w:rPr>
      </w:pPr>
      <w:r w:rsidRPr="00F445CF">
        <w:rPr>
          <w:rFonts w:ascii="Arial" w:hAnsi="Arial" w:cs="Arial"/>
          <w:b/>
          <w:color w:val="000000"/>
          <w:sz w:val="22"/>
          <w:szCs w:val="22"/>
          <w:lang w:val="es-ES" w:eastAsia="es-ES"/>
        </w:rPr>
        <w:t>Procedimientos del CEI:</w:t>
      </w:r>
      <w:r w:rsidR="00F445CF">
        <w:rPr>
          <w:rFonts w:ascii="Arial" w:hAnsi="Arial" w:cs="Arial"/>
          <w:color w:val="000000"/>
          <w:sz w:val="22"/>
          <w:szCs w:val="22"/>
          <w:lang w:val="es-ES" w:eastAsia="es-ES"/>
        </w:rPr>
        <w:t xml:space="preserve"> en los cuales deben estar explícitos los siguientes aspectos:</w:t>
      </w:r>
    </w:p>
    <w:p w14:paraId="0E0E1F31" w14:textId="77777777" w:rsidR="00F445CF" w:rsidRDefault="00F445CF" w:rsidP="00187AB0">
      <w:pPr>
        <w:pStyle w:val="NormalWeb"/>
        <w:numPr>
          <w:ilvl w:val="0"/>
          <w:numId w:val="14"/>
        </w:numPr>
        <w:spacing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lastRenderedPageBreak/>
        <w:t>A</w:t>
      </w:r>
      <w:r w:rsidR="00F37D05" w:rsidRPr="00B22A9D">
        <w:rPr>
          <w:rFonts w:ascii="Arial" w:hAnsi="Arial" w:cs="Arial"/>
          <w:color w:val="000000"/>
          <w:sz w:val="22"/>
          <w:szCs w:val="22"/>
          <w:lang w:val="es-ES" w:eastAsia="es-ES"/>
        </w:rPr>
        <w:t xml:space="preserve">utoridad bajo la cual está </w:t>
      </w:r>
      <w:r w:rsidRPr="00B22A9D">
        <w:rPr>
          <w:rFonts w:ascii="Arial" w:hAnsi="Arial" w:cs="Arial"/>
          <w:color w:val="000000"/>
          <w:sz w:val="22"/>
          <w:szCs w:val="22"/>
          <w:lang w:val="es-ES" w:eastAsia="es-ES"/>
        </w:rPr>
        <w:t>establecido, tipo</w:t>
      </w:r>
      <w:r w:rsidR="00F37D05" w:rsidRPr="00B22A9D">
        <w:rPr>
          <w:rFonts w:ascii="Arial" w:hAnsi="Arial" w:cs="Arial"/>
          <w:color w:val="000000"/>
          <w:sz w:val="22"/>
          <w:szCs w:val="22"/>
          <w:lang w:val="es-ES" w:eastAsia="es-ES"/>
        </w:rPr>
        <w:t xml:space="preserve"> de subordinación, metodología de evaluación de propuestas, requisitos para la toma de decisiones. </w:t>
      </w:r>
    </w:p>
    <w:p w14:paraId="01B2FA34" w14:textId="77777777" w:rsidR="00F445CF" w:rsidRDefault="00F37D05" w:rsidP="00187AB0">
      <w:pPr>
        <w:pStyle w:val="NormalWeb"/>
        <w:numPr>
          <w:ilvl w:val="0"/>
          <w:numId w:val="14"/>
        </w:numPr>
        <w:spacing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Requisitos y mecanismos para realizar aprobación expedita/extraordinaria, documentos que deben presentar los investigadores para la evaluación de una propuesta de investigación, el comité debe definir por escrito los aspectos que va a considerar en la evaluación de protocolo de investigación. </w:t>
      </w:r>
    </w:p>
    <w:p w14:paraId="7AAC5412" w14:textId="77777777" w:rsidR="00F445CF" w:rsidRDefault="00F37D05" w:rsidP="00187AB0">
      <w:pPr>
        <w:pStyle w:val="NormalWeb"/>
        <w:numPr>
          <w:ilvl w:val="0"/>
          <w:numId w:val="14"/>
        </w:numPr>
        <w:spacing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Notificar por escrito al investigador de las decisiones tomadas. Asegurar el éxito de las sesiones. Procedimientos para seguir el progreso de los estudios desde la aprobación hasta la terminación. </w:t>
      </w:r>
    </w:p>
    <w:p w14:paraId="2CD0D966" w14:textId="4A35528A" w:rsidR="00F37D05" w:rsidRPr="00B22A9D" w:rsidRDefault="00F37D05" w:rsidP="00187AB0">
      <w:pPr>
        <w:pStyle w:val="NormalWeb"/>
        <w:numPr>
          <w:ilvl w:val="0"/>
          <w:numId w:val="14"/>
        </w:numPr>
        <w:spacing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Establecer procedimientos para evitar el reclutamiento de sujetos antes de aprobar el estudio, implementación de enmiendas sin previo aviso, incumplimiento con los informes, asegurar la notificación de desviaciones, eventos adversos o reacciones, nueva información que pueda afectar la seguridad de los sujetos o la conducción del estudio. Informar las sanciones a que haya a lugar en caso de incumplimiento. Tener tablas e retención documental. </w:t>
      </w:r>
    </w:p>
    <w:p w14:paraId="1DFA7CA6" w14:textId="77777777" w:rsidR="003F6A2A" w:rsidRPr="00B22A9D" w:rsidRDefault="003F6A2A" w:rsidP="003F6A2A">
      <w:pPr>
        <w:pStyle w:val="Prrafodelista"/>
        <w:jc w:val="both"/>
        <w:rPr>
          <w:rFonts w:ascii="Arial" w:eastAsia="Times New Roman" w:hAnsi="Arial" w:cs="Arial"/>
          <w:color w:val="000000"/>
          <w:lang w:val="es-ES" w:eastAsia="es-ES"/>
        </w:rPr>
      </w:pPr>
    </w:p>
    <w:p w14:paraId="7D0A093F" w14:textId="64F12734" w:rsidR="00203975" w:rsidRDefault="00FD715D" w:rsidP="00187AB0">
      <w:pPr>
        <w:pStyle w:val="NormalWeb"/>
        <w:numPr>
          <w:ilvl w:val="1"/>
          <w:numId w:val="9"/>
        </w:numPr>
        <w:spacing w:before="0" w:beforeAutospacing="0" w:after="0" w:afterAutospacing="0" w:line="276" w:lineRule="auto"/>
        <w:jc w:val="both"/>
        <w:rPr>
          <w:rFonts w:ascii="Arial" w:hAnsi="Arial" w:cs="Arial"/>
          <w:b/>
          <w:color w:val="000000"/>
          <w:sz w:val="22"/>
          <w:szCs w:val="22"/>
          <w:lang w:val="es-ES" w:eastAsia="es-ES"/>
        </w:rPr>
      </w:pPr>
      <w:hyperlink r:id="rId15" w:tgtFrame="_blank" w:tooltip="Resolución 2011020764" w:history="1">
        <w:r w:rsidR="00835839" w:rsidRPr="00835839">
          <w:rPr>
            <w:rFonts w:ascii="Arial" w:hAnsi="Arial" w:cs="Arial"/>
            <w:b/>
            <w:color w:val="000000"/>
            <w:sz w:val="22"/>
            <w:szCs w:val="22"/>
            <w:lang w:val="es-ES" w:eastAsia="es-ES"/>
          </w:rPr>
          <w:t>Resolución 2011020764 de 2011</w:t>
        </w:r>
      </w:hyperlink>
      <w:r w:rsidR="00835839" w:rsidRPr="00835839">
        <w:rPr>
          <w:rFonts w:ascii="Arial" w:hAnsi="Arial" w:cs="Arial"/>
          <w:b/>
          <w:color w:val="000000"/>
          <w:sz w:val="22"/>
          <w:szCs w:val="22"/>
          <w:lang w:val="es-ES" w:eastAsia="es-ES"/>
        </w:rPr>
        <w:t>.</w:t>
      </w:r>
      <w:r w:rsidR="00C21FBF">
        <w:rPr>
          <w:rFonts w:ascii="Arial" w:hAnsi="Arial" w:cs="Arial"/>
          <w:b/>
          <w:color w:val="000000"/>
          <w:sz w:val="22"/>
          <w:szCs w:val="22"/>
          <w:lang w:val="es-ES" w:eastAsia="es-ES"/>
        </w:rPr>
        <w:t xml:space="preserve"> (10</w:t>
      </w:r>
      <w:r w:rsidR="00835839">
        <w:rPr>
          <w:rFonts w:ascii="Arial" w:hAnsi="Arial" w:cs="Arial"/>
          <w:b/>
          <w:color w:val="000000"/>
          <w:sz w:val="22"/>
          <w:szCs w:val="22"/>
          <w:lang w:val="es-ES" w:eastAsia="es-ES"/>
        </w:rPr>
        <w:t>)</w:t>
      </w:r>
    </w:p>
    <w:p w14:paraId="4AB9548C" w14:textId="42ED4D9C" w:rsidR="00835839" w:rsidRDefault="00835839" w:rsidP="00835839">
      <w:pPr>
        <w:pStyle w:val="NormalWeb"/>
        <w:spacing w:before="0" w:beforeAutospacing="0" w:after="0" w:afterAutospacing="0" w:line="276" w:lineRule="auto"/>
        <w:jc w:val="both"/>
        <w:rPr>
          <w:rFonts w:ascii="Arial" w:hAnsi="Arial" w:cs="Arial"/>
          <w:b/>
          <w:color w:val="000000"/>
          <w:sz w:val="22"/>
          <w:szCs w:val="22"/>
          <w:lang w:val="es-ES" w:eastAsia="es-ES"/>
        </w:rPr>
      </w:pPr>
    </w:p>
    <w:p w14:paraId="24C72FD7" w14:textId="4881E748" w:rsidR="00835839" w:rsidRDefault="00835839" w:rsidP="00835839">
      <w:pPr>
        <w:pStyle w:val="NormalWeb"/>
        <w:spacing w:before="0" w:beforeAutospacing="0" w:after="0" w:afterAutospacing="0" w:line="276" w:lineRule="auto"/>
        <w:jc w:val="both"/>
        <w:rPr>
          <w:rFonts w:ascii="Arial" w:hAnsi="Arial" w:cs="Arial"/>
          <w:color w:val="000000"/>
          <w:sz w:val="22"/>
          <w:szCs w:val="22"/>
          <w:lang w:val="es-ES" w:eastAsia="es-ES"/>
        </w:rPr>
      </w:pPr>
      <w:r w:rsidRPr="00835839">
        <w:rPr>
          <w:rFonts w:ascii="Arial" w:hAnsi="Arial" w:cs="Arial"/>
          <w:color w:val="000000"/>
          <w:sz w:val="22"/>
          <w:szCs w:val="22"/>
          <w:lang w:val="es-ES" w:eastAsia="es-ES"/>
        </w:rPr>
        <w:t>Por la cual se establece el reglamento relativo al contenido y periodicidad de los reportes de eventos adversos en la fase de investigación clínica con medicamentos en humanos, de que trata el artículo 146 del Decreto 677 de 1995.</w:t>
      </w:r>
    </w:p>
    <w:p w14:paraId="3A9298A9" w14:textId="24F76DA1" w:rsidR="00835839" w:rsidRDefault="00835839" w:rsidP="00835839">
      <w:pPr>
        <w:pStyle w:val="NormalWeb"/>
        <w:spacing w:before="0" w:beforeAutospacing="0" w:after="0" w:afterAutospacing="0" w:line="276" w:lineRule="auto"/>
        <w:jc w:val="both"/>
        <w:rPr>
          <w:rFonts w:ascii="Arial" w:hAnsi="Arial" w:cs="Arial"/>
          <w:color w:val="000000"/>
          <w:sz w:val="22"/>
          <w:szCs w:val="22"/>
          <w:lang w:val="es-ES" w:eastAsia="es-ES"/>
        </w:rPr>
      </w:pPr>
    </w:p>
    <w:p w14:paraId="433571FC" w14:textId="056D5C76" w:rsidR="00835839" w:rsidRDefault="00835839" w:rsidP="00835839">
      <w:pPr>
        <w:pStyle w:val="NormalWeb"/>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Con respecto a los eventos adversos, es importante tener en cuenta algunas definiciones:</w:t>
      </w:r>
    </w:p>
    <w:p w14:paraId="4F80D456" w14:textId="1C5ECD4C" w:rsidR="00835839" w:rsidRDefault="00835839" w:rsidP="00835839">
      <w:pPr>
        <w:pStyle w:val="NormalWeb"/>
        <w:spacing w:before="0" w:beforeAutospacing="0" w:after="0" w:afterAutospacing="0" w:line="276" w:lineRule="auto"/>
        <w:jc w:val="both"/>
        <w:rPr>
          <w:rFonts w:ascii="Arial" w:hAnsi="Arial" w:cs="Arial"/>
          <w:color w:val="000000"/>
          <w:sz w:val="22"/>
          <w:szCs w:val="22"/>
          <w:lang w:val="es-ES" w:eastAsia="es-ES"/>
        </w:rPr>
      </w:pPr>
    </w:p>
    <w:p w14:paraId="7BF69F38" w14:textId="2CF3BF16" w:rsidR="00835839" w:rsidRDefault="00835839" w:rsidP="00187AB0">
      <w:pPr>
        <w:pStyle w:val="NormalWeb"/>
        <w:numPr>
          <w:ilvl w:val="0"/>
          <w:numId w:val="15"/>
        </w:numPr>
        <w:spacing w:before="0" w:beforeAutospacing="0" w:after="0" w:afterAutospacing="0" w:line="276" w:lineRule="auto"/>
        <w:jc w:val="both"/>
        <w:rPr>
          <w:rFonts w:ascii="Arial" w:hAnsi="Arial" w:cs="Arial"/>
          <w:color w:val="000000"/>
          <w:sz w:val="22"/>
          <w:szCs w:val="22"/>
          <w:lang w:val="es-ES" w:eastAsia="es-ES"/>
        </w:rPr>
      </w:pPr>
      <w:r w:rsidRPr="00020C71">
        <w:rPr>
          <w:rFonts w:ascii="Arial" w:hAnsi="Arial" w:cs="Arial"/>
          <w:b/>
          <w:color w:val="000000"/>
          <w:sz w:val="22"/>
          <w:szCs w:val="22"/>
          <w:lang w:val="es-ES" w:eastAsia="es-ES"/>
        </w:rPr>
        <w:t>Evento Adverso (EA):</w:t>
      </w:r>
      <w:r>
        <w:rPr>
          <w:rFonts w:ascii="Arial" w:hAnsi="Arial" w:cs="Arial"/>
          <w:color w:val="000000"/>
          <w:sz w:val="22"/>
          <w:szCs w:val="22"/>
          <w:lang w:val="es-ES" w:eastAsia="es-ES"/>
        </w:rPr>
        <w:t xml:space="preserve"> cualquier ocurrencia médica adversa en un paciente o sujeto de una investigación clínica a quien se le administró un producto farmacéutico y que no necesariamente tiene una relación causal con este tratamiento. Según lo anterior, un EA puede ser cualquier signo desfavorable y no intencionado (incluyendo un hallazgo anormal de laboratorio), síntoma o enferme</w:t>
      </w:r>
      <w:r w:rsidR="00020C71">
        <w:rPr>
          <w:rFonts w:ascii="Arial" w:hAnsi="Arial" w:cs="Arial"/>
          <w:color w:val="000000"/>
          <w:sz w:val="22"/>
          <w:szCs w:val="22"/>
          <w:lang w:val="es-ES" w:eastAsia="es-ES"/>
        </w:rPr>
        <w:t>dad asociada</w:t>
      </w:r>
      <w:r>
        <w:rPr>
          <w:rFonts w:ascii="Arial" w:hAnsi="Arial" w:cs="Arial"/>
          <w:color w:val="000000"/>
          <w:sz w:val="22"/>
          <w:szCs w:val="22"/>
          <w:lang w:val="es-ES" w:eastAsia="es-ES"/>
        </w:rPr>
        <w:t xml:space="preserve"> temporalmente con el uso de un producto medicinal (en investigación), esté o no relacionado con este.</w:t>
      </w:r>
    </w:p>
    <w:p w14:paraId="1DF66F0F" w14:textId="2A801E03" w:rsidR="00020C71" w:rsidRDefault="00020C71" w:rsidP="00187AB0">
      <w:pPr>
        <w:pStyle w:val="NormalWeb"/>
        <w:numPr>
          <w:ilvl w:val="0"/>
          <w:numId w:val="15"/>
        </w:numPr>
        <w:spacing w:before="0" w:beforeAutospacing="0" w:after="0" w:afterAutospacing="0" w:line="276" w:lineRule="auto"/>
        <w:jc w:val="both"/>
        <w:rPr>
          <w:rFonts w:ascii="Arial" w:hAnsi="Arial" w:cs="Arial"/>
          <w:color w:val="000000"/>
          <w:sz w:val="22"/>
          <w:szCs w:val="22"/>
          <w:lang w:val="es-ES" w:eastAsia="es-ES"/>
        </w:rPr>
      </w:pPr>
      <w:r w:rsidRPr="00020C71">
        <w:rPr>
          <w:rFonts w:ascii="Arial" w:hAnsi="Arial" w:cs="Arial"/>
          <w:b/>
          <w:color w:val="000000"/>
          <w:sz w:val="22"/>
          <w:szCs w:val="22"/>
          <w:lang w:val="es-ES" w:eastAsia="es-ES"/>
        </w:rPr>
        <w:t>Evento Adverso Serio (EAS) o Reacción Adversa Medicamentosa Seria (RAM Seria):</w:t>
      </w:r>
      <w:r>
        <w:rPr>
          <w:rFonts w:ascii="Arial" w:hAnsi="Arial" w:cs="Arial"/>
          <w:color w:val="000000"/>
          <w:sz w:val="22"/>
          <w:szCs w:val="22"/>
          <w:lang w:val="es-ES" w:eastAsia="es-ES"/>
        </w:rPr>
        <w:t xml:space="preserve"> cualquier ocurrencia desfavorable que a cualquier dosis:</w:t>
      </w:r>
    </w:p>
    <w:p w14:paraId="100C1D34" w14:textId="7B64C625" w:rsidR="00020C71" w:rsidRDefault="00020C71" w:rsidP="00187AB0">
      <w:pPr>
        <w:pStyle w:val="NormalWeb"/>
        <w:numPr>
          <w:ilvl w:val="1"/>
          <w:numId w:val="15"/>
        </w:numPr>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Resulte en fallecimiento.</w:t>
      </w:r>
    </w:p>
    <w:p w14:paraId="6412693C" w14:textId="3E2060A6" w:rsidR="00020C71" w:rsidRDefault="00020C71" w:rsidP="00187AB0">
      <w:pPr>
        <w:pStyle w:val="NormalWeb"/>
        <w:numPr>
          <w:ilvl w:val="1"/>
          <w:numId w:val="15"/>
        </w:numPr>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Amanece la vida, requiera hospitalización del paciente o prolongación de la hospitalización existente.</w:t>
      </w:r>
    </w:p>
    <w:p w14:paraId="7B2894F8" w14:textId="06279A7E" w:rsidR="00020C71" w:rsidRDefault="00020C71" w:rsidP="00187AB0">
      <w:pPr>
        <w:pStyle w:val="NormalWeb"/>
        <w:numPr>
          <w:ilvl w:val="1"/>
          <w:numId w:val="15"/>
        </w:numPr>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Dé como resultado incapacidad/invalidez persistente o significativa, o es una anomalía congénita/defecto de nacimiento.</w:t>
      </w:r>
    </w:p>
    <w:p w14:paraId="385E805B" w14:textId="168007B7" w:rsidR="00020C71" w:rsidRDefault="00020C71" w:rsidP="00187AB0">
      <w:pPr>
        <w:pStyle w:val="NormalWeb"/>
        <w:numPr>
          <w:ilvl w:val="0"/>
          <w:numId w:val="15"/>
        </w:numPr>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Evento adverso no serio: todos los demás adversos que no cumplen con alguno de los criterios de seriedad mencionados anteriormente serán clasificados como no serios.</w:t>
      </w:r>
    </w:p>
    <w:p w14:paraId="48B4BE5D" w14:textId="77777777" w:rsidR="00020C71" w:rsidRDefault="00020C71" w:rsidP="00020C71">
      <w:pPr>
        <w:pStyle w:val="NormalWeb"/>
        <w:spacing w:before="0" w:beforeAutospacing="0" w:after="0" w:afterAutospacing="0" w:line="276" w:lineRule="auto"/>
        <w:jc w:val="both"/>
        <w:rPr>
          <w:rFonts w:ascii="Arial" w:hAnsi="Arial" w:cs="Arial"/>
          <w:color w:val="000000"/>
          <w:sz w:val="22"/>
          <w:szCs w:val="22"/>
          <w:lang w:val="es-ES" w:eastAsia="es-ES"/>
        </w:rPr>
      </w:pPr>
    </w:p>
    <w:p w14:paraId="6C20D959" w14:textId="433F2BFC" w:rsidR="00835839" w:rsidRDefault="00835839" w:rsidP="00835839">
      <w:pPr>
        <w:pStyle w:val="NormalWeb"/>
        <w:spacing w:before="0" w:beforeAutospacing="0" w:after="0" w:afterAutospacing="0" w:line="276" w:lineRule="auto"/>
        <w:jc w:val="both"/>
        <w:rPr>
          <w:rFonts w:ascii="Arial" w:hAnsi="Arial" w:cs="Arial"/>
          <w:color w:val="000000"/>
          <w:sz w:val="22"/>
          <w:szCs w:val="22"/>
          <w:lang w:val="es-ES" w:eastAsia="es-ES"/>
        </w:rPr>
      </w:pPr>
    </w:p>
    <w:p w14:paraId="698737BD" w14:textId="77777777" w:rsidR="00835839" w:rsidRPr="00835839" w:rsidRDefault="00835839" w:rsidP="00835839">
      <w:pPr>
        <w:pStyle w:val="NormalWeb"/>
        <w:spacing w:before="0" w:beforeAutospacing="0" w:after="0" w:afterAutospacing="0" w:line="276" w:lineRule="auto"/>
        <w:jc w:val="both"/>
        <w:rPr>
          <w:rFonts w:ascii="Arial" w:hAnsi="Arial" w:cs="Arial"/>
          <w:color w:val="000000"/>
          <w:sz w:val="22"/>
          <w:szCs w:val="22"/>
          <w:lang w:val="es-ES" w:eastAsia="es-ES"/>
        </w:rPr>
      </w:pPr>
    </w:p>
    <w:p w14:paraId="1D9EB39C" w14:textId="77777777" w:rsidR="00835839" w:rsidRPr="00B22A9D" w:rsidRDefault="00835839" w:rsidP="00835839">
      <w:pPr>
        <w:pStyle w:val="NormalWeb"/>
        <w:spacing w:before="0" w:beforeAutospacing="0" w:after="0" w:afterAutospacing="0" w:line="276" w:lineRule="auto"/>
        <w:ind w:left="1080"/>
        <w:jc w:val="both"/>
        <w:rPr>
          <w:rFonts w:ascii="Arial" w:hAnsi="Arial" w:cs="Arial"/>
          <w:color w:val="000000"/>
          <w:sz w:val="22"/>
          <w:szCs w:val="22"/>
          <w:lang w:val="es-ES" w:eastAsia="es-ES"/>
        </w:rPr>
      </w:pPr>
    </w:p>
    <w:p w14:paraId="2ED21204" w14:textId="77777777" w:rsidR="00020C71" w:rsidRDefault="00020C71" w:rsidP="00020C71">
      <w:pPr>
        <w:jc w:val="both"/>
        <w:rPr>
          <w:rFonts w:ascii="Arial" w:eastAsia="Times New Roman" w:hAnsi="Arial" w:cs="Arial"/>
          <w:color w:val="000000"/>
          <w:lang w:val="es-ES" w:eastAsia="es-ES"/>
        </w:rPr>
      </w:pPr>
    </w:p>
    <w:tbl>
      <w:tblPr>
        <w:tblStyle w:val="Tablaconcuadrcula"/>
        <w:tblW w:w="0" w:type="auto"/>
        <w:tblLook w:val="04A0" w:firstRow="1" w:lastRow="0" w:firstColumn="1" w:lastColumn="0" w:noHBand="0" w:noVBand="1"/>
      </w:tblPr>
      <w:tblGrid>
        <w:gridCol w:w="9394"/>
      </w:tblGrid>
      <w:tr w:rsidR="00020C71" w14:paraId="2EABCBA7" w14:textId="77777777" w:rsidTr="009F1F9F">
        <w:tc>
          <w:tcPr>
            <w:tcW w:w="9394" w:type="dxa"/>
            <w:shd w:val="clear" w:color="auto" w:fill="8DB3E2" w:themeFill="text2" w:themeFillTint="66"/>
          </w:tcPr>
          <w:p w14:paraId="4C09E1CB" w14:textId="77777777" w:rsidR="00020C71" w:rsidRDefault="00020C71" w:rsidP="009F1F9F">
            <w:pPr>
              <w:jc w:val="center"/>
              <w:rPr>
                <w:rFonts w:ascii="Arial" w:eastAsia="Times New Roman" w:hAnsi="Arial" w:cs="Arial"/>
                <w:color w:val="000000"/>
                <w:lang w:val="es-ES" w:eastAsia="es-ES"/>
              </w:rPr>
            </w:pPr>
          </w:p>
          <w:p w14:paraId="32280762" w14:textId="656ECBFC" w:rsidR="00020C71" w:rsidRPr="00020C71" w:rsidRDefault="00020C71" w:rsidP="009F1F9F">
            <w:pPr>
              <w:jc w:val="center"/>
              <w:rPr>
                <w:rFonts w:ascii="Arial" w:eastAsia="Times New Roman" w:hAnsi="Arial" w:cs="Arial"/>
                <w:b/>
                <w:color w:val="000000"/>
                <w:lang w:val="es-ES" w:eastAsia="es-ES"/>
              </w:rPr>
            </w:pPr>
            <w:r w:rsidRPr="00020C71">
              <w:rPr>
                <w:rFonts w:ascii="Arial" w:eastAsia="Times New Roman" w:hAnsi="Arial" w:cs="Arial"/>
                <w:b/>
                <w:color w:val="000000"/>
                <w:lang w:val="es-ES" w:eastAsia="es-ES"/>
              </w:rPr>
              <w:t>REPORTE DE EVENTOS ADVERSOS SERIOS NACIONALES</w:t>
            </w:r>
          </w:p>
          <w:p w14:paraId="669481A0" w14:textId="6A3DB35C" w:rsidR="00020C71" w:rsidRDefault="00020C71" w:rsidP="009F1F9F">
            <w:pPr>
              <w:jc w:val="center"/>
              <w:rPr>
                <w:rFonts w:ascii="Arial" w:eastAsia="Times New Roman" w:hAnsi="Arial" w:cs="Arial"/>
                <w:color w:val="000000"/>
                <w:lang w:val="es-ES" w:eastAsia="es-ES"/>
              </w:rPr>
            </w:pPr>
          </w:p>
          <w:p w14:paraId="5C16C143" w14:textId="481D56AF" w:rsidR="00020C71" w:rsidRPr="006C51E2" w:rsidRDefault="00020C71" w:rsidP="009F1F9F">
            <w:pPr>
              <w:jc w:val="center"/>
              <w:rPr>
                <w:rFonts w:ascii="Arial" w:eastAsia="Times New Roman" w:hAnsi="Arial" w:cs="Arial"/>
                <w:b/>
                <w:color w:val="000000"/>
                <w:lang w:val="es-ES" w:eastAsia="es-ES"/>
              </w:rPr>
            </w:pPr>
            <w:r w:rsidRPr="006C51E2">
              <w:rPr>
                <w:rFonts w:ascii="Arial" w:eastAsia="Times New Roman" w:hAnsi="Arial" w:cs="Arial"/>
                <w:b/>
                <w:color w:val="000000"/>
                <w:lang w:val="es-ES" w:eastAsia="es-ES"/>
              </w:rPr>
              <w:t>El investigador debe reportar al Patrocinador y al Comité de Ética en Investigación todos los eventos adversos serios, en un plazo no mayor a 24 horas, luego de conocida la ocurrencia del evento, manteniendo la confidencialidad de la información.</w:t>
            </w:r>
          </w:p>
          <w:p w14:paraId="28934F51" w14:textId="3656A4CD" w:rsidR="006C51E2" w:rsidRDefault="006C51E2" w:rsidP="009F1F9F">
            <w:pPr>
              <w:jc w:val="center"/>
              <w:rPr>
                <w:rFonts w:ascii="Arial" w:eastAsia="Times New Roman" w:hAnsi="Arial" w:cs="Arial"/>
                <w:color w:val="000000"/>
                <w:lang w:val="es-ES" w:eastAsia="es-ES"/>
              </w:rPr>
            </w:pPr>
          </w:p>
          <w:p w14:paraId="6EADDCFE" w14:textId="60CB7272" w:rsidR="006C51E2" w:rsidRPr="00B22A9D" w:rsidRDefault="006C51E2" w:rsidP="006C51E2">
            <w:pPr>
              <w:pStyle w:val="NormalWeb"/>
              <w:spacing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El </w:t>
            </w:r>
            <w:r w:rsidRPr="00B22A9D">
              <w:rPr>
                <w:rFonts w:ascii="Arial" w:hAnsi="Arial" w:cs="Arial"/>
                <w:color w:val="000000"/>
                <w:sz w:val="22"/>
                <w:szCs w:val="22"/>
                <w:lang w:val="es-ES" w:eastAsia="es-ES"/>
              </w:rPr>
              <w:t>Patrocinador o CRO reporta</w:t>
            </w:r>
            <w:r>
              <w:rPr>
                <w:rFonts w:ascii="Arial" w:hAnsi="Arial" w:cs="Arial"/>
                <w:color w:val="000000"/>
                <w:sz w:val="22"/>
                <w:szCs w:val="22"/>
                <w:lang w:val="es-ES" w:eastAsia="es-ES"/>
              </w:rPr>
              <w:t>rá</w:t>
            </w:r>
            <w:r w:rsidRPr="00B22A9D">
              <w:rPr>
                <w:rFonts w:ascii="Arial" w:hAnsi="Arial" w:cs="Arial"/>
                <w:color w:val="000000"/>
                <w:sz w:val="22"/>
                <w:szCs w:val="22"/>
                <w:lang w:val="es-ES" w:eastAsia="es-ES"/>
              </w:rPr>
              <w:t xml:space="preserve"> a Invima en un plazo no mayor a 7 días hábiles, a partir del primer reporte realizado por el investigador, 15 días desp</w:t>
            </w:r>
            <w:r>
              <w:rPr>
                <w:rFonts w:ascii="Arial" w:hAnsi="Arial" w:cs="Arial"/>
                <w:color w:val="000000"/>
                <w:sz w:val="22"/>
                <w:szCs w:val="22"/>
                <w:lang w:val="es-ES" w:eastAsia="es-ES"/>
              </w:rPr>
              <w:t>ués del primer reporte realizará</w:t>
            </w:r>
            <w:r w:rsidRPr="00B22A9D">
              <w:rPr>
                <w:rFonts w:ascii="Arial" w:hAnsi="Arial" w:cs="Arial"/>
                <w:color w:val="000000"/>
                <w:sz w:val="22"/>
                <w:szCs w:val="22"/>
                <w:lang w:val="es-ES" w:eastAsia="es-ES"/>
              </w:rPr>
              <w:t xml:space="preserve"> el segundo reporte a invima y el reporte de desenlace final.</w:t>
            </w:r>
          </w:p>
          <w:p w14:paraId="14BDCFFE" w14:textId="23564D5E" w:rsidR="006C51E2" w:rsidRPr="006C51E2" w:rsidRDefault="006C51E2" w:rsidP="006C51E2">
            <w:pPr>
              <w:pStyle w:val="NormalWeb"/>
              <w:spacing w:after="0" w:afterAutospacing="0" w:line="276" w:lineRule="auto"/>
              <w:jc w:val="center"/>
              <w:rPr>
                <w:rFonts w:ascii="Arial" w:hAnsi="Arial" w:cs="Arial"/>
                <w:b/>
                <w:color w:val="000000"/>
                <w:sz w:val="22"/>
                <w:szCs w:val="22"/>
                <w:lang w:val="es-ES" w:eastAsia="es-ES"/>
              </w:rPr>
            </w:pPr>
            <w:r w:rsidRPr="006C51E2">
              <w:rPr>
                <w:rFonts w:ascii="Arial" w:hAnsi="Arial" w:cs="Arial"/>
                <w:b/>
                <w:color w:val="000000"/>
                <w:sz w:val="22"/>
                <w:szCs w:val="22"/>
                <w:lang w:val="es-ES" w:eastAsia="es-ES"/>
              </w:rPr>
              <w:t>REPORTE DE EVENTOS ADVERSOS NO SERIOS NACIONALES E INTERNACIONALES</w:t>
            </w:r>
          </w:p>
          <w:p w14:paraId="1F03DDE8" w14:textId="56033FF7" w:rsidR="006C51E2" w:rsidRPr="00B22A9D" w:rsidRDefault="006C51E2" w:rsidP="006C51E2">
            <w:pPr>
              <w:pStyle w:val="NormalWeb"/>
              <w:spacing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El </w:t>
            </w:r>
            <w:r w:rsidRPr="00B22A9D">
              <w:rPr>
                <w:rFonts w:ascii="Arial" w:hAnsi="Arial" w:cs="Arial"/>
                <w:color w:val="000000"/>
                <w:sz w:val="22"/>
                <w:szCs w:val="22"/>
                <w:lang w:val="es-ES" w:eastAsia="es-ES"/>
              </w:rPr>
              <w:t>Investigador reporta</w:t>
            </w:r>
            <w:r>
              <w:rPr>
                <w:rFonts w:ascii="Arial" w:hAnsi="Arial" w:cs="Arial"/>
                <w:color w:val="000000"/>
                <w:sz w:val="22"/>
                <w:szCs w:val="22"/>
                <w:lang w:val="es-ES" w:eastAsia="es-ES"/>
              </w:rPr>
              <w:t>rá</w:t>
            </w:r>
            <w:r w:rsidRPr="00B22A9D">
              <w:rPr>
                <w:rFonts w:ascii="Arial" w:hAnsi="Arial" w:cs="Arial"/>
                <w:color w:val="000000"/>
                <w:sz w:val="22"/>
                <w:szCs w:val="22"/>
                <w:lang w:val="es-ES" w:eastAsia="es-ES"/>
              </w:rPr>
              <w:t xml:space="preserve"> al patrocinador</w:t>
            </w:r>
            <w:r>
              <w:rPr>
                <w:rFonts w:ascii="Arial" w:hAnsi="Arial" w:cs="Arial"/>
                <w:color w:val="000000"/>
                <w:sz w:val="22"/>
                <w:szCs w:val="22"/>
                <w:lang w:val="es-ES" w:eastAsia="es-ES"/>
              </w:rPr>
              <w:t xml:space="preserve"> o CRO, de acuerdo a lo estipulado en</w:t>
            </w:r>
            <w:r w:rsidRPr="00B22A9D">
              <w:rPr>
                <w:rFonts w:ascii="Arial" w:hAnsi="Arial" w:cs="Arial"/>
                <w:color w:val="000000"/>
                <w:sz w:val="22"/>
                <w:szCs w:val="22"/>
                <w:lang w:val="es-ES" w:eastAsia="es-ES"/>
              </w:rPr>
              <w:t xml:space="preserve"> el protocolo. </w:t>
            </w:r>
            <w:r>
              <w:rPr>
                <w:rFonts w:ascii="Arial" w:hAnsi="Arial" w:cs="Arial"/>
                <w:color w:val="000000"/>
                <w:sz w:val="22"/>
                <w:szCs w:val="22"/>
                <w:lang w:val="es-ES" w:eastAsia="es-ES"/>
              </w:rPr>
              <w:t xml:space="preserve">El </w:t>
            </w:r>
            <w:r w:rsidRPr="00B22A9D">
              <w:rPr>
                <w:rFonts w:ascii="Arial" w:hAnsi="Arial" w:cs="Arial"/>
                <w:color w:val="000000"/>
                <w:sz w:val="22"/>
                <w:szCs w:val="22"/>
                <w:lang w:val="es-ES" w:eastAsia="es-ES"/>
              </w:rPr>
              <w:t>Patrocinador reporta</w:t>
            </w:r>
            <w:r>
              <w:rPr>
                <w:rFonts w:ascii="Arial" w:hAnsi="Arial" w:cs="Arial"/>
                <w:color w:val="000000"/>
                <w:sz w:val="22"/>
                <w:szCs w:val="22"/>
                <w:lang w:val="es-ES" w:eastAsia="es-ES"/>
              </w:rPr>
              <w:t>rá</w:t>
            </w:r>
            <w:r w:rsidRPr="00B22A9D">
              <w:rPr>
                <w:rFonts w:ascii="Arial" w:hAnsi="Arial" w:cs="Arial"/>
                <w:color w:val="000000"/>
                <w:sz w:val="22"/>
                <w:szCs w:val="22"/>
                <w:lang w:val="es-ES" w:eastAsia="es-ES"/>
              </w:rPr>
              <w:t xml:space="preserve"> a Invima a través del Manual del Investigador con periodicidad anual o a petición de ellos.</w:t>
            </w:r>
          </w:p>
          <w:p w14:paraId="34FD262A" w14:textId="77777777" w:rsidR="006C51E2" w:rsidRPr="00B22A9D" w:rsidRDefault="006C51E2" w:rsidP="009F1F9F">
            <w:pPr>
              <w:jc w:val="center"/>
              <w:rPr>
                <w:rFonts w:ascii="Arial" w:eastAsia="Times New Roman" w:hAnsi="Arial" w:cs="Arial"/>
                <w:color w:val="000000"/>
                <w:lang w:val="es-ES" w:eastAsia="es-ES"/>
              </w:rPr>
            </w:pPr>
          </w:p>
          <w:p w14:paraId="44AFFDE3" w14:textId="77777777" w:rsidR="00020C71" w:rsidRDefault="00020C71" w:rsidP="009F1F9F">
            <w:pPr>
              <w:jc w:val="center"/>
              <w:rPr>
                <w:rFonts w:ascii="Arial" w:eastAsia="Times New Roman" w:hAnsi="Arial" w:cs="Arial"/>
                <w:color w:val="000000"/>
                <w:lang w:val="es-ES" w:eastAsia="es-ES"/>
              </w:rPr>
            </w:pPr>
          </w:p>
        </w:tc>
      </w:tr>
    </w:tbl>
    <w:p w14:paraId="19A61333" w14:textId="77777777" w:rsidR="00020C71" w:rsidRDefault="00020C71"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2B91DC95" w14:textId="633A0053" w:rsidR="00020C71" w:rsidRDefault="00020C71"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3385CB39" w14:textId="77777777" w:rsidR="00020C71" w:rsidRDefault="00020C71"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65764C57" w14:textId="11AFB539" w:rsidR="00391D78" w:rsidRPr="00391D78" w:rsidRDefault="00DB7FFD" w:rsidP="00187AB0">
      <w:pPr>
        <w:pStyle w:val="NormalWeb"/>
        <w:numPr>
          <w:ilvl w:val="1"/>
          <w:numId w:val="9"/>
        </w:numPr>
        <w:spacing w:before="0" w:beforeAutospacing="0" w:after="0" w:afterAutospacing="0" w:line="276" w:lineRule="auto"/>
        <w:jc w:val="both"/>
        <w:rPr>
          <w:rFonts w:ascii="Arial" w:hAnsi="Arial" w:cs="Arial"/>
          <w:b/>
          <w:color w:val="000000"/>
          <w:sz w:val="22"/>
          <w:szCs w:val="22"/>
          <w:lang w:val="es-ES" w:eastAsia="es-ES"/>
        </w:rPr>
      </w:pPr>
      <w:r w:rsidRPr="00391D78">
        <w:rPr>
          <w:rFonts w:ascii="Arial" w:hAnsi="Arial" w:cs="Arial"/>
          <w:b/>
          <w:color w:val="000000"/>
          <w:sz w:val="22"/>
          <w:szCs w:val="22"/>
          <w:lang w:val="es-ES" w:eastAsia="es-ES"/>
        </w:rPr>
        <w:t xml:space="preserve">Manual del </w:t>
      </w:r>
      <w:r w:rsidR="00502BD9" w:rsidRPr="00391D78">
        <w:rPr>
          <w:rFonts w:ascii="Arial" w:hAnsi="Arial" w:cs="Arial"/>
          <w:b/>
          <w:color w:val="000000"/>
          <w:sz w:val="22"/>
          <w:szCs w:val="22"/>
          <w:lang w:val="es-ES" w:eastAsia="es-ES"/>
        </w:rPr>
        <w:t xml:space="preserve">Investigador. </w:t>
      </w:r>
      <w:r w:rsidR="00C21FBF">
        <w:rPr>
          <w:rFonts w:ascii="Arial" w:hAnsi="Arial" w:cs="Arial"/>
          <w:b/>
          <w:color w:val="000000"/>
          <w:sz w:val="22"/>
          <w:szCs w:val="22"/>
          <w:lang w:val="es-ES" w:eastAsia="es-ES"/>
        </w:rPr>
        <w:t>(5, 11, 12, 13</w:t>
      </w:r>
      <w:r w:rsidR="00391D78" w:rsidRPr="00391D78">
        <w:rPr>
          <w:rFonts w:ascii="Arial" w:hAnsi="Arial" w:cs="Arial"/>
          <w:b/>
          <w:color w:val="000000"/>
          <w:sz w:val="22"/>
          <w:szCs w:val="22"/>
          <w:lang w:val="es-ES" w:eastAsia="es-ES"/>
        </w:rPr>
        <w:t>)</w:t>
      </w:r>
    </w:p>
    <w:p w14:paraId="07D387C7" w14:textId="77777777" w:rsidR="00391D78" w:rsidRDefault="00391D78" w:rsidP="00391D78">
      <w:pPr>
        <w:pStyle w:val="NormalWeb"/>
        <w:spacing w:before="0" w:beforeAutospacing="0" w:after="0" w:afterAutospacing="0" w:line="276" w:lineRule="auto"/>
        <w:jc w:val="both"/>
        <w:rPr>
          <w:rFonts w:ascii="Arial" w:hAnsi="Arial" w:cs="Arial"/>
          <w:color w:val="000000"/>
          <w:sz w:val="22"/>
          <w:szCs w:val="22"/>
          <w:lang w:val="es-ES" w:eastAsia="es-ES"/>
        </w:rPr>
      </w:pPr>
    </w:p>
    <w:p w14:paraId="54E482ED" w14:textId="279B6845" w:rsidR="00502BD9" w:rsidRPr="00391D78" w:rsidRDefault="00391D78" w:rsidP="00391D78">
      <w:pPr>
        <w:pStyle w:val="NormalWeb"/>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El Manual del Investigador, es la c</w:t>
      </w:r>
      <w:r w:rsidR="00DB7FFD" w:rsidRPr="00391D78">
        <w:rPr>
          <w:rFonts w:ascii="Arial" w:hAnsi="Arial" w:cs="Arial"/>
          <w:color w:val="000000"/>
          <w:sz w:val="22"/>
          <w:szCs w:val="22"/>
          <w:lang w:val="es-ES" w:eastAsia="es-ES"/>
        </w:rPr>
        <w:t>ompilación de los datos clínicos y no clínicos sobre el (los) producto(s) de investigación que es relevante para el estudio del (de los) producto(s) en investigación en seres humanos.</w:t>
      </w:r>
    </w:p>
    <w:p w14:paraId="5D7F92EA" w14:textId="77777777" w:rsidR="00502BD9" w:rsidRPr="00B22A9D" w:rsidRDefault="00502BD9"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7635B5B4" w14:textId="151FC9C5" w:rsidR="006E7B0A" w:rsidRPr="00B22A9D" w:rsidRDefault="00391D78" w:rsidP="00EE653F">
      <w:pPr>
        <w:pStyle w:val="NormalWeb"/>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En la resolución 2378 de 2008, se establecen las r</w:t>
      </w:r>
      <w:r w:rsidR="0013022D" w:rsidRPr="00B22A9D">
        <w:rPr>
          <w:rFonts w:ascii="Arial" w:hAnsi="Arial" w:cs="Arial"/>
          <w:color w:val="000000"/>
          <w:sz w:val="22"/>
          <w:szCs w:val="22"/>
          <w:lang w:val="es-ES" w:eastAsia="es-ES"/>
        </w:rPr>
        <w:t>esponsabilidades del patrocinador del estudio,</w:t>
      </w:r>
      <w:r>
        <w:rPr>
          <w:rFonts w:ascii="Arial" w:hAnsi="Arial" w:cs="Arial"/>
          <w:color w:val="000000"/>
          <w:sz w:val="22"/>
          <w:szCs w:val="22"/>
          <w:lang w:val="es-ES" w:eastAsia="es-ES"/>
        </w:rPr>
        <w:t xml:space="preserve"> estableciendo como punto importante</w:t>
      </w:r>
      <w:r w:rsidR="0013022D" w:rsidRPr="00B22A9D">
        <w:rPr>
          <w:rFonts w:ascii="Arial" w:hAnsi="Arial" w:cs="Arial"/>
          <w:color w:val="000000"/>
          <w:sz w:val="22"/>
          <w:szCs w:val="22"/>
          <w:lang w:val="es-ES" w:eastAsia="es-ES"/>
        </w:rPr>
        <w:t xml:space="preserve"> la obligatoriedad de tener disponible  </w:t>
      </w:r>
      <w:r w:rsidR="00DB7FFD" w:rsidRPr="00B22A9D">
        <w:rPr>
          <w:rFonts w:ascii="Arial" w:hAnsi="Arial" w:cs="Arial"/>
          <w:color w:val="000000"/>
          <w:sz w:val="22"/>
          <w:szCs w:val="22"/>
          <w:lang w:val="es-ES" w:eastAsia="es-ES"/>
        </w:rPr>
        <w:t>los datos de seguridad y eficacia de estudios clínicos o preclínicos previos para sustentar su administración en humanos</w:t>
      </w:r>
      <w:r>
        <w:rPr>
          <w:rFonts w:ascii="Arial" w:hAnsi="Arial" w:cs="Arial"/>
          <w:color w:val="000000"/>
          <w:sz w:val="22"/>
          <w:szCs w:val="22"/>
          <w:lang w:val="es-ES" w:eastAsia="es-ES"/>
        </w:rPr>
        <w:t xml:space="preserve">, los cuales deben estar consignados en el Manual del Investigador y en donde deben verificarse los siguientes aspectos: </w:t>
      </w:r>
      <w:r w:rsidR="00DB7FFD" w:rsidRPr="00B22A9D">
        <w:rPr>
          <w:rFonts w:ascii="Arial" w:hAnsi="Arial" w:cs="Arial"/>
          <w:color w:val="000000"/>
          <w:sz w:val="22"/>
          <w:szCs w:val="22"/>
          <w:lang w:val="es-ES" w:eastAsia="es-ES"/>
        </w:rPr>
        <w:t xml:space="preserve"> a) Vía de administración b) Dosis c) Periodo de tiempo d) Población del estudio e) Reacciones adversas f) Contraindicaciones</w:t>
      </w:r>
      <w:r>
        <w:rPr>
          <w:rFonts w:ascii="Arial" w:hAnsi="Arial" w:cs="Arial"/>
          <w:color w:val="000000"/>
          <w:sz w:val="22"/>
          <w:szCs w:val="22"/>
          <w:lang w:val="es-ES" w:eastAsia="es-ES"/>
        </w:rPr>
        <w:t xml:space="preserve">. </w:t>
      </w:r>
    </w:p>
    <w:p w14:paraId="0588A2EB" w14:textId="77777777" w:rsidR="006E7B0A" w:rsidRPr="00B22A9D" w:rsidRDefault="006E7B0A"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0AFB0A64" w14:textId="18E79B9D" w:rsidR="006E7B0A" w:rsidRPr="00B22A9D" w:rsidRDefault="0013022D" w:rsidP="00EE653F">
      <w:pPr>
        <w:pStyle w:val="NormalWeb"/>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En este mi</w:t>
      </w:r>
      <w:r w:rsidR="00391D78">
        <w:rPr>
          <w:rFonts w:ascii="Arial" w:hAnsi="Arial" w:cs="Arial"/>
          <w:color w:val="000000"/>
          <w:sz w:val="22"/>
          <w:szCs w:val="22"/>
          <w:lang w:val="es-ES" w:eastAsia="es-ES"/>
        </w:rPr>
        <w:t>smo sentido se establece en el d</w:t>
      </w:r>
      <w:r w:rsidRPr="00B22A9D">
        <w:rPr>
          <w:rFonts w:ascii="Arial" w:hAnsi="Arial" w:cs="Arial"/>
          <w:color w:val="000000"/>
          <w:sz w:val="22"/>
          <w:szCs w:val="22"/>
          <w:lang w:val="es-ES" w:eastAsia="es-ES"/>
        </w:rPr>
        <w:t>ocumento elaborado y adaptado a partir de la revisión de la Guía ICH E6 (R1)</w:t>
      </w:r>
      <w:r w:rsidR="00391D78">
        <w:rPr>
          <w:rFonts w:ascii="Arial" w:hAnsi="Arial" w:cs="Arial"/>
          <w:color w:val="000000"/>
          <w:sz w:val="22"/>
          <w:szCs w:val="22"/>
          <w:lang w:val="es-ES" w:eastAsia="es-ES"/>
        </w:rPr>
        <w:t>,</w:t>
      </w:r>
      <w:r w:rsidRPr="00B22A9D">
        <w:rPr>
          <w:rFonts w:ascii="Arial" w:hAnsi="Arial" w:cs="Arial"/>
          <w:color w:val="000000"/>
          <w:sz w:val="22"/>
          <w:szCs w:val="22"/>
          <w:lang w:val="es-ES" w:eastAsia="es-ES"/>
        </w:rPr>
        <w:t xml:space="preserve"> Guía para Buenas Prácticas Clínicas</w:t>
      </w:r>
      <w:r w:rsidR="00391D78">
        <w:rPr>
          <w:rFonts w:ascii="Arial" w:hAnsi="Arial" w:cs="Arial"/>
          <w:color w:val="000000"/>
          <w:sz w:val="22"/>
          <w:szCs w:val="22"/>
          <w:lang w:val="es-ES" w:eastAsia="es-ES"/>
        </w:rPr>
        <w:t>,</w:t>
      </w:r>
      <w:r w:rsidRPr="00B22A9D">
        <w:rPr>
          <w:rFonts w:ascii="Arial" w:hAnsi="Arial" w:cs="Arial"/>
          <w:color w:val="000000"/>
          <w:sz w:val="22"/>
          <w:szCs w:val="22"/>
          <w:lang w:val="es-ES" w:eastAsia="es-ES"/>
        </w:rPr>
        <w:t xml:space="preserve"> la </w:t>
      </w:r>
      <w:r w:rsidR="006C1476" w:rsidRPr="00B22A9D">
        <w:rPr>
          <w:rFonts w:ascii="Arial" w:hAnsi="Arial" w:cs="Arial"/>
          <w:color w:val="000000"/>
          <w:sz w:val="22"/>
          <w:szCs w:val="22"/>
          <w:lang w:val="es-ES" w:eastAsia="es-ES"/>
        </w:rPr>
        <w:t>Gu</w:t>
      </w:r>
      <w:r w:rsidRPr="00B22A9D">
        <w:rPr>
          <w:rFonts w:ascii="Arial" w:hAnsi="Arial" w:cs="Arial"/>
          <w:color w:val="000000"/>
          <w:sz w:val="22"/>
          <w:szCs w:val="22"/>
          <w:lang w:val="es-ES" w:eastAsia="es-ES"/>
        </w:rPr>
        <w:t>ía del Manual del In</w:t>
      </w:r>
      <w:r w:rsidR="00391D78">
        <w:rPr>
          <w:rFonts w:ascii="Arial" w:hAnsi="Arial" w:cs="Arial"/>
          <w:color w:val="000000"/>
          <w:sz w:val="22"/>
          <w:szCs w:val="22"/>
          <w:lang w:val="es-ES" w:eastAsia="es-ES"/>
        </w:rPr>
        <w:t>vestigad</w:t>
      </w:r>
      <w:r w:rsidR="00696C81">
        <w:rPr>
          <w:rFonts w:ascii="Arial" w:hAnsi="Arial" w:cs="Arial"/>
          <w:color w:val="000000"/>
          <w:sz w:val="22"/>
          <w:szCs w:val="22"/>
          <w:lang w:val="es-ES" w:eastAsia="es-ES"/>
        </w:rPr>
        <w:t>or, que establece como o</w:t>
      </w:r>
      <w:r w:rsidR="00391D78" w:rsidRPr="00696C81">
        <w:rPr>
          <w:rFonts w:ascii="Arial" w:hAnsi="Arial" w:cs="Arial"/>
          <w:color w:val="000000"/>
          <w:sz w:val="22"/>
          <w:szCs w:val="22"/>
          <w:lang w:val="es-ES" w:eastAsia="es-ES"/>
        </w:rPr>
        <w:t>bjetivo:</w:t>
      </w:r>
      <w:r w:rsidR="00391D78">
        <w:rPr>
          <w:rFonts w:ascii="Arial" w:hAnsi="Arial" w:cs="Arial"/>
          <w:color w:val="000000"/>
          <w:sz w:val="22"/>
          <w:szCs w:val="22"/>
          <w:lang w:val="es-ES" w:eastAsia="es-ES"/>
        </w:rPr>
        <w:t xml:space="preserve"> b</w:t>
      </w:r>
      <w:r w:rsidR="006C1476" w:rsidRPr="00B22A9D">
        <w:rPr>
          <w:rFonts w:ascii="Arial" w:hAnsi="Arial" w:cs="Arial"/>
          <w:color w:val="000000"/>
          <w:sz w:val="22"/>
          <w:szCs w:val="22"/>
          <w:lang w:val="es-ES" w:eastAsia="es-ES"/>
        </w:rPr>
        <w:t>rindar los lineamientos para la edición y actualizaci</w:t>
      </w:r>
      <w:r w:rsidR="006E7B0A" w:rsidRPr="00B22A9D">
        <w:rPr>
          <w:rFonts w:ascii="Arial" w:hAnsi="Arial" w:cs="Arial"/>
          <w:color w:val="000000"/>
          <w:sz w:val="22"/>
          <w:szCs w:val="22"/>
          <w:lang w:val="es-ES" w:eastAsia="es-ES"/>
        </w:rPr>
        <w:t>ón del Manual del Investigador.</w:t>
      </w:r>
    </w:p>
    <w:p w14:paraId="3989D330" w14:textId="00DA1F95" w:rsidR="006E7B0A" w:rsidRPr="00B22A9D" w:rsidRDefault="006E7B0A"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7777B07A" w14:textId="15EF36D4" w:rsidR="006E7B0A" w:rsidRPr="00B22A9D" w:rsidRDefault="0013022D" w:rsidP="00EE653F">
      <w:pPr>
        <w:pStyle w:val="NormalWeb"/>
        <w:spacing w:before="0" w:beforeAutospacing="0"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El Invima establece los requisitos que debe cumplir el Manual del Investigador en la </w:t>
      </w:r>
      <w:r w:rsidR="006E7B0A" w:rsidRPr="00B22A9D">
        <w:rPr>
          <w:rFonts w:ascii="Arial" w:hAnsi="Arial" w:cs="Arial"/>
          <w:color w:val="000000"/>
          <w:sz w:val="22"/>
          <w:szCs w:val="22"/>
          <w:lang w:val="es-ES" w:eastAsia="es-ES"/>
        </w:rPr>
        <w:t xml:space="preserve">Guía para la evaluación y seguimiento de protocolos de investigación </w:t>
      </w:r>
      <w:r w:rsidR="00DB7FFD" w:rsidRPr="00B22A9D">
        <w:rPr>
          <w:rFonts w:ascii="Arial" w:hAnsi="Arial" w:cs="Arial"/>
          <w:color w:val="000000"/>
          <w:sz w:val="22"/>
          <w:szCs w:val="22"/>
          <w:lang w:val="es-ES" w:eastAsia="es-ES"/>
        </w:rPr>
        <w:t>Código: ASS-RSA-GU039 Versión: 04 Fecha de Emisión: 05/03/2019</w:t>
      </w:r>
      <w:r w:rsidR="00A3662C" w:rsidRPr="00B22A9D">
        <w:rPr>
          <w:rFonts w:ascii="Arial" w:hAnsi="Arial" w:cs="Arial"/>
          <w:color w:val="000000"/>
          <w:sz w:val="22"/>
          <w:szCs w:val="22"/>
          <w:lang w:val="es-ES" w:eastAsia="es-ES"/>
        </w:rPr>
        <w:t xml:space="preserve"> </w:t>
      </w:r>
      <w:r w:rsidR="00C21FBF">
        <w:rPr>
          <w:rFonts w:ascii="Arial" w:hAnsi="Arial" w:cs="Arial"/>
          <w:color w:val="000000"/>
          <w:sz w:val="22"/>
          <w:szCs w:val="22"/>
          <w:lang w:val="es-ES" w:eastAsia="es-ES"/>
        </w:rPr>
        <w:t>(12</w:t>
      </w:r>
      <w:r w:rsidR="00696C81">
        <w:rPr>
          <w:rFonts w:ascii="Arial" w:hAnsi="Arial" w:cs="Arial"/>
          <w:color w:val="000000"/>
          <w:sz w:val="22"/>
          <w:szCs w:val="22"/>
          <w:lang w:val="es-ES" w:eastAsia="es-ES"/>
        </w:rPr>
        <w:t>)</w:t>
      </w:r>
    </w:p>
    <w:p w14:paraId="45BA2292" w14:textId="77777777" w:rsidR="006E7B0A" w:rsidRPr="00B22A9D" w:rsidRDefault="006E7B0A"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10CD0466" w14:textId="0C1A2651" w:rsidR="006E7B0A" w:rsidRDefault="00696C81" w:rsidP="00EE653F">
      <w:pPr>
        <w:pStyle w:val="NormalWeb"/>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lastRenderedPageBreak/>
        <w:t xml:space="preserve">Manual del Investigador, es un </w:t>
      </w:r>
      <w:r w:rsidR="00DB7FFD" w:rsidRPr="00B22A9D">
        <w:rPr>
          <w:rFonts w:ascii="Arial" w:hAnsi="Arial" w:cs="Arial"/>
          <w:color w:val="000000"/>
          <w:sz w:val="22"/>
          <w:szCs w:val="22"/>
          <w:lang w:val="es-ES" w:eastAsia="es-ES"/>
        </w:rPr>
        <w:t xml:space="preserve">documento </w:t>
      </w:r>
      <w:r>
        <w:rPr>
          <w:rFonts w:ascii="Arial" w:hAnsi="Arial" w:cs="Arial"/>
          <w:color w:val="000000"/>
          <w:sz w:val="22"/>
          <w:szCs w:val="22"/>
          <w:lang w:val="es-ES" w:eastAsia="es-ES"/>
        </w:rPr>
        <w:t xml:space="preserve">que </w:t>
      </w:r>
      <w:r w:rsidR="00DB7FFD" w:rsidRPr="00B22A9D">
        <w:rPr>
          <w:rFonts w:ascii="Arial" w:hAnsi="Arial" w:cs="Arial"/>
          <w:color w:val="000000"/>
          <w:sz w:val="22"/>
          <w:szCs w:val="22"/>
          <w:lang w:val="es-ES" w:eastAsia="es-ES"/>
        </w:rPr>
        <w:t xml:space="preserve">debe contener toda la información disponible de estudios clínicos anteriores (fase I, II, III según sea el caso) sobre datos de seguridad de la molécula en investigación como toxicidad, teratogenicidad, farmacodinamia, farmacocinética, propiedades físicas y químicas, interacciones con medicamentos y/o alimentos, efectos secundarios y reacciones adversas, dejando claro los posibles riesgos que se pueden presentar durante el estudio. </w:t>
      </w:r>
      <w:r w:rsidRPr="00B22A9D">
        <w:rPr>
          <w:rFonts w:ascii="Arial" w:hAnsi="Arial" w:cs="Arial"/>
          <w:color w:val="000000"/>
          <w:sz w:val="22"/>
          <w:szCs w:val="22"/>
          <w:lang w:val="es-ES" w:eastAsia="es-ES"/>
        </w:rPr>
        <w:t>Además,</w:t>
      </w:r>
      <w:r w:rsidR="00DB7FFD" w:rsidRPr="00B22A9D">
        <w:rPr>
          <w:rFonts w:ascii="Arial" w:hAnsi="Arial" w:cs="Arial"/>
          <w:color w:val="000000"/>
          <w:sz w:val="22"/>
          <w:szCs w:val="22"/>
          <w:lang w:val="es-ES" w:eastAsia="es-ES"/>
        </w:rPr>
        <w:t xml:space="preserve"> el manual del investigador debe contener información confiable de estudios pre-clínicos previos que justifiquen el uso de la molécula en seres humanos.</w:t>
      </w:r>
    </w:p>
    <w:p w14:paraId="294F965C" w14:textId="77777777" w:rsidR="00696C81" w:rsidRPr="00B22A9D" w:rsidRDefault="00696C81"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46666992" w14:textId="7D33419A" w:rsidR="0013022D" w:rsidRDefault="00696C81" w:rsidP="0013022D">
      <w:pPr>
        <w:pStyle w:val="NormalWeb"/>
        <w:spacing w:before="0" w:beforeAutospacing="0" w:after="0" w:afterAutospacing="0"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En cuanto a las </w:t>
      </w:r>
      <w:r w:rsidR="00DB7FFD" w:rsidRPr="00B22A9D">
        <w:rPr>
          <w:rFonts w:ascii="Arial" w:hAnsi="Arial" w:cs="Arial"/>
          <w:color w:val="000000"/>
          <w:sz w:val="22"/>
          <w:szCs w:val="22"/>
          <w:lang w:val="es-ES" w:eastAsia="es-ES"/>
        </w:rPr>
        <w:t>Modificacion</w:t>
      </w:r>
      <w:r>
        <w:rPr>
          <w:rFonts w:ascii="Arial" w:hAnsi="Arial" w:cs="Arial"/>
          <w:color w:val="000000"/>
          <w:sz w:val="22"/>
          <w:szCs w:val="22"/>
          <w:lang w:val="es-ES" w:eastAsia="es-ES"/>
        </w:rPr>
        <w:t>es al Manual del Investigador: s</w:t>
      </w:r>
      <w:r w:rsidR="00DB7FFD" w:rsidRPr="00B22A9D">
        <w:rPr>
          <w:rFonts w:ascii="Arial" w:hAnsi="Arial" w:cs="Arial"/>
          <w:color w:val="000000"/>
          <w:sz w:val="22"/>
          <w:szCs w:val="22"/>
          <w:lang w:val="es-ES" w:eastAsia="es-ES"/>
        </w:rPr>
        <w:t>e debe diligenciar el Formato de presentación y evaluación de modificaciones al manual del investigador ASS-RSA-FM054 de acuerdo a la Guía para la presentación y evaluación de modificaciones al manual del investigador ASS-RSA-GU037</w:t>
      </w:r>
      <w:r>
        <w:rPr>
          <w:rFonts w:ascii="Arial" w:hAnsi="Arial" w:cs="Arial"/>
          <w:color w:val="000000"/>
          <w:sz w:val="22"/>
          <w:szCs w:val="22"/>
          <w:lang w:val="es-ES" w:eastAsia="es-ES"/>
        </w:rPr>
        <w:t xml:space="preserve"> (</w:t>
      </w:r>
      <w:r w:rsidR="00C21FBF">
        <w:rPr>
          <w:rFonts w:ascii="Arial" w:hAnsi="Arial" w:cs="Arial"/>
          <w:color w:val="000000"/>
          <w:sz w:val="22"/>
          <w:szCs w:val="22"/>
          <w:lang w:val="es-ES" w:eastAsia="es-ES"/>
        </w:rPr>
        <w:t>13</w:t>
      </w:r>
      <w:r>
        <w:rPr>
          <w:rFonts w:ascii="Arial" w:hAnsi="Arial" w:cs="Arial"/>
          <w:color w:val="000000"/>
          <w:sz w:val="22"/>
          <w:szCs w:val="22"/>
          <w:lang w:val="es-ES" w:eastAsia="es-ES"/>
        </w:rPr>
        <w:t xml:space="preserve">). </w:t>
      </w:r>
      <w:r w:rsidR="00DB7FFD" w:rsidRPr="00B22A9D">
        <w:rPr>
          <w:rFonts w:ascii="Arial" w:hAnsi="Arial" w:cs="Arial"/>
          <w:color w:val="000000"/>
          <w:sz w:val="22"/>
          <w:szCs w:val="22"/>
          <w:lang w:val="es-ES" w:eastAsia="es-ES"/>
        </w:rPr>
        <w:t>Concepto del comité presentará la evaluación de los riesgos realizando el análisis de las implicaciones del cambio para la seguridad /los derechos de los sujetos del estudio, respecto de las versiones anteriores estableciendo los requerimientos a que haya lugar</w:t>
      </w:r>
      <w:r>
        <w:rPr>
          <w:rFonts w:ascii="Arial" w:hAnsi="Arial" w:cs="Arial"/>
          <w:color w:val="000000"/>
          <w:sz w:val="22"/>
          <w:szCs w:val="22"/>
          <w:lang w:val="es-ES" w:eastAsia="es-ES"/>
        </w:rPr>
        <w:t>,</w:t>
      </w:r>
      <w:r w:rsidR="00DB7FFD" w:rsidRPr="00B22A9D">
        <w:rPr>
          <w:rFonts w:ascii="Arial" w:hAnsi="Arial" w:cs="Arial"/>
          <w:color w:val="000000"/>
          <w:sz w:val="22"/>
          <w:szCs w:val="22"/>
          <w:lang w:val="es-ES" w:eastAsia="es-ES"/>
        </w:rPr>
        <w:t xml:space="preserve"> incluyendo la solicitud de modificación al protocolo, de ser necesario (enmienda al protocolo) y/o una nueva versió</w:t>
      </w:r>
      <w:r>
        <w:rPr>
          <w:rFonts w:ascii="Arial" w:hAnsi="Arial" w:cs="Arial"/>
          <w:color w:val="000000"/>
          <w:sz w:val="22"/>
          <w:szCs w:val="22"/>
          <w:lang w:val="es-ES" w:eastAsia="es-ES"/>
        </w:rPr>
        <w:t>n del consentimiento informado.</w:t>
      </w:r>
    </w:p>
    <w:p w14:paraId="4B78D522" w14:textId="77777777" w:rsidR="00696C81" w:rsidRPr="00B22A9D" w:rsidRDefault="00696C81" w:rsidP="0013022D">
      <w:pPr>
        <w:pStyle w:val="NormalWeb"/>
        <w:spacing w:before="0" w:beforeAutospacing="0" w:after="0" w:afterAutospacing="0" w:line="276" w:lineRule="auto"/>
        <w:jc w:val="both"/>
        <w:rPr>
          <w:rFonts w:ascii="Arial" w:hAnsi="Arial" w:cs="Arial"/>
          <w:color w:val="000000"/>
          <w:sz w:val="22"/>
          <w:szCs w:val="22"/>
          <w:lang w:val="es-ES" w:eastAsia="es-ES"/>
        </w:rPr>
      </w:pPr>
    </w:p>
    <w:p w14:paraId="2CADEEC0" w14:textId="55DCC981" w:rsidR="002D3790" w:rsidRPr="00696C81" w:rsidRDefault="00696C81" w:rsidP="00187AB0">
      <w:pPr>
        <w:pStyle w:val="NormalWeb"/>
        <w:numPr>
          <w:ilvl w:val="0"/>
          <w:numId w:val="9"/>
        </w:numPr>
        <w:spacing w:before="0" w:beforeAutospacing="0" w:after="0" w:afterAutospacing="0" w:line="276" w:lineRule="auto"/>
        <w:jc w:val="both"/>
        <w:rPr>
          <w:rFonts w:ascii="Arial" w:hAnsi="Arial" w:cs="Arial"/>
          <w:b/>
          <w:color w:val="000000"/>
          <w:sz w:val="22"/>
          <w:szCs w:val="22"/>
          <w:lang w:val="es-ES" w:eastAsia="es-ES"/>
        </w:rPr>
      </w:pPr>
      <w:r w:rsidRPr="00696C81">
        <w:rPr>
          <w:rFonts w:ascii="Arial" w:hAnsi="Arial" w:cs="Arial"/>
          <w:b/>
          <w:color w:val="000000"/>
          <w:sz w:val="22"/>
          <w:szCs w:val="22"/>
          <w:lang w:val="es-ES" w:eastAsia="es-ES"/>
        </w:rPr>
        <w:t>Rol del ente regulador “Invima” en investigación clínica.</w:t>
      </w:r>
      <w:r w:rsidR="00A637DB" w:rsidRPr="00696C81">
        <w:rPr>
          <w:rFonts w:ascii="Arial" w:hAnsi="Arial" w:cs="Arial"/>
          <w:b/>
          <w:color w:val="000000"/>
          <w:sz w:val="22"/>
          <w:szCs w:val="22"/>
          <w:lang w:val="es-ES" w:eastAsia="es-ES"/>
        </w:rPr>
        <w:t xml:space="preserve"> </w:t>
      </w:r>
      <w:r w:rsidRPr="00696C81">
        <w:rPr>
          <w:rFonts w:ascii="Arial" w:hAnsi="Arial" w:cs="Arial"/>
          <w:b/>
          <w:color w:val="000000"/>
          <w:sz w:val="22"/>
          <w:szCs w:val="22"/>
          <w:lang w:val="es-ES" w:eastAsia="es-ES"/>
        </w:rPr>
        <w:t>(</w:t>
      </w:r>
      <w:r w:rsidR="00C21FBF">
        <w:rPr>
          <w:rFonts w:ascii="Arial" w:hAnsi="Arial" w:cs="Arial"/>
          <w:b/>
          <w:color w:val="000000"/>
          <w:sz w:val="22"/>
          <w:szCs w:val="22"/>
          <w:lang w:val="es-ES" w:eastAsia="es-ES"/>
        </w:rPr>
        <w:t>14</w:t>
      </w:r>
      <w:r w:rsidRPr="00696C81">
        <w:rPr>
          <w:rFonts w:ascii="Arial" w:hAnsi="Arial" w:cs="Arial"/>
          <w:b/>
          <w:color w:val="000000"/>
          <w:sz w:val="22"/>
          <w:szCs w:val="22"/>
          <w:lang w:val="es-ES" w:eastAsia="es-ES"/>
        </w:rPr>
        <w:t>)</w:t>
      </w:r>
    </w:p>
    <w:p w14:paraId="27AD11FF" w14:textId="77777777" w:rsidR="006E7B0A" w:rsidRPr="00B22A9D" w:rsidRDefault="006E7B0A" w:rsidP="00EE653F">
      <w:pPr>
        <w:pStyle w:val="NormalWeb"/>
        <w:spacing w:before="0" w:beforeAutospacing="0" w:after="0" w:afterAutospacing="0" w:line="276" w:lineRule="auto"/>
        <w:jc w:val="both"/>
        <w:rPr>
          <w:rFonts w:ascii="Arial" w:hAnsi="Arial" w:cs="Arial"/>
          <w:color w:val="000000"/>
          <w:sz w:val="22"/>
          <w:szCs w:val="22"/>
          <w:lang w:val="es-ES" w:eastAsia="es-ES"/>
        </w:rPr>
      </w:pPr>
    </w:p>
    <w:p w14:paraId="359819BC" w14:textId="0C6ECC36" w:rsidR="00CC5EC6" w:rsidRPr="00B22A9D" w:rsidRDefault="00DD6AC1" w:rsidP="00F62688">
      <w:pPr>
        <w:pStyle w:val="NormalWeb"/>
        <w:spacing w:before="0" w:beforeAutospacing="0" w:after="0" w:afterAutospacing="0" w:line="276" w:lineRule="auto"/>
        <w:jc w:val="both"/>
        <w:rPr>
          <w:rFonts w:ascii="Arial" w:hAnsi="Arial" w:cs="Arial"/>
          <w:color w:val="000000"/>
          <w:sz w:val="22"/>
          <w:szCs w:val="22"/>
          <w:lang w:val="es-ES" w:eastAsia="es-ES"/>
        </w:rPr>
      </w:pPr>
      <w:r w:rsidRPr="00696C81">
        <w:rPr>
          <w:rFonts w:ascii="Arial" w:hAnsi="Arial" w:cs="Arial"/>
          <w:i/>
          <w:color w:val="000000"/>
          <w:sz w:val="22"/>
          <w:szCs w:val="22"/>
          <w:lang w:val="es-ES" w:eastAsia="es-ES"/>
        </w:rPr>
        <w:t>Misión:</w:t>
      </w:r>
      <w:r w:rsidRPr="00B22A9D">
        <w:rPr>
          <w:rFonts w:ascii="Arial" w:hAnsi="Arial" w:cs="Arial"/>
          <w:color w:val="000000"/>
          <w:sz w:val="22"/>
          <w:szCs w:val="22"/>
          <w:lang w:val="es-ES" w:eastAsia="es-ES"/>
        </w:rPr>
        <w:t xml:space="preserve"> </w:t>
      </w:r>
      <w:r w:rsidR="00696C81">
        <w:rPr>
          <w:rFonts w:ascii="Arial" w:hAnsi="Arial" w:cs="Arial"/>
          <w:color w:val="000000"/>
          <w:sz w:val="22"/>
          <w:szCs w:val="22"/>
          <w:lang w:val="es-ES" w:eastAsia="es-ES"/>
        </w:rPr>
        <w:t>p</w:t>
      </w:r>
      <w:r w:rsidR="002D3790" w:rsidRPr="00B22A9D">
        <w:rPr>
          <w:rFonts w:ascii="Arial" w:hAnsi="Arial" w:cs="Arial"/>
          <w:color w:val="000000"/>
          <w:sz w:val="22"/>
          <w:szCs w:val="22"/>
          <w:lang w:val="es-ES" w:eastAsia="es-ES"/>
        </w:rPr>
        <w:t>roteger y promover la salud de la población, mediante la gestión del riesgo asociada al consumo y uso de alimentos, medicamentos, dispositivos médicos y otros productos objeto de vigilancia sanitaria.</w:t>
      </w:r>
    </w:p>
    <w:p w14:paraId="272020AF" w14:textId="77777777" w:rsidR="00F62688" w:rsidRPr="00B22A9D" w:rsidRDefault="00F62688" w:rsidP="00F62688">
      <w:pPr>
        <w:pStyle w:val="NormalWeb"/>
        <w:spacing w:before="0" w:beforeAutospacing="0" w:after="0" w:afterAutospacing="0" w:line="276" w:lineRule="auto"/>
        <w:jc w:val="both"/>
        <w:rPr>
          <w:rFonts w:ascii="Arial" w:hAnsi="Arial" w:cs="Arial"/>
          <w:color w:val="000000"/>
          <w:sz w:val="22"/>
          <w:szCs w:val="22"/>
          <w:lang w:val="es-ES" w:eastAsia="es-ES"/>
        </w:rPr>
      </w:pPr>
    </w:p>
    <w:p w14:paraId="169295D2" w14:textId="77777777" w:rsidR="00DD6AC1" w:rsidRPr="00B22A9D" w:rsidRDefault="00DD6AC1" w:rsidP="00EE653F">
      <w:pPr>
        <w:shd w:val="clear" w:color="auto" w:fill="FFFFFF"/>
        <w:spacing w:after="15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Con la expedición de la Ley 100 de 1993 fue creado el "Sistema General de Seguridad Social en Salud" que cambió y reorganizó la prestación de los servicios de salud e integró la salud pública, el sistema de seguridad social y la provisión de servicios privados.</w:t>
      </w:r>
    </w:p>
    <w:p w14:paraId="108A4E44" w14:textId="77777777" w:rsidR="00DD6AC1" w:rsidRPr="00B22A9D" w:rsidRDefault="00DD6AC1" w:rsidP="00EE653F">
      <w:pPr>
        <w:shd w:val="clear" w:color="auto" w:fill="FFFFFF"/>
        <w:spacing w:after="15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Entre las trascendentales decisiones consignadas en esta norma, su artículo 245 ordenó la creación del Instituto Nacional de Vigilancia de Medicamentos y Alimentos Invima. En ejecución de este mandato fue expedido el Decreto 1290 de 1994, por medio del cual se precisaron las funciones del Invima y se estableció su organización básica. Se definió entonces como naturaleza del Invima ser un establecimiento público del orden nacional, de carácter científico y tecnológico, con personería jurídica, autonomía administrativa y patrimonio independiente, perteneciente al Sistema de Salud y con sujeción a las disposiciones generales que regulan su funcionamiento.</w:t>
      </w:r>
    </w:p>
    <w:p w14:paraId="24E94A4A" w14:textId="77777777" w:rsidR="00DD6AC1" w:rsidRPr="00B22A9D" w:rsidRDefault="00DD6AC1" w:rsidP="00EE653F">
      <w:pPr>
        <w:shd w:val="clear" w:color="auto" w:fill="FFFFFF"/>
        <w:spacing w:after="150"/>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El compromiso del Invima se centra en consolidarse como la agencia de vigilancia sanitaria que Colombia necesita por medio de aspectos tales como:</w:t>
      </w:r>
    </w:p>
    <w:p w14:paraId="24D3CC94" w14:textId="77777777" w:rsidR="00DD6AC1" w:rsidRPr="00B22A9D" w:rsidRDefault="00DD6AC1" w:rsidP="00187AB0">
      <w:pPr>
        <w:numPr>
          <w:ilvl w:val="0"/>
          <w:numId w:val="1"/>
        </w:numPr>
        <w:shd w:val="clear" w:color="auto" w:fill="FFFFFF"/>
        <w:spacing w:before="100" w:beforeAutospacing="1" w:after="100" w:afterAutospacing="1"/>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Fortalecimiento del modelo de Inspección, Vigilancia y Control sanitario basado en la gestión del riesgo en concordancia a las mejores prácticas internacionales adoptadas por agencias sanitarias homólogas de referencia.</w:t>
      </w:r>
    </w:p>
    <w:p w14:paraId="6C5C1F7B" w14:textId="77777777" w:rsidR="00DD6AC1" w:rsidRPr="00B22A9D" w:rsidRDefault="00DD6AC1" w:rsidP="00187AB0">
      <w:pPr>
        <w:numPr>
          <w:ilvl w:val="0"/>
          <w:numId w:val="1"/>
        </w:numPr>
        <w:shd w:val="clear" w:color="auto" w:fill="FFFFFF"/>
        <w:spacing w:before="100" w:beforeAutospacing="1" w:after="100" w:afterAutospacing="1"/>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Mejoramiento de las capacidades institucionales para la aplicación de medidas sanitarias por medio de la apertura de los procesos jurídicos y de responsabilidad sanitaria.</w:t>
      </w:r>
    </w:p>
    <w:p w14:paraId="2530AA18" w14:textId="77777777" w:rsidR="00DD6AC1" w:rsidRPr="00B22A9D" w:rsidRDefault="00DD6AC1" w:rsidP="00187AB0">
      <w:pPr>
        <w:numPr>
          <w:ilvl w:val="0"/>
          <w:numId w:val="1"/>
        </w:numPr>
        <w:shd w:val="clear" w:color="auto" w:fill="FFFFFF"/>
        <w:spacing w:before="100" w:beforeAutospacing="1" w:after="100" w:afterAutospacing="1"/>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Acciones regidas por la transparencia, oportunidad, eficiencia, idoneidad técnica y científica.</w:t>
      </w:r>
    </w:p>
    <w:p w14:paraId="56FA30A9" w14:textId="77777777" w:rsidR="00DD6AC1" w:rsidRPr="00B22A9D" w:rsidRDefault="00DD6AC1" w:rsidP="00187AB0">
      <w:pPr>
        <w:numPr>
          <w:ilvl w:val="0"/>
          <w:numId w:val="1"/>
        </w:numPr>
        <w:shd w:val="clear" w:color="auto" w:fill="FFFFFF"/>
        <w:spacing w:before="100" w:beforeAutospacing="1" w:after="100" w:afterAutospacing="1"/>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lastRenderedPageBreak/>
        <w:t>Promoción de la vigilancia activa y el acceso a la información preventiva para el ciudadano con el fin de apoyar la vigilancia post-comercialización de los productos de competencia del Invima.</w:t>
      </w:r>
    </w:p>
    <w:p w14:paraId="5729AA58" w14:textId="77777777" w:rsidR="00DD6AC1" w:rsidRPr="00B22A9D" w:rsidRDefault="00DD6AC1" w:rsidP="00187AB0">
      <w:pPr>
        <w:numPr>
          <w:ilvl w:val="0"/>
          <w:numId w:val="1"/>
        </w:numPr>
        <w:shd w:val="clear" w:color="auto" w:fill="FFFFFF"/>
        <w:spacing w:before="100" w:beforeAutospacing="1" w:after="100" w:afterAutospacing="1"/>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Conformación de la Unidad de Reacción inmediata para apoyar la lucha contra la ilegalidad.</w:t>
      </w:r>
    </w:p>
    <w:p w14:paraId="7478E1D5" w14:textId="77777777" w:rsidR="00DD6AC1" w:rsidRPr="00B22A9D" w:rsidRDefault="00DD6AC1" w:rsidP="00187AB0">
      <w:pPr>
        <w:numPr>
          <w:ilvl w:val="0"/>
          <w:numId w:val="1"/>
        </w:numPr>
        <w:shd w:val="clear" w:color="auto" w:fill="FFFFFF"/>
        <w:spacing w:before="100" w:beforeAutospacing="1" w:after="100" w:afterAutospacing="1"/>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Mejoramiento de la gestión territorial del Instituto por medio de una acción integral en las regiones y de la puesta en marcha de procesos de articulación con otras autoridades las ETS, el ICA, la DIAN, la Policía, las Corporaciones autónomas regionales, y con los Gobiernos departamentales y municipales.</w:t>
      </w:r>
    </w:p>
    <w:p w14:paraId="5C7CAFD9" w14:textId="5C69B5F3" w:rsidR="00DD6AC1" w:rsidRPr="00B22A9D" w:rsidRDefault="00DD6AC1" w:rsidP="00187AB0">
      <w:pPr>
        <w:numPr>
          <w:ilvl w:val="0"/>
          <w:numId w:val="1"/>
        </w:numPr>
        <w:shd w:val="clear" w:color="auto" w:fill="FFFFFF"/>
        <w:spacing w:before="100" w:beforeAutospacing="1" w:after="100" w:afterAutospacing="1"/>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Fortalecimiento a la sanidad port</w:t>
      </w:r>
      <w:r w:rsidR="00696C81">
        <w:rPr>
          <w:rFonts w:ascii="Arial" w:eastAsia="Times New Roman" w:hAnsi="Arial" w:cs="Arial"/>
          <w:color w:val="000000"/>
          <w:lang w:val="es-ES" w:eastAsia="es-ES"/>
        </w:rPr>
        <w:t>uaria mediante la operación en puertos, aeropuertos y pasos f</w:t>
      </w:r>
      <w:r w:rsidRPr="00B22A9D">
        <w:rPr>
          <w:rFonts w:ascii="Arial" w:eastAsia="Times New Roman" w:hAnsi="Arial" w:cs="Arial"/>
          <w:color w:val="000000"/>
          <w:lang w:val="es-ES" w:eastAsia="es-ES"/>
        </w:rPr>
        <w:t>ronterizos para todos los productos de competencia del Instituto.</w:t>
      </w:r>
    </w:p>
    <w:p w14:paraId="36730142" w14:textId="70CD6B46" w:rsidR="00DD6AC1" w:rsidRPr="00B22A9D" w:rsidRDefault="00696C81" w:rsidP="00187AB0">
      <w:pPr>
        <w:numPr>
          <w:ilvl w:val="0"/>
          <w:numId w:val="1"/>
        </w:numPr>
        <w:shd w:val="clear" w:color="auto" w:fill="FFFFFF"/>
        <w:spacing w:before="100" w:beforeAutospacing="1" w:after="100" w:afterAutospacing="1"/>
        <w:jc w:val="both"/>
        <w:rPr>
          <w:rFonts w:ascii="Arial" w:eastAsia="Times New Roman" w:hAnsi="Arial" w:cs="Arial"/>
          <w:color w:val="000000"/>
          <w:lang w:val="es-ES" w:eastAsia="es-ES"/>
        </w:rPr>
      </w:pPr>
      <w:r>
        <w:rPr>
          <w:rFonts w:ascii="Arial" w:eastAsia="Times New Roman" w:hAnsi="Arial" w:cs="Arial"/>
          <w:color w:val="000000"/>
          <w:lang w:val="es-ES" w:eastAsia="es-ES"/>
        </w:rPr>
        <w:t>Fortalecimiento de los laboratorios de r</w:t>
      </w:r>
      <w:r w:rsidR="00DD6AC1" w:rsidRPr="00B22A9D">
        <w:rPr>
          <w:rFonts w:ascii="Arial" w:eastAsia="Times New Roman" w:hAnsi="Arial" w:cs="Arial"/>
          <w:color w:val="000000"/>
          <w:lang w:val="es-ES" w:eastAsia="es-ES"/>
        </w:rPr>
        <w:t>eferencia del Invima de acuerdo a los estándares internacionales en materia de calidad y seguridad de medicamentos, dispositivos médicos e inocuidad de alimentos.</w:t>
      </w:r>
    </w:p>
    <w:p w14:paraId="75040A41" w14:textId="2D3C9BBC" w:rsidR="00DD6AC1" w:rsidRPr="00B22A9D" w:rsidRDefault="00DD6AC1" w:rsidP="00187AB0">
      <w:pPr>
        <w:numPr>
          <w:ilvl w:val="0"/>
          <w:numId w:val="1"/>
        </w:numPr>
        <w:shd w:val="clear" w:color="auto" w:fill="FFFFFF"/>
        <w:spacing w:before="100" w:beforeAutospacing="1" w:after="100" w:afterAutospacing="1"/>
        <w:jc w:val="both"/>
        <w:rPr>
          <w:rFonts w:ascii="Arial" w:eastAsia="Times New Roman" w:hAnsi="Arial" w:cs="Arial"/>
          <w:color w:val="000000"/>
          <w:lang w:val="es-ES" w:eastAsia="es-ES"/>
        </w:rPr>
      </w:pPr>
      <w:r w:rsidRPr="00B22A9D">
        <w:rPr>
          <w:rFonts w:ascii="Arial" w:eastAsia="Times New Roman" w:hAnsi="Arial" w:cs="Arial"/>
          <w:color w:val="000000"/>
          <w:lang w:val="es-ES" w:eastAsia="es-ES"/>
        </w:rPr>
        <w:t>Respuesta estratégica, técnica</w:t>
      </w:r>
      <w:r w:rsidR="00696C81">
        <w:rPr>
          <w:rFonts w:ascii="Arial" w:eastAsia="Times New Roman" w:hAnsi="Arial" w:cs="Arial"/>
          <w:color w:val="000000"/>
          <w:lang w:val="es-ES" w:eastAsia="es-ES"/>
        </w:rPr>
        <w:t xml:space="preserve"> y operativa a los desafíos en competitividad, a</w:t>
      </w:r>
      <w:r w:rsidRPr="00B22A9D">
        <w:rPr>
          <w:rFonts w:ascii="Arial" w:eastAsia="Times New Roman" w:hAnsi="Arial" w:cs="Arial"/>
          <w:color w:val="000000"/>
          <w:lang w:val="es-ES" w:eastAsia="es-ES"/>
        </w:rPr>
        <w:t xml:space="preserve">cceso a mercados </w:t>
      </w:r>
      <w:r w:rsidR="00696C81">
        <w:rPr>
          <w:rFonts w:ascii="Arial" w:eastAsia="Times New Roman" w:hAnsi="Arial" w:cs="Arial"/>
          <w:color w:val="000000"/>
          <w:lang w:val="es-ES" w:eastAsia="es-ES"/>
        </w:rPr>
        <w:t>y cooperación t</w:t>
      </w:r>
      <w:r w:rsidRPr="00B22A9D">
        <w:rPr>
          <w:rFonts w:ascii="Arial" w:eastAsia="Times New Roman" w:hAnsi="Arial" w:cs="Arial"/>
          <w:color w:val="000000"/>
          <w:lang w:val="es-ES" w:eastAsia="es-ES"/>
        </w:rPr>
        <w:t>écnica en el ámbito nacional e internacional.</w:t>
      </w:r>
    </w:p>
    <w:p w14:paraId="21FF7E36" w14:textId="77777777" w:rsidR="00DD6AC1" w:rsidRPr="00B22A9D" w:rsidRDefault="00DD6AC1" w:rsidP="00EE653F">
      <w:pPr>
        <w:pStyle w:val="NormalWeb"/>
        <w:spacing w:after="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Este modelo garantiza que los métodos, datos y resultados reportados sean creíbles, precisos, y que estén protegidos los derechos, integridad y confidencialidad de los sujetos participantes de estudios clínicos. </w:t>
      </w:r>
    </w:p>
    <w:p w14:paraId="6199ACBD" w14:textId="5EA6A0DE" w:rsidR="00DD6AC1" w:rsidRPr="00696C81" w:rsidRDefault="00D200EF" w:rsidP="00355740">
      <w:pPr>
        <w:pStyle w:val="NormalWeb"/>
        <w:spacing w:line="276" w:lineRule="auto"/>
        <w:jc w:val="both"/>
        <w:rPr>
          <w:rFonts w:ascii="Arial" w:hAnsi="Arial" w:cs="Arial"/>
          <w:b/>
          <w:color w:val="000000"/>
          <w:sz w:val="22"/>
          <w:szCs w:val="22"/>
          <w:lang w:val="es-ES" w:eastAsia="es-ES"/>
        </w:rPr>
      </w:pPr>
      <w:r w:rsidRPr="00696C81">
        <w:rPr>
          <w:rFonts w:ascii="Arial" w:hAnsi="Arial" w:cs="Arial"/>
          <w:b/>
          <w:color w:val="000000"/>
          <w:sz w:val="22"/>
          <w:szCs w:val="22"/>
          <w:lang w:val="es-ES" w:eastAsia="es-ES"/>
        </w:rPr>
        <w:t>Actividades</w:t>
      </w:r>
      <w:r w:rsidR="00DD6AC1" w:rsidRPr="00696C81">
        <w:rPr>
          <w:rFonts w:ascii="Arial" w:hAnsi="Arial" w:cs="Arial"/>
          <w:b/>
          <w:color w:val="000000"/>
          <w:sz w:val="22"/>
          <w:szCs w:val="22"/>
          <w:lang w:val="es-ES" w:eastAsia="es-ES"/>
        </w:rPr>
        <w:t xml:space="preserve"> desempeñadas por INVIMA </w:t>
      </w:r>
      <w:r w:rsidR="001E22C2" w:rsidRPr="00696C81">
        <w:rPr>
          <w:rFonts w:ascii="Arial" w:hAnsi="Arial" w:cs="Arial"/>
          <w:b/>
          <w:color w:val="000000"/>
          <w:sz w:val="22"/>
          <w:szCs w:val="22"/>
          <w:lang w:val="es-ES" w:eastAsia="es-ES"/>
        </w:rPr>
        <w:t>–</w:t>
      </w:r>
      <w:r w:rsidR="00DD6AC1" w:rsidRPr="00696C81">
        <w:rPr>
          <w:rFonts w:ascii="Arial" w:hAnsi="Arial" w:cs="Arial"/>
          <w:b/>
          <w:color w:val="000000"/>
          <w:sz w:val="22"/>
          <w:szCs w:val="22"/>
          <w:lang w:val="es-ES" w:eastAsia="es-ES"/>
        </w:rPr>
        <w:t xml:space="preserve"> GIC</w:t>
      </w:r>
      <w:r w:rsidR="001E22C2" w:rsidRPr="00696C81">
        <w:rPr>
          <w:rFonts w:ascii="Arial" w:hAnsi="Arial" w:cs="Arial"/>
          <w:b/>
          <w:color w:val="000000"/>
          <w:sz w:val="22"/>
          <w:szCs w:val="22"/>
          <w:lang w:val="es-ES" w:eastAsia="es-ES"/>
        </w:rPr>
        <w:t xml:space="preserve"> </w:t>
      </w:r>
      <w:r w:rsidR="00696C81" w:rsidRPr="00696C81">
        <w:rPr>
          <w:rFonts w:ascii="Arial" w:hAnsi="Arial" w:cs="Arial"/>
          <w:b/>
          <w:color w:val="000000"/>
          <w:sz w:val="22"/>
          <w:szCs w:val="22"/>
          <w:lang w:val="es-ES" w:eastAsia="es-ES"/>
        </w:rPr>
        <w:t>(</w:t>
      </w:r>
      <w:r w:rsidR="00C21FBF">
        <w:rPr>
          <w:rFonts w:ascii="Arial" w:hAnsi="Arial" w:cs="Arial"/>
          <w:b/>
          <w:color w:val="000000"/>
          <w:sz w:val="22"/>
          <w:szCs w:val="22"/>
          <w:lang w:val="es-ES" w:eastAsia="es-ES"/>
        </w:rPr>
        <w:t>5</w:t>
      </w:r>
      <w:r w:rsidR="00696C81" w:rsidRPr="00696C81">
        <w:rPr>
          <w:rFonts w:ascii="Arial" w:hAnsi="Arial" w:cs="Arial"/>
          <w:b/>
          <w:color w:val="000000"/>
          <w:sz w:val="22"/>
          <w:szCs w:val="22"/>
          <w:lang w:val="es-ES" w:eastAsia="es-ES"/>
        </w:rPr>
        <w:t>)</w:t>
      </w:r>
    </w:p>
    <w:p w14:paraId="167857A6" w14:textId="0F902011" w:rsidR="0017216D" w:rsidRPr="00B22A9D" w:rsidRDefault="0017216D" w:rsidP="0017216D">
      <w:pPr>
        <w:pStyle w:val="NormalWeb"/>
        <w:spacing w:after="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1. Verificar del cumplimiento de las Buenas Prácticas Clínicas (BPC) en las instituciones interesadas en desarrollar estudios clínicos (EC) con medicamentos, para lo cual expide un certificado.</w:t>
      </w:r>
    </w:p>
    <w:p w14:paraId="21C74051" w14:textId="16EC1E16" w:rsidR="0017216D" w:rsidRPr="00B22A9D" w:rsidRDefault="0017216D" w:rsidP="0017216D">
      <w:pPr>
        <w:pStyle w:val="NormalWeb"/>
        <w:spacing w:after="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2. Evaluar y conceptuar sobre los estudios clínicos con medicamentos en seres humanos a realizarse en Colombia, así como los documentos relacionados con el desarrollo de los mismos.</w:t>
      </w:r>
    </w:p>
    <w:p w14:paraId="44A03FCE" w14:textId="732B8D22" w:rsidR="0017216D" w:rsidRPr="00B22A9D" w:rsidRDefault="0017216D" w:rsidP="0017216D">
      <w:pPr>
        <w:pStyle w:val="NormalWeb"/>
        <w:spacing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3. Realizar seguimiento a las instituciones que conducen investigación clínica con medicamentos.</w:t>
      </w:r>
    </w:p>
    <w:p w14:paraId="2F4F6BE4" w14:textId="373EBF2C" w:rsidR="004A19F6" w:rsidRPr="00B22A9D" w:rsidRDefault="004A19F6" w:rsidP="0017216D">
      <w:pPr>
        <w:pStyle w:val="NormalWeb"/>
        <w:spacing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Gestión del riesgo en Investigación Clínica. Manejo de eventos adversos.</w:t>
      </w:r>
      <w:r w:rsidR="00A309CE" w:rsidRPr="00B22A9D">
        <w:rPr>
          <w:rFonts w:ascii="Arial" w:hAnsi="Arial" w:cs="Arial"/>
          <w:color w:val="000000"/>
          <w:sz w:val="22"/>
          <w:szCs w:val="22"/>
          <w:lang w:val="es-ES" w:eastAsia="es-ES"/>
        </w:rPr>
        <w:t xml:space="preserve"> </w:t>
      </w:r>
      <w:r w:rsidR="00696C81">
        <w:rPr>
          <w:rFonts w:ascii="Arial" w:hAnsi="Arial" w:cs="Arial"/>
          <w:color w:val="000000"/>
          <w:sz w:val="22"/>
          <w:szCs w:val="22"/>
          <w:lang w:val="es-ES" w:eastAsia="es-ES"/>
        </w:rPr>
        <w:t>(</w:t>
      </w:r>
      <w:r w:rsidR="00C21FBF">
        <w:rPr>
          <w:rFonts w:ascii="Arial" w:hAnsi="Arial" w:cs="Arial"/>
          <w:color w:val="000000"/>
          <w:sz w:val="22"/>
          <w:szCs w:val="22"/>
          <w:lang w:val="es-ES" w:eastAsia="es-ES"/>
        </w:rPr>
        <w:t>15, 16</w:t>
      </w:r>
      <w:r w:rsidR="00696C81">
        <w:rPr>
          <w:rFonts w:ascii="Arial" w:hAnsi="Arial" w:cs="Arial"/>
          <w:color w:val="000000"/>
          <w:sz w:val="22"/>
          <w:szCs w:val="22"/>
          <w:lang w:val="es-ES" w:eastAsia="es-ES"/>
        </w:rPr>
        <w:t>)</w:t>
      </w:r>
    </w:p>
    <w:p w14:paraId="118B7646" w14:textId="77777777" w:rsidR="006F2F25" w:rsidRPr="00B22A9D" w:rsidRDefault="004A5476" w:rsidP="0075457F">
      <w:pPr>
        <w:pStyle w:val="NormalWeb"/>
        <w:spacing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Las actividades de Gestión de Riesgo desarrolladas por el Grupo de Investigación Clínica del Invima perteneciente a la Dirección de Medicamentos y productos Biológicos, están   definidas en la Guía Modelo de Inspección, Vigilancia y Control basado en Riesgos - IVC SOA. </w:t>
      </w:r>
    </w:p>
    <w:p w14:paraId="09AEECBE" w14:textId="77F66F42" w:rsidR="003F6A2A" w:rsidRPr="00B22A9D" w:rsidRDefault="00FB7C8C" w:rsidP="0075457F">
      <w:pPr>
        <w:pStyle w:val="NormalWeb"/>
        <w:spacing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El Índice de Riesgo Agregado al Proceso de Investigación Clínica está definido por el Riesgo asociado al establecimiento (</w:t>
      </w:r>
      <w:r w:rsidR="0075457F" w:rsidRPr="00B22A9D">
        <w:rPr>
          <w:rFonts w:ascii="Arial" w:hAnsi="Arial" w:cs="Arial"/>
          <w:color w:val="000000"/>
          <w:sz w:val="22"/>
          <w:szCs w:val="22"/>
          <w:lang w:val="es-ES" w:eastAsia="es-ES"/>
        </w:rPr>
        <w:t>variables transversales y variables propias</w:t>
      </w:r>
      <w:r w:rsidRPr="00B22A9D">
        <w:rPr>
          <w:rFonts w:ascii="Arial" w:hAnsi="Arial" w:cs="Arial"/>
          <w:color w:val="000000"/>
          <w:sz w:val="22"/>
          <w:szCs w:val="22"/>
          <w:lang w:val="es-ES" w:eastAsia="es-ES"/>
        </w:rPr>
        <w:t>) y el Índice de Riesgo del producto (sev</w:t>
      </w:r>
      <w:r w:rsidR="0017216D" w:rsidRPr="00B22A9D">
        <w:rPr>
          <w:rFonts w:ascii="Arial" w:hAnsi="Arial" w:cs="Arial"/>
          <w:color w:val="000000"/>
          <w:sz w:val="22"/>
          <w:szCs w:val="22"/>
          <w:lang w:val="es-ES" w:eastAsia="es-ES"/>
        </w:rPr>
        <w:t>eridad, ocurrencia, afectación)</w:t>
      </w:r>
      <w:r w:rsidR="0075457F" w:rsidRPr="00B22A9D">
        <w:rPr>
          <w:rFonts w:ascii="Arial" w:hAnsi="Arial" w:cs="Arial"/>
          <w:color w:val="000000"/>
          <w:sz w:val="22"/>
          <w:szCs w:val="22"/>
          <w:lang w:val="es-ES" w:eastAsia="es-ES"/>
        </w:rPr>
        <w:t xml:space="preserve">. </w:t>
      </w:r>
      <w:r w:rsidR="00B3113A" w:rsidRPr="00B22A9D">
        <w:rPr>
          <w:rFonts w:ascii="Arial" w:hAnsi="Arial" w:cs="Arial"/>
          <w:color w:val="000000"/>
          <w:sz w:val="22"/>
          <w:szCs w:val="22"/>
          <w:lang w:val="es-ES" w:eastAsia="es-ES"/>
        </w:rPr>
        <w:t>Las principales fuentes de información requeridas son:</w:t>
      </w:r>
    </w:p>
    <w:p w14:paraId="12944655" w14:textId="340F1120" w:rsidR="00B3113A" w:rsidRPr="00B22A9D" w:rsidRDefault="00B3113A" w:rsidP="00187AB0">
      <w:pPr>
        <w:pStyle w:val="NormalWeb"/>
        <w:numPr>
          <w:ilvl w:val="0"/>
          <w:numId w:val="7"/>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Resultado de las visitas de inspección – IVC</w:t>
      </w:r>
      <w:r w:rsidR="00696C81">
        <w:rPr>
          <w:rFonts w:ascii="Arial" w:hAnsi="Arial" w:cs="Arial"/>
          <w:color w:val="000000"/>
          <w:sz w:val="22"/>
          <w:szCs w:val="22"/>
          <w:lang w:val="es-ES" w:eastAsia="es-ES"/>
        </w:rPr>
        <w:t>.</w:t>
      </w:r>
    </w:p>
    <w:p w14:paraId="52318B3F" w14:textId="33A9D86F" w:rsidR="00FB7C8C" w:rsidRPr="00B22A9D" w:rsidRDefault="00FB7C8C" w:rsidP="00187AB0">
      <w:pPr>
        <w:pStyle w:val="NormalWeb"/>
        <w:numPr>
          <w:ilvl w:val="0"/>
          <w:numId w:val="7"/>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Resultados de los programas especiales. Esta información se refiere a los resultados de los programas de farmacovigilancia, tecnovigilancia, y el monitoreo de riesgos químicos en alimentos.</w:t>
      </w:r>
    </w:p>
    <w:p w14:paraId="2040D1B1" w14:textId="77777777" w:rsidR="00FB7C8C" w:rsidRPr="00B22A9D" w:rsidRDefault="00FB7C8C" w:rsidP="00187AB0">
      <w:pPr>
        <w:pStyle w:val="NormalWeb"/>
        <w:numPr>
          <w:ilvl w:val="0"/>
          <w:numId w:val="7"/>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lastRenderedPageBreak/>
        <w:t xml:space="preserve">Alertas sanitarias. </w:t>
      </w:r>
    </w:p>
    <w:p w14:paraId="02CA818D" w14:textId="71B92ECB" w:rsidR="00FB7C8C" w:rsidRPr="00B22A9D" w:rsidRDefault="00FB7C8C" w:rsidP="00187AB0">
      <w:pPr>
        <w:pStyle w:val="NormalWeb"/>
        <w:numPr>
          <w:ilvl w:val="0"/>
          <w:numId w:val="7"/>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Resultados de Laboratorio</w:t>
      </w:r>
    </w:p>
    <w:p w14:paraId="68450420" w14:textId="7B478FA2" w:rsidR="00FB7C8C" w:rsidRPr="00B22A9D" w:rsidRDefault="00FB7C8C" w:rsidP="00187AB0">
      <w:pPr>
        <w:pStyle w:val="NormalWeb"/>
        <w:numPr>
          <w:ilvl w:val="0"/>
          <w:numId w:val="7"/>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Medidas sanitarias y sanciones.</w:t>
      </w:r>
    </w:p>
    <w:p w14:paraId="4F874C9C" w14:textId="4110BEE8" w:rsidR="00FB7C8C" w:rsidRPr="00B22A9D" w:rsidRDefault="00FB7C8C" w:rsidP="00187AB0">
      <w:pPr>
        <w:pStyle w:val="NormalWeb"/>
        <w:numPr>
          <w:ilvl w:val="0"/>
          <w:numId w:val="7"/>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Certificaciones BPC</w:t>
      </w:r>
      <w:r w:rsidR="00696C81">
        <w:rPr>
          <w:rFonts w:ascii="Arial" w:hAnsi="Arial" w:cs="Arial"/>
          <w:color w:val="000000"/>
          <w:sz w:val="22"/>
          <w:szCs w:val="22"/>
          <w:lang w:val="es-ES" w:eastAsia="es-ES"/>
        </w:rPr>
        <w:t>.</w:t>
      </w:r>
    </w:p>
    <w:p w14:paraId="7E1B4953" w14:textId="6F358B00" w:rsidR="00FB7C8C" w:rsidRPr="00B22A9D" w:rsidRDefault="00696C81" w:rsidP="00187AB0">
      <w:pPr>
        <w:pStyle w:val="NormalWeb"/>
        <w:numPr>
          <w:ilvl w:val="0"/>
          <w:numId w:val="7"/>
        </w:numPr>
        <w:spacing w:before="0" w:beforeAutospacing="0" w:after="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PQR y d</w:t>
      </w:r>
      <w:r w:rsidR="00FB7C8C" w:rsidRPr="00B22A9D">
        <w:rPr>
          <w:rFonts w:ascii="Arial" w:hAnsi="Arial" w:cs="Arial"/>
          <w:color w:val="000000"/>
          <w:sz w:val="22"/>
          <w:szCs w:val="22"/>
          <w:lang w:val="es-ES" w:eastAsia="es-ES"/>
        </w:rPr>
        <w:t>enuncias.</w:t>
      </w:r>
    </w:p>
    <w:p w14:paraId="14EADA74" w14:textId="5A9F5A12" w:rsidR="004A19F6" w:rsidRPr="00B22A9D" w:rsidRDefault="0022065F" w:rsidP="00EE653F">
      <w:pPr>
        <w:pStyle w:val="NormalWeb"/>
        <w:spacing w:after="0" w:afterAutospacing="0" w:line="276" w:lineRule="auto"/>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Dentro</w:t>
      </w:r>
      <w:r w:rsidR="00D27634" w:rsidRPr="00B22A9D">
        <w:rPr>
          <w:rFonts w:ascii="Arial" w:hAnsi="Arial" w:cs="Arial"/>
          <w:color w:val="000000"/>
          <w:sz w:val="22"/>
          <w:szCs w:val="22"/>
          <w:lang w:val="es-ES" w:eastAsia="es-ES"/>
        </w:rPr>
        <w:t xml:space="preserve"> de l</w:t>
      </w:r>
      <w:r w:rsidR="000B3C20" w:rsidRPr="00B22A9D">
        <w:rPr>
          <w:rFonts w:ascii="Arial" w:hAnsi="Arial" w:cs="Arial"/>
          <w:color w:val="000000"/>
          <w:sz w:val="22"/>
          <w:szCs w:val="22"/>
          <w:lang w:val="es-ES" w:eastAsia="es-ES"/>
        </w:rPr>
        <w:t>a</w:t>
      </w:r>
      <w:r w:rsidR="00D27634" w:rsidRPr="00B22A9D">
        <w:rPr>
          <w:rFonts w:ascii="Arial" w:hAnsi="Arial" w:cs="Arial"/>
          <w:color w:val="000000"/>
          <w:sz w:val="22"/>
          <w:szCs w:val="22"/>
          <w:lang w:val="es-ES" w:eastAsia="es-ES"/>
        </w:rPr>
        <w:t xml:space="preserve"> información</w:t>
      </w:r>
      <w:r w:rsidRPr="00B22A9D">
        <w:rPr>
          <w:rFonts w:ascii="Arial" w:hAnsi="Arial" w:cs="Arial"/>
          <w:color w:val="000000"/>
          <w:sz w:val="22"/>
          <w:szCs w:val="22"/>
          <w:lang w:val="es-ES" w:eastAsia="es-ES"/>
        </w:rPr>
        <w:t xml:space="preserve"> requerida para la gestión del riesgo en el Grupo de Investigación Clínica se encuentra la obtenida a través del programa de </w:t>
      </w:r>
      <w:r w:rsidR="000B3C20" w:rsidRPr="00B22A9D">
        <w:rPr>
          <w:rFonts w:ascii="Arial" w:hAnsi="Arial" w:cs="Arial"/>
          <w:color w:val="000000"/>
          <w:sz w:val="22"/>
          <w:szCs w:val="22"/>
          <w:lang w:val="es-ES" w:eastAsia="es-ES"/>
        </w:rPr>
        <w:t xml:space="preserve">farmacovigilancia </w:t>
      </w:r>
      <w:r w:rsidRPr="00B22A9D">
        <w:rPr>
          <w:rFonts w:ascii="Arial" w:hAnsi="Arial" w:cs="Arial"/>
          <w:color w:val="000000"/>
          <w:sz w:val="22"/>
          <w:szCs w:val="22"/>
          <w:lang w:val="es-ES" w:eastAsia="es-ES"/>
        </w:rPr>
        <w:t>el cual está centrado</w:t>
      </w:r>
      <w:r w:rsidR="000B3C20" w:rsidRPr="00B22A9D">
        <w:rPr>
          <w:rFonts w:ascii="Arial" w:hAnsi="Arial" w:cs="Arial"/>
          <w:color w:val="000000"/>
          <w:sz w:val="22"/>
          <w:szCs w:val="22"/>
          <w:lang w:val="es-ES" w:eastAsia="es-ES"/>
        </w:rPr>
        <w:t xml:space="preserve"> principalmente en la identificación de señales de alerta o seguridad. También se ocupa de analizar y gerenciar los riesgos de los medicamentos una vez éstos han salido a la venta. Pueden así definirse dos fases: el análisis de riesgos y la gestión de riesgos. El análisis identifica, cuantifica y evalúa los riesgos, mientras que la gestión se ocupa de la implementación y seguimiento de las medidas reguladoras adoptadas para la comunicación de los riesgos a los profesionales de la salud o a la población en general, y determina las medidas preventivas. El análisis de riesgos está dirigido hacia el manejo de datos, mientras que la gestión de riesgos está orientada a las acciones o medidas tomadas. Las decisiones adoptadas constituyen el nexo que vincula los dos campos. Después del ingreso de datos, según las buenas prácticas, se realizará el análisis de riesgos en tres pasos para aplic</w:t>
      </w:r>
      <w:r w:rsidR="002A4CBF" w:rsidRPr="00B22A9D">
        <w:rPr>
          <w:rFonts w:ascii="Arial" w:hAnsi="Arial" w:cs="Arial"/>
          <w:color w:val="000000"/>
          <w:sz w:val="22"/>
          <w:szCs w:val="22"/>
          <w:lang w:val="es-ES" w:eastAsia="es-ES"/>
        </w:rPr>
        <w:t>ar luego la gestión de riesgos.</w:t>
      </w:r>
    </w:p>
    <w:p w14:paraId="5C08B4C9" w14:textId="77777777" w:rsidR="00BC6836" w:rsidRPr="00B22A9D" w:rsidRDefault="00BC6836" w:rsidP="00BC6836">
      <w:pPr>
        <w:pStyle w:val="NormalWeb"/>
        <w:spacing w:before="0" w:beforeAutospacing="0" w:after="0" w:afterAutospacing="0"/>
        <w:jc w:val="both"/>
        <w:rPr>
          <w:rFonts w:ascii="Arial" w:hAnsi="Arial" w:cs="Arial"/>
          <w:color w:val="000000"/>
          <w:sz w:val="22"/>
          <w:szCs w:val="22"/>
          <w:lang w:val="es-ES" w:eastAsia="es-ES"/>
        </w:rPr>
      </w:pPr>
    </w:p>
    <w:p w14:paraId="681DFABD" w14:textId="77777777" w:rsidR="00696C81" w:rsidRDefault="00696C81" w:rsidP="00BC6836">
      <w:pPr>
        <w:pStyle w:val="NormalWeb"/>
        <w:spacing w:before="0" w:beforeAutospacing="0" w:after="0" w:afterAutospacing="0"/>
        <w:jc w:val="both"/>
        <w:rPr>
          <w:rFonts w:ascii="Arial" w:hAnsi="Arial" w:cs="Arial"/>
          <w:color w:val="000000"/>
          <w:sz w:val="22"/>
          <w:szCs w:val="22"/>
          <w:lang w:val="es-ES" w:eastAsia="es-ES"/>
        </w:rPr>
      </w:pPr>
    </w:p>
    <w:p w14:paraId="786740A8" w14:textId="5DF709F4" w:rsidR="002731CD" w:rsidRPr="0019786F" w:rsidRDefault="00696C81" w:rsidP="002E595A">
      <w:pPr>
        <w:pStyle w:val="NormalWeb"/>
        <w:numPr>
          <w:ilvl w:val="0"/>
          <w:numId w:val="9"/>
        </w:numPr>
        <w:spacing w:before="0" w:beforeAutospacing="0" w:after="0" w:afterAutospacing="0"/>
        <w:jc w:val="both"/>
        <w:rPr>
          <w:rFonts w:ascii="Arial" w:hAnsi="Arial" w:cs="Arial"/>
          <w:color w:val="000000"/>
          <w:lang w:val="en-US" w:eastAsia="es-ES"/>
        </w:rPr>
      </w:pPr>
      <w:r w:rsidRPr="0019786F">
        <w:rPr>
          <w:rFonts w:ascii="Arial" w:hAnsi="Arial" w:cs="Arial"/>
          <w:b/>
          <w:color w:val="000000"/>
          <w:sz w:val="22"/>
          <w:szCs w:val="22"/>
          <w:lang w:val="es-ES" w:eastAsia="es-ES"/>
        </w:rPr>
        <w:t>Bibliografía.</w:t>
      </w:r>
    </w:p>
    <w:p w14:paraId="29E889D0" w14:textId="22BF1EC9" w:rsidR="009E6037" w:rsidRDefault="009E6037" w:rsidP="00027906">
      <w:pPr>
        <w:pStyle w:val="NormalWeb"/>
        <w:spacing w:before="0" w:beforeAutospacing="0" w:after="0" w:afterAutospacing="0"/>
        <w:jc w:val="both"/>
        <w:rPr>
          <w:rFonts w:ascii="Arial" w:hAnsi="Arial" w:cs="Arial"/>
          <w:color w:val="000000"/>
          <w:sz w:val="22"/>
          <w:szCs w:val="22"/>
          <w:lang w:val="es-ES" w:eastAsia="es-ES"/>
        </w:rPr>
      </w:pPr>
    </w:p>
    <w:p w14:paraId="19A9BF51" w14:textId="3EAF872C" w:rsidR="002731CD" w:rsidRPr="00B22A9D" w:rsidRDefault="002731CD" w:rsidP="002731CD">
      <w:pPr>
        <w:pStyle w:val="NormalWeb"/>
        <w:numPr>
          <w:ilvl w:val="0"/>
          <w:numId w:val="16"/>
        </w:numPr>
        <w:spacing w:before="0" w:beforeAutospacing="0" w:after="0" w:afterAutospacing="0"/>
        <w:jc w:val="both"/>
        <w:rPr>
          <w:rFonts w:ascii="Arial" w:hAnsi="Arial" w:cs="Arial"/>
          <w:sz w:val="22"/>
          <w:szCs w:val="22"/>
          <w:lang w:val="es-ES" w:eastAsia="es-ES"/>
        </w:rPr>
      </w:pPr>
      <w:r w:rsidRPr="00B22A9D">
        <w:rPr>
          <w:rFonts w:ascii="Arial" w:hAnsi="Arial" w:cs="Arial"/>
          <w:color w:val="000000"/>
          <w:sz w:val="22"/>
          <w:szCs w:val="22"/>
          <w:lang w:val="es-ES" w:eastAsia="es-ES"/>
        </w:rPr>
        <w:t xml:space="preserve">ABC Buenas Prácticas Clínicas. Invima. Ministerio de la Protección </w:t>
      </w:r>
      <w:bookmarkStart w:id="4" w:name="_GoBack"/>
      <w:bookmarkEnd w:id="4"/>
      <w:r w:rsidR="00FA4567" w:rsidRPr="00B22A9D">
        <w:rPr>
          <w:rFonts w:ascii="Arial" w:hAnsi="Arial" w:cs="Arial"/>
          <w:color w:val="000000"/>
          <w:sz w:val="22"/>
          <w:szCs w:val="22"/>
          <w:lang w:val="es-ES" w:eastAsia="es-ES"/>
        </w:rPr>
        <w:t>Social.</w:t>
      </w:r>
      <w:r w:rsidRPr="00B22A9D">
        <w:rPr>
          <w:rFonts w:ascii="Arial" w:hAnsi="Arial" w:cs="Arial"/>
          <w:color w:val="000000"/>
          <w:sz w:val="22"/>
          <w:szCs w:val="22"/>
          <w:lang w:val="es-ES" w:eastAsia="es-ES"/>
        </w:rPr>
        <w:t xml:space="preserve"> Bogotá, D.C. 2009 Disponible en:</w:t>
      </w:r>
      <w:hyperlink r:id="rId16" w:history="1">
        <w:r w:rsidRPr="00B22A9D">
          <w:rPr>
            <w:rFonts w:ascii="Arial" w:hAnsi="Arial" w:cs="Arial"/>
            <w:color w:val="000000"/>
            <w:sz w:val="22"/>
            <w:szCs w:val="22"/>
            <w:lang w:val="es-ES"/>
          </w:rPr>
          <w:t>https://www.invima.gov.co/documents/20143/790879/ABCBPCultima_version.pdf</w:t>
        </w:r>
      </w:hyperlink>
    </w:p>
    <w:p w14:paraId="201D51F5" w14:textId="77777777" w:rsidR="002731CD" w:rsidRPr="00B22A9D" w:rsidRDefault="002731CD" w:rsidP="002731CD">
      <w:pPr>
        <w:pStyle w:val="NormalWeb"/>
        <w:spacing w:before="0" w:beforeAutospacing="0" w:after="0" w:afterAutospacing="0"/>
        <w:ind w:left="720"/>
        <w:jc w:val="both"/>
        <w:rPr>
          <w:rFonts w:ascii="Arial" w:hAnsi="Arial" w:cs="Arial"/>
          <w:sz w:val="22"/>
          <w:szCs w:val="22"/>
          <w:lang w:val="es-ES" w:eastAsia="es-ES"/>
        </w:rPr>
      </w:pPr>
    </w:p>
    <w:p w14:paraId="1FDDDB14" w14:textId="77777777" w:rsidR="002731CD" w:rsidRPr="00B22A9D" w:rsidRDefault="002731CD" w:rsidP="002731CD">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2731CD">
        <w:rPr>
          <w:rFonts w:ascii="Arial" w:hAnsi="Arial" w:cs="Arial"/>
          <w:color w:val="000000"/>
          <w:sz w:val="22"/>
          <w:szCs w:val="22"/>
          <w:lang w:val="en-US" w:eastAsia="es-ES"/>
        </w:rPr>
        <w:t xml:space="preserve">ICH Topic E 6 (R1) Guideline for Good Clinical Practice. </w:t>
      </w:r>
      <w:r w:rsidRPr="00B22A9D">
        <w:rPr>
          <w:rFonts w:ascii="Arial" w:hAnsi="Arial" w:cs="Arial"/>
          <w:color w:val="000000"/>
          <w:sz w:val="22"/>
          <w:szCs w:val="22"/>
          <w:lang w:val="es-ES" w:eastAsia="es-ES"/>
        </w:rPr>
        <w:t>EMEA European Medicines Agency July 2002</w:t>
      </w:r>
    </w:p>
    <w:p w14:paraId="00913B27" w14:textId="77777777" w:rsidR="002731CD" w:rsidRDefault="002731CD" w:rsidP="002731CD">
      <w:pPr>
        <w:pStyle w:val="NormalWeb"/>
        <w:spacing w:before="0" w:beforeAutospacing="0" w:after="0" w:afterAutospacing="0"/>
        <w:ind w:left="720"/>
        <w:jc w:val="both"/>
        <w:rPr>
          <w:rFonts w:ascii="Arial" w:hAnsi="Arial" w:cs="Arial"/>
          <w:color w:val="000000"/>
          <w:sz w:val="22"/>
          <w:szCs w:val="22"/>
          <w:lang w:val="es-ES"/>
        </w:rPr>
      </w:pPr>
      <w:r w:rsidRPr="00B22A9D">
        <w:rPr>
          <w:rFonts w:ascii="Arial" w:hAnsi="Arial" w:cs="Arial"/>
          <w:color w:val="000000"/>
          <w:sz w:val="22"/>
          <w:szCs w:val="22"/>
          <w:lang w:val="es-ES" w:eastAsia="es-ES"/>
        </w:rPr>
        <w:t xml:space="preserve">CPMP/ICH/135/95.  Disponible en:  </w:t>
      </w:r>
      <w:hyperlink r:id="rId17" w:history="1">
        <w:r w:rsidRPr="00B22A9D">
          <w:rPr>
            <w:rFonts w:ascii="Arial" w:hAnsi="Arial" w:cs="Arial"/>
            <w:color w:val="000000"/>
            <w:sz w:val="22"/>
            <w:szCs w:val="22"/>
            <w:lang w:val="es-ES"/>
          </w:rPr>
          <w:t xml:space="preserve">https://www.ema.europa.eu/en/documents/scientific-guideline/ich-e6-r1-guideline-good-clinical </w:t>
        </w:r>
        <w:r w:rsidRPr="00B22A9D">
          <w:rPr>
            <w:rFonts w:ascii="Arial" w:hAnsi="Arial" w:cs="Arial"/>
            <w:color w:val="000000"/>
            <w:sz w:val="22"/>
            <w:szCs w:val="22"/>
            <w:lang w:val="es-ES"/>
          </w:rPr>
          <w:tab/>
          <w:t>practice_en.pdf</w:t>
        </w:r>
      </w:hyperlink>
    </w:p>
    <w:p w14:paraId="5E687CA7" w14:textId="77777777" w:rsidR="002731CD" w:rsidRDefault="002731CD" w:rsidP="002731CD">
      <w:pPr>
        <w:pStyle w:val="NormalWeb"/>
        <w:spacing w:before="0" w:beforeAutospacing="0" w:after="0" w:afterAutospacing="0"/>
        <w:ind w:left="720"/>
        <w:jc w:val="both"/>
        <w:rPr>
          <w:rFonts w:ascii="Arial" w:hAnsi="Arial" w:cs="Arial"/>
          <w:color w:val="000000"/>
          <w:sz w:val="22"/>
          <w:szCs w:val="22"/>
          <w:lang w:val="es-ES"/>
        </w:rPr>
      </w:pPr>
    </w:p>
    <w:p w14:paraId="10232104" w14:textId="38D7C31F" w:rsidR="002731CD" w:rsidRPr="002731CD" w:rsidRDefault="002731CD" w:rsidP="002731CD">
      <w:pPr>
        <w:pStyle w:val="NormalWeb"/>
        <w:numPr>
          <w:ilvl w:val="0"/>
          <w:numId w:val="16"/>
        </w:numPr>
        <w:spacing w:before="0" w:beforeAutospacing="0" w:after="0" w:afterAutospacing="0"/>
        <w:jc w:val="both"/>
        <w:rPr>
          <w:rFonts w:ascii="Arial" w:hAnsi="Arial" w:cs="Arial"/>
          <w:color w:val="000000"/>
          <w:sz w:val="22"/>
          <w:szCs w:val="22"/>
          <w:lang w:val="es-ES"/>
        </w:rPr>
      </w:pPr>
      <w:r w:rsidRPr="002731CD">
        <w:rPr>
          <w:rFonts w:ascii="Arial" w:hAnsi="Arial" w:cs="Arial"/>
          <w:color w:val="000000"/>
          <w:sz w:val="22"/>
          <w:szCs w:val="22"/>
          <w:lang w:val="es-ES" w:eastAsia="es-ES"/>
        </w:rPr>
        <w:t>Osorio Lyda. Lo que todos debemos saber de las buenas prácticas clínicas. Biomédica 2015;35:274-84.</w:t>
      </w:r>
    </w:p>
    <w:p w14:paraId="485C1875" w14:textId="77777777" w:rsidR="002731CD" w:rsidRPr="002731CD" w:rsidRDefault="002731CD" w:rsidP="002731CD">
      <w:pPr>
        <w:pStyle w:val="NormalWeb"/>
        <w:spacing w:before="0" w:beforeAutospacing="0" w:after="0" w:afterAutospacing="0"/>
        <w:jc w:val="both"/>
        <w:rPr>
          <w:rFonts w:ascii="Arial" w:hAnsi="Arial" w:cs="Arial"/>
          <w:color w:val="000000"/>
          <w:sz w:val="22"/>
          <w:szCs w:val="22"/>
          <w:lang w:val="es-ES"/>
        </w:rPr>
      </w:pPr>
    </w:p>
    <w:p w14:paraId="7403D150" w14:textId="5F13AA31" w:rsidR="002731CD" w:rsidRPr="00B22A9D" w:rsidRDefault="002731CD" w:rsidP="002731CD">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2731CD">
        <w:rPr>
          <w:rFonts w:ascii="Arial" w:hAnsi="Arial" w:cs="Arial"/>
          <w:color w:val="000000"/>
          <w:sz w:val="22"/>
          <w:szCs w:val="22"/>
          <w:lang w:val="en-US" w:eastAsia="es-ES"/>
        </w:rPr>
        <w:t xml:space="preserve">Handbook For Good Clinical Research Practice (GCP). Guidance For Implementation. World Health       Organization 2002.  </w:t>
      </w:r>
      <w:r w:rsidRPr="00B22A9D">
        <w:rPr>
          <w:rFonts w:ascii="Arial" w:hAnsi="Arial" w:cs="Arial"/>
          <w:color w:val="000000"/>
          <w:sz w:val="22"/>
          <w:szCs w:val="22"/>
          <w:lang w:val="es-ES" w:eastAsia="es-ES"/>
        </w:rPr>
        <w:t xml:space="preserve">Disponible en </w:t>
      </w:r>
      <w:hyperlink r:id="rId18" w:history="1">
        <w:r w:rsidRPr="00B22A9D">
          <w:rPr>
            <w:rFonts w:ascii="Arial" w:hAnsi="Arial" w:cs="Arial"/>
            <w:color w:val="000000"/>
            <w:sz w:val="22"/>
            <w:szCs w:val="22"/>
            <w:lang w:val="es-ES"/>
          </w:rPr>
          <w:t>https://www.who.int/medicines/areas/quality_safety/safety_efficacy/gcp1.pdf</w:t>
        </w:r>
      </w:hyperlink>
    </w:p>
    <w:p w14:paraId="461C4111" w14:textId="77777777" w:rsidR="002731CD" w:rsidRPr="00B22A9D" w:rsidRDefault="002731CD" w:rsidP="002731CD">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Resolución 2378 de 2008: “Por la cual se adoptan las Buenas Prácticas Clínicas para las instituciones que conducen investigación con medicamentos en seres humanos” Disponible en: </w:t>
      </w:r>
      <w:hyperlink r:id="rId19" w:history="1">
        <w:r w:rsidRPr="00B22A9D">
          <w:rPr>
            <w:rFonts w:ascii="Arial" w:hAnsi="Arial" w:cs="Arial"/>
            <w:color w:val="000000"/>
            <w:sz w:val="22"/>
            <w:szCs w:val="22"/>
            <w:lang w:val="es-ES" w:eastAsia="es-ES"/>
          </w:rPr>
          <w:t>https://www.invima.gov.co/documents/20143/453029/Resoluci%C3%B3n+2378+de+2008.pdf/8d07d161-bda3-9e3a-c7ab-4a921ed1c004</w:t>
        </w:r>
      </w:hyperlink>
    </w:p>
    <w:p w14:paraId="5934BA34" w14:textId="77777777" w:rsidR="002731CD" w:rsidRPr="00B22A9D" w:rsidRDefault="002731CD" w:rsidP="002731CD">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Constitución Política de Colombia: Gaceta Constitucional No. 116 de 20 de julio de 1991. Disponible en          </w:t>
      </w:r>
      <w:hyperlink r:id="rId20" w:history="1">
        <w:r w:rsidRPr="00B22A9D">
          <w:rPr>
            <w:rFonts w:ascii="Arial" w:hAnsi="Arial" w:cs="Arial"/>
            <w:color w:val="000000"/>
            <w:sz w:val="22"/>
            <w:szCs w:val="22"/>
            <w:lang w:val="es-ES" w:eastAsia="es-ES"/>
          </w:rPr>
          <w:t>http://www.secretariasenado.gov.co/senado/basedoc/constitucion_politica_1991.html</w:t>
        </w:r>
      </w:hyperlink>
    </w:p>
    <w:p w14:paraId="10AA9A3E" w14:textId="77777777" w:rsidR="002731CD" w:rsidRPr="00B22A9D" w:rsidRDefault="002731CD" w:rsidP="002731CD">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Resolución 8430 de 1993: “Por la cual se establecen las normas científicas, técnicas y administrativas para la investigación en salud.”  Disponible en: </w:t>
      </w:r>
      <w:hyperlink r:id="rId21" w:history="1">
        <w:r w:rsidRPr="00B22A9D">
          <w:rPr>
            <w:rFonts w:ascii="Arial" w:hAnsi="Arial" w:cs="Arial"/>
            <w:color w:val="000000"/>
            <w:sz w:val="22"/>
            <w:szCs w:val="22"/>
            <w:lang w:val="es-ES" w:eastAsia="es-ES"/>
          </w:rPr>
          <w:t>https://www.invima.gov.co/documents/20143/453029/RESOLUCION-8430-DE-1993.pdf/622fd193-b21c-1536-8230-ef53241f8441</w:t>
        </w:r>
      </w:hyperlink>
    </w:p>
    <w:p w14:paraId="5C788425" w14:textId="77777777" w:rsidR="002731CD" w:rsidRPr="00B22A9D" w:rsidRDefault="002731CD" w:rsidP="002731CD">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lastRenderedPageBreak/>
        <w:t xml:space="preserve">Resolución 3823 de 1997: “Por la cual se crea La Comisión Asesora de Ciencia y Tecnología del Ministerio de Salud y se dictan normas para regular las actividades de desarrollo científico en el sector salud.”  Disponible en: </w:t>
      </w:r>
      <w:hyperlink r:id="rId22" w:history="1">
        <w:r w:rsidRPr="00B22A9D">
          <w:rPr>
            <w:rFonts w:ascii="Arial" w:hAnsi="Arial" w:cs="Arial"/>
            <w:color w:val="000000"/>
            <w:sz w:val="22"/>
            <w:szCs w:val="22"/>
            <w:lang w:val="es-ES" w:eastAsia="es-ES"/>
          </w:rPr>
          <w:t>https://www.invima.gov.co/documents/20143/453029/Resoluci%C3%B3n+3823+de+1997.pdf/726c8daf-bcab-7146-4dac-b209d7503f8b</w:t>
        </w:r>
      </w:hyperlink>
    </w:p>
    <w:p w14:paraId="38319502" w14:textId="7F76729D" w:rsidR="002731CD" w:rsidRPr="0019786F" w:rsidRDefault="0019786F" w:rsidP="002731CD">
      <w:pPr>
        <w:pStyle w:val="NormalWeb"/>
        <w:numPr>
          <w:ilvl w:val="0"/>
          <w:numId w:val="16"/>
        </w:numPr>
        <w:jc w:val="both"/>
        <w:rPr>
          <w:rFonts w:ascii="Arial" w:hAnsi="Arial" w:cs="Arial"/>
          <w:color w:val="000000"/>
          <w:lang w:eastAsia="es-ES"/>
        </w:rPr>
      </w:pPr>
      <w:r>
        <w:rPr>
          <w:rFonts w:ascii="Arial" w:hAnsi="Arial" w:cs="Arial"/>
          <w:color w:val="000000"/>
          <w:lang w:val="es-ES" w:eastAsia="es-ES"/>
        </w:rPr>
        <w:t xml:space="preserve">Invima. </w:t>
      </w:r>
      <w:r w:rsidR="002731CD" w:rsidRPr="006F0FB5">
        <w:rPr>
          <w:rFonts w:ascii="Arial" w:hAnsi="Arial" w:cs="Arial"/>
          <w:color w:val="000000"/>
          <w:lang w:eastAsia="es-ES"/>
        </w:rPr>
        <w:t xml:space="preserve">Guía para la selección del investigador principal. </w:t>
      </w:r>
      <w:r w:rsidR="002731CD" w:rsidRPr="0019786F">
        <w:rPr>
          <w:rFonts w:ascii="Arial" w:hAnsi="Arial" w:cs="Arial"/>
          <w:color w:val="000000"/>
          <w:lang w:eastAsia="es-ES"/>
        </w:rPr>
        <w:t>2014.</w:t>
      </w:r>
    </w:p>
    <w:p w14:paraId="3E3CD583" w14:textId="77777777" w:rsidR="00C21FBF" w:rsidRPr="00B22A9D" w:rsidRDefault="00FD715D" w:rsidP="00C21FBF">
      <w:pPr>
        <w:pStyle w:val="NormalWeb"/>
        <w:numPr>
          <w:ilvl w:val="0"/>
          <w:numId w:val="16"/>
        </w:numPr>
        <w:spacing w:before="0" w:beforeAutospacing="0" w:after="0" w:afterAutospacing="0"/>
        <w:jc w:val="both"/>
        <w:rPr>
          <w:rFonts w:ascii="Arial" w:hAnsi="Arial" w:cs="Arial"/>
          <w:color w:val="000000"/>
          <w:sz w:val="22"/>
          <w:szCs w:val="22"/>
          <w:lang w:val="es-ES" w:eastAsia="es-ES"/>
        </w:rPr>
      </w:pPr>
      <w:hyperlink r:id="rId23" w:tgtFrame="_blank" w:tooltip="Resolución 2011020764" w:history="1">
        <w:r w:rsidR="00C21FBF" w:rsidRPr="00B22A9D">
          <w:rPr>
            <w:rFonts w:ascii="Arial" w:hAnsi="Arial" w:cs="Arial"/>
            <w:color w:val="000000"/>
            <w:sz w:val="22"/>
            <w:szCs w:val="22"/>
            <w:lang w:val="es-ES" w:eastAsia="es-ES"/>
          </w:rPr>
          <w:t>Resolución 2011020764 de 2011</w:t>
        </w:r>
      </w:hyperlink>
      <w:r w:rsidR="00C21FBF" w:rsidRPr="00B22A9D">
        <w:rPr>
          <w:rFonts w:ascii="Arial" w:hAnsi="Arial" w:cs="Arial"/>
          <w:color w:val="000000"/>
          <w:sz w:val="22"/>
          <w:szCs w:val="22"/>
          <w:lang w:val="es-ES" w:eastAsia="es-ES"/>
        </w:rPr>
        <w:t xml:space="preserve"> - Por la cual se establece el reglamento relativo al contenido y periodicidad de los reportes de eventos adversos en la fase de investigación clínica con medicamentos en humanos, de que trata el artículo 146 del Decreto 677 de 1995. Disponible en: </w:t>
      </w:r>
      <w:hyperlink r:id="rId24" w:history="1">
        <w:r w:rsidR="00C21FBF" w:rsidRPr="00B22A9D">
          <w:rPr>
            <w:rFonts w:ascii="Arial" w:hAnsi="Arial" w:cs="Arial"/>
            <w:color w:val="000000"/>
            <w:sz w:val="22"/>
            <w:szCs w:val="22"/>
            <w:lang w:val="es-ES" w:eastAsia="es-ES"/>
          </w:rPr>
          <w:t>https://www.invima.gov.co/documents/20143/453029/Resoluci%C3%B3n+2011020764+de+2011.pdf/e4d84d9e-3df4-8155-0eef-f50d81e621f4</w:t>
        </w:r>
      </w:hyperlink>
    </w:p>
    <w:p w14:paraId="4AB7AB31" w14:textId="77777777" w:rsidR="00C21FBF" w:rsidRPr="00B22A9D" w:rsidRDefault="00C21FBF" w:rsidP="00C21FBF">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sz w:val="22"/>
          <w:szCs w:val="22"/>
          <w:lang w:val="es-ES" w:eastAsia="es-ES"/>
        </w:rPr>
        <w:t xml:space="preserve">Guía del Manual del Investigador: Documento elaborado y adaptado a partir de la revisión de la Guía ICH E6 (R1) Guía para Buenas Prácticas Clínicas. Fortalecimiento de las Autoridades Reguladoras </w:t>
      </w:r>
      <w:r w:rsidRPr="00B22A9D">
        <w:rPr>
          <w:rFonts w:ascii="Arial" w:hAnsi="Arial" w:cs="Arial"/>
          <w:sz w:val="22"/>
          <w:szCs w:val="22"/>
          <w:lang w:val="es-ES" w:eastAsia="es-ES"/>
        </w:rPr>
        <w:tab/>
        <w:t xml:space="preserve">Nacionales en el contexto de los Sistemas de Salud Brasilia, Brasil, 06-08 julio 2011. Disponible en </w:t>
      </w:r>
      <w:hyperlink r:id="rId25" w:history="1">
        <w:r w:rsidRPr="00B22A9D">
          <w:rPr>
            <w:rFonts w:ascii="Arial" w:hAnsi="Arial" w:cs="Arial"/>
            <w:color w:val="000000"/>
            <w:sz w:val="22"/>
            <w:szCs w:val="22"/>
            <w:lang w:val="es-ES" w:eastAsia="es-ES"/>
          </w:rPr>
          <w:t>https://www.paho.org/hq/dmdocuments/2011/GT-BPC-2011.pdf</w:t>
        </w:r>
      </w:hyperlink>
      <w:r w:rsidRPr="00B22A9D">
        <w:rPr>
          <w:rFonts w:ascii="Arial" w:hAnsi="Arial" w:cs="Arial"/>
          <w:color w:val="000000"/>
          <w:sz w:val="22"/>
          <w:szCs w:val="22"/>
          <w:lang w:val="es-ES" w:eastAsia="es-ES"/>
        </w:rPr>
        <w:t xml:space="preserve"> </w:t>
      </w:r>
    </w:p>
    <w:p w14:paraId="032F4C00" w14:textId="77777777" w:rsidR="00C21FBF" w:rsidRPr="00B22A9D" w:rsidRDefault="00C21FBF" w:rsidP="00C21FBF">
      <w:pPr>
        <w:pStyle w:val="NormalWeb"/>
        <w:spacing w:before="0" w:beforeAutospacing="0" w:after="0" w:afterAutospacing="0"/>
        <w:ind w:left="720"/>
        <w:jc w:val="both"/>
        <w:rPr>
          <w:rFonts w:ascii="Arial" w:hAnsi="Arial" w:cs="Arial"/>
          <w:color w:val="000000"/>
          <w:sz w:val="22"/>
          <w:szCs w:val="22"/>
          <w:lang w:val="es-ES" w:eastAsia="es-ES"/>
        </w:rPr>
      </w:pPr>
    </w:p>
    <w:p w14:paraId="48833D45" w14:textId="77777777" w:rsidR="00C21FBF" w:rsidRPr="00B22A9D" w:rsidRDefault="00C21FBF" w:rsidP="00C21FBF">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Guía para la evaluación y seguimiento de protocolos de investigación Código: ASS-RSA-GU039 </w:t>
      </w:r>
      <w:r w:rsidRPr="00B22A9D">
        <w:rPr>
          <w:rFonts w:ascii="Arial" w:hAnsi="Arial" w:cs="Arial"/>
          <w:color w:val="000000"/>
          <w:sz w:val="22"/>
          <w:szCs w:val="22"/>
          <w:lang w:val="es-ES" w:eastAsia="es-ES"/>
        </w:rPr>
        <w:tab/>
        <w:t xml:space="preserve">Versión: 04 Fecha de Emisión: 05/03/2019. Disponible en: </w:t>
      </w:r>
      <w:hyperlink r:id="rId26" w:history="1">
        <w:r w:rsidRPr="00B22A9D">
          <w:rPr>
            <w:rFonts w:ascii="Arial" w:hAnsi="Arial" w:cs="Arial"/>
            <w:color w:val="000000"/>
            <w:sz w:val="22"/>
            <w:szCs w:val="22"/>
            <w:lang w:val="es-ES" w:eastAsia="es-ES"/>
          </w:rPr>
          <w:t>https://www.invima.gov.co/documents/20143/1208783/Gui%CC%81a+para+la+evaluacio%CC%81n+y+seguimiento+de+protocolos+de+investigacio%CC%81n+ASS-RSA-GU039v1.pdf/004a03e7-ee7d-9fe0-89af-55a43de7a37d?t=1560791107326</w:t>
        </w:r>
      </w:hyperlink>
    </w:p>
    <w:p w14:paraId="6DD24C6B" w14:textId="77777777" w:rsidR="00C21FBF" w:rsidRPr="00B22A9D" w:rsidRDefault="00C21FBF" w:rsidP="00C21FBF">
      <w:pPr>
        <w:pStyle w:val="NormalWeb"/>
        <w:spacing w:before="0" w:beforeAutospacing="0" w:after="0" w:afterAutospacing="0"/>
        <w:ind w:left="720"/>
        <w:jc w:val="both"/>
        <w:rPr>
          <w:rFonts w:ascii="Arial" w:hAnsi="Arial" w:cs="Arial"/>
          <w:color w:val="000000"/>
          <w:sz w:val="22"/>
          <w:szCs w:val="22"/>
          <w:lang w:val="es-ES" w:eastAsia="es-ES"/>
        </w:rPr>
      </w:pPr>
    </w:p>
    <w:p w14:paraId="37CA993C" w14:textId="77777777" w:rsidR="00C21FBF" w:rsidRPr="00B22A9D" w:rsidRDefault="00C21FBF" w:rsidP="00C21FBF">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Guía Para La Presentación Y Evaluación De Modificaciones Al Manual Del Investigador Código: ASS-RSA -GU037 Versión: 02 Fecha de Emisión: 18/06/2019. Disponible en: </w:t>
      </w:r>
      <w:hyperlink r:id="rId27" w:history="1">
        <w:r w:rsidRPr="00B22A9D">
          <w:rPr>
            <w:rFonts w:ascii="Arial" w:hAnsi="Arial" w:cs="Arial"/>
            <w:color w:val="000000"/>
            <w:sz w:val="22"/>
            <w:szCs w:val="22"/>
            <w:lang w:val="es-ES" w:eastAsia="es-ES"/>
          </w:rPr>
          <w:t>https://www.invima.gov.co/documents/20143/1252100/ASS-RSA-GU037.pdf/840e2247-0077-93a1-f5a1 f24261ec690a?t=1561058438547</w:t>
        </w:r>
      </w:hyperlink>
    </w:p>
    <w:p w14:paraId="190CC336" w14:textId="01E8F83A" w:rsidR="002731CD" w:rsidRDefault="00C21FBF" w:rsidP="002731CD">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Invima: Instituto Nacional de Vigilancia de medicamentos y Alimentos (Intrenet). Bogotá: Invima;2019 (citado 11 dic 2019). Direccionamiento estratégico. Disponible en:</w:t>
      </w:r>
      <w:r w:rsidRPr="00B22A9D">
        <w:rPr>
          <w:rFonts w:ascii="Arial" w:hAnsi="Arial" w:cs="Arial"/>
          <w:sz w:val="22"/>
          <w:szCs w:val="22"/>
          <w:lang w:val="es-ES" w:eastAsia="es-ES"/>
        </w:rPr>
        <w:t xml:space="preserve"> </w:t>
      </w:r>
      <w:hyperlink r:id="rId28" w:history="1">
        <w:r w:rsidRPr="00B22A9D">
          <w:rPr>
            <w:rFonts w:ascii="Arial" w:hAnsi="Arial" w:cs="Arial"/>
            <w:color w:val="000000"/>
            <w:sz w:val="22"/>
            <w:szCs w:val="22"/>
            <w:lang w:val="es-ES" w:eastAsia="es-ES"/>
          </w:rPr>
          <w:t>https://www.invima.gov.co/que-hacemos</w:t>
        </w:r>
      </w:hyperlink>
    </w:p>
    <w:p w14:paraId="25601CEF" w14:textId="3D11013B" w:rsidR="00C21FBF" w:rsidRPr="00B22A9D" w:rsidRDefault="00C21FBF" w:rsidP="00C21FBF">
      <w:pPr>
        <w:pStyle w:val="NormalWeb"/>
        <w:numPr>
          <w:ilvl w:val="0"/>
          <w:numId w:val="16"/>
        </w:numPr>
        <w:spacing w:before="0" w:beforeAutospacing="0" w:after="0" w:afterAutospacing="0"/>
        <w:jc w:val="both"/>
        <w:rPr>
          <w:rFonts w:ascii="Arial" w:hAnsi="Arial" w:cs="Arial"/>
          <w:sz w:val="22"/>
          <w:szCs w:val="22"/>
          <w:lang w:val="es-ES" w:eastAsia="es-ES"/>
        </w:rPr>
      </w:pPr>
      <w:r w:rsidRPr="00B22A9D">
        <w:rPr>
          <w:rFonts w:ascii="Arial" w:hAnsi="Arial" w:cs="Arial"/>
          <w:color w:val="000000"/>
          <w:sz w:val="22"/>
          <w:szCs w:val="22"/>
          <w:lang w:val="es-ES" w:eastAsia="es-ES"/>
        </w:rPr>
        <w:t xml:space="preserve">Red PARF Documento Técnico No. Red Panamericana para la Armonización de la Reglamentación Farmacéutica, Washington, DC, </w:t>
      </w:r>
      <w:r w:rsidR="00FA4567" w:rsidRPr="00B22A9D">
        <w:rPr>
          <w:rFonts w:ascii="Arial" w:hAnsi="Arial" w:cs="Arial"/>
          <w:color w:val="000000"/>
          <w:sz w:val="22"/>
          <w:szCs w:val="22"/>
          <w:lang w:val="es-ES" w:eastAsia="es-ES"/>
        </w:rPr>
        <w:t>diciembre</w:t>
      </w:r>
      <w:r w:rsidRPr="00B22A9D">
        <w:rPr>
          <w:rFonts w:ascii="Arial" w:hAnsi="Arial" w:cs="Arial"/>
          <w:color w:val="000000"/>
          <w:sz w:val="22"/>
          <w:szCs w:val="22"/>
          <w:lang w:val="es-ES" w:eastAsia="es-ES"/>
        </w:rPr>
        <w:t xml:space="preserve"> de 2013 Biblioteca Sede OPS – Catalogación en la fuente Organización Panamericana de la Salud. Planes de Gestión de Riesgos para las Américas. Washington, D.C.: OPS, © 2013. (Red PARF Documento Técnico No.). 47 páginas. ISBN. Disponible en:  </w:t>
      </w:r>
      <w:hyperlink r:id="rId29" w:history="1">
        <w:r w:rsidRPr="00B22A9D">
          <w:rPr>
            <w:rFonts w:ascii="Arial" w:hAnsi="Arial" w:cs="Arial"/>
            <w:color w:val="000000"/>
            <w:sz w:val="22"/>
            <w:szCs w:val="22"/>
            <w:lang w:val="es-ES" w:eastAsia="es-ES"/>
          </w:rPr>
          <w:t>https://www.paho.org/hq/dmdocuments/2014/Consulta-planes-de-gestion-de-riesgo.pdf</w:t>
        </w:r>
      </w:hyperlink>
    </w:p>
    <w:p w14:paraId="7342B983" w14:textId="77777777" w:rsidR="00C21FBF" w:rsidRPr="00B22A9D" w:rsidRDefault="00C21FBF" w:rsidP="00C21FBF">
      <w:pPr>
        <w:pStyle w:val="NormalWeb"/>
        <w:spacing w:before="0" w:beforeAutospacing="0" w:after="0" w:afterAutospacing="0"/>
        <w:ind w:left="720"/>
        <w:jc w:val="both"/>
        <w:rPr>
          <w:rFonts w:ascii="Arial" w:hAnsi="Arial" w:cs="Arial"/>
          <w:color w:val="000000"/>
          <w:sz w:val="22"/>
          <w:szCs w:val="22"/>
          <w:lang w:val="es-ES" w:eastAsia="es-ES"/>
        </w:rPr>
      </w:pPr>
    </w:p>
    <w:p w14:paraId="61D3DBBC" w14:textId="66E88109" w:rsidR="00C21FBF" w:rsidRDefault="00C21FBF" w:rsidP="00C21FBF">
      <w:pPr>
        <w:pStyle w:val="NormalWeb"/>
        <w:numPr>
          <w:ilvl w:val="0"/>
          <w:numId w:val="16"/>
        </w:numPr>
        <w:spacing w:before="0" w:beforeAutospacing="0" w:after="0" w:afterAutospacing="0"/>
        <w:jc w:val="both"/>
        <w:rPr>
          <w:rFonts w:ascii="Arial" w:hAnsi="Arial" w:cs="Arial"/>
          <w:color w:val="000000"/>
          <w:sz w:val="22"/>
          <w:szCs w:val="22"/>
          <w:lang w:val="es-ES" w:eastAsia="es-ES"/>
        </w:rPr>
      </w:pPr>
      <w:r w:rsidRPr="00B22A9D">
        <w:rPr>
          <w:rFonts w:ascii="Arial" w:hAnsi="Arial" w:cs="Arial"/>
          <w:color w:val="000000"/>
          <w:sz w:val="22"/>
          <w:szCs w:val="22"/>
          <w:lang w:val="es-ES" w:eastAsia="es-ES"/>
        </w:rPr>
        <w:t xml:space="preserve">Guía Modelo de Inspección, Vigilancia y Control basado en Riesgos - IVC SOA Versión 1.0 - </w:t>
      </w:r>
      <w:r w:rsidR="00FA4567" w:rsidRPr="00B22A9D">
        <w:rPr>
          <w:rFonts w:ascii="Arial" w:hAnsi="Arial" w:cs="Arial"/>
          <w:color w:val="000000"/>
          <w:sz w:val="22"/>
          <w:szCs w:val="22"/>
          <w:lang w:val="es-ES" w:eastAsia="es-ES"/>
        </w:rPr>
        <w:t>septiembre</w:t>
      </w:r>
      <w:r w:rsidRPr="00B22A9D">
        <w:rPr>
          <w:rFonts w:ascii="Arial" w:hAnsi="Arial" w:cs="Arial"/>
          <w:color w:val="000000"/>
          <w:sz w:val="22"/>
          <w:szCs w:val="22"/>
          <w:lang w:val="es-ES" w:eastAsia="es-ES"/>
        </w:rPr>
        <w:t xml:space="preserve"> 2014</w:t>
      </w:r>
      <w:r w:rsidRPr="00B22A9D">
        <w:rPr>
          <w:rFonts w:ascii="Arial" w:hAnsi="Arial" w:cs="Arial"/>
          <w:sz w:val="22"/>
          <w:szCs w:val="22"/>
          <w:lang w:val="es-ES" w:eastAsia="es-ES"/>
        </w:rPr>
        <w:t>.</w:t>
      </w:r>
      <w:r w:rsidRPr="00B22A9D">
        <w:rPr>
          <w:rFonts w:ascii="Arial" w:hAnsi="Arial" w:cs="Arial"/>
          <w:color w:val="000000"/>
          <w:sz w:val="22"/>
          <w:szCs w:val="22"/>
          <w:lang w:val="es-ES" w:eastAsia="es-ES"/>
        </w:rPr>
        <w:t xml:space="preserve"> Unidad de Riesgos - Dirección General Bogotá, D. C. - Colombia</w:t>
      </w:r>
      <w:r w:rsidRPr="00B22A9D">
        <w:rPr>
          <w:rFonts w:ascii="Arial" w:hAnsi="Arial" w:cs="Arial"/>
          <w:sz w:val="22"/>
          <w:szCs w:val="22"/>
          <w:lang w:val="es-ES" w:eastAsia="es-ES"/>
        </w:rPr>
        <w:t xml:space="preserve"> </w:t>
      </w:r>
      <w:r w:rsidRPr="00B22A9D">
        <w:rPr>
          <w:rFonts w:ascii="Arial" w:hAnsi="Arial" w:cs="Arial"/>
          <w:sz w:val="22"/>
          <w:szCs w:val="22"/>
          <w:lang w:val="es-ES" w:eastAsia="es-ES"/>
        </w:rPr>
        <w:tab/>
        <w:t xml:space="preserve">Disponible en:  </w:t>
      </w:r>
      <w:hyperlink r:id="rId30" w:history="1">
        <w:r w:rsidRPr="00B22A9D">
          <w:rPr>
            <w:rFonts w:ascii="Arial" w:hAnsi="Arial" w:cs="Arial"/>
            <w:color w:val="000000"/>
            <w:sz w:val="22"/>
            <w:szCs w:val="22"/>
            <w:lang w:val="es-ES" w:eastAsia="es-ES"/>
          </w:rPr>
          <w:t>https://www.invima.gov.co/documents/20143/611185/Gu%C3%ADa+de+riesgos+IVC+SOA.pdf/c1468cd4-14c8-541d-0a49-19d7b3a2af1d</w:t>
        </w:r>
      </w:hyperlink>
    </w:p>
    <w:p w14:paraId="618779FF" w14:textId="77777777" w:rsidR="00C21FBF" w:rsidRPr="00B22A9D" w:rsidRDefault="00C21FBF" w:rsidP="0019786F">
      <w:pPr>
        <w:pStyle w:val="NormalWeb"/>
        <w:spacing w:before="0" w:beforeAutospacing="0" w:after="0" w:afterAutospacing="0"/>
        <w:ind w:left="720"/>
        <w:jc w:val="both"/>
        <w:rPr>
          <w:rFonts w:ascii="Arial" w:hAnsi="Arial" w:cs="Arial"/>
          <w:color w:val="000000"/>
          <w:sz w:val="22"/>
          <w:szCs w:val="22"/>
          <w:lang w:val="es-ES" w:eastAsia="es-ES"/>
        </w:rPr>
      </w:pPr>
    </w:p>
    <w:sectPr w:rsidR="00C21FBF" w:rsidRPr="00B22A9D" w:rsidSect="00DF44D6">
      <w:type w:val="continuous"/>
      <w:pgSz w:w="12240" w:h="15840"/>
      <w:pgMar w:top="1418" w:right="1418"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D7C4BD" w16cid:durableId="21AF9EAB"/>
  <w16cid:commentId w16cid:paraId="48A34A52" w16cid:durableId="21AF9F4E"/>
  <w16cid:commentId w16cid:paraId="3B670674" w16cid:durableId="21AF9FF6"/>
  <w16cid:commentId w16cid:paraId="7A6F61BC" w16cid:durableId="21AFA010"/>
  <w16cid:commentId w16cid:paraId="1E056215" w16cid:durableId="21AFA03A"/>
  <w16cid:commentId w16cid:paraId="4F9091F9" w16cid:durableId="21AFA0A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E3B80" w14:textId="77777777" w:rsidR="00FD715D" w:rsidRDefault="00FD715D" w:rsidP="00FE66D9">
      <w:pPr>
        <w:spacing w:after="0" w:line="240" w:lineRule="auto"/>
      </w:pPr>
      <w:r>
        <w:separator/>
      </w:r>
    </w:p>
  </w:endnote>
  <w:endnote w:type="continuationSeparator" w:id="0">
    <w:p w14:paraId="4ACC9CF2" w14:textId="77777777" w:rsidR="00FD715D" w:rsidRDefault="00FD715D" w:rsidP="00FE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25246" w14:textId="77777777" w:rsidR="00FD715D" w:rsidRDefault="00FD715D" w:rsidP="00FE66D9">
      <w:pPr>
        <w:spacing w:after="0" w:line="240" w:lineRule="auto"/>
      </w:pPr>
      <w:r>
        <w:separator/>
      </w:r>
    </w:p>
  </w:footnote>
  <w:footnote w:type="continuationSeparator" w:id="0">
    <w:p w14:paraId="70D5862E" w14:textId="77777777" w:rsidR="00FD715D" w:rsidRDefault="00FD715D" w:rsidP="00FE6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58EE"/>
    <w:multiLevelType w:val="hybridMultilevel"/>
    <w:tmpl w:val="31A60D9E"/>
    <w:lvl w:ilvl="0" w:tplc="4500938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5DF11AE"/>
    <w:multiLevelType w:val="hybridMultilevel"/>
    <w:tmpl w:val="D07E18C4"/>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925EE"/>
    <w:multiLevelType w:val="hybridMultilevel"/>
    <w:tmpl w:val="6FAC8ED0"/>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02601"/>
    <w:multiLevelType w:val="hybridMultilevel"/>
    <w:tmpl w:val="82407720"/>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3169F"/>
    <w:multiLevelType w:val="hybridMultilevel"/>
    <w:tmpl w:val="3CD07F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7D579D"/>
    <w:multiLevelType w:val="hybridMultilevel"/>
    <w:tmpl w:val="8F9245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B486688"/>
    <w:multiLevelType w:val="hybridMultilevel"/>
    <w:tmpl w:val="8A9C27B8"/>
    <w:lvl w:ilvl="0" w:tplc="240A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4673704A"/>
    <w:multiLevelType w:val="hybridMultilevel"/>
    <w:tmpl w:val="3AB0C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C7E2AE3"/>
    <w:multiLevelType w:val="hybridMultilevel"/>
    <w:tmpl w:val="EF308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C933BAA"/>
    <w:multiLevelType w:val="hybridMultilevel"/>
    <w:tmpl w:val="3E8AC4B8"/>
    <w:lvl w:ilvl="0" w:tplc="7276A3E0">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6FE68A0"/>
    <w:multiLevelType w:val="hybridMultilevel"/>
    <w:tmpl w:val="1BE0EA38"/>
    <w:lvl w:ilvl="0" w:tplc="2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B795E"/>
    <w:multiLevelType w:val="hybridMultilevel"/>
    <w:tmpl w:val="D27C9A6C"/>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A2550"/>
    <w:multiLevelType w:val="hybridMultilevel"/>
    <w:tmpl w:val="750CB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1A50801"/>
    <w:multiLevelType w:val="hybridMultilevel"/>
    <w:tmpl w:val="8330374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2C77ADE"/>
    <w:multiLevelType w:val="multilevel"/>
    <w:tmpl w:val="B5B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B7163"/>
    <w:multiLevelType w:val="multilevel"/>
    <w:tmpl w:val="913068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5"/>
  </w:num>
  <w:num w:numId="3">
    <w:abstractNumId w:val="0"/>
  </w:num>
  <w:num w:numId="4">
    <w:abstractNumId w:val="13"/>
  </w:num>
  <w:num w:numId="5">
    <w:abstractNumId w:val="4"/>
  </w:num>
  <w:num w:numId="6">
    <w:abstractNumId w:val="8"/>
  </w:num>
  <w:num w:numId="7">
    <w:abstractNumId w:val="12"/>
  </w:num>
  <w:num w:numId="8">
    <w:abstractNumId w:val="7"/>
  </w:num>
  <w:num w:numId="9">
    <w:abstractNumId w:val="15"/>
  </w:num>
  <w:num w:numId="10">
    <w:abstractNumId w:val="3"/>
  </w:num>
  <w:num w:numId="11">
    <w:abstractNumId w:val="2"/>
  </w:num>
  <w:num w:numId="12">
    <w:abstractNumId w:val="6"/>
  </w:num>
  <w:num w:numId="13">
    <w:abstractNumId w:val="11"/>
  </w:num>
  <w:num w:numId="14">
    <w:abstractNumId w:val="1"/>
  </w:num>
  <w:num w:numId="15">
    <w:abstractNumId w:val="10"/>
  </w:num>
  <w:num w:numId="1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0E3"/>
    <w:rsid w:val="00000436"/>
    <w:rsid w:val="00015973"/>
    <w:rsid w:val="00020C71"/>
    <w:rsid w:val="000211AA"/>
    <w:rsid w:val="000217E9"/>
    <w:rsid w:val="00022DEC"/>
    <w:rsid w:val="00022E2B"/>
    <w:rsid w:val="00027906"/>
    <w:rsid w:val="00030F99"/>
    <w:rsid w:val="00033179"/>
    <w:rsid w:val="00036F7D"/>
    <w:rsid w:val="0004760D"/>
    <w:rsid w:val="00067139"/>
    <w:rsid w:val="0007275A"/>
    <w:rsid w:val="00077DE9"/>
    <w:rsid w:val="00082D38"/>
    <w:rsid w:val="000A0742"/>
    <w:rsid w:val="000B3C20"/>
    <w:rsid w:val="000D5977"/>
    <w:rsid w:val="000D76BB"/>
    <w:rsid w:val="00104709"/>
    <w:rsid w:val="0010783C"/>
    <w:rsid w:val="00107E38"/>
    <w:rsid w:val="00110910"/>
    <w:rsid w:val="00120CAC"/>
    <w:rsid w:val="0013022D"/>
    <w:rsid w:val="00153376"/>
    <w:rsid w:val="001600DC"/>
    <w:rsid w:val="001676A5"/>
    <w:rsid w:val="0017216D"/>
    <w:rsid w:val="0017247F"/>
    <w:rsid w:val="00175272"/>
    <w:rsid w:val="00187AB0"/>
    <w:rsid w:val="0019786F"/>
    <w:rsid w:val="001A1C9A"/>
    <w:rsid w:val="001B1891"/>
    <w:rsid w:val="001B51CB"/>
    <w:rsid w:val="001B5A85"/>
    <w:rsid w:val="001B5F01"/>
    <w:rsid w:val="001B6051"/>
    <w:rsid w:val="001B6FC5"/>
    <w:rsid w:val="001C5376"/>
    <w:rsid w:val="001E22C2"/>
    <w:rsid w:val="00203975"/>
    <w:rsid w:val="002056EA"/>
    <w:rsid w:val="00207894"/>
    <w:rsid w:val="0022065F"/>
    <w:rsid w:val="00232933"/>
    <w:rsid w:val="002379B5"/>
    <w:rsid w:val="00240A0A"/>
    <w:rsid w:val="00240CE5"/>
    <w:rsid w:val="00242AEF"/>
    <w:rsid w:val="00266414"/>
    <w:rsid w:val="002731CD"/>
    <w:rsid w:val="002A1D56"/>
    <w:rsid w:val="002A29DC"/>
    <w:rsid w:val="002A4CBF"/>
    <w:rsid w:val="002C024C"/>
    <w:rsid w:val="002D1501"/>
    <w:rsid w:val="002D3790"/>
    <w:rsid w:val="002D5925"/>
    <w:rsid w:val="002F16CA"/>
    <w:rsid w:val="002F40A5"/>
    <w:rsid w:val="002F7072"/>
    <w:rsid w:val="00305360"/>
    <w:rsid w:val="00312621"/>
    <w:rsid w:val="00326322"/>
    <w:rsid w:val="003362A5"/>
    <w:rsid w:val="00355740"/>
    <w:rsid w:val="00356F43"/>
    <w:rsid w:val="00364A80"/>
    <w:rsid w:val="00370AA7"/>
    <w:rsid w:val="00381903"/>
    <w:rsid w:val="00391789"/>
    <w:rsid w:val="00391D78"/>
    <w:rsid w:val="003970C1"/>
    <w:rsid w:val="003A4D26"/>
    <w:rsid w:val="003B16B7"/>
    <w:rsid w:val="003C15A0"/>
    <w:rsid w:val="003E3CFD"/>
    <w:rsid w:val="003E4A3A"/>
    <w:rsid w:val="003F4CD4"/>
    <w:rsid w:val="003F6A2A"/>
    <w:rsid w:val="00400373"/>
    <w:rsid w:val="00401038"/>
    <w:rsid w:val="00402E11"/>
    <w:rsid w:val="0041445A"/>
    <w:rsid w:val="00420FFB"/>
    <w:rsid w:val="0042398C"/>
    <w:rsid w:val="004269FA"/>
    <w:rsid w:val="00465D02"/>
    <w:rsid w:val="00482670"/>
    <w:rsid w:val="004830FD"/>
    <w:rsid w:val="00495C43"/>
    <w:rsid w:val="004A19F6"/>
    <w:rsid w:val="004A5476"/>
    <w:rsid w:val="004B23D5"/>
    <w:rsid w:val="004C0291"/>
    <w:rsid w:val="004C0656"/>
    <w:rsid w:val="004C3BB4"/>
    <w:rsid w:val="004C4FF6"/>
    <w:rsid w:val="004C7499"/>
    <w:rsid w:val="004E1CDB"/>
    <w:rsid w:val="004E6CD4"/>
    <w:rsid w:val="004F459E"/>
    <w:rsid w:val="004F7943"/>
    <w:rsid w:val="00502BD9"/>
    <w:rsid w:val="005134E0"/>
    <w:rsid w:val="005327FB"/>
    <w:rsid w:val="00533196"/>
    <w:rsid w:val="005518E5"/>
    <w:rsid w:val="00576960"/>
    <w:rsid w:val="00580D34"/>
    <w:rsid w:val="005830AE"/>
    <w:rsid w:val="00586B29"/>
    <w:rsid w:val="00587657"/>
    <w:rsid w:val="00591D5B"/>
    <w:rsid w:val="00596B6F"/>
    <w:rsid w:val="005A1E78"/>
    <w:rsid w:val="005C0DED"/>
    <w:rsid w:val="005C1FAA"/>
    <w:rsid w:val="005D05D1"/>
    <w:rsid w:val="005E0ADC"/>
    <w:rsid w:val="005E14AA"/>
    <w:rsid w:val="005E1558"/>
    <w:rsid w:val="005E44F3"/>
    <w:rsid w:val="005E6F26"/>
    <w:rsid w:val="005F39CD"/>
    <w:rsid w:val="006049AF"/>
    <w:rsid w:val="0061232E"/>
    <w:rsid w:val="00613A06"/>
    <w:rsid w:val="00624A0D"/>
    <w:rsid w:val="00650BFA"/>
    <w:rsid w:val="00650F00"/>
    <w:rsid w:val="00655811"/>
    <w:rsid w:val="006765A9"/>
    <w:rsid w:val="00696C81"/>
    <w:rsid w:val="006C1476"/>
    <w:rsid w:val="006C51E2"/>
    <w:rsid w:val="006E2B7E"/>
    <w:rsid w:val="006E7B0A"/>
    <w:rsid w:val="006F0430"/>
    <w:rsid w:val="006F08F8"/>
    <w:rsid w:val="006F0FB5"/>
    <w:rsid w:val="006F2F25"/>
    <w:rsid w:val="00701E67"/>
    <w:rsid w:val="007128C4"/>
    <w:rsid w:val="0072224A"/>
    <w:rsid w:val="00722CB6"/>
    <w:rsid w:val="0072731F"/>
    <w:rsid w:val="00730248"/>
    <w:rsid w:val="00742A12"/>
    <w:rsid w:val="007440E4"/>
    <w:rsid w:val="00750CDF"/>
    <w:rsid w:val="007519E0"/>
    <w:rsid w:val="0075457F"/>
    <w:rsid w:val="00766CD7"/>
    <w:rsid w:val="0078370E"/>
    <w:rsid w:val="007A166C"/>
    <w:rsid w:val="007A1B04"/>
    <w:rsid w:val="007B1D01"/>
    <w:rsid w:val="007B40BB"/>
    <w:rsid w:val="007D7712"/>
    <w:rsid w:val="007E137F"/>
    <w:rsid w:val="007F32A1"/>
    <w:rsid w:val="00814960"/>
    <w:rsid w:val="00816D59"/>
    <w:rsid w:val="0082272C"/>
    <w:rsid w:val="00834D40"/>
    <w:rsid w:val="00835839"/>
    <w:rsid w:val="00856D4D"/>
    <w:rsid w:val="00862253"/>
    <w:rsid w:val="00886B0F"/>
    <w:rsid w:val="00886BA2"/>
    <w:rsid w:val="0088722B"/>
    <w:rsid w:val="00890961"/>
    <w:rsid w:val="00897704"/>
    <w:rsid w:val="008A1C29"/>
    <w:rsid w:val="008A23EC"/>
    <w:rsid w:val="008A4571"/>
    <w:rsid w:val="008B0238"/>
    <w:rsid w:val="008B1285"/>
    <w:rsid w:val="008B35A8"/>
    <w:rsid w:val="008B3621"/>
    <w:rsid w:val="008C0345"/>
    <w:rsid w:val="008C3DB5"/>
    <w:rsid w:val="008C769E"/>
    <w:rsid w:val="008D154D"/>
    <w:rsid w:val="008D306E"/>
    <w:rsid w:val="008E2735"/>
    <w:rsid w:val="008E45F2"/>
    <w:rsid w:val="008F32CD"/>
    <w:rsid w:val="008F69C7"/>
    <w:rsid w:val="00914063"/>
    <w:rsid w:val="00953B40"/>
    <w:rsid w:val="00972616"/>
    <w:rsid w:val="009A04F5"/>
    <w:rsid w:val="009D5F0E"/>
    <w:rsid w:val="009E14D0"/>
    <w:rsid w:val="009E408E"/>
    <w:rsid w:val="009E6037"/>
    <w:rsid w:val="00A05C8C"/>
    <w:rsid w:val="00A22AE3"/>
    <w:rsid w:val="00A2516F"/>
    <w:rsid w:val="00A268D9"/>
    <w:rsid w:val="00A27EE5"/>
    <w:rsid w:val="00A309CE"/>
    <w:rsid w:val="00A339BE"/>
    <w:rsid w:val="00A34563"/>
    <w:rsid w:val="00A3662C"/>
    <w:rsid w:val="00A43C48"/>
    <w:rsid w:val="00A62252"/>
    <w:rsid w:val="00A62E63"/>
    <w:rsid w:val="00A637DB"/>
    <w:rsid w:val="00A661EF"/>
    <w:rsid w:val="00A7047C"/>
    <w:rsid w:val="00A90E98"/>
    <w:rsid w:val="00AB053C"/>
    <w:rsid w:val="00AD16FC"/>
    <w:rsid w:val="00AF334E"/>
    <w:rsid w:val="00B02E2E"/>
    <w:rsid w:val="00B073BF"/>
    <w:rsid w:val="00B22A9D"/>
    <w:rsid w:val="00B2600B"/>
    <w:rsid w:val="00B274FD"/>
    <w:rsid w:val="00B3113A"/>
    <w:rsid w:val="00B50719"/>
    <w:rsid w:val="00B538AF"/>
    <w:rsid w:val="00B55447"/>
    <w:rsid w:val="00B56CF8"/>
    <w:rsid w:val="00B661ED"/>
    <w:rsid w:val="00B71C92"/>
    <w:rsid w:val="00B73881"/>
    <w:rsid w:val="00B77703"/>
    <w:rsid w:val="00B83E62"/>
    <w:rsid w:val="00BC3158"/>
    <w:rsid w:val="00BC6836"/>
    <w:rsid w:val="00BD6E5E"/>
    <w:rsid w:val="00BF632C"/>
    <w:rsid w:val="00C04E69"/>
    <w:rsid w:val="00C21FBF"/>
    <w:rsid w:val="00C31E62"/>
    <w:rsid w:val="00C508E3"/>
    <w:rsid w:val="00C51903"/>
    <w:rsid w:val="00C6036D"/>
    <w:rsid w:val="00C6100E"/>
    <w:rsid w:val="00C62359"/>
    <w:rsid w:val="00C660E3"/>
    <w:rsid w:val="00C77ED3"/>
    <w:rsid w:val="00C81D58"/>
    <w:rsid w:val="00C8475A"/>
    <w:rsid w:val="00C90167"/>
    <w:rsid w:val="00C92297"/>
    <w:rsid w:val="00C95E56"/>
    <w:rsid w:val="00CA0D59"/>
    <w:rsid w:val="00CA1D1B"/>
    <w:rsid w:val="00CB271F"/>
    <w:rsid w:val="00CC5EC6"/>
    <w:rsid w:val="00CC63CF"/>
    <w:rsid w:val="00CF30DC"/>
    <w:rsid w:val="00D073B1"/>
    <w:rsid w:val="00D16113"/>
    <w:rsid w:val="00D200EF"/>
    <w:rsid w:val="00D27634"/>
    <w:rsid w:val="00D32AFD"/>
    <w:rsid w:val="00D34262"/>
    <w:rsid w:val="00D36421"/>
    <w:rsid w:val="00D40A5C"/>
    <w:rsid w:val="00D430DD"/>
    <w:rsid w:val="00D45871"/>
    <w:rsid w:val="00D66C93"/>
    <w:rsid w:val="00D70E30"/>
    <w:rsid w:val="00D72AE5"/>
    <w:rsid w:val="00D76946"/>
    <w:rsid w:val="00D7706F"/>
    <w:rsid w:val="00D90CBD"/>
    <w:rsid w:val="00D971E3"/>
    <w:rsid w:val="00DB3185"/>
    <w:rsid w:val="00DB3C30"/>
    <w:rsid w:val="00DB7FFD"/>
    <w:rsid w:val="00DD6825"/>
    <w:rsid w:val="00DD6AC1"/>
    <w:rsid w:val="00DF0384"/>
    <w:rsid w:val="00DF44D6"/>
    <w:rsid w:val="00E0537C"/>
    <w:rsid w:val="00E106DA"/>
    <w:rsid w:val="00E23704"/>
    <w:rsid w:val="00E2482D"/>
    <w:rsid w:val="00E30380"/>
    <w:rsid w:val="00E338A4"/>
    <w:rsid w:val="00E34968"/>
    <w:rsid w:val="00E41939"/>
    <w:rsid w:val="00E53ADC"/>
    <w:rsid w:val="00E562AC"/>
    <w:rsid w:val="00E6287B"/>
    <w:rsid w:val="00E942C3"/>
    <w:rsid w:val="00E9454D"/>
    <w:rsid w:val="00E96098"/>
    <w:rsid w:val="00EA00F5"/>
    <w:rsid w:val="00EA61A5"/>
    <w:rsid w:val="00EC59B8"/>
    <w:rsid w:val="00ED36D4"/>
    <w:rsid w:val="00ED691C"/>
    <w:rsid w:val="00EE653F"/>
    <w:rsid w:val="00EF0EA6"/>
    <w:rsid w:val="00F04CE4"/>
    <w:rsid w:val="00F07777"/>
    <w:rsid w:val="00F34545"/>
    <w:rsid w:val="00F371D6"/>
    <w:rsid w:val="00F37D05"/>
    <w:rsid w:val="00F42690"/>
    <w:rsid w:val="00F445CF"/>
    <w:rsid w:val="00F4635A"/>
    <w:rsid w:val="00F609E7"/>
    <w:rsid w:val="00F6168B"/>
    <w:rsid w:val="00F62688"/>
    <w:rsid w:val="00F863FF"/>
    <w:rsid w:val="00FA4567"/>
    <w:rsid w:val="00FB4D4F"/>
    <w:rsid w:val="00FB7C8C"/>
    <w:rsid w:val="00FC0D63"/>
    <w:rsid w:val="00FC2B49"/>
    <w:rsid w:val="00FD1316"/>
    <w:rsid w:val="00FD4A7B"/>
    <w:rsid w:val="00FD715D"/>
    <w:rsid w:val="00FE66D9"/>
    <w:rsid w:val="00FE6C52"/>
    <w:rsid w:val="00FF4D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7B604"/>
  <w15:docId w15:val="{7BE569F6-A55D-4C0C-94D2-92846C79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660E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073B1"/>
    <w:pPr>
      <w:ind w:left="720"/>
      <w:contextualSpacing/>
    </w:pPr>
  </w:style>
  <w:style w:type="paragraph" w:customStyle="1" w:styleId="centrado">
    <w:name w:val="centrado"/>
    <w:basedOn w:val="Normal"/>
    <w:rsid w:val="003F4C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baj">
    <w:name w:val="b_aj"/>
    <w:basedOn w:val="Fuentedeprrafopredeter"/>
    <w:rsid w:val="003F4CD4"/>
  </w:style>
  <w:style w:type="character" w:styleId="Hipervnculo">
    <w:name w:val="Hyperlink"/>
    <w:basedOn w:val="Fuentedeprrafopredeter"/>
    <w:uiPriority w:val="99"/>
    <w:unhideWhenUsed/>
    <w:rsid w:val="002D5925"/>
    <w:rPr>
      <w:color w:val="0000FF"/>
      <w:u w:val="single"/>
    </w:rPr>
  </w:style>
  <w:style w:type="paragraph" w:styleId="Encabezado">
    <w:name w:val="header"/>
    <w:basedOn w:val="Normal"/>
    <w:link w:val="EncabezadoCar"/>
    <w:uiPriority w:val="99"/>
    <w:unhideWhenUsed/>
    <w:rsid w:val="00FE66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66D9"/>
  </w:style>
  <w:style w:type="paragraph" w:styleId="Piedepgina">
    <w:name w:val="footer"/>
    <w:basedOn w:val="Normal"/>
    <w:link w:val="PiedepginaCar"/>
    <w:uiPriority w:val="99"/>
    <w:unhideWhenUsed/>
    <w:rsid w:val="00FE66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66D9"/>
  </w:style>
  <w:style w:type="character" w:styleId="Refdecomentario">
    <w:name w:val="annotation reference"/>
    <w:basedOn w:val="Fuentedeprrafopredeter"/>
    <w:uiPriority w:val="99"/>
    <w:semiHidden/>
    <w:unhideWhenUsed/>
    <w:rsid w:val="00FE66D9"/>
    <w:rPr>
      <w:sz w:val="16"/>
      <w:szCs w:val="16"/>
    </w:rPr>
  </w:style>
  <w:style w:type="paragraph" w:styleId="Textocomentario">
    <w:name w:val="annotation text"/>
    <w:basedOn w:val="Normal"/>
    <w:link w:val="TextocomentarioCar"/>
    <w:uiPriority w:val="99"/>
    <w:semiHidden/>
    <w:unhideWhenUsed/>
    <w:rsid w:val="00FE66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66D9"/>
    <w:rPr>
      <w:sz w:val="20"/>
      <w:szCs w:val="20"/>
    </w:rPr>
  </w:style>
  <w:style w:type="paragraph" w:styleId="Asuntodelcomentario">
    <w:name w:val="annotation subject"/>
    <w:basedOn w:val="Textocomentario"/>
    <w:next w:val="Textocomentario"/>
    <w:link w:val="AsuntodelcomentarioCar"/>
    <w:uiPriority w:val="99"/>
    <w:semiHidden/>
    <w:unhideWhenUsed/>
    <w:rsid w:val="00FE66D9"/>
    <w:rPr>
      <w:b/>
      <w:bCs/>
    </w:rPr>
  </w:style>
  <w:style w:type="character" w:customStyle="1" w:styleId="AsuntodelcomentarioCar">
    <w:name w:val="Asunto del comentario Car"/>
    <w:basedOn w:val="TextocomentarioCar"/>
    <w:link w:val="Asuntodelcomentario"/>
    <w:uiPriority w:val="99"/>
    <w:semiHidden/>
    <w:rsid w:val="00FE66D9"/>
    <w:rPr>
      <w:b/>
      <w:bCs/>
      <w:sz w:val="20"/>
      <w:szCs w:val="20"/>
    </w:rPr>
  </w:style>
  <w:style w:type="paragraph" w:styleId="Textodeglobo">
    <w:name w:val="Balloon Text"/>
    <w:basedOn w:val="Normal"/>
    <w:link w:val="TextodegloboCar"/>
    <w:uiPriority w:val="99"/>
    <w:semiHidden/>
    <w:unhideWhenUsed/>
    <w:rsid w:val="00FE66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66D9"/>
    <w:rPr>
      <w:rFonts w:ascii="Segoe UI" w:hAnsi="Segoe UI" w:cs="Segoe UI"/>
      <w:sz w:val="18"/>
      <w:szCs w:val="18"/>
    </w:rPr>
  </w:style>
  <w:style w:type="paragraph" w:styleId="Sinespaciado">
    <w:name w:val="No Spacing"/>
    <w:uiPriority w:val="1"/>
    <w:qFormat/>
    <w:rsid w:val="00DD6825"/>
    <w:pPr>
      <w:spacing w:after="0" w:line="240" w:lineRule="auto"/>
    </w:pPr>
  </w:style>
  <w:style w:type="paragraph" w:styleId="HTMLconformatoprevio">
    <w:name w:val="HTML Preformatted"/>
    <w:basedOn w:val="Normal"/>
    <w:link w:val="HTMLconformatoprevioCar"/>
    <w:uiPriority w:val="99"/>
    <w:semiHidden/>
    <w:unhideWhenUsed/>
    <w:rsid w:val="00077DE9"/>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077DE9"/>
    <w:rPr>
      <w:rFonts w:ascii="Consolas" w:hAnsi="Consolas" w:cs="Consolas"/>
      <w:sz w:val="20"/>
      <w:szCs w:val="20"/>
    </w:rPr>
  </w:style>
  <w:style w:type="table" w:styleId="Tablaconcuadrcula">
    <w:name w:val="Table Grid"/>
    <w:basedOn w:val="Tablanormal"/>
    <w:uiPriority w:val="59"/>
    <w:rsid w:val="0042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64340">
      <w:bodyDiv w:val="1"/>
      <w:marLeft w:val="0"/>
      <w:marRight w:val="0"/>
      <w:marTop w:val="0"/>
      <w:marBottom w:val="0"/>
      <w:divBdr>
        <w:top w:val="none" w:sz="0" w:space="0" w:color="auto"/>
        <w:left w:val="none" w:sz="0" w:space="0" w:color="auto"/>
        <w:bottom w:val="none" w:sz="0" w:space="0" w:color="auto"/>
        <w:right w:val="none" w:sz="0" w:space="0" w:color="auto"/>
      </w:divBdr>
      <w:divsChild>
        <w:div w:id="1502433279">
          <w:marLeft w:val="547"/>
          <w:marRight w:val="0"/>
          <w:marTop w:val="0"/>
          <w:marBottom w:val="0"/>
          <w:divBdr>
            <w:top w:val="none" w:sz="0" w:space="0" w:color="auto"/>
            <w:left w:val="none" w:sz="0" w:space="0" w:color="auto"/>
            <w:bottom w:val="none" w:sz="0" w:space="0" w:color="auto"/>
            <w:right w:val="none" w:sz="0" w:space="0" w:color="auto"/>
          </w:divBdr>
        </w:div>
      </w:divsChild>
    </w:div>
    <w:div w:id="265356694">
      <w:bodyDiv w:val="1"/>
      <w:marLeft w:val="0"/>
      <w:marRight w:val="0"/>
      <w:marTop w:val="0"/>
      <w:marBottom w:val="0"/>
      <w:divBdr>
        <w:top w:val="none" w:sz="0" w:space="0" w:color="auto"/>
        <w:left w:val="none" w:sz="0" w:space="0" w:color="auto"/>
        <w:bottom w:val="none" w:sz="0" w:space="0" w:color="auto"/>
        <w:right w:val="none" w:sz="0" w:space="0" w:color="auto"/>
      </w:divBdr>
    </w:div>
    <w:div w:id="350498398">
      <w:bodyDiv w:val="1"/>
      <w:marLeft w:val="0"/>
      <w:marRight w:val="0"/>
      <w:marTop w:val="0"/>
      <w:marBottom w:val="0"/>
      <w:divBdr>
        <w:top w:val="none" w:sz="0" w:space="0" w:color="auto"/>
        <w:left w:val="none" w:sz="0" w:space="0" w:color="auto"/>
        <w:bottom w:val="none" w:sz="0" w:space="0" w:color="auto"/>
        <w:right w:val="none" w:sz="0" w:space="0" w:color="auto"/>
      </w:divBdr>
    </w:div>
    <w:div w:id="368069865">
      <w:bodyDiv w:val="1"/>
      <w:marLeft w:val="0"/>
      <w:marRight w:val="0"/>
      <w:marTop w:val="0"/>
      <w:marBottom w:val="0"/>
      <w:divBdr>
        <w:top w:val="none" w:sz="0" w:space="0" w:color="auto"/>
        <w:left w:val="none" w:sz="0" w:space="0" w:color="auto"/>
        <w:bottom w:val="none" w:sz="0" w:space="0" w:color="auto"/>
        <w:right w:val="none" w:sz="0" w:space="0" w:color="auto"/>
      </w:divBdr>
    </w:div>
    <w:div w:id="487481816">
      <w:bodyDiv w:val="1"/>
      <w:marLeft w:val="0"/>
      <w:marRight w:val="0"/>
      <w:marTop w:val="0"/>
      <w:marBottom w:val="0"/>
      <w:divBdr>
        <w:top w:val="none" w:sz="0" w:space="0" w:color="auto"/>
        <w:left w:val="none" w:sz="0" w:space="0" w:color="auto"/>
        <w:bottom w:val="none" w:sz="0" w:space="0" w:color="auto"/>
        <w:right w:val="none" w:sz="0" w:space="0" w:color="auto"/>
      </w:divBdr>
      <w:divsChild>
        <w:div w:id="103773719">
          <w:marLeft w:val="0"/>
          <w:marRight w:val="0"/>
          <w:marTop w:val="300"/>
          <w:marBottom w:val="300"/>
          <w:divBdr>
            <w:top w:val="none" w:sz="0" w:space="0" w:color="auto"/>
            <w:left w:val="none" w:sz="0" w:space="0" w:color="auto"/>
            <w:bottom w:val="none" w:sz="0" w:space="0" w:color="auto"/>
            <w:right w:val="none" w:sz="0" w:space="0" w:color="auto"/>
          </w:divBdr>
        </w:div>
        <w:div w:id="1911622207">
          <w:marLeft w:val="0"/>
          <w:marRight w:val="0"/>
          <w:marTop w:val="300"/>
          <w:marBottom w:val="300"/>
          <w:divBdr>
            <w:top w:val="none" w:sz="0" w:space="0" w:color="auto"/>
            <w:left w:val="none" w:sz="0" w:space="0" w:color="auto"/>
            <w:bottom w:val="none" w:sz="0" w:space="0" w:color="auto"/>
            <w:right w:val="none" w:sz="0" w:space="0" w:color="auto"/>
          </w:divBdr>
        </w:div>
      </w:divsChild>
    </w:div>
    <w:div w:id="570888073">
      <w:bodyDiv w:val="1"/>
      <w:marLeft w:val="0"/>
      <w:marRight w:val="0"/>
      <w:marTop w:val="0"/>
      <w:marBottom w:val="0"/>
      <w:divBdr>
        <w:top w:val="none" w:sz="0" w:space="0" w:color="auto"/>
        <w:left w:val="none" w:sz="0" w:space="0" w:color="auto"/>
        <w:bottom w:val="none" w:sz="0" w:space="0" w:color="auto"/>
        <w:right w:val="none" w:sz="0" w:space="0" w:color="auto"/>
      </w:divBdr>
    </w:div>
    <w:div w:id="598879102">
      <w:bodyDiv w:val="1"/>
      <w:marLeft w:val="0"/>
      <w:marRight w:val="0"/>
      <w:marTop w:val="0"/>
      <w:marBottom w:val="0"/>
      <w:divBdr>
        <w:top w:val="none" w:sz="0" w:space="0" w:color="auto"/>
        <w:left w:val="none" w:sz="0" w:space="0" w:color="auto"/>
        <w:bottom w:val="none" w:sz="0" w:space="0" w:color="auto"/>
        <w:right w:val="none" w:sz="0" w:space="0" w:color="auto"/>
      </w:divBdr>
    </w:div>
    <w:div w:id="726879662">
      <w:bodyDiv w:val="1"/>
      <w:marLeft w:val="0"/>
      <w:marRight w:val="0"/>
      <w:marTop w:val="0"/>
      <w:marBottom w:val="0"/>
      <w:divBdr>
        <w:top w:val="none" w:sz="0" w:space="0" w:color="auto"/>
        <w:left w:val="none" w:sz="0" w:space="0" w:color="auto"/>
        <w:bottom w:val="none" w:sz="0" w:space="0" w:color="auto"/>
        <w:right w:val="none" w:sz="0" w:space="0" w:color="auto"/>
      </w:divBdr>
      <w:divsChild>
        <w:div w:id="2136213816">
          <w:marLeft w:val="547"/>
          <w:marRight w:val="0"/>
          <w:marTop w:val="0"/>
          <w:marBottom w:val="0"/>
          <w:divBdr>
            <w:top w:val="none" w:sz="0" w:space="0" w:color="auto"/>
            <w:left w:val="none" w:sz="0" w:space="0" w:color="auto"/>
            <w:bottom w:val="none" w:sz="0" w:space="0" w:color="auto"/>
            <w:right w:val="none" w:sz="0" w:space="0" w:color="auto"/>
          </w:divBdr>
        </w:div>
      </w:divsChild>
    </w:div>
    <w:div w:id="778183682">
      <w:bodyDiv w:val="1"/>
      <w:marLeft w:val="0"/>
      <w:marRight w:val="0"/>
      <w:marTop w:val="0"/>
      <w:marBottom w:val="0"/>
      <w:divBdr>
        <w:top w:val="none" w:sz="0" w:space="0" w:color="auto"/>
        <w:left w:val="none" w:sz="0" w:space="0" w:color="auto"/>
        <w:bottom w:val="none" w:sz="0" w:space="0" w:color="auto"/>
        <w:right w:val="none" w:sz="0" w:space="0" w:color="auto"/>
      </w:divBdr>
      <w:divsChild>
        <w:div w:id="241304010">
          <w:marLeft w:val="547"/>
          <w:marRight w:val="0"/>
          <w:marTop w:val="0"/>
          <w:marBottom w:val="0"/>
          <w:divBdr>
            <w:top w:val="none" w:sz="0" w:space="0" w:color="auto"/>
            <w:left w:val="none" w:sz="0" w:space="0" w:color="auto"/>
            <w:bottom w:val="none" w:sz="0" w:space="0" w:color="auto"/>
            <w:right w:val="none" w:sz="0" w:space="0" w:color="auto"/>
          </w:divBdr>
        </w:div>
      </w:divsChild>
    </w:div>
    <w:div w:id="892614620">
      <w:bodyDiv w:val="1"/>
      <w:marLeft w:val="0"/>
      <w:marRight w:val="0"/>
      <w:marTop w:val="0"/>
      <w:marBottom w:val="0"/>
      <w:divBdr>
        <w:top w:val="none" w:sz="0" w:space="0" w:color="auto"/>
        <w:left w:val="none" w:sz="0" w:space="0" w:color="auto"/>
        <w:bottom w:val="none" w:sz="0" w:space="0" w:color="auto"/>
        <w:right w:val="none" w:sz="0" w:space="0" w:color="auto"/>
      </w:divBdr>
    </w:div>
    <w:div w:id="963653718">
      <w:bodyDiv w:val="1"/>
      <w:marLeft w:val="0"/>
      <w:marRight w:val="0"/>
      <w:marTop w:val="0"/>
      <w:marBottom w:val="0"/>
      <w:divBdr>
        <w:top w:val="none" w:sz="0" w:space="0" w:color="auto"/>
        <w:left w:val="none" w:sz="0" w:space="0" w:color="auto"/>
        <w:bottom w:val="none" w:sz="0" w:space="0" w:color="auto"/>
        <w:right w:val="none" w:sz="0" w:space="0" w:color="auto"/>
      </w:divBdr>
      <w:divsChild>
        <w:div w:id="1720471946">
          <w:marLeft w:val="547"/>
          <w:marRight w:val="0"/>
          <w:marTop w:val="0"/>
          <w:marBottom w:val="0"/>
          <w:divBdr>
            <w:top w:val="none" w:sz="0" w:space="0" w:color="auto"/>
            <w:left w:val="none" w:sz="0" w:space="0" w:color="auto"/>
            <w:bottom w:val="none" w:sz="0" w:space="0" w:color="auto"/>
            <w:right w:val="none" w:sz="0" w:space="0" w:color="auto"/>
          </w:divBdr>
        </w:div>
      </w:divsChild>
    </w:div>
    <w:div w:id="973103516">
      <w:bodyDiv w:val="1"/>
      <w:marLeft w:val="0"/>
      <w:marRight w:val="0"/>
      <w:marTop w:val="0"/>
      <w:marBottom w:val="0"/>
      <w:divBdr>
        <w:top w:val="none" w:sz="0" w:space="0" w:color="auto"/>
        <w:left w:val="none" w:sz="0" w:space="0" w:color="auto"/>
        <w:bottom w:val="none" w:sz="0" w:space="0" w:color="auto"/>
        <w:right w:val="none" w:sz="0" w:space="0" w:color="auto"/>
      </w:divBdr>
    </w:div>
    <w:div w:id="1066805985">
      <w:bodyDiv w:val="1"/>
      <w:marLeft w:val="0"/>
      <w:marRight w:val="0"/>
      <w:marTop w:val="0"/>
      <w:marBottom w:val="0"/>
      <w:divBdr>
        <w:top w:val="none" w:sz="0" w:space="0" w:color="auto"/>
        <w:left w:val="none" w:sz="0" w:space="0" w:color="auto"/>
        <w:bottom w:val="none" w:sz="0" w:space="0" w:color="auto"/>
        <w:right w:val="none" w:sz="0" w:space="0" w:color="auto"/>
      </w:divBdr>
    </w:div>
    <w:div w:id="1184593694">
      <w:bodyDiv w:val="1"/>
      <w:marLeft w:val="0"/>
      <w:marRight w:val="0"/>
      <w:marTop w:val="0"/>
      <w:marBottom w:val="0"/>
      <w:divBdr>
        <w:top w:val="none" w:sz="0" w:space="0" w:color="auto"/>
        <w:left w:val="none" w:sz="0" w:space="0" w:color="auto"/>
        <w:bottom w:val="none" w:sz="0" w:space="0" w:color="auto"/>
        <w:right w:val="none" w:sz="0" w:space="0" w:color="auto"/>
      </w:divBdr>
      <w:divsChild>
        <w:div w:id="276526881">
          <w:marLeft w:val="0"/>
          <w:marRight w:val="0"/>
          <w:marTop w:val="0"/>
          <w:marBottom w:val="0"/>
          <w:divBdr>
            <w:top w:val="none" w:sz="0" w:space="0" w:color="auto"/>
            <w:left w:val="none" w:sz="0" w:space="0" w:color="auto"/>
            <w:bottom w:val="none" w:sz="0" w:space="0" w:color="auto"/>
            <w:right w:val="none" w:sz="0" w:space="0" w:color="auto"/>
          </w:divBdr>
          <w:divsChild>
            <w:div w:id="837815164">
              <w:marLeft w:val="0"/>
              <w:marRight w:val="0"/>
              <w:marTop w:val="0"/>
              <w:marBottom w:val="0"/>
              <w:divBdr>
                <w:top w:val="none" w:sz="0" w:space="0" w:color="auto"/>
                <w:left w:val="none" w:sz="0" w:space="0" w:color="auto"/>
                <w:bottom w:val="none" w:sz="0" w:space="0" w:color="auto"/>
                <w:right w:val="none" w:sz="0" w:space="0" w:color="auto"/>
              </w:divBdr>
            </w:div>
          </w:divsChild>
        </w:div>
        <w:div w:id="1067341832">
          <w:marLeft w:val="0"/>
          <w:marRight w:val="0"/>
          <w:marTop w:val="0"/>
          <w:marBottom w:val="0"/>
          <w:divBdr>
            <w:top w:val="none" w:sz="0" w:space="0" w:color="auto"/>
            <w:left w:val="none" w:sz="0" w:space="0" w:color="auto"/>
            <w:bottom w:val="none" w:sz="0" w:space="0" w:color="auto"/>
            <w:right w:val="none" w:sz="0" w:space="0" w:color="auto"/>
          </w:divBdr>
          <w:divsChild>
            <w:div w:id="1782407480">
              <w:marLeft w:val="0"/>
              <w:marRight w:val="0"/>
              <w:marTop w:val="0"/>
              <w:marBottom w:val="0"/>
              <w:divBdr>
                <w:top w:val="none" w:sz="0" w:space="0" w:color="auto"/>
                <w:left w:val="none" w:sz="0" w:space="0" w:color="auto"/>
                <w:bottom w:val="none" w:sz="0" w:space="0" w:color="auto"/>
                <w:right w:val="none" w:sz="0" w:space="0" w:color="auto"/>
              </w:divBdr>
            </w:div>
          </w:divsChild>
        </w:div>
        <w:div w:id="1019622102">
          <w:marLeft w:val="0"/>
          <w:marRight w:val="0"/>
          <w:marTop w:val="0"/>
          <w:marBottom w:val="0"/>
          <w:divBdr>
            <w:top w:val="none" w:sz="0" w:space="0" w:color="auto"/>
            <w:left w:val="none" w:sz="0" w:space="0" w:color="auto"/>
            <w:bottom w:val="none" w:sz="0" w:space="0" w:color="auto"/>
            <w:right w:val="none" w:sz="0" w:space="0" w:color="auto"/>
          </w:divBdr>
          <w:divsChild>
            <w:div w:id="10358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4190">
      <w:bodyDiv w:val="1"/>
      <w:marLeft w:val="0"/>
      <w:marRight w:val="0"/>
      <w:marTop w:val="0"/>
      <w:marBottom w:val="0"/>
      <w:divBdr>
        <w:top w:val="none" w:sz="0" w:space="0" w:color="auto"/>
        <w:left w:val="none" w:sz="0" w:space="0" w:color="auto"/>
        <w:bottom w:val="none" w:sz="0" w:space="0" w:color="auto"/>
        <w:right w:val="none" w:sz="0" w:space="0" w:color="auto"/>
      </w:divBdr>
    </w:div>
    <w:div w:id="1284851068">
      <w:bodyDiv w:val="1"/>
      <w:marLeft w:val="0"/>
      <w:marRight w:val="0"/>
      <w:marTop w:val="0"/>
      <w:marBottom w:val="0"/>
      <w:divBdr>
        <w:top w:val="none" w:sz="0" w:space="0" w:color="auto"/>
        <w:left w:val="none" w:sz="0" w:space="0" w:color="auto"/>
        <w:bottom w:val="none" w:sz="0" w:space="0" w:color="auto"/>
        <w:right w:val="none" w:sz="0" w:space="0" w:color="auto"/>
      </w:divBdr>
      <w:divsChild>
        <w:div w:id="970287480">
          <w:marLeft w:val="547"/>
          <w:marRight w:val="0"/>
          <w:marTop w:val="0"/>
          <w:marBottom w:val="0"/>
          <w:divBdr>
            <w:top w:val="none" w:sz="0" w:space="0" w:color="auto"/>
            <w:left w:val="none" w:sz="0" w:space="0" w:color="auto"/>
            <w:bottom w:val="none" w:sz="0" w:space="0" w:color="auto"/>
            <w:right w:val="none" w:sz="0" w:space="0" w:color="auto"/>
          </w:divBdr>
        </w:div>
      </w:divsChild>
    </w:div>
    <w:div w:id="1523586538">
      <w:bodyDiv w:val="1"/>
      <w:marLeft w:val="0"/>
      <w:marRight w:val="0"/>
      <w:marTop w:val="0"/>
      <w:marBottom w:val="0"/>
      <w:divBdr>
        <w:top w:val="none" w:sz="0" w:space="0" w:color="auto"/>
        <w:left w:val="none" w:sz="0" w:space="0" w:color="auto"/>
        <w:bottom w:val="none" w:sz="0" w:space="0" w:color="auto"/>
        <w:right w:val="none" w:sz="0" w:space="0" w:color="auto"/>
      </w:divBdr>
    </w:div>
    <w:div w:id="1929850407">
      <w:bodyDiv w:val="1"/>
      <w:marLeft w:val="0"/>
      <w:marRight w:val="0"/>
      <w:marTop w:val="0"/>
      <w:marBottom w:val="0"/>
      <w:divBdr>
        <w:top w:val="none" w:sz="0" w:space="0" w:color="auto"/>
        <w:left w:val="none" w:sz="0" w:space="0" w:color="auto"/>
        <w:bottom w:val="none" w:sz="0" w:space="0" w:color="auto"/>
        <w:right w:val="none" w:sz="0" w:space="0" w:color="auto"/>
      </w:divBdr>
      <w:divsChild>
        <w:div w:id="1057402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www.who.int/medicines/areas/quality_safety/safety_efficacy/gcp1.pdf" TargetMode="External"/><Relationship Id="rId26" Type="http://schemas.openxmlformats.org/officeDocument/2006/relationships/hyperlink" Target="https://www.invima.gov.co/documents/20143/1208783/Gui%CC%81a+para+la+evaluacio%CC%81n+y+seguimiento+de+protocolos+de+investigacio%CC%81n+ASS-RSA-GU039v1.pdf/004a03e7-ee7d-9fe0-89af-55a43de7a37d?t=1560791107326" TargetMode="External"/><Relationship Id="rId3" Type="http://schemas.openxmlformats.org/officeDocument/2006/relationships/numbering" Target="numbering.xml"/><Relationship Id="rId21" Type="http://schemas.openxmlformats.org/officeDocument/2006/relationships/hyperlink" Target="https://www.invima.gov.co/documents/20143/453029/RESOLUCION-8430-DE-1993.pdf/622fd193-b21c-1536-8230-ef53241f8441"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s://www.ema.europa.eu/en/documents/scientific-guideline/ich-e6-r1-guideline-good-clinical%20%09practice_en.pdf" TargetMode="External"/><Relationship Id="rId25" Type="http://schemas.openxmlformats.org/officeDocument/2006/relationships/hyperlink" Target="https://www.paho.org/hq/dmdocuments/2011/GT-BPC-2011.pdf" TargetMode="External"/><Relationship Id="rId2" Type="http://schemas.openxmlformats.org/officeDocument/2006/relationships/customXml" Target="../customXml/item2.xml"/><Relationship Id="rId16" Type="http://schemas.openxmlformats.org/officeDocument/2006/relationships/hyperlink" Target="https://www.invima.gov.co/documents/20143/790879/ABCBPCultima_version.pdf" TargetMode="External"/><Relationship Id="rId20" Type="http://schemas.openxmlformats.org/officeDocument/2006/relationships/hyperlink" Target="http://www.secretariasenado.gov.co/senado/basedoc/constitucion_politica_1991.html" TargetMode="External"/><Relationship Id="rId29" Type="http://schemas.openxmlformats.org/officeDocument/2006/relationships/hyperlink" Target="https://www.paho.org/hq/dmdocuments/2014/Consulta-planes-de-gestion-de-riesg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www.invima.gov.co/documents/20143/453029/Resoluci%C3%B3n+2011020764+de+2011.pdf/e4d84d9e-3df4-8155-0eef-f50d81e621f4" TargetMode="External"/><Relationship Id="rId32" Type="http://schemas.openxmlformats.org/officeDocument/2006/relationships/theme" Target="theme/theme1.xm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www.invima.gov.co/documents/20143/453029/Resoluci%C3%B3n+2011020764+de+2011.pdf/e4d84d9e-3df4-8155-0eef-f50d81e621f4" TargetMode="External"/><Relationship Id="rId23" Type="http://schemas.openxmlformats.org/officeDocument/2006/relationships/hyperlink" Target="https://www.invima.gov.co/documents/20143/453029/Resoluci%C3%B3n+2011020764+de+2011.pdf/e4d84d9e-3df4-8155-0eef-f50d81e621f4" TargetMode="External"/><Relationship Id="rId28" Type="http://schemas.openxmlformats.org/officeDocument/2006/relationships/hyperlink" Target="https://www.invima.gov.co/que-hacemos" TargetMode="External"/><Relationship Id="rId10" Type="http://schemas.openxmlformats.org/officeDocument/2006/relationships/diagramData" Target="diagrams/data1.xml"/><Relationship Id="rId19" Type="http://schemas.openxmlformats.org/officeDocument/2006/relationships/hyperlink" Target="https://www.invima.gov.co/documents/20143/453029/Resoluci%C3%B3n+2378+de+2008.pdf/8d07d161-bda3-9e3a-c7ab-4a921ed1c004"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s://www.invima.gov.co/documents/20143/453029/Resoluci%C3%B3n+3823+de+1997.pdf/726c8daf-bcab-7146-4dac-b209d7503f8b" TargetMode="External"/><Relationship Id="rId27" Type="http://schemas.openxmlformats.org/officeDocument/2006/relationships/hyperlink" Target="https://www.invima.gov.co/documents/20143/1252100/ASS-RSA-GU037.pdf/840e2247-0077-93a1-f5a1%20f24261ec690a?t=1561058438547" TargetMode="External"/><Relationship Id="rId30" Type="http://schemas.openxmlformats.org/officeDocument/2006/relationships/hyperlink" Target="https://www.invima.gov.co/documents/20143/611185/Gu%C3%ADa+de+riesgos+IVC+SOA.pdf/c1468cd4-14c8-541d-0a49-19d7b3a2af1d" TargetMode="Externa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EA2847-AA06-4EE2-9882-838AAD9D8ABA}" type="doc">
      <dgm:prSet loTypeId="urn:microsoft.com/office/officeart/2005/8/layout/gear1" loCatId="process" qsTypeId="urn:microsoft.com/office/officeart/2005/8/quickstyle/simple1" qsCatId="simple" csTypeId="urn:microsoft.com/office/officeart/2005/8/colors/accent1_2" csCatId="accent1" phldr="1"/>
      <dgm:spPr/>
      <dgm:t>
        <a:bodyPr/>
        <a:lstStyle/>
        <a:p>
          <a:endParaRPr lang="es-CO"/>
        </a:p>
      </dgm:t>
    </dgm:pt>
    <dgm:pt modelId="{4F8005EE-EA7D-4F99-9D74-482BC334A86B}">
      <dgm:prSet phldrT="[Texto]" custT="1"/>
      <dgm:spPr/>
      <dgm:t>
        <a:bodyPr/>
        <a:lstStyle/>
        <a:p>
          <a:r>
            <a:rPr lang="es-CO" sz="1000" b="1">
              <a:latin typeface="Times New Roman" pitchFamily="18" charset="0"/>
              <a:cs typeface="Times New Roman" pitchFamily="18" charset="0"/>
            </a:rPr>
            <a:t>Evaluación del patrocinador de las investigaciones</a:t>
          </a:r>
          <a:endParaRPr lang="es-CO" sz="1000">
            <a:latin typeface="Times New Roman" pitchFamily="18" charset="0"/>
            <a:cs typeface="Times New Roman" pitchFamily="18" charset="0"/>
          </a:endParaRPr>
        </a:p>
      </dgm:t>
    </dgm:pt>
    <dgm:pt modelId="{1A5D6092-513A-4FD4-8847-A8B088622832}" type="parTrans" cxnId="{89F4FE81-63B3-4FC9-B338-604E21B6CDE8}">
      <dgm:prSet/>
      <dgm:spPr/>
      <dgm:t>
        <a:bodyPr/>
        <a:lstStyle/>
        <a:p>
          <a:endParaRPr lang="es-CO"/>
        </a:p>
      </dgm:t>
    </dgm:pt>
    <dgm:pt modelId="{2E0B611D-EC81-49C7-BA1F-A758120F4427}" type="sibTrans" cxnId="{89F4FE81-63B3-4FC9-B338-604E21B6CDE8}">
      <dgm:prSet/>
      <dgm:spPr/>
      <dgm:t>
        <a:bodyPr/>
        <a:lstStyle/>
        <a:p>
          <a:endParaRPr lang="es-CO"/>
        </a:p>
      </dgm:t>
    </dgm:pt>
    <dgm:pt modelId="{D2E499F9-49E7-4B87-B8DB-66C35C2ED421}">
      <dgm:prSet phldrT="[Texto]" custT="1"/>
      <dgm:spPr/>
      <dgm:t>
        <a:bodyPr/>
        <a:lstStyle/>
        <a:p>
          <a:r>
            <a:rPr lang="es-CO" sz="1000" b="1">
              <a:latin typeface="Times New Roman" pitchFamily="18" charset="0"/>
              <a:cs typeface="Times New Roman" pitchFamily="18" charset="0"/>
            </a:rPr>
            <a:t>Evaluación de los investigadores activos en la institución</a:t>
          </a:r>
          <a:endParaRPr lang="es-CO" sz="1000">
            <a:latin typeface="Times New Roman" pitchFamily="18" charset="0"/>
            <a:cs typeface="Times New Roman" pitchFamily="18" charset="0"/>
          </a:endParaRPr>
        </a:p>
      </dgm:t>
    </dgm:pt>
    <dgm:pt modelId="{8A7D599C-EAFF-4962-A19D-422F742357DC}" type="parTrans" cxnId="{1E049A33-73D0-4C0F-B692-861AA604C4C3}">
      <dgm:prSet/>
      <dgm:spPr/>
      <dgm:t>
        <a:bodyPr/>
        <a:lstStyle/>
        <a:p>
          <a:endParaRPr lang="es-CO"/>
        </a:p>
      </dgm:t>
    </dgm:pt>
    <dgm:pt modelId="{7A11B003-B6C3-4C32-93F5-857A75BBDD3C}" type="sibTrans" cxnId="{1E049A33-73D0-4C0F-B692-861AA604C4C3}">
      <dgm:prSet/>
      <dgm:spPr/>
      <dgm:t>
        <a:bodyPr/>
        <a:lstStyle/>
        <a:p>
          <a:endParaRPr lang="es-CO"/>
        </a:p>
      </dgm:t>
    </dgm:pt>
    <dgm:pt modelId="{0125594B-ABB6-48D4-8BFE-54D4F3889E14}">
      <dgm:prSet phldrT="[Texto]" custT="1"/>
      <dgm:spPr/>
      <dgm:t>
        <a:bodyPr/>
        <a:lstStyle/>
        <a:p>
          <a:r>
            <a:rPr lang="es-CO" sz="1000" b="1">
              <a:latin typeface="Times New Roman" pitchFamily="18" charset="0"/>
              <a:cs typeface="Times New Roman" pitchFamily="18" charset="0"/>
            </a:rPr>
            <a:t>Evaluación del comité de ética en investigación (CEI)</a:t>
          </a:r>
          <a:r>
            <a:rPr lang="es-CO" sz="1000">
              <a:latin typeface="Times New Roman" pitchFamily="18" charset="0"/>
              <a:cs typeface="Times New Roman" pitchFamily="18" charset="0"/>
            </a:rPr>
            <a:t> </a:t>
          </a:r>
        </a:p>
      </dgm:t>
    </dgm:pt>
    <dgm:pt modelId="{193FF98F-7686-42E6-8B38-8841D9718942}" type="parTrans" cxnId="{D2396AF0-B07B-4DED-B98E-69BEFB8D4CE5}">
      <dgm:prSet/>
      <dgm:spPr/>
      <dgm:t>
        <a:bodyPr/>
        <a:lstStyle/>
        <a:p>
          <a:endParaRPr lang="es-CO"/>
        </a:p>
      </dgm:t>
    </dgm:pt>
    <dgm:pt modelId="{F2CF5BD5-5D29-4242-82BE-EF86B4AF2661}" type="sibTrans" cxnId="{D2396AF0-B07B-4DED-B98E-69BEFB8D4CE5}">
      <dgm:prSet/>
      <dgm:spPr/>
      <dgm:t>
        <a:bodyPr/>
        <a:lstStyle/>
        <a:p>
          <a:endParaRPr lang="es-CO"/>
        </a:p>
      </dgm:t>
    </dgm:pt>
    <dgm:pt modelId="{BFA18C3C-0FFD-4CA3-90C2-F5DE11585201}" type="pres">
      <dgm:prSet presAssocID="{9EEA2847-AA06-4EE2-9882-838AAD9D8ABA}" presName="composite" presStyleCnt="0">
        <dgm:presLayoutVars>
          <dgm:chMax val="3"/>
          <dgm:animLvl val="lvl"/>
          <dgm:resizeHandles val="exact"/>
        </dgm:presLayoutVars>
      </dgm:prSet>
      <dgm:spPr/>
      <dgm:t>
        <a:bodyPr/>
        <a:lstStyle/>
        <a:p>
          <a:endParaRPr lang="es-CO"/>
        </a:p>
      </dgm:t>
    </dgm:pt>
    <dgm:pt modelId="{44469107-3779-4CA8-BFCC-9E7C55A4353E}" type="pres">
      <dgm:prSet presAssocID="{4F8005EE-EA7D-4F99-9D74-482BC334A86B}" presName="gear1" presStyleLbl="node1" presStyleIdx="0" presStyleCnt="3" custScaleX="109057" custLinFactNeighborX="-697" custLinFactNeighborY="-9056">
        <dgm:presLayoutVars>
          <dgm:chMax val="1"/>
          <dgm:bulletEnabled val="1"/>
        </dgm:presLayoutVars>
      </dgm:prSet>
      <dgm:spPr/>
      <dgm:t>
        <a:bodyPr/>
        <a:lstStyle/>
        <a:p>
          <a:endParaRPr lang="es-CO"/>
        </a:p>
      </dgm:t>
    </dgm:pt>
    <dgm:pt modelId="{6F7E2743-FB9B-402C-99E2-1137C7680506}" type="pres">
      <dgm:prSet presAssocID="{4F8005EE-EA7D-4F99-9D74-482BC334A86B}" presName="gear1srcNode" presStyleLbl="node1" presStyleIdx="0" presStyleCnt="3"/>
      <dgm:spPr/>
      <dgm:t>
        <a:bodyPr/>
        <a:lstStyle/>
        <a:p>
          <a:endParaRPr lang="es-CO"/>
        </a:p>
      </dgm:t>
    </dgm:pt>
    <dgm:pt modelId="{C4FD1551-2DBC-473E-97C5-40A10D4D7112}" type="pres">
      <dgm:prSet presAssocID="{4F8005EE-EA7D-4F99-9D74-482BC334A86B}" presName="gear1dstNode" presStyleLbl="node1" presStyleIdx="0" presStyleCnt="3"/>
      <dgm:spPr/>
      <dgm:t>
        <a:bodyPr/>
        <a:lstStyle/>
        <a:p>
          <a:endParaRPr lang="es-CO"/>
        </a:p>
      </dgm:t>
    </dgm:pt>
    <dgm:pt modelId="{88DABCA2-A4B6-4922-B464-2A9A12349AB4}" type="pres">
      <dgm:prSet presAssocID="{D2E499F9-49E7-4B87-B8DB-66C35C2ED421}" presName="gear2" presStyleLbl="node1" presStyleIdx="1" presStyleCnt="3" custScaleX="140524" custScaleY="124272" custLinFactNeighborX="-6705" custLinFactNeighborY="10536">
        <dgm:presLayoutVars>
          <dgm:chMax val="1"/>
          <dgm:bulletEnabled val="1"/>
        </dgm:presLayoutVars>
      </dgm:prSet>
      <dgm:spPr/>
      <dgm:t>
        <a:bodyPr/>
        <a:lstStyle/>
        <a:p>
          <a:endParaRPr lang="es-CO"/>
        </a:p>
      </dgm:t>
    </dgm:pt>
    <dgm:pt modelId="{47E9F724-629D-48F9-BD77-16F1573EEDC4}" type="pres">
      <dgm:prSet presAssocID="{D2E499F9-49E7-4B87-B8DB-66C35C2ED421}" presName="gear2srcNode" presStyleLbl="node1" presStyleIdx="1" presStyleCnt="3"/>
      <dgm:spPr/>
      <dgm:t>
        <a:bodyPr/>
        <a:lstStyle/>
        <a:p>
          <a:endParaRPr lang="es-CO"/>
        </a:p>
      </dgm:t>
    </dgm:pt>
    <dgm:pt modelId="{C72AB108-00E0-4CE5-8CED-DE30DB2521B3}" type="pres">
      <dgm:prSet presAssocID="{D2E499F9-49E7-4B87-B8DB-66C35C2ED421}" presName="gear2dstNode" presStyleLbl="node1" presStyleIdx="1" presStyleCnt="3"/>
      <dgm:spPr/>
      <dgm:t>
        <a:bodyPr/>
        <a:lstStyle/>
        <a:p>
          <a:endParaRPr lang="es-CO"/>
        </a:p>
      </dgm:t>
    </dgm:pt>
    <dgm:pt modelId="{E2C67C49-F009-4545-AD04-7126CE15FB29}" type="pres">
      <dgm:prSet presAssocID="{0125594B-ABB6-48D4-8BFE-54D4F3889E14}" presName="gear3" presStyleLbl="node1" presStyleIdx="2" presStyleCnt="3" custScaleX="142682" custScaleY="124759" custLinFactNeighborX="12283" custLinFactNeighborY="-9579"/>
      <dgm:spPr/>
      <dgm:t>
        <a:bodyPr/>
        <a:lstStyle/>
        <a:p>
          <a:endParaRPr lang="es-CO"/>
        </a:p>
      </dgm:t>
    </dgm:pt>
    <dgm:pt modelId="{D680CE44-F321-42C1-B36A-0C58A7918AFD}" type="pres">
      <dgm:prSet presAssocID="{0125594B-ABB6-48D4-8BFE-54D4F3889E14}" presName="gear3tx" presStyleLbl="node1" presStyleIdx="2" presStyleCnt="3">
        <dgm:presLayoutVars>
          <dgm:chMax val="1"/>
          <dgm:bulletEnabled val="1"/>
        </dgm:presLayoutVars>
      </dgm:prSet>
      <dgm:spPr/>
      <dgm:t>
        <a:bodyPr/>
        <a:lstStyle/>
        <a:p>
          <a:endParaRPr lang="es-CO"/>
        </a:p>
      </dgm:t>
    </dgm:pt>
    <dgm:pt modelId="{30D6792D-CEAB-4717-A061-D70EDB9A73A5}" type="pres">
      <dgm:prSet presAssocID="{0125594B-ABB6-48D4-8BFE-54D4F3889E14}" presName="gear3srcNode" presStyleLbl="node1" presStyleIdx="2" presStyleCnt="3"/>
      <dgm:spPr/>
      <dgm:t>
        <a:bodyPr/>
        <a:lstStyle/>
        <a:p>
          <a:endParaRPr lang="es-CO"/>
        </a:p>
      </dgm:t>
    </dgm:pt>
    <dgm:pt modelId="{7083AE7B-B5F1-49CD-AD9F-95D9119E29ED}" type="pres">
      <dgm:prSet presAssocID="{0125594B-ABB6-48D4-8BFE-54D4F3889E14}" presName="gear3dstNode" presStyleLbl="node1" presStyleIdx="2" presStyleCnt="3"/>
      <dgm:spPr/>
      <dgm:t>
        <a:bodyPr/>
        <a:lstStyle/>
        <a:p>
          <a:endParaRPr lang="es-CO"/>
        </a:p>
      </dgm:t>
    </dgm:pt>
    <dgm:pt modelId="{ECB64E12-2AAE-499D-AF9C-37C258F6FBB2}" type="pres">
      <dgm:prSet presAssocID="{2E0B611D-EC81-49C7-BA1F-A758120F4427}" presName="connector1" presStyleLbl="sibTrans2D1" presStyleIdx="0" presStyleCnt="3"/>
      <dgm:spPr/>
      <dgm:t>
        <a:bodyPr/>
        <a:lstStyle/>
        <a:p>
          <a:endParaRPr lang="es-CO"/>
        </a:p>
      </dgm:t>
    </dgm:pt>
    <dgm:pt modelId="{4742C60B-A863-4B3F-9354-5CFF09EA7C37}" type="pres">
      <dgm:prSet presAssocID="{7A11B003-B6C3-4C32-93F5-857A75BBDD3C}" presName="connector2" presStyleLbl="sibTrans2D1" presStyleIdx="1" presStyleCnt="3"/>
      <dgm:spPr/>
      <dgm:t>
        <a:bodyPr/>
        <a:lstStyle/>
        <a:p>
          <a:endParaRPr lang="es-CO"/>
        </a:p>
      </dgm:t>
    </dgm:pt>
    <dgm:pt modelId="{50849C95-DE39-4DDE-953C-E2347689546B}" type="pres">
      <dgm:prSet presAssocID="{F2CF5BD5-5D29-4242-82BE-EF86B4AF2661}" presName="connector3" presStyleLbl="sibTrans2D1" presStyleIdx="2" presStyleCnt="3"/>
      <dgm:spPr/>
      <dgm:t>
        <a:bodyPr/>
        <a:lstStyle/>
        <a:p>
          <a:endParaRPr lang="es-CO"/>
        </a:p>
      </dgm:t>
    </dgm:pt>
  </dgm:ptLst>
  <dgm:cxnLst>
    <dgm:cxn modelId="{91193633-AE6E-4426-8CC6-673AD9F9DAC9}" type="presOf" srcId="{D2E499F9-49E7-4B87-B8DB-66C35C2ED421}" destId="{88DABCA2-A4B6-4922-B464-2A9A12349AB4}" srcOrd="0" destOrd="0" presId="urn:microsoft.com/office/officeart/2005/8/layout/gear1"/>
    <dgm:cxn modelId="{B272F8DC-C98E-4D3A-B3AA-A8B8F44B29EC}" type="presOf" srcId="{7A11B003-B6C3-4C32-93F5-857A75BBDD3C}" destId="{4742C60B-A863-4B3F-9354-5CFF09EA7C37}" srcOrd="0" destOrd="0" presId="urn:microsoft.com/office/officeart/2005/8/layout/gear1"/>
    <dgm:cxn modelId="{18A650A6-6779-4671-9F9C-D015AC357B3F}" type="presOf" srcId="{F2CF5BD5-5D29-4242-82BE-EF86B4AF2661}" destId="{50849C95-DE39-4DDE-953C-E2347689546B}" srcOrd="0" destOrd="0" presId="urn:microsoft.com/office/officeart/2005/8/layout/gear1"/>
    <dgm:cxn modelId="{A7FE4EB4-4100-4375-A8BE-4A8362D2B7F1}" type="presOf" srcId="{D2E499F9-49E7-4B87-B8DB-66C35C2ED421}" destId="{47E9F724-629D-48F9-BD77-16F1573EEDC4}" srcOrd="1" destOrd="0" presId="urn:microsoft.com/office/officeart/2005/8/layout/gear1"/>
    <dgm:cxn modelId="{F3AE3775-73F6-4A84-990A-F58599BE1057}" type="presOf" srcId="{0125594B-ABB6-48D4-8BFE-54D4F3889E14}" destId="{E2C67C49-F009-4545-AD04-7126CE15FB29}" srcOrd="0" destOrd="0" presId="urn:microsoft.com/office/officeart/2005/8/layout/gear1"/>
    <dgm:cxn modelId="{A781CFA6-464D-40D3-9BED-4396DBF3E9C3}" type="presOf" srcId="{9EEA2847-AA06-4EE2-9882-838AAD9D8ABA}" destId="{BFA18C3C-0FFD-4CA3-90C2-F5DE11585201}" srcOrd="0" destOrd="0" presId="urn:microsoft.com/office/officeart/2005/8/layout/gear1"/>
    <dgm:cxn modelId="{05CE9906-9D87-46E0-8DD0-DFBDE9030859}" type="presOf" srcId="{0125594B-ABB6-48D4-8BFE-54D4F3889E14}" destId="{D680CE44-F321-42C1-B36A-0C58A7918AFD}" srcOrd="1" destOrd="0" presId="urn:microsoft.com/office/officeart/2005/8/layout/gear1"/>
    <dgm:cxn modelId="{9DBE608E-7B2B-4EB6-A702-D5B50960EFB2}" type="presOf" srcId="{0125594B-ABB6-48D4-8BFE-54D4F3889E14}" destId="{30D6792D-CEAB-4717-A061-D70EDB9A73A5}" srcOrd="2" destOrd="0" presId="urn:microsoft.com/office/officeart/2005/8/layout/gear1"/>
    <dgm:cxn modelId="{89F4FE81-63B3-4FC9-B338-604E21B6CDE8}" srcId="{9EEA2847-AA06-4EE2-9882-838AAD9D8ABA}" destId="{4F8005EE-EA7D-4F99-9D74-482BC334A86B}" srcOrd="0" destOrd="0" parTransId="{1A5D6092-513A-4FD4-8847-A8B088622832}" sibTransId="{2E0B611D-EC81-49C7-BA1F-A758120F4427}"/>
    <dgm:cxn modelId="{BC5B9DE4-A81E-4545-87D7-8A287DA7F37D}" type="presOf" srcId="{D2E499F9-49E7-4B87-B8DB-66C35C2ED421}" destId="{C72AB108-00E0-4CE5-8CED-DE30DB2521B3}" srcOrd="2" destOrd="0" presId="urn:microsoft.com/office/officeart/2005/8/layout/gear1"/>
    <dgm:cxn modelId="{2784727C-5FCC-42C6-8DD0-3D2FE8810A0A}" type="presOf" srcId="{0125594B-ABB6-48D4-8BFE-54D4F3889E14}" destId="{7083AE7B-B5F1-49CD-AD9F-95D9119E29ED}" srcOrd="3" destOrd="0" presId="urn:microsoft.com/office/officeart/2005/8/layout/gear1"/>
    <dgm:cxn modelId="{D6CE98EA-F6FB-4023-87E0-12E8CA2CBB04}" type="presOf" srcId="{4F8005EE-EA7D-4F99-9D74-482BC334A86B}" destId="{44469107-3779-4CA8-BFCC-9E7C55A4353E}" srcOrd="0" destOrd="0" presId="urn:microsoft.com/office/officeart/2005/8/layout/gear1"/>
    <dgm:cxn modelId="{6DABDC8F-8A7F-43F4-B8E2-E3AFB36C2B1E}" type="presOf" srcId="{4F8005EE-EA7D-4F99-9D74-482BC334A86B}" destId="{6F7E2743-FB9B-402C-99E2-1137C7680506}" srcOrd="1" destOrd="0" presId="urn:microsoft.com/office/officeart/2005/8/layout/gear1"/>
    <dgm:cxn modelId="{12CC8461-8BF9-41A5-855F-0D306A54A59C}" type="presOf" srcId="{4F8005EE-EA7D-4F99-9D74-482BC334A86B}" destId="{C4FD1551-2DBC-473E-97C5-40A10D4D7112}" srcOrd="2" destOrd="0" presId="urn:microsoft.com/office/officeart/2005/8/layout/gear1"/>
    <dgm:cxn modelId="{1E049A33-73D0-4C0F-B692-861AA604C4C3}" srcId="{9EEA2847-AA06-4EE2-9882-838AAD9D8ABA}" destId="{D2E499F9-49E7-4B87-B8DB-66C35C2ED421}" srcOrd="1" destOrd="0" parTransId="{8A7D599C-EAFF-4962-A19D-422F742357DC}" sibTransId="{7A11B003-B6C3-4C32-93F5-857A75BBDD3C}"/>
    <dgm:cxn modelId="{D2396AF0-B07B-4DED-B98E-69BEFB8D4CE5}" srcId="{9EEA2847-AA06-4EE2-9882-838AAD9D8ABA}" destId="{0125594B-ABB6-48D4-8BFE-54D4F3889E14}" srcOrd="2" destOrd="0" parTransId="{193FF98F-7686-42E6-8B38-8841D9718942}" sibTransId="{F2CF5BD5-5D29-4242-82BE-EF86B4AF2661}"/>
    <dgm:cxn modelId="{DFD745C8-F6E0-4333-B0C4-8BE1C49A4877}" type="presOf" srcId="{2E0B611D-EC81-49C7-BA1F-A758120F4427}" destId="{ECB64E12-2AAE-499D-AF9C-37C258F6FBB2}" srcOrd="0" destOrd="0" presId="urn:microsoft.com/office/officeart/2005/8/layout/gear1"/>
    <dgm:cxn modelId="{E802F4A9-863B-4800-A772-F771F85F51B1}" type="presParOf" srcId="{BFA18C3C-0FFD-4CA3-90C2-F5DE11585201}" destId="{44469107-3779-4CA8-BFCC-9E7C55A4353E}" srcOrd="0" destOrd="0" presId="urn:microsoft.com/office/officeart/2005/8/layout/gear1"/>
    <dgm:cxn modelId="{3D264CC9-55C4-4744-BA9E-D880056C9A48}" type="presParOf" srcId="{BFA18C3C-0FFD-4CA3-90C2-F5DE11585201}" destId="{6F7E2743-FB9B-402C-99E2-1137C7680506}" srcOrd="1" destOrd="0" presId="urn:microsoft.com/office/officeart/2005/8/layout/gear1"/>
    <dgm:cxn modelId="{F5BB86FD-C3B9-4864-8748-554AF9DFC101}" type="presParOf" srcId="{BFA18C3C-0FFD-4CA3-90C2-F5DE11585201}" destId="{C4FD1551-2DBC-473E-97C5-40A10D4D7112}" srcOrd="2" destOrd="0" presId="urn:microsoft.com/office/officeart/2005/8/layout/gear1"/>
    <dgm:cxn modelId="{E40387B7-FCB7-4DFA-993A-57DE533048C8}" type="presParOf" srcId="{BFA18C3C-0FFD-4CA3-90C2-F5DE11585201}" destId="{88DABCA2-A4B6-4922-B464-2A9A12349AB4}" srcOrd="3" destOrd="0" presId="urn:microsoft.com/office/officeart/2005/8/layout/gear1"/>
    <dgm:cxn modelId="{C5DD74FB-77BE-4886-99CD-72DCBA36C26E}" type="presParOf" srcId="{BFA18C3C-0FFD-4CA3-90C2-F5DE11585201}" destId="{47E9F724-629D-48F9-BD77-16F1573EEDC4}" srcOrd="4" destOrd="0" presId="urn:microsoft.com/office/officeart/2005/8/layout/gear1"/>
    <dgm:cxn modelId="{151D7D61-5758-48A9-9FA8-82FE36C1DFAC}" type="presParOf" srcId="{BFA18C3C-0FFD-4CA3-90C2-F5DE11585201}" destId="{C72AB108-00E0-4CE5-8CED-DE30DB2521B3}" srcOrd="5" destOrd="0" presId="urn:microsoft.com/office/officeart/2005/8/layout/gear1"/>
    <dgm:cxn modelId="{05557434-662B-41CC-B2A2-659580DA5BC5}" type="presParOf" srcId="{BFA18C3C-0FFD-4CA3-90C2-F5DE11585201}" destId="{E2C67C49-F009-4545-AD04-7126CE15FB29}" srcOrd="6" destOrd="0" presId="urn:microsoft.com/office/officeart/2005/8/layout/gear1"/>
    <dgm:cxn modelId="{90386933-A3B7-4976-AD79-5CBF950F0654}" type="presParOf" srcId="{BFA18C3C-0FFD-4CA3-90C2-F5DE11585201}" destId="{D680CE44-F321-42C1-B36A-0C58A7918AFD}" srcOrd="7" destOrd="0" presId="urn:microsoft.com/office/officeart/2005/8/layout/gear1"/>
    <dgm:cxn modelId="{2BA9D797-B75F-49FA-A994-25422BA96A6E}" type="presParOf" srcId="{BFA18C3C-0FFD-4CA3-90C2-F5DE11585201}" destId="{30D6792D-CEAB-4717-A061-D70EDB9A73A5}" srcOrd="8" destOrd="0" presId="urn:microsoft.com/office/officeart/2005/8/layout/gear1"/>
    <dgm:cxn modelId="{CB3FC1EC-5F98-4208-A3F2-FC3964D4F377}" type="presParOf" srcId="{BFA18C3C-0FFD-4CA3-90C2-F5DE11585201}" destId="{7083AE7B-B5F1-49CD-AD9F-95D9119E29ED}" srcOrd="9" destOrd="0" presId="urn:microsoft.com/office/officeart/2005/8/layout/gear1"/>
    <dgm:cxn modelId="{3F617149-B3B1-494C-942C-D1CC701B371C}" type="presParOf" srcId="{BFA18C3C-0FFD-4CA3-90C2-F5DE11585201}" destId="{ECB64E12-2AAE-499D-AF9C-37C258F6FBB2}" srcOrd="10" destOrd="0" presId="urn:microsoft.com/office/officeart/2005/8/layout/gear1"/>
    <dgm:cxn modelId="{B7BC33FA-49D9-4B0B-8E79-1F99EB649CC3}" type="presParOf" srcId="{BFA18C3C-0FFD-4CA3-90C2-F5DE11585201}" destId="{4742C60B-A863-4B3F-9354-5CFF09EA7C37}" srcOrd="11" destOrd="0" presId="urn:microsoft.com/office/officeart/2005/8/layout/gear1"/>
    <dgm:cxn modelId="{C36ED46B-F5F6-4509-ACA8-F44C28E0761E}" type="presParOf" srcId="{BFA18C3C-0FFD-4CA3-90C2-F5DE11585201}" destId="{50849C95-DE39-4DDE-953C-E2347689546B}" srcOrd="12" destOrd="0" presId="urn:microsoft.com/office/officeart/2005/8/layout/gear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469107-3779-4CA8-BFCC-9E7C55A4353E}">
      <dsp:nvSpPr>
        <dsp:cNvPr id="0" name=""/>
        <dsp:cNvSpPr/>
      </dsp:nvSpPr>
      <dsp:spPr>
        <a:xfrm>
          <a:off x="1603738" y="1195688"/>
          <a:ext cx="1668261" cy="1529715"/>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b="1" kern="1200">
              <a:latin typeface="Times New Roman" pitchFamily="18" charset="0"/>
              <a:cs typeface="Times New Roman" pitchFamily="18" charset="0"/>
            </a:rPr>
            <a:t>Evaluación del patrocinador de las investigaciones</a:t>
          </a:r>
          <a:endParaRPr lang="es-CO" sz="1000" kern="1200">
            <a:latin typeface="Times New Roman" pitchFamily="18" charset="0"/>
            <a:cs typeface="Times New Roman" pitchFamily="18" charset="0"/>
          </a:endParaRPr>
        </a:p>
      </dsp:txBody>
      <dsp:txXfrm>
        <a:off x="1928778" y="1554016"/>
        <a:ext cx="1018181" cy="786306"/>
      </dsp:txXfrm>
    </dsp:sp>
    <dsp:sp modelId="{88DABCA2-A4B6-4922-B464-2A9A12349AB4}">
      <dsp:nvSpPr>
        <dsp:cNvPr id="0" name=""/>
        <dsp:cNvSpPr/>
      </dsp:nvSpPr>
      <dsp:spPr>
        <a:xfrm>
          <a:off x="493644" y="954850"/>
          <a:ext cx="1563357" cy="1382550"/>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b="1" kern="1200">
              <a:latin typeface="Times New Roman" pitchFamily="18" charset="0"/>
              <a:cs typeface="Times New Roman" pitchFamily="18" charset="0"/>
            </a:rPr>
            <a:t>Evaluación de los investigadores activos en la institución</a:t>
          </a:r>
          <a:endParaRPr lang="es-CO" sz="1000" kern="1200">
            <a:latin typeface="Times New Roman" pitchFamily="18" charset="0"/>
            <a:cs typeface="Times New Roman" pitchFamily="18" charset="0"/>
          </a:endParaRPr>
        </a:p>
      </dsp:txBody>
      <dsp:txXfrm>
        <a:off x="867987" y="1305015"/>
        <a:ext cx="814671" cy="682220"/>
      </dsp:txXfrm>
    </dsp:sp>
    <dsp:sp modelId="{E2C67C49-F009-4545-AD04-7126CE15FB29}">
      <dsp:nvSpPr>
        <dsp:cNvPr id="0" name=""/>
        <dsp:cNvSpPr/>
      </dsp:nvSpPr>
      <dsp:spPr>
        <a:xfrm rot="20700000">
          <a:off x="1312382" y="105938"/>
          <a:ext cx="1626804" cy="1288416"/>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b="1" kern="1200">
              <a:latin typeface="Times New Roman" pitchFamily="18" charset="0"/>
              <a:cs typeface="Times New Roman" pitchFamily="18" charset="0"/>
            </a:rPr>
            <a:t>Evaluación del comité de ética en investigación (CEI)</a:t>
          </a:r>
          <a:r>
            <a:rPr lang="es-CO" sz="1000" kern="1200">
              <a:latin typeface="Times New Roman" pitchFamily="18" charset="0"/>
              <a:cs typeface="Times New Roman" pitchFamily="18" charset="0"/>
            </a:rPr>
            <a:t> </a:t>
          </a:r>
        </a:p>
      </dsp:txBody>
      <dsp:txXfrm rot="-20700000">
        <a:off x="1689258" y="368455"/>
        <a:ext cx="873051" cy="763382"/>
      </dsp:txXfrm>
    </dsp:sp>
    <dsp:sp modelId="{ECB64E12-2AAE-499D-AF9C-37C258F6FBB2}">
      <dsp:nvSpPr>
        <dsp:cNvPr id="0" name=""/>
        <dsp:cNvSpPr/>
      </dsp:nvSpPr>
      <dsp:spPr>
        <a:xfrm>
          <a:off x="1551217" y="1111700"/>
          <a:ext cx="1958035" cy="1958035"/>
        </a:xfrm>
        <a:prstGeom prst="circularArrow">
          <a:avLst>
            <a:gd name="adj1" fmla="val 4687"/>
            <a:gd name="adj2" fmla="val 299029"/>
            <a:gd name="adj3" fmla="val 2469026"/>
            <a:gd name="adj4" fmla="val 15966843"/>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742C60B-A863-4B3F-9354-5CFF09EA7C37}">
      <dsp:nvSpPr>
        <dsp:cNvPr id="0" name=""/>
        <dsp:cNvSpPr/>
      </dsp:nvSpPr>
      <dsp:spPr>
        <a:xfrm>
          <a:off x="596632" y="732556"/>
          <a:ext cx="1422634" cy="142263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0849C95-DE39-4DDE-953C-E2347689546B}">
      <dsp:nvSpPr>
        <dsp:cNvPr id="0" name=""/>
        <dsp:cNvSpPr/>
      </dsp:nvSpPr>
      <dsp:spPr>
        <a:xfrm>
          <a:off x="1164644" y="-27570"/>
          <a:ext cx="1533886" cy="1533886"/>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82ad3a63-90ad-4a46-a3cb-757f4658e205" origin="userSelected">
  <element uid="8490d18d-1e1f-4ae2-adbe-3f6683173bee" value=""/>
  <element uid="03e9b10b-a1f9-4a88-9630-476473f62285" value=""/>
  <element uid="7349a702-6462-4442-88eb-c64cd513835c"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F001-A217-4968-813B-F1522236AFB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1F8C8724-4F65-4F9D-9EA0-BAEE95E0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7723</Words>
  <Characters>44027</Characters>
  <Application>Microsoft Office Word</Application>
  <DocSecurity>0</DocSecurity>
  <Lines>366</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keywords>*$%PUB-*$%GenBus</cp:keywords>
  <cp:lastModifiedBy>alvaro fernando burbano delgado</cp:lastModifiedBy>
  <cp:revision>2</cp:revision>
  <dcterms:created xsi:type="dcterms:W3CDTF">2020-02-05T01:23:00Z</dcterms:created>
  <dcterms:modified xsi:type="dcterms:W3CDTF">2020-02-05T01:23:00Z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feedcb10-fe2c-424d-b6f2-6c5369ca900e</vt:lpwstr>
  </property>
  <property fmtid="{D5CDD505-2E9C-101B-9397-08002B2CF9AE}" pid="3" name="bjSaver">
    <vt:lpwstr>F1HED7JkY8R1/4fEWoV381hL8uTk4qXJ</vt:lpwstr>
  </property>
  <property fmtid="{D5CDD505-2E9C-101B-9397-08002B2CF9AE}" pid="4"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5" name="bjDocumentLabelXML-0">
    <vt:lpwstr>ames.com/2008/01/sie/internal/label"&gt;&lt;element uid="8490d18d-1e1f-4ae2-adbe-3f6683173bee" value="" /&gt;&lt;element uid="03e9b10b-a1f9-4a88-9630-476473f62285" value="" /&gt;&lt;element uid="7349a702-6462-4442-88eb-c64cd513835c" value="" /&gt;&lt;/sisl&gt;</vt:lpwstr>
  </property>
  <property fmtid="{D5CDD505-2E9C-101B-9397-08002B2CF9AE}" pid="6" name="bjDocumentSecurityLabel">
    <vt:lpwstr>Public - General Business</vt:lpwstr>
  </property>
</Properties>
</file>