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C47" w:rsidRDefault="00655C47" w:rsidP="005412AF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B83D3A" w:rsidRPr="00AB3E5C" w:rsidRDefault="00B83D3A" w:rsidP="00B83D3A">
      <w:pPr>
        <w:pStyle w:val="Sinespaciado"/>
        <w:jc w:val="center"/>
        <w:rPr>
          <w:rFonts w:ascii="Arial" w:eastAsia="Times New Roman" w:hAnsi="Arial" w:cs="Arial"/>
          <w:b/>
          <w:color w:val="000000"/>
          <w:lang w:val="es-ES" w:eastAsia="es-ES"/>
        </w:rPr>
      </w:pPr>
      <w:r w:rsidRPr="00AB3E5C">
        <w:rPr>
          <w:rFonts w:ascii="Arial" w:eastAsia="Times New Roman" w:hAnsi="Arial" w:cs="Arial"/>
          <w:b/>
          <w:color w:val="000000"/>
          <w:lang w:val="es-ES" w:eastAsia="es-ES"/>
        </w:rPr>
        <w:t>Diplomado Virtual Investigación Clínica</w:t>
      </w:r>
    </w:p>
    <w:p w:rsidR="00B83D3A" w:rsidRPr="00AB3E5C" w:rsidRDefault="00B83D3A" w:rsidP="00B83D3A">
      <w:pPr>
        <w:spacing w:after="0"/>
        <w:jc w:val="both"/>
        <w:rPr>
          <w:rFonts w:ascii="Arial" w:eastAsia="Times New Roman" w:hAnsi="Arial" w:cs="Arial"/>
          <w:b/>
          <w:color w:val="000000"/>
          <w:lang w:val="es-ES" w:eastAsia="es-ES"/>
        </w:rPr>
      </w:pPr>
    </w:p>
    <w:p w:rsidR="00B83D3A" w:rsidRPr="00AB3E5C" w:rsidRDefault="00B83D3A" w:rsidP="00B83D3A">
      <w:pPr>
        <w:spacing w:after="0"/>
        <w:jc w:val="both"/>
        <w:rPr>
          <w:rFonts w:ascii="Arial" w:hAnsi="Arial" w:cs="Arial"/>
          <w:b/>
        </w:rPr>
      </w:pPr>
      <w:r w:rsidRPr="00AB3E5C">
        <w:rPr>
          <w:rFonts w:ascii="Arial" w:eastAsia="Times New Roman" w:hAnsi="Arial" w:cs="Arial"/>
          <w:b/>
          <w:color w:val="000000"/>
          <w:lang w:val="es-ES" w:eastAsia="es-ES"/>
        </w:rPr>
        <w:t xml:space="preserve">Módulo 5: </w:t>
      </w:r>
      <w:r w:rsidRPr="00AB3E5C">
        <w:rPr>
          <w:rFonts w:ascii="Arial" w:hAnsi="Arial" w:cs="Arial"/>
          <w:b/>
        </w:rPr>
        <w:t>Aspectos éticos en investigación biomédica.</w:t>
      </w:r>
    </w:p>
    <w:p w:rsidR="00655C47" w:rsidRDefault="00655C47" w:rsidP="00655C47">
      <w:pPr>
        <w:pStyle w:val="Prrafodelista"/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655C47" w:rsidRPr="00B83D3A" w:rsidRDefault="00655C47" w:rsidP="00655C47">
      <w:pPr>
        <w:pStyle w:val="Prrafodelista"/>
        <w:spacing w:after="0" w:line="360" w:lineRule="auto"/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B83D3A">
        <w:rPr>
          <w:rFonts w:eastAsia="Times New Roman" w:cstheme="minorHAnsi"/>
          <w:b/>
          <w:color w:val="000000"/>
          <w:sz w:val="24"/>
          <w:szCs w:val="24"/>
        </w:rPr>
        <w:t>CUESTIONARIO.</w:t>
      </w:r>
    </w:p>
    <w:p w:rsidR="00655C47" w:rsidRPr="00655C47" w:rsidRDefault="00655C47" w:rsidP="00655C47">
      <w:pPr>
        <w:pStyle w:val="Prrafodelista"/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7544CD" w:rsidRPr="00B83D3A" w:rsidRDefault="00591E00" w:rsidP="005412A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B83D3A">
        <w:rPr>
          <w:rFonts w:eastAsia="Times New Roman" w:cstheme="minorHAnsi"/>
          <w:b/>
          <w:color w:val="000000"/>
          <w:sz w:val="24"/>
          <w:szCs w:val="24"/>
        </w:rPr>
        <w:t>¿Cuál es e</w:t>
      </w:r>
      <w:r w:rsidR="007544CD" w:rsidRPr="00B83D3A">
        <w:rPr>
          <w:rFonts w:eastAsia="Times New Roman" w:cstheme="minorHAnsi"/>
          <w:b/>
          <w:color w:val="000000"/>
          <w:sz w:val="24"/>
          <w:szCs w:val="24"/>
        </w:rPr>
        <w:t xml:space="preserve">l documento promulgado por la Asociación Médica Mundial </w:t>
      </w:r>
      <w:r w:rsidR="005412AF" w:rsidRPr="00B83D3A">
        <w:rPr>
          <w:rFonts w:eastAsia="Times New Roman" w:cstheme="minorHAnsi"/>
          <w:b/>
          <w:color w:val="000000"/>
          <w:sz w:val="24"/>
          <w:szCs w:val="24"/>
        </w:rPr>
        <w:t xml:space="preserve">(AMM) </w:t>
      </w:r>
      <w:r w:rsidR="007544CD" w:rsidRPr="00B83D3A">
        <w:rPr>
          <w:rFonts w:eastAsia="Times New Roman" w:cstheme="minorHAnsi"/>
          <w:b/>
          <w:color w:val="000000"/>
          <w:sz w:val="24"/>
          <w:szCs w:val="24"/>
        </w:rPr>
        <w:t>que enuncia criterios para la protección de</w:t>
      </w:r>
      <w:r w:rsidRPr="00B83D3A">
        <w:rPr>
          <w:rFonts w:eastAsia="Times New Roman" w:cstheme="minorHAnsi"/>
          <w:b/>
          <w:color w:val="000000"/>
          <w:sz w:val="24"/>
          <w:szCs w:val="24"/>
        </w:rPr>
        <w:t xml:space="preserve"> los sujetos de investigación?</w:t>
      </w:r>
    </w:p>
    <w:p w:rsidR="007544CD" w:rsidRPr="005412AF" w:rsidRDefault="007544CD" w:rsidP="005412AF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7544CD" w:rsidRPr="005412AF" w:rsidRDefault="007544CD" w:rsidP="005412A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412AF">
        <w:rPr>
          <w:rFonts w:eastAsia="Times New Roman" w:cstheme="minorHAnsi"/>
          <w:color w:val="000000"/>
          <w:sz w:val="24"/>
          <w:szCs w:val="24"/>
        </w:rPr>
        <w:t xml:space="preserve">La Declaración de Lisboa </w:t>
      </w:r>
    </w:p>
    <w:p w:rsidR="007544CD" w:rsidRPr="005412AF" w:rsidRDefault="007544CD" w:rsidP="005412A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412AF">
        <w:rPr>
          <w:rFonts w:eastAsia="Times New Roman" w:cstheme="minorHAnsi"/>
          <w:color w:val="000000"/>
          <w:sz w:val="24"/>
          <w:szCs w:val="24"/>
        </w:rPr>
        <w:t>El Código de Núremberg</w:t>
      </w:r>
    </w:p>
    <w:p w:rsidR="007544CD" w:rsidRPr="00B83D3A" w:rsidRDefault="007544CD" w:rsidP="005412A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B83D3A">
        <w:rPr>
          <w:rFonts w:eastAsia="Times New Roman" w:cstheme="minorHAnsi"/>
          <w:color w:val="000000"/>
          <w:sz w:val="24"/>
          <w:szCs w:val="24"/>
        </w:rPr>
        <w:t>La Declaración de Helsinki</w:t>
      </w:r>
    </w:p>
    <w:p w:rsidR="007544CD" w:rsidRDefault="007544CD" w:rsidP="005412A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B83D3A">
        <w:rPr>
          <w:rFonts w:eastAsia="Times New Roman" w:cstheme="minorHAnsi"/>
          <w:color w:val="000000"/>
          <w:sz w:val="24"/>
          <w:szCs w:val="24"/>
        </w:rPr>
        <w:t xml:space="preserve">El </w:t>
      </w:r>
      <w:proofErr w:type="gramStart"/>
      <w:r w:rsidRPr="00B83D3A">
        <w:rPr>
          <w:rFonts w:eastAsia="Times New Roman" w:cstheme="minorHAnsi"/>
          <w:color w:val="000000"/>
          <w:sz w:val="24"/>
          <w:szCs w:val="24"/>
        </w:rPr>
        <w:t>Informe  Belmont</w:t>
      </w:r>
      <w:proofErr w:type="gramEnd"/>
    </w:p>
    <w:p w:rsidR="00B83D3A" w:rsidRPr="00B83D3A" w:rsidRDefault="00B83D3A" w:rsidP="00B83D3A">
      <w:pPr>
        <w:pStyle w:val="Prrafodelista"/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B12592" w:rsidRDefault="00B83D3A" w:rsidP="005412AF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B83D3A">
        <w:rPr>
          <w:rFonts w:cstheme="minorHAnsi"/>
          <w:b/>
          <w:sz w:val="24"/>
          <w:szCs w:val="24"/>
          <w:highlight w:val="yellow"/>
        </w:rPr>
        <w:t>RESPUESTA: C</w:t>
      </w:r>
    </w:p>
    <w:p w:rsidR="00B83D3A" w:rsidRPr="00B83D3A" w:rsidRDefault="00B83D3A" w:rsidP="005412AF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7544CD" w:rsidRPr="00B83D3A" w:rsidRDefault="007544CD" w:rsidP="005412A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B83D3A">
        <w:rPr>
          <w:rFonts w:cstheme="minorHAnsi"/>
          <w:b/>
          <w:sz w:val="24"/>
          <w:szCs w:val="24"/>
        </w:rPr>
        <w:t>Según el artículo 15 de la resolución 008430 de 1993, el Consentimiento Informado deberá presentar la siguiente información, la cual será explicada, en forma completa y clara, al sujeto de investigación o en su defecto a su representante legal:</w:t>
      </w:r>
    </w:p>
    <w:p w:rsidR="007544CD" w:rsidRPr="005412AF" w:rsidRDefault="007544CD" w:rsidP="005412AF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:rsidR="007544CD" w:rsidRPr="005412AF" w:rsidRDefault="007544CD" w:rsidP="005412AF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>a. La justificación, los objetivos y los procedimientos de la intervención terapéutica.</w:t>
      </w:r>
    </w:p>
    <w:p w:rsidR="007544CD" w:rsidRPr="005412AF" w:rsidRDefault="007544CD" w:rsidP="005412AF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 xml:space="preserve">b. </w:t>
      </w:r>
      <w:r w:rsidR="005E27E8">
        <w:rPr>
          <w:rFonts w:cstheme="minorHAnsi"/>
          <w:sz w:val="24"/>
          <w:szCs w:val="24"/>
        </w:rPr>
        <w:t>La necesidad de revelar, en todos los casos, los hallazgos incidentales durante la investigación, así estos no revistan significado clínico</w:t>
      </w:r>
      <w:r w:rsidRPr="005412AF">
        <w:rPr>
          <w:rFonts w:cstheme="minorHAnsi"/>
          <w:sz w:val="24"/>
          <w:szCs w:val="24"/>
        </w:rPr>
        <w:t xml:space="preserve"> </w:t>
      </w:r>
    </w:p>
    <w:p w:rsidR="007544CD" w:rsidRPr="005412AF" w:rsidRDefault="007544CD" w:rsidP="005412AF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>c</w:t>
      </w:r>
      <w:r w:rsidRPr="00B83D3A">
        <w:rPr>
          <w:rFonts w:cstheme="minorHAnsi"/>
          <w:sz w:val="24"/>
          <w:szCs w:val="24"/>
        </w:rPr>
        <w:t xml:space="preserve">. La garantía de recibir respuesta a cualquier pregunta y aclaración a cualquier duda acerca de los riesgos, beneficios </w:t>
      </w:r>
      <w:r w:rsidR="005E27E8" w:rsidRPr="00B83D3A">
        <w:rPr>
          <w:rFonts w:cstheme="minorHAnsi"/>
          <w:sz w:val="24"/>
          <w:szCs w:val="24"/>
        </w:rPr>
        <w:t>relacionados con la investigación.</w:t>
      </w:r>
    </w:p>
    <w:p w:rsidR="007544CD" w:rsidRPr="005412AF" w:rsidRDefault="007544CD" w:rsidP="005412AF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 xml:space="preserve">d. La prohibición de retirar su consentimiento en cualquier momento y dejar de participar en el estudio, lo cual puede limitar la continuidad del cuidado médico. </w:t>
      </w:r>
    </w:p>
    <w:p w:rsidR="007544CD" w:rsidRDefault="007544CD" w:rsidP="005412AF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B83D3A" w:rsidRDefault="00B83D3A" w:rsidP="00B83D3A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B83D3A">
        <w:rPr>
          <w:rFonts w:cstheme="minorHAnsi"/>
          <w:b/>
          <w:sz w:val="24"/>
          <w:szCs w:val="24"/>
          <w:highlight w:val="yellow"/>
        </w:rPr>
        <w:lastRenderedPageBreak/>
        <w:t>RESPUESTA: C</w:t>
      </w:r>
    </w:p>
    <w:p w:rsidR="00B83D3A" w:rsidRPr="005412AF" w:rsidRDefault="00B83D3A" w:rsidP="005412AF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7544CD" w:rsidRPr="00B83D3A" w:rsidRDefault="007544CD" w:rsidP="005412AF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4"/>
          <w:szCs w:val="24"/>
        </w:rPr>
      </w:pPr>
      <w:r w:rsidRPr="00B83D3A">
        <w:rPr>
          <w:rFonts w:cstheme="minorHAnsi"/>
          <w:b/>
          <w:sz w:val="24"/>
          <w:szCs w:val="24"/>
        </w:rPr>
        <w:t xml:space="preserve">Según el artículo 11 de la resolución 008430 de 1993, ¿cuál de las siguientes intervenciones puede ser catalogada como </w:t>
      </w:r>
      <w:r w:rsidR="00B83D3A" w:rsidRPr="00B83D3A">
        <w:rPr>
          <w:rFonts w:cstheme="minorHAnsi"/>
          <w:b/>
          <w:sz w:val="24"/>
          <w:szCs w:val="24"/>
        </w:rPr>
        <w:t>intervención con riesgo mínimo?</w:t>
      </w:r>
    </w:p>
    <w:p w:rsidR="007544CD" w:rsidRPr="005412AF" w:rsidRDefault="007544CD" w:rsidP="005412AF">
      <w:pPr>
        <w:pStyle w:val="Prrafodelista"/>
        <w:spacing w:line="360" w:lineRule="auto"/>
        <w:jc w:val="both"/>
        <w:rPr>
          <w:rFonts w:cstheme="minorHAnsi"/>
          <w:sz w:val="24"/>
          <w:szCs w:val="24"/>
        </w:rPr>
      </w:pPr>
    </w:p>
    <w:p w:rsidR="007544CD" w:rsidRPr="005412AF" w:rsidRDefault="007544CD" w:rsidP="005412AF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>Revisión de historias clínicas, entrevistas, cuestionarios.</w:t>
      </w:r>
    </w:p>
    <w:p w:rsidR="007544CD" w:rsidRPr="005412AF" w:rsidRDefault="007544CD" w:rsidP="005412AF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>Estudios radiológicos y con microondas.</w:t>
      </w:r>
    </w:p>
    <w:p w:rsidR="007544CD" w:rsidRPr="00B83D3A" w:rsidRDefault="007544CD" w:rsidP="005412AF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83D3A">
        <w:rPr>
          <w:rFonts w:cstheme="minorHAnsi"/>
          <w:sz w:val="24"/>
          <w:szCs w:val="24"/>
        </w:rPr>
        <w:t>Extracción de sangre por punción venosa en adultos en buen estado de salud, con frecuencia máxima de dos veces a la semana y volumen máximo de 450 ml en dos meses, excepto durante el embarazo.</w:t>
      </w:r>
    </w:p>
    <w:p w:rsidR="007544CD" w:rsidRPr="005412AF" w:rsidRDefault="007544CD" w:rsidP="005412AF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>Extracción de sangre mayor al 2% del volumen circulante en neonatos.</w:t>
      </w:r>
    </w:p>
    <w:p w:rsidR="007544CD" w:rsidRDefault="007544CD" w:rsidP="005412AF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B83D3A" w:rsidRDefault="00B83D3A" w:rsidP="00B83D3A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B83D3A">
        <w:rPr>
          <w:rFonts w:cstheme="minorHAnsi"/>
          <w:b/>
          <w:sz w:val="24"/>
          <w:szCs w:val="24"/>
          <w:highlight w:val="yellow"/>
        </w:rPr>
        <w:t>RESPUESTA: C</w:t>
      </w:r>
    </w:p>
    <w:p w:rsidR="00B83D3A" w:rsidRPr="005412AF" w:rsidRDefault="00B83D3A" w:rsidP="005412AF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7544CD" w:rsidRPr="00B83D3A" w:rsidRDefault="00591E00" w:rsidP="005412AF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4"/>
          <w:szCs w:val="24"/>
        </w:rPr>
      </w:pPr>
      <w:r w:rsidRPr="00B83D3A">
        <w:rPr>
          <w:rFonts w:cstheme="minorHAnsi"/>
          <w:b/>
          <w:sz w:val="24"/>
          <w:szCs w:val="24"/>
        </w:rPr>
        <w:t xml:space="preserve">¿Cuál de las siguientes opciones define el (o los) tipo(s) de consentimiento en el caso de investigación clínica con la participación de niños o niñas? </w:t>
      </w:r>
    </w:p>
    <w:p w:rsidR="00591E00" w:rsidRPr="00591E00" w:rsidRDefault="00591E00" w:rsidP="00591E00">
      <w:pPr>
        <w:pStyle w:val="Prrafodelista"/>
        <w:spacing w:line="360" w:lineRule="auto"/>
        <w:jc w:val="both"/>
        <w:rPr>
          <w:rFonts w:cstheme="minorHAnsi"/>
          <w:sz w:val="24"/>
          <w:szCs w:val="24"/>
        </w:rPr>
      </w:pPr>
    </w:p>
    <w:p w:rsidR="007544CD" w:rsidRPr="005412AF" w:rsidRDefault="007544CD" w:rsidP="005412AF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>Consentimiento informado de los padres.</w:t>
      </w:r>
    </w:p>
    <w:p w:rsidR="007544CD" w:rsidRPr="005412AF" w:rsidRDefault="007544CD" w:rsidP="005412AF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>Asentimiento informado de los padres, consentimiento del niño.</w:t>
      </w:r>
    </w:p>
    <w:p w:rsidR="007544CD" w:rsidRPr="00B83D3A" w:rsidRDefault="007544CD" w:rsidP="005412AF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83D3A">
        <w:rPr>
          <w:rFonts w:cstheme="minorHAnsi"/>
          <w:sz w:val="24"/>
          <w:szCs w:val="24"/>
        </w:rPr>
        <w:t>Consentimiento informado de los padres, asentimiento informado del niño.</w:t>
      </w:r>
    </w:p>
    <w:p w:rsidR="007544CD" w:rsidRPr="005412AF" w:rsidRDefault="007544CD" w:rsidP="005412AF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>Consentimiento informado del niño.</w:t>
      </w:r>
    </w:p>
    <w:p w:rsidR="00B83D3A" w:rsidRPr="00B83D3A" w:rsidRDefault="00B83D3A" w:rsidP="00B83D3A">
      <w:pPr>
        <w:spacing w:line="360" w:lineRule="auto"/>
        <w:ind w:left="360"/>
        <w:jc w:val="both"/>
        <w:rPr>
          <w:rFonts w:cstheme="minorHAnsi"/>
          <w:b/>
          <w:sz w:val="24"/>
          <w:szCs w:val="24"/>
        </w:rPr>
      </w:pPr>
      <w:r w:rsidRPr="00B83D3A">
        <w:rPr>
          <w:rFonts w:cstheme="minorHAnsi"/>
          <w:b/>
          <w:sz w:val="24"/>
          <w:szCs w:val="24"/>
          <w:highlight w:val="yellow"/>
        </w:rPr>
        <w:t>RESPUESTA: C</w:t>
      </w:r>
    </w:p>
    <w:p w:rsidR="007544CD" w:rsidRPr="005412AF" w:rsidRDefault="007544CD" w:rsidP="005412AF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7544CD" w:rsidRPr="00B83D3A" w:rsidRDefault="00591E00" w:rsidP="005412AF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4"/>
          <w:szCs w:val="24"/>
        </w:rPr>
      </w:pPr>
      <w:r w:rsidRPr="00B83D3A">
        <w:rPr>
          <w:rFonts w:cstheme="minorHAnsi"/>
          <w:b/>
          <w:sz w:val="24"/>
          <w:szCs w:val="24"/>
        </w:rPr>
        <w:t>¿Cuáles de los siguientes elementos informativos son esenciales dentro del proceso de</w:t>
      </w:r>
      <w:r w:rsidR="007544CD" w:rsidRPr="00B83D3A">
        <w:rPr>
          <w:rFonts w:cstheme="minorHAnsi"/>
          <w:b/>
          <w:sz w:val="24"/>
          <w:szCs w:val="24"/>
        </w:rPr>
        <w:t xml:space="preserve"> consentimiento informado para proyectos de investigación</w:t>
      </w:r>
      <w:r w:rsidRPr="00B83D3A">
        <w:rPr>
          <w:rFonts w:cstheme="minorHAnsi"/>
          <w:b/>
          <w:sz w:val="24"/>
          <w:szCs w:val="24"/>
        </w:rPr>
        <w:t>?</w:t>
      </w:r>
    </w:p>
    <w:p w:rsidR="00591E00" w:rsidRPr="00591E00" w:rsidRDefault="00591E00" w:rsidP="00591E00">
      <w:pPr>
        <w:pStyle w:val="Prrafodelista"/>
        <w:spacing w:line="360" w:lineRule="auto"/>
        <w:jc w:val="both"/>
        <w:rPr>
          <w:rFonts w:cstheme="minorHAnsi"/>
          <w:sz w:val="24"/>
          <w:szCs w:val="24"/>
        </w:rPr>
      </w:pPr>
    </w:p>
    <w:p w:rsidR="007544CD" w:rsidRPr="005412AF" w:rsidRDefault="007544CD" w:rsidP="005412AF">
      <w:pPr>
        <w:pStyle w:val="Prrafodelista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 xml:space="preserve">La identidad y filiación de los </w:t>
      </w:r>
      <w:r w:rsidR="00591E00">
        <w:rPr>
          <w:rFonts w:cstheme="minorHAnsi"/>
          <w:sz w:val="24"/>
          <w:szCs w:val="24"/>
        </w:rPr>
        <w:t xml:space="preserve">investigadores y los </w:t>
      </w:r>
      <w:r w:rsidRPr="005412AF">
        <w:rPr>
          <w:rFonts w:cstheme="minorHAnsi"/>
          <w:sz w:val="24"/>
          <w:szCs w:val="24"/>
        </w:rPr>
        <w:t>miembros del tribunal de ética.</w:t>
      </w:r>
    </w:p>
    <w:p w:rsidR="007544CD" w:rsidRPr="005412AF" w:rsidRDefault="007544CD" w:rsidP="005412AF">
      <w:pPr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>El propósito de la terapia, los posibles beneficios para el individuo y la sociedad, así como los posibles daños, riesgos y malestares.</w:t>
      </w:r>
    </w:p>
    <w:p w:rsidR="007544CD" w:rsidRPr="00B83D3A" w:rsidRDefault="007544CD" w:rsidP="00591E00">
      <w:pPr>
        <w:pStyle w:val="Prrafodelista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83D3A">
        <w:rPr>
          <w:rFonts w:cstheme="minorHAnsi"/>
          <w:sz w:val="24"/>
          <w:szCs w:val="24"/>
        </w:rPr>
        <w:t>El compromiso de mantener la confidencialidad estricta de los resultados y la manera de obtener una copia de los mismos.</w:t>
      </w:r>
    </w:p>
    <w:p w:rsidR="007544CD" w:rsidRPr="005412AF" w:rsidRDefault="007544CD" w:rsidP="005412AF">
      <w:pPr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>El tiempo que durará la participación y el derecho a retirarse en cualquier momento y por cualquier razón, siempre que el patrocinador esté de acuerdo.</w:t>
      </w:r>
      <w:r w:rsidRPr="005412AF">
        <w:rPr>
          <w:rFonts w:cstheme="minorHAnsi"/>
          <w:sz w:val="24"/>
          <w:szCs w:val="24"/>
          <w:highlight w:val="yellow"/>
        </w:rPr>
        <w:t xml:space="preserve"> </w:t>
      </w:r>
    </w:p>
    <w:p w:rsidR="005412AF" w:rsidRDefault="005412AF" w:rsidP="005412AF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B83D3A" w:rsidRDefault="00B83D3A" w:rsidP="00B83D3A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B83D3A">
        <w:rPr>
          <w:rFonts w:cstheme="minorHAnsi"/>
          <w:b/>
          <w:sz w:val="24"/>
          <w:szCs w:val="24"/>
          <w:highlight w:val="yellow"/>
        </w:rPr>
        <w:t>RESPUESTA: C</w:t>
      </w:r>
    </w:p>
    <w:p w:rsidR="00B83D3A" w:rsidRPr="005412AF" w:rsidRDefault="00B83D3A" w:rsidP="005412AF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7544CD" w:rsidRPr="00B83D3A" w:rsidRDefault="005E27E8" w:rsidP="005412AF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4"/>
          <w:szCs w:val="24"/>
        </w:rPr>
      </w:pPr>
      <w:r w:rsidRPr="00B83D3A">
        <w:rPr>
          <w:rFonts w:cstheme="minorHAnsi"/>
          <w:b/>
          <w:sz w:val="24"/>
          <w:szCs w:val="24"/>
        </w:rPr>
        <w:t>¿Cuál de las</w:t>
      </w:r>
      <w:r w:rsidR="007544CD" w:rsidRPr="00B83D3A">
        <w:rPr>
          <w:rFonts w:cstheme="minorHAnsi"/>
          <w:b/>
          <w:sz w:val="24"/>
          <w:szCs w:val="24"/>
        </w:rPr>
        <w:t xml:space="preserve"> siguiente</w:t>
      </w:r>
      <w:r w:rsidRPr="00B83D3A">
        <w:rPr>
          <w:rFonts w:cstheme="minorHAnsi"/>
          <w:b/>
          <w:sz w:val="24"/>
          <w:szCs w:val="24"/>
        </w:rPr>
        <w:t xml:space="preserve">s afirmaciones es cierta, </w:t>
      </w:r>
      <w:r w:rsidR="007544CD" w:rsidRPr="00B83D3A">
        <w:rPr>
          <w:rFonts w:cstheme="minorHAnsi"/>
          <w:b/>
          <w:sz w:val="24"/>
          <w:szCs w:val="24"/>
        </w:rPr>
        <w:t>con res</w:t>
      </w:r>
      <w:r w:rsidRPr="00B83D3A">
        <w:rPr>
          <w:rFonts w:cstheme="minorHAnsi"/>
          <w:b/>
          <w:sz w:val="24"/>
          <w:szCs w:val="24"/>
        </w:rPr>
        <w:t xml:space="preserve">pecto al estudio de </w:t>
      </w:r>
      <w:proofErr w:type="spellStart"/>
      <w:r w:rsidRPr="00B83D3A">
        <w:rPr>
          <w:rFonts w:cstheme="minorHAnsi"/>
          <w:b/>
          <w:sz w:val="24"/>
          <w:szCs w:val="24"/>
        </w:rPr>
        <w:t>Willowbrook</w:t>
      </w:r>
      <w:proofErr w:type="spellEnd"/>
      <w:r w:rsidRPr="00B83D3A">
        <w:rPr>
          <w:rFonts w:cstheme="minorHAnsi"/>
          <w:b/>
          <w:sz w:val="24"/>
          <w:szCs w:val="24"/>
        </w:rPr>
        <w:t>?</w:t>
      </w:r>
    </w:p>
    <w:p w:rsidR="007544CD" w:rsidRPr="005412AF" w:rsidRDefault="007544CD" w:rsidP="005412AF">
      <w:pPr>
        <w:pStyle w:val="Prrafodelista"/>
        <w:spacing w:line="360" w:lineRule="auto"/>
        <w:jc w:val="both"/>
        <w:rPr>
          <w:rFonts w:cstheme="minorHAnsi"/>
          <w:sz w:val="24"/>
          <w:szCs w:val="24"/>
        </w:rPr>
      </w:pPr>
    </w:p>
    <w:p w:rsidR="007544CD" w:rsidRPr="005412AF" w:rsidRDefault="007544CD" w:rsidP="005412AF">
      <w:pPr>
        <w:pStyle w:val="Prrafodelista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 xml:space="preserve">Fue un estudio llevado a cabo en el hospital de enfermedades crónicas de </w:t>
      </w:r>
      <w:proofErr w:type="spellStart"/>
      <w:r w:rsidRPr="005412AF">
        <w:rPr>
          <w:rFonts w:cstheme="minorHAnsi"/>
          <w:sz w:val="24"/>
          <w:szCs w:val="24"/>
        </w:rPr>
        <w:t>Willowbrook</w:t>
      </w:r>
      <w:proofErr w:type="spellEnd"/>
      <w:r w:rsidRPr="005412AF">
        <w:rPr>
          <w:rFonts w:cstheme="minorHAnsi"/>
          <w:sz w:val="24"/>
          <w:szCs w:val="24"/>
        </w:rPr>
        <w:t>, en el cual se inyectaron a pacientes ancianos con enfermedad de Alzheimer células infectadas con el virus de la hepatitis A sin su consentimiento.</w:t>
      </w:r>
    </w:p>
    <w:p w:rsidR="007544CD" w:rsidRPr="005412AF" w:rsidRDefault="007544CD" w:rsidP="005412AF">
      <w:pPr>
        <w:pStyle w:val="Prrafodelista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 xml:space="preserve">Fue un estudio conducido por el pediatra </w:t>
      </w:r>
      <w:proofErr w:type="spellStart"/>
      <w:r w:rsidRPr="005412AF">
        <w:rPr>
          <w:rFonts w:cstheme="minorHAnsi"/>
          <w:sz w:val="24"/>
          <w:szCs w:val="24"/>
        </w:rPr>
        <w:t>Saul</w:t>
      </w:r>
      <w:proofErr w:type="spellEnd"/>
      <w:r w:rsidRPr="005412AF">
        <w:rPr>
          <w:rFonts w:cstheme="minorHAnsi"/>
          <w:sz w:val="24"/>
          <w:szCs w:val="24"/>
        </w:rPr>
        <w:t xml:space="preserve"> </w:t>
      </w:r>
      <w:proofErr w:type="spellStart"/>
      <w:r w:rsidRPr="005412AF">
        <w:rPr>
          <w:rFonts w:cstheme="minorHAnsi"/>
          <w:sz w:val="24"/>
          <w:szCs w:val="24"/>
        </w:rPr>
        <w:t>Krugman</w:t>
      </w:r>
      <w:proofErr w:type="spellEnd"/>
      <w:r w:rsidRPr="005412AF">
        <w:rPr>
          <w:rFonts w:cstheme="minorHAnsi"/>
          <w:sz w:val="24"/>
          <w:szCs w:val="24"/>
        </w:rPr>
        <w:t>, que buscaba establecer el curso clínico de la hepatitis A. El consentimiento informado era un requisito para la administración de la vacuna para la Hepatitis A.</w:t>
      </w:r>
    </w:p>
    <w:p w:rsidR="007544CD" w:rsidRPr="00B83D3A" w:rsidRDefault="007544CD" w:rsidP="005412AF">
      <w:pPr>
        <w:pStyle w:val="Prrafodelista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83D3A">
        <w:rPr>
          <w:rFonts w:cstheme="minorHAnsi"/>
          <w:sz w:val="24"/>
          <w:szCs w:val="24"/>
        </w:rPr>
        <w:t xml:space="preserve">Fue un estudio conducido por el pediatra </w:t>
      </w:r>
      <w:proofErr w:type="spellStart"/>
      <w:r w:rsidRPr="00B83D3A">
        <w:rPr>
          <w:rFonts w:cstheme="minorHAnsi"/>
          <w:sz w:val="24"/>
          <w:szCs w:val="24"/>
        </w:rPr>
        <w:t>Saul</w:t>
      </w:r>
      <w:proofErr w:type="spellEnd"/>
      <w:r w:rsidRPr="00B83D3A">
        <w:rPr>
          <w:rFonts w:cstheme="minorHAnsi"/>
          <w:sz w:val="24"/>
          <w:szCs w:val="24"/>
        </w:rPr>
        <w:t xml:space="preserve"> </w:t>
      </w:r>
      <w:proofErr w:type="spellStart"/>
      <w:r w:rsidRPr="00B83D3A">
        <w:rPr>
          <w:rFonts w:cstheme="minorHAnsi"/>
          <w:sz w:val="24"/>
          <w:szCs w:val="24"/>
        </w:rPr>
        <w:t>Krugman</w:t>
      </w:r>
      <w:proofErr w:type="spellEnd"/>
      <w:r w:rsidRPr="00B83D3A">
        <w:rPr>
          <w:rFonts w:cstheme="minorHAnsi"/>
          <w:sz w:val="24"/>
          <w:szCs w:val="24"/>
        </w:rPr>
        <w:t xml:space="preserve"> que buscaba establecer el curso clínico de la hepatitis A. El consentimiento informado era un requisito para la admisión a la institución de </w:t>
      </w:r>
      <w:proofErr w:type="spellStart"/>
      <w:r w:rsidRPr="00B83D3A">
        <w:rPr>
          <w:rFonts w:cstheme="minorHAnsi"/>
          <w:sz w:val="24"/>
          <w:szCs w:val="24"/>
        </w:rPr>
        <w:t>Willowbrook</w:t>
      </w:r>
      <w:proofErr w:type="spellEnd"/>
      <w:r w:rsidRPr="00B83D3A">
        <w:rPr>
          <w:rFonts w:cstheme="minorHAnsi"/>
          <w:sz w:val="24"/>
          <w:szCs w:val="24"/>
        </w:rPr>
        <w:t xml:space="preserve">, la cual contaba con cupos limitados. </w:t>
      </w:r>
    </w:p>
    <w:p w:rsidR="007544CD" w:rsidRPr="005412AF" w:rsidRDefault="007544CD" w:rsidP="005412AF">
      <w:pPr>
        <w:pStyle w:val="Prrafodelista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 xml:space="preserve">Las conclusiones derivadas del estudio han sido tan importantes para el desarrollo de la </w:t>
      </w:r>
      <w:proofErr w:type="spellStart"/>
      <w:r w:rsidRPr="005412AF">
        <w:rPr>
          <w:rFonts w:cstheme="minorHAnsi"/>
          <w:sz w:val="24"/>
          <w:szCs w:val="24"/>
        </w:rPr>
        <w:t>infectología</w:t>
      </w:r>
      <w:proofErr w:type="spellEnd"/>
      <w:r w:rsidRPr="005412AF">
        <w:rPr>
          <w:rFonts w:cstheme="minorHAnsi"/>
          <w:sz w:val="24"/>
          <w:szCs w:val="24"/>
        </w:rPr>
        <w:t xml:space="preserve"> que hoy en día se considera, desde un punto de vista </w:t>
      </w:r>
      <w:proofErr w:type="spellStart"/>
      <w:r w:rsidRPr="005412AF">
        <w:rPr>
          <w:rFonts w:cstheme="minorHAnsi"/>
          <w:sz w:val="24"/>
          <w:szCs w:val="24"/>
        </w:rPr>
        <w:lastRenderedPageBreak/>
        <w:t>consecuencialista</w:t>
      </w:r>
      <w:proofErr w:type="spellEnd"/>
      <w:r w:rsidRPr="005412AF">
        <w:rPr>
          <w:rFonts w:cstheme="minorHAnsi"/>
          <w:sz w:val="24"/>
          <w:szCs w:val="24"/>
        </w:rPr>
        <w:t>, que era justificable el riesgo que supuso el estudio para los participantes.</w:t>
      </w:r>
    </w:p>
    <w:p w:rsidR="00B83D3A" w:rsidRPr="00B83D3A" w:rsidRDefault="00B83D3A" w:rsidP="00B83D3A">
      <w:pPr>
        <w:spacing w:line="360" w:lineRule="auto"/>
        <w:ind w:left="360"/>
        <w:jc w:val="both"/>
        <w:rPr>
          <w:rFonts w:cstheme="minorHAnsi"/>
          <w:b/>
          <w:sz w:val="24"/>
          <w:szCs w:val="24"/>
        </w:rPr>
      </w:pPr>
      <w:r w:rsidRPr="00B83D3A">
        <w:rPr>
          <w:rFonts w:cstheme="minorHAnsi"/>
          <w:b/>
          <w:sz w:val="24"/>
          <w:szCs w:val="24"/>
          <w:highlight w:val="yellow"/>
        </w:rPr>
        <w:t>RESPUESTA: C</w:t>
      </w:r>
    </w:p>
    <w:p w:rsidR="007544CD" w:rsidRPr="005412AF" w:rsidRDefault="007544CD" w:rsidP="005412AF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7544CD" w:rsidRPr="00B83D3A" w:rsidRDefault="000F246E" w:rsidP="005412AF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4"/>
          <w:szCs w:val="24"/>
        </w:rPr>
      </w:pPr>
      <w:r w:rsidRPr="00B83D3A">
        <w:rPr>
          <w:rFonts w:cstheme="minorHAnsi"/>
          <w:b/>
          <w:sz w:val="24"/>
          <w:szCs w:val="24"/>
        </w:rPr>
        <w:t xml:space="preserve">Según </w:t>
      </w:r>
      <w:proofErr w:type="spellStart"/>
      <w:r w:rsidR="005412AF" w:rsidRPr="00B83D3A">
        <w:rPr>
          <w:rFonts w:cstheme="minorHAnsi"/>
          <w:b/>
          <w:sz w:val="24"/>
          <w:szCs w:val="24"/>
        </w:rPr>
        <w:t>Ezekiel</w:t>
      </w:r>
      <w:proofErr w:type="spellEnd"/>
      <w:r w:rsidR="005412AF" w:rsidRPr="00B83D3A">
        <w:rPr>
          <w:rFonts w:cstheme="minorHAnsi"/>
          <w:b/>
          <w:sz w:val="24"/>
          <w:szCs w:val="24"/>
        </w:rPr>
        <w:t xml:space="preserve"> </w:t>
      </w:r>
      <w:r w:rsidRPr="00B83D3A">
        <w:rPr>
          <w:rFonts w:cstheme="minorHAnsi"/>
          <w:b/>
          <w:sz w:val="24"/>
          <w:szCs w:val="24"/>
        </w:rPr>
        <w:t xml:space="preserve">Emanuel, </w:t>
      </w:r>
      <w:r w:rsidR="005E27E8" w:rsidRPr="00B83D3A">
        <w:rPr>
          <w:rFonts w:cstheme="minorHAnsi"/>
          <w:b/>
          <w:sz w:val="24"/>
          <w:szCs w:val="24"/>
        </w:rPr>
        <w:t xml:space="preserve">¿cuáles son las etapas por las que transitado </w:t>
      </w:r>
      <w:r w:rsidRPr="00B83D3A">
        <w:rPr>
          <w:rFonts w:cstheme="minorHAnsi"/>
          <w:b/>
          <w:sz w:val="24"/>
          <w:szCs w:val="24"/>
        </w:rPr>
        <w:t>la ética en investigación</w:t>
      </w:r>
      <w:r w:rsidR="005E27E8" w:rsidRPr="00B83D3A">
        <w:rPr>
          <w:rFonts w:cstheme="minorHAnsi"/>
          <w:b/>
          <w:sz w:val="24"/>
          <w:szCs w:val="24"/>
        </w:rPr>
        <w:t>?</w:t>
      </w:r>
      <w:r w:rsidRPr="00B83D3A">
        <w:rPr>
          <w:rFonts w:cstheme="minorHAnsi"/>
          <w:b/>
          <w:sz w:val="24"/>
          <w:szCs w:val="24"/>
        </w:rPr>
        <w:t>:</w:t>
      </w:r>
    </w:p>
    <w:p w:rsidR="000F246E" w:rsidRPr="005412AF" w:rsidRDefault="000F246E" w:rsidP="005412AF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0F246E" w:rsidRPr="005E27E8" w:rsidRDefault="000F246E" w:rsidP="005412AF">
      <w:pPr>
        <w:pStyle w:val="Prrafode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>Paternalismo de los investigadores, autonomía de los voluntarios de investigac</w:t>
      </w:r>
      <w:r w:rsidR="005E27E8">
        <w:rPr>
          <w:rFonts w:cstheme="minorHAnsi"/>
          <w:sz w:val="24"/>
          <w:szCs w:val="24"/>
        </w:rPr>
        <w:t xml:space="preserve">ión, proteccionismo regulatorio, </w:t>
      </w:r>
      <w:r w:rsidR="005E27E8" w:rsidRPr="005E27E8">
        <w:rPr>
          <w:rFonts w:cstheme="minorHAnsi"/>
          <w:sz w:val="24"/>
          <w:szCs w:val="24"/>
        </w:rPr>
        <w:t>acceso a los beneficios derivados de la investigación biomédica</w:t>
      </w:r>
      <w:r w:rsidR="005E27E8">
        <w:rPr>
          <w:rFonts w:cstheme="minorHAnsi"/>
          <w:sz w:val="24"/>
          <w:szCs w:val="24"/>
        </w:rPr>
        <w:t>.</w:t>
      </w:r>
    </w:p>
    <w:p w:rsidR="005E27E8" w:rsidRPr="005E27E8" w:rsidRDefault="000F246E" w:rsidP="005E27E8">
      <w:pPr>
        <w:pStyle w:val="Prrafode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>Paternalismo de los investigadores, proteccionismo regulator</w:t>
      </w:r>
      <w:r w:rsidR="005E27E8">
        <w:rPr>
          <w:rFonts w:cstheme="minorHAnsi"/>
          <w:sz w:val="24"/>
          <w:szCs w:val="24"/>
        </w:rPr>
        <w:t xml:space="preserve">io, investigación transnacional, </w:t>
      </w:r>
      <w:r w:rsidR="005E27E8" w:rsidRPr="005E27E8">
        <w:rPr>
          <w:rFonts w:cstheme="minorHAnsi"/>
          <w:sz w:val="24"/>
          <w:szCs w:val="24"/>
        </w:rPr>
        <w:t>acceso a los beneficios derivados de la investigación biomédica</w:t>
      </w:r>
      <w:r w:rsidR="005E27E8">
        <w:rPr>
          <w:rFonts w:cstheme="minorHAnsi"/>
          <w:sz w:val="24"/>
          <w:szCs w:val="24"/>
        </w:rPr>
        <w:t>.</w:t>
      </w:r>
    </w:p>
    <w:p w:rsidR="000F246E" w:rsidRPr="005412AF" w:rsidRDefault="000F246E" w:rsidP="005E27E8">
      <w:pPr>
        <w:pStyle w:val="Prrafodelista"/>
        <w:spacing w:line="360" w:lineRule="auto"/>
        <w:jc w:val="both"/>
        <w:rPr>
          <w:rFonts w:cstheme="minorHAnsi"/>
          <w:sz w:val="24"/>
          <w:szCs w:val="24"/>
        </w:rPr>
      </w:pPr>
    </w:p>
    <w:p w:rsidR="000F246E" w:rsidRPr="005E27E8" w:rsidRDefault="000F246E" w:rsidP="005E27E8">
      <w:pPr>
        <w:pStyle w:val="Prrafode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>Paternalismo de los investigadores, autonomía de las comunidades, verificación de las normas</w:t>
      </w:r>
      <w:r w:rsidR="005E27E8">
        <w:rPr>
          <w:rFonts w:cstheme="minorHAnsi"/>
          <w:sz w:val="24"/>
          <w:szCs w:val="24"/>
        </w:rPr>
        <w:t xml:space="preserve"> regulatorias, </w:t>
      </w:r>
      <w:r w:rsidR="005E27E8" w:rsidRPr="005E27E8">
        <w:rPr>
          <w:rFonts w:cstheme="minorHAnsi"/>
          <w:sz w:val="24"/>
          <w:szCs w:val="24"/>
        </w:rPr>
        <w:t>acceso a los beneficios derivados de la investigación biomédica</w:t>
      </w:r>
      <w:r w:rsidR="005E27E8">
        <w:rPr>
          <w:rFonts w:cstheme="minorHAnsi"/>
          <w:sz w:val="24"/>
          <w:szCs w:val="24"/>
        </w:rPr>
        <w:t>.</w:t>
      </w:r>
    </w:p>
    <w:p w:rsidR="000F246E" w:rsidRPr="00B83D3A" w:rsidRDefault="000F246E" w:rsidP="005412AF">
      <w:pPr>
        <w:pStyle w:val="Prrafode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83D3A">
        <w:rPr>
          <w:rFonts w:cstheme="minorHAnsi"/>
          <w:sz w:val="24"/>
          <w:szCs w:val="24"/>
        </w:rPr>
        <w:t>Paternalismo de los investigadores, proteccionismo regulatorio, acceso a los beneficios derivados de la investigación biomédica, investigación participativa basada en la comunidad.</w:t>
      </w:r>
    </w:p>
    <w:p w:rsidR="005412AF" w:rsidRDefault="005412AF" w:rsidP="005412AF">
      <w:pPr>
        <w:spacing w:line="360" w:lineRule="auto"/>
        <w:jc w:val="both"/>
        <w:rPr>
          <w:rFonts w:cstheme="minorHAnsi"/>
          <w:sz w:val="24"/>
          <w:szCs w:val="24"/>
          <w:highlight w:val="yellow"/>
        </w:rPr>
      </w:pPr>
    </w:p>
    <w:p w:rsidR="00B83D3A" w:rsidRDefault="00B83D3A" w:rsidP="00B83D3A">
      <w:pPr>
        <w:spacing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highlight w:val="yellow"/>
        </w:rPr>
        <w:t>RESPUESTA: D</w:t>
      </w:r>
    </w:p>
    <w:p w:rsidR="00B83D3A" w:rsidRPr="005412AF" w:rsidRDefault="00B83D3A" w:rsidP="005412AF">
      <w:pPr>
        <w:spacing w:line="360" w:lineRule="auto"/>
        <w:jc w:val="both"/>
        <w:rPr>
          <w:rFonts w:cstheme="minorHAnsi"/>
          <w:sz w:val="24"/>
          <w:szCs w:val="24"/>
          <w:highlight w:val="yellow"/>
        </w:rPr>
      </w:pPr>
    </w:p>
    <w:p w:rsidR="000F246E" w:rsidRPr="00B83D3A" w:rsidRDefault="005E27E8" w:rsidP="005412AF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4"/>
          <w:szCs w:val="24"/>
        </w:rPr>
      </w:pPr>
      <w:r w:rsidRPr="00B83D3A">
        <w:rPr>
          <w:rFonts w:cstheme="minorHAnsi"/>
          <w:b/>
          <w:sz w:val="24"/>
          <w:szCs w:val="24"/>
        </w:rPr>
        <w:t>¿Cuál de las siguientes condiciones podría justificar l</w:t>
      </w:r>
      <w:r w:rsidR="00B743B3" w:rsidRPr="00B83D3A">
        <w:rPr>
          <w:rFonts w:cstheme="minorHAnsi"/>
          <w:b/>
          <w:sz w:val="24"/>
          <w:szCs w:val="24"/>
        </w:rPr>
        <w:t xml:space="preserve">a investigación en poblaciones </w:t>
      </w:r>
      <w:r w:rsidRPr="00B83D3A">
        <w:rPr>
          <w:rFonts w:cstheme="minorHAnsi"/>
          <w:b/>
          <w:sz w:val="24"/>
          <w:szCs w:val="24"/>
        </w:rPr>
        <w:t>en condición de vulnerabilidad?</w:t>
      </w:r>
    </w:p>
    <w:p w:rsidR="00B743B3" w:rsidRPr="005412AF" w:rsidRDefault="00B743B3" w:rsidP="005412AF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B743B3" w:rsidRPr="005412AF" w:rsidRDefault="00B743B3" w:rsidP="005412AF">
      <w:pPr>
        <w:pStyle w:val="Prrafodelista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lastRenderedPageBreak/>
        <w:t>La investigación aporta conocimiento científico de calidad.</w:t>
      </w:r>
    </w:p>
    <w:p w:rsidR="00B743B3" w:rsidRPr="005412AF" w:rsidRDefault="00B743B3" w:rsidP="005412AF">
      <w:pPr>
        <w:pStyle w:val="Prrafodelista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>La investigación aporta beneficios terapéuticos</w:t>
      </w:r>
      <w:r w:rsidR="005412AF" w:rsidRPr="005412AF">
        <w:rPr>
          <w:rFonts w:cstheme="minorHAnsi"/>
          <w:sz w:val="24"/>
          <w:szCs w:val="24"/>
        </w:rPr>
        <w:t xml:space="preserve"> o diagnósticos</w:t>
      </w:r>
      <w:r w:rsidRPr="005412AF">
        <w:rPr>
          <w:rFonts w:cstheme="minorHAnsi"/>
          <w:sz w:val="24"/>
          <w:szCs w:val="24"/>
        </w:rPr>
        <w:t>.</w:t>
      </w:r>
    </w:p>
    <w:p w:rsidR="00B743B3" w:rsidRPr="005412AF" w:rsidRDefault="00B743B3" w:rsidP="005412AF">
      <w:pPr>
        <w:pStyle w:val="Prrafodelista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>Los incentivos</w:t>
      </w:r>
      <w:r w:rsidR="005412AF" w:rsidRPr="005412AF">
        <w:rPr>
          <w:rFonts w:cstheme="minorHAnsi"/>
          <w:sz w:val="24"/>
          <w:szCs w:val="24"/>
        </w:rPr>
        <w:t xml:space="preserve"> económicos</w:t>
      </w:r>
      <w:r w:rsidRPr="005412AF">
        <w:rPr>
          <w:rFonts w:cstheme="minorHAnsi"/>
          <w:sz w:val="24"/>
          <w:szCs w:val="24"/>
        </w:rPr>
        <w:t xml:space="preserve"> justifican su participación.</w:t>
      </w:r>
    </w:p>
    <w:p w:rsidR="00B743B3" w:rsidRPr="00B83D3A" w:rsidRDefault="005E27E8" w:rsidP="005412AF">
      <w:pPr>
        <w:pStyle w:val="Prrafodelista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83D3A">
        <w:rPr>
          <w:rFonts w:cstheme="minorHAnsi"/>
          <w:sz w:val="24"/>
          <w:szCs w:val="24"/>
        </w:rPr>
        <w:t>El</w:t>
      </w:r>
      <w:r w:rsidR="00B743B3" w:rsidRPr="00B83D3A">
        <w:rPr>
          <w:rFonts w:cstheme="minorHAnsi"/>
          <w:sz w:val="24"/>
          <w:szCs w:val="24"/>
        </w:rPr>
        <w:t xml:space="preserve"> proceso de consentimiento garantiza la </w:t>
      </w:r>
      <w:r w:rsidRPr="00B83D3A">
        <w:rPr>
          <w:rFonts w:cstheme="minorHAnsi"/>
          <w:sz w:val="24"/>
          <w:szCs w:val="24"/>
        </w:rPr>
        <w:t>protección</w:t>
      </w:r>
      <w:r w:rsidR="00B743B3" w:rsidRPr="00B83D3A">
        <w:rPr>
          <w:rFonts w:cstheme="minorHAnsi"/>
          <w:sz w:val="24"/>
          <w:szCs w:val="24"/>
        </w:rPr>
        <w:t xml:space="preserve"> de sus derechos.</w:t>
      </w:r>
    </w:p>
    <w:p w:rsidR="00EE55F5" w:rsidRDefault="00EE55F5" w:rsidP="005412AF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B83D3A" w:rsidRDefault="00B83D3A" w:rsidP="00B83D3A">
      <w:pPr>
        <w:spacing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highlight w:val="yellow"/>
        </w:rPr>
        <w:t>RESPUESTA: D</w:t>
      </w:r>
    </w:p>
    <w:p w:rsidR="00B83D3A" w:rsidRPr="005412AF" w:rsidRDefault="00B83D3A" w:rsidP="005412AF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B743B3" w:rsidRPr="00B83D3A" w:rsidRDefault="001120DE" w:rsidP="005412AF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4"/>
          <w:szCs w:val="24"/>
        </w:rPr>
      </w:pPr>
      <w:r w:rsidRPr="00B83D3A">
        <w:rPr>
          <w:rFonts w:cstheme="minorHAnsi"/>
          <w:b/>
          <w:sz w:val="24"/>
          <w:szCs w:val="24"/>
        </w:rPr>
        <w:t xml:space="preserve">En Colombia, </w:t>
      </w:r>
      <w:r w:rsidR="005E27E8" w:rsidRPr="00B83D3A">
        <w:rPr>
          <w:rFonts w:cstheme="minorHAnsi"/>
          <w:b/>
          <w:sz w:val="24"/>
          <w:szCs w:val="24"/>
        </w:rPr>
        <w:t xml:space="preserve">¿cuál es </w:t>
      </w:r>
      <w:r w:rsidRPr="00B83D3A">
        <w:rPr>
          <w:rFonts w:cstheme="minorHAnsi"/>
          <w:b/>
          <w:sz w:val="24"/>
          <w:szCs w:val="24"/>
        </w:rPr>
        <w:t>la norma “Por la cual se adoptan las Buenas Prácticas Clínicas para las instituciones que conducen investigación con m</w:t>
      </w:r>
      <w:r w:rsidR="005E27E8" w:rsidRPr="00B83D3A">
        <w:rPr>
          <w:rFonts w:cstheme="minorHAnsi"/>
          <w:b/>
          <w:sz w:val="24"/>
          <w:szCs w:val="24"/>
        </w:rPr>
        <w:t>edicamentos en seres humanos”?</w:t>
      </w:r>
    </w:p>
    <w:p w:rsidR="001120DE" w:rsidRPr="005412AF" w:rsidRDefault="001120DE" w:rsidP="005412AF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1120DE" w:rsidRPr="005412AF" w:rsidRDefault="001120DE" w:rsidP="005412AF">
      <w:pPr>
        <w:pStyle w:val="Prrafodelista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>Resolución 1995 de 1999.</w:t>
      </w:r>
    </w:p>
    <w:p w:rsidR="001120DE" w:rsidRPr="005412AF" w:rsidRDefault="001120DE" w:rsidP="005412AF">
      <w:pPr>
        <w:pStyle w:val="Prrafodelista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>Resolución 008430 de 1993.</w:t>
      </w:r>
    </w:p>
    <w:p w:rsidR="001120DE" w:rsidRPr="00B83D3A" w:rsidRDefault="001120DE" w:rsidP="005412AF">
      <w:pPr>
        <w:pStyle w:val="Prrafodelista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83D3A">
        <w:rPr>
          <w:rFonts w:cstheme="minorHAnsi"/>
          <w:sz w:val="24"/>
          <w:szCs w:val="24"/>
        </w:rPr>
        <w:t>Resolución 2378 de 2008.</w:t>
      </w:r>
    </w:p>
    <w:p w:rsidR="001120DE" w:rsidRPr="005412AF" w:rsidRDefault="001120DE" w:rsidP="005412AF">
      <w:pPr>
        <w:pStyle w:val="Prrafodelista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>Resolución 1051 de 2016.</w:t>
      </w:r>
    </w:p>
    <w:p w:rsidR="00EE55F5" w:rsidRDefault="00EE55F5" w:rsidP="005412AF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B83D3A" w:rsidRDefault="00B83D3A" w:rsidP="00B83D3A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B83D3A">
        <w:rPr>
          <w:rFonts w:cstheme="minorHAnsi"/>
          <w:b/>
          <w:sz w:val="24"/>
          <w:szCs w:val="24"/>
          <w:highlight w:val="yellow"/>
        </w:rPr>
        <w:t>RESPUESTA: C</w:t>
      </w:r>
    </w:p>
    <w:p w:rsidR="005412AF" w:rsidRDefault="005412AF" w:rsidP="005412AF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412AF" w:rsidRPr="005412AF" w:rsidRDefault="005412AF" w:rsidP="005412AF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B743B3" w:rsidRPr="00B83D3A" w:rsidRDefault="00EE55F5" w:rsidP="005412AF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4"/>
          <w:szCs w:val="24"/>
        </w:rPr>
      </w:pPr>
      <w:r w:rsidRPr="00B83D3A">
        <w:rPr>
          <w:rFonts w:cstheme="minorHAnsi"/>
          <w:b/>
          <w:sz w:val="24"/>
          <w:szCs w:val="24"/>
        </w:rPr>
        <w:t xml:space="preserve">En nuestros países en vías de desarrollo, </w:t>
      </w:r>
      <w:r w:rsidR="005E27E8" w:rsidRPr="00B83D3A">
        <w:rPr>
          <w:rFonts w:cstheme="minorHAnsi"/>
          <w:b/>
          <w:sz w:val="24"/>
          <w:szCs w:val="24"/>
        </w:rPr>
        <w:t xml:space="preserve">¿en cuáles de los siguientes temas </w:t>
      </w:r>
      <w:r w:rsidRPr="00B83D3A">
        <w:rPr>
          <w:rFonts w:cstheme="minorHAnsi"/>
          <w:b/>
          <w:sz w:val="24"/>
          <w:szCs w:val="24"/>
        </w:rPr>
        <w:t xml:space="preserve">es </w:t>
      </w:r>
      <w:r w:rsidR="005412AF" w:rsidRPr="00B83D3A">
        <w:rPr>
          <w:rFonts w:cstheme="minorHAnsi"/>
          <w:b/>
          <w:sz w:val="24"/>
          <w:szCs w:val="24"/>
        </w:rPr>
        <w:t xml:space="preserve">importante </w:t>
      </w:r>
      <w:r w:rsidRPr="00B83D3A">
        <w:rPr>
          <w:rFonts w:cstheme="minorHAnsi"/>
          <w:b/>
          <w:sz w:val="24"/>
          <w:szCs w:val="24"/>
        </w:rPr>
        <w:t>trabajar</w:t>
      </w:r>
      <w:r w:rsidR="005E27E8" w:rsidRPr="00B83D3A">
        <w:rPr>
          <w:rFonts w:cstheme="minorHAnsi"/>
          <w:b/>
          <w:sz w:val="24"/>
          <w:szCs w:val="24"/>
        </w:rPr>
        <w:t>, desde una perspectiva ética,</w:t>
      </w:r>
      <w:r w:rsidRPr="00B83D3A">
        <w:rPr>
          <w:rFonts w:cstheme="minorHAnsi"/>
          <w:b/>
          <w:sz w:val="24"/>
          <w:szCs w:val="24"/>
        </w:rPr>
        <w:t xml:space="preserve"> para </w:t>
      </w:r>
      <w:r w:rsidR="005E27E8" w:rsidRPr="00B83D3A">
        <w:rPr>
          <w:rFonts w:cstheme="minorHAnsi"/>
          <w:b/>
          <w:sz w:val="24"/>
          <w:szCs w:val="24"/>
        </w:rPr>
        <w:t xml:space="preserve">promover </w:t>
      </w:r>
      <w:r w:rsidRPr="00B83D3A">
        <w:rPr>
          <w:rFonts w:cstheme="minorHAnsi"/>
          <w:b/>
          <w:sz w:val="24"/>
          <w:szCs w:val="24"/>
        </w:rPr>
        <w:t xml:space="preserve">el </w:t>
      </w:r>
      <w:r w:rsidR="005412AF" w:rsidRPr="00B83D3A">
        <w:rPr>
          <w:rFonts w:cstheme="minorHAnsi"/>
          <w:b/>
          <w:sz w:val="24"/>
          <w:szCs w:val="24"/>
        </w:rPr>
        <w:t>avance</w:t>
      </w:r>
      <w:r w:rsidRPr="00B83D3A">
        <w:rPr>
          <w:rFonts w:cstheme="minorHAnsi"/>
          <w:b/>
          <w:sz w:val="24"/>
          <w:szCs w:val="24"/>
        </w:rPr>
        <w:t xml:space="preserve"> de la investigación</w:t>
      </w:r>
      <w:r w:rsidR="005E27E8" w:rsidRPr="00B83D3A">
        <w:rPr>
          <w:rFonts w:cstheme="minorHAnsi"/>
          <w:b/>
          <w:sz w:val="24"/>
          <w:szCs w:val="24"/>
        </w:rPr>
        <w:t>?</w:t>
      </w:r>
    </w:p>
    <w:p w:rsidR="00EE55F5" w:rsidRPr="005412AF" w:rsidRDefault="00EE55F5" w:rsidP="005412AF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EE55F5" w:rsidRPr="005412AF" w:rsidRDefault="005412AF" w:rsidP="005412AF">
      <w:pPr>
        <w:pStyle w:val="Prrafodelista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lastRenderedPageBreak/>
        <w:t>Validez científica de los estudios, desarrollo de marcos regulatorios, consentimiento informado.</w:t>
      </w:r>
    </w:p>
    <w:p w:rsidR="005412AF" w:rsidRPr="005412AF" w:rsidRDefault="005412AF" w:rsidP="005412AF">
      <w:pPr>
        <w:pStyle w:val="Prrafodelista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>Validez científica de los estudios, conformación de comités de ética en investigación, desarrollo de marcos regulatorios.</w:t>
      </w:r>
    </w:p>
    <w:p w:rsidR="005412AF" w:rsidRPr="00B83D3A" w:rsidRDefault="005412AF" w:rsidP="005412AF">
      <w:pPr>
        <w:pStyle w:val="Prrafodelista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83D3A">
        <w:rPr>
          <w:rFonts w:cstheme="minorHAnsi"/>
          <w:sz w:val="24"/>
          <w:szCs w:val="24"/>
        </w:rPr>
        <w:t>Priorización de líneas de investigación, construcción de capacidad local de investigación e investigación participativa basada en la comunidad.</w:t>
      </w:r>
    </w:p>
    <w:p w:rsidR="005412AF" w:rsidRPr="005412AF" w:rsidRDefault="005412AF" w:rsidP="005412AF">
      <w:pPr>
        <w:pStyle w:val="Prrafodelista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412AF">
        <w:rPr>
          <w:rFonts w:cstheme="minorHAnsi"/>
          <w:sz w:val="24"/>
          <w:szCs w:val="24"/>
        </w:rPr>
        <w:t>Priorización de líneas de investigación, construcción de capacidad local de investigación e investigación extractiva basada en la comunidad.</w:t>
      </w:r>
    </w:p>
    <w:p w:rsidR="005412AF" w:rsidRPr="005412AF" w:rsidRDefault="005412AF" w:rsidP="005412AF">
      <w:pPr>
        <w:pStyle w:val="Prrafodelista"/>
        <w:spacing w:line="360" w:lineRule="auto"/>
        <w:jc w:val="both"/>
        <w:rPr>
          <w:rFonts w:cstheme="minorHAnsi"/>
          <w:sz w:val="24"/>
          <w:szCs w:val="24"/>
        </w:rPr>
      </w:pPr>
    </w:p>
    <w:p w:rsidR="00B83D3A" w:rsidRDefault="00B83D3A" w:rsidP="00B83D3A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B83D3A">
        <w:rPr>
          <w:rFonts w:cstheme="minorHAnsi"/>
          <w:b/>
          <w:sz w:val="24"/>
          <w:szCs w:val="24"/>
          <w:highlight w:val="yellow"/>
        </w:rPr>
        <w:t>RESPUESTA: C</w:t>
      </w:r>
      <w:bookmarkStart w:id="0" w:name="_GoBack"/>
      <w:bookmarkEnd w:id="0"/>
    </w:p>
    <w:p w:rsidR="00B743B3" w:rsidRPr="005412AF" w:rsidRDefault="00B743B3" w:rsidP="005412AF">
      <w:pPr>
        <w:spacing w:line="360" w:lineRule="auto"/>
        <w:jc w:val="both"/>
        <w:rPr>
          <w:rFonts w:cstheme="minorHAnsi"/>
          <w:sz w:val="24"/>
          <w:szCs w:val="24"/>
          <w:highlight w:val="yellow"/>
        </w:rPr>
      </w:pPr>
    </w:p>
    <w:p w:rsidR="00B743B3" w:rsidRPr="005412AF" w:rsidRDefault="00B743B3" w:rsidP="005412AF">
      <w:pPr>
        <w:spacing w:line="360" w:lineRule="auto"/>
        <w:jc w:val="both"/>
        <w:rPr>
          <w:rFonts w:cstheme="minorHAnsi"/>
          <w:sz w:val="24"/>
          <w:szCs w:val="24"/>
          <w:highlight w:val="yellow"/>
        </w:rPr>
      </w:pPr>
    </w:p>
    <w:sectPr w:rsidR="00B743B3" w:rsidRPr="005412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157C"/>
    <w:multiLevelType w:val="multilevel"/>
    <w:tmpl w:val="FA5E6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3961"/>
    <w:multiLevelType w:val="hybridMultilevel"/>
    <w:tmpl w:val="92C4D9D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2106"/>
    <w:multiLevelType w:val="hybridMultilevel"/>
    <w:tmpl w:val="888492A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75376"/>
    <w:multiLevelType w:val="hybridMultilevel"/>
    <w:tmpl w:val="5524979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E0E8B"/>
    <w:multiLevelType w:val="hybridMultilevel"/>
    <w:tmpl w:val="5FDAAF10"/>
    <w:lvl w:ilvl="0" w:tplc="99EC8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C47A40"/>
    <w:multiLevelType w:val="hybridMultilevel"/>
    <w:tmpl w:val="81366956"/>
    <w:lvl w:ilvl="0" w:tplc="67AEE0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B607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50D5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EE7F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8A5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E0D7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38AE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E8A8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F201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C3083"/>
    <w:multiLevelType w:val="hybridMultilevel"/>
    <w:tmpl w:val="8F4E219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4973"/>
    <w:multiLevelType w:val="hybridMultilevel"/>
    <w:tmpl w:val="5DD084B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A7AD5"/>
    <w:multiLevelType w:val="hybridMultilevel"/>
    <w:tmpl w:val="BF58498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C1C15"/>
    <w:multiLevelType w:val="hybridMultilevel"/>
    <w:tmpl w:val="88023CC0"/>
    <w:lvl w:ilvl="0" w:tplc="5404B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553703"/>
    <w:multiLevelType w:val="hybridMultilevel"/>
    <w:tmpl w:val="FA5E6B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0323B"/>
    <w:multiLevelType w:val="hybridMultilevel"/>
    <w:tmpl w:val="5D7AA6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D7B94"/>
    <w:multiLevelType w:val="hybridMultilevel"/>
    <w:tmpl w:val="FD6A91D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C7D0F"/>
    <w:multiLevelType w:val="hybridMultilevel"/>
    <w:tmpl w:val="4C6E68A8"/>
    <w:lvl w:ilvl="0" w:tplc="1056F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2"/>
  </w:num>
  <w:num w:numId="5">
    <w:abstractNumId w:val="13"/>
  </w:num>
  <w:num w:numId="6">
    <w:abstractNumId w:val="3"/>
  </w:num>
  <w:num w:numId="7">
    <w:abstractNumId w:val="1"/>
  </w:num>
  <w:num w:numId="8">
    <w:abstractNumId w:val="6"/>
  </w:num>
  <w:num w:numId="9">
    <w:abstractNumId w:val="11"/>
  </w:num>
  <w:num w:numId="10">
    <w:abstractNumId w:val="8"/>
  </w:num>
  <w:num w:numId="11">
    <w:abstractNumId w:val="0"/>
  </w:num>
  <w:num w:numId="12">
    <w:abstractNumId w:val="5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CD"/>
    <w:rsid w:val="000F246E"/>
    <w:rsid w:val="001120DE"/>
    <w:rsid w:val="005412AF"/>
    <w:rsid w:val="00591E00"/>
    <w:rsid w:val="005E27E8"/>
    <w:rsid w:val="00655C47"/>
    <w:rsid w:val="0073449D"/>
    <w:rsid w:val="007544CD"/>
    <w:rsid w:val="00841C01"/>
    <w:rsid w:val="00B12592"/>
    <w:rsid w:val="00B743B3"/>
    <w:rsid w:val="00B83D3A"/>
    <w:rsid w:val="00EE55F5"/>
    <w:rsid w:val="00FD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BE919"/>
  <w15:docId w15:val="{8C292CDE-4AB0-4BB5-B613-291C639C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4CD"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4CD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83D3A"/>
    <w:pPr>
      <w:spacing w:after="0" w:line="240" w:lineRule="auto"/>
    </w:pPr>
    <w:rPr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D3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alvaro fernando burbano delgado</cp:lastModifiedBy>
  <cp:revision>4</cp:revision>
  <dcterms:created xsi:type="dcterms:W3CDTF">2019-10-21T18:19:00Z</dcterms:created>
  <dcterms:modified xsi:type="dcterms:W3CDTF">2020-02-15T22:09:00Z</dcterms:modified>
</cp:coreProperties>
</file>