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11B5C" w14:textId="77777777" w:rsidR="00F7236D" w:rsidRPr="00976671" w:rsidRDefault="00F7236D" w:rsidP="00F7236D">
      <w:pPr>
        <w:jc w:val="center"/>
        <w:rPr>
          <w:rFonts w:ascii="Arial" w:hAnsi="Arial" w:cs="Arial"/>
          <w:b/>
          <w:sz w:val="24"/>
          <w:szCs w:val="24"/>
        </w:rPr>
      </w:pPr>
      <w:r w:rsidRPr="00976671">
        <w:rPr>
          <w:rFonts w:ascii="Arial" w:hAnsi="Arial" w:cs="Arial"/>
          <w:b/>
          <w:sz w:val="24"/>
          <w:szCs w:val="24"/>
          <w:lang w:val="es-ES_tradnl"/>
        </w:rPr>
        <w:t>Diplomado Virtual Osteoporosis</w:t>
      </w:r>
    </w:p>
    <w:p w14:paraId="44B7BC20" w14:textId="77777777" w:rsidR="00F7236D" w:rsidRPr="00976671" w:rsidRDefault="00F7236D" w:rsidP="00F7236D">
      <w:pPr>
        <w:spacing w:line="276" w:lineRule="auto"/>
        <w:rPr>
          <w:rFonts w:ascii="Arial" w:hAnsi="Arial" w:cs="Arial"/>
          <w:b/>
          <w:sz w:val="24"/>
          <w:szCs w:val="24"/>
        </w:rPr>
      </w:pPr>
    </w:p>
    <w:p w14:paraId="57B8FF2D" w14:textId="7BE2B833" w:rsidR="00F7236D" w:rsidRPr="00976671" w:rsidRDefault="00F7236D" w:rsidP="00F7236D">
      <w:pPr>
        <w:spacing w:line="276" w:lineRule="auto"/>
        <w:jc w:val="both"/>
        <w:rPr>
          <w:rFonts w:ascii="Arial" w:hAnsi="Arial" w:cs="Arial"/>
          <w:b/>
          <w:sz w:val="24"/>
          <w:szCs w:val="24"/>
        </w:rPr>
      </w:pPr>
      <w:r w:rsidRPr="00976671">
        <w:rPr>
          <w:rFonts w:ascii="Arial" w:hAnsi="Arial" w:cs="Arial"/>
          <w:b/>
          <w:sz w:val="24"/>
          <w:szCs w:val="24"/>
        </w:rPr>
        <w:t xml:space="preserve">Módulo 3: </w:t>
      </w:r>
      <w:r w:rsidRPr="00976671">
        <w:rPr>
          <w:rFonts w:ascii="Arial" w:eastAsia="Times New Roman" w:hAnsi="Arial" w:cs="Arial"/>
          <w:b/>
          <w:bCs/>
          <w:sz w:val="24"/>
          <w:szCs w:val="24"/>
        </w:rPr>
        <w:t>Evaluación integral del paciente con riesgo de fractura.</w:t>
      </w:r>
    </w:p>
    <w:p w14:paraId="596F2B68" w14:textId="77777777" w:rsidR="00F7236D" w:rsidRPr="00976671" w:rsidRDefault="00F7236D" w:rsidP="00EB64FF">
      <w:pPr>
        <w:spacing w:line="240" w:lineRule="auto"/>
        <w:jc w:val="both"/>
        <w:rPr>
          <w:rFonts w:ascii="Arial" w:hAnsi="Arial" w:cs="Arial"/>
          <w:sz w:val="20"/>
          <w:szCs w:val="20"/>
        </w:rPr>
      </w:pPr>
    </w:p>
    <w:p w14:paraId="1B78FEFA" w14:textId="77636B12" w:rsidR="00C44AB3" w:rsidRPr="00976671" w:rsidRDefault="00D74FC5" w:rsidP="00EB64FF">
      <w:pPr>
        <w:spacing w:line="240" w:lineRule="auto"/>
        <w:jc w:val="both"/>
        <w:rPr>
          <w:rFonts w:ascii="Arial" w:hAnsi="Arial" w:cs="Arial"/>
          <w:b/>
          <w:sz w:val="20"/>
          <w:szCs w:val="20"/>
        </w:rPr>
      </w:pPr>
      <w:r w:rsidRPr="00976671">
        <w:rPr>
          <w:rFonts w:ascii="Arial" w:hAnsi="Arial" w:cs="Arial"/>
          <w:b/>
          <w:sz w:val="20"/>
          <w:szCs w:val="20"/>
        </w:rPr>
        <w:t>D</w:t>
      </w:r>
      <w:r w:rsidR="00F7236D" w:rsidRPr="00976671">
        <w:rPr>
          <w:rFonts w:ascii="Arial" w:hAnsi="Arial" w:cs="Arial"/>
          <w:b/>
          <w:sz w:val="20"/>
          <w:szCs w:val="20"/>
        </w:rPr>
        <w:t>r</w:t>
      </w:r>
      <w:r w:rsidRPr="00976671">
        <w:rPr>
          <w:rFonts w:ascii="Arial" w:hAnsi="Arial" w:cs="Arial"/>
          <w:b/>
          <w:sz w:val="20"/>
          <w:szCs w:val="20"/>
        </w:rPr>
        <w:t>. Jorge Castillo</w:t>
      </w:r>
      <w:r w:rsidR="00F7236D" w:rsidRPr="00976671">
        <w:rPr>
          <w:rFonts w:ascii="Arial" w:hAnsi="Arial" w:cs="Arial"/>
          <w:b/>
          <w:sz w:val="20"/>
          <w:szCs w:val="20"/>
        </w:rPr>
        <w:t xml:space="preserve">: </w:t>
      </w:r>
      <w:r w:rsidR="00F7236D" w:rsidRPr="00976671">
        <w:rPr>
          <w:rFonts w:ascii="Arial" w:hAnsi="Arial" w:cs="Arial"/>
          <w:sz w:val="20"/>
          <w:szCs w:val="20"/>
        </w:rPr>
        <w:t>Médico</w:t>
      </w:r>
      <w:r w:rsidRPr="00976671">
        <w:rPr>
          <w:rFonts w:ascii="Arial" w:hAnsi="Arial" w:cs="Arial"/>
          <w:sz w:val="20"/>
          <w:szCs w:val="20"/>
        </w:rPr>
        <w:t xml:space="preserve"> Internista y </w:t>
      </w:r>
      <w:r w:rsidR="00F7236D" w:rsidRPr="00976671">
        <w:rPr>
          <w:rFonts w:ascii="Arial" w:hAnsi="Arial" w:cs="Arial"/>
          <w:sz w:val="20"/>
          <w:szCs w:val="20"/>
        </w:rPr>
        <w:t>Endocrinólogo</w:t>
      </w:r>
      <w:r w:rsidRPr="00976671">
        <w:rPr>
          <w:rFonts w:ascii="Arial" w:hAnsi="Arial" w:cs="Arial"/>
          <w:sz w:val="20"/>
          <w:szCs w:val="20"/>
        </w:rPr>
        <w:t xml:space="preserve"> de la Universidad Nacional</w:t>
      </w:r>
      <w:r w:rsidR="00F7236D" w:rsidRPr="00976671">
        <w:rPr>
          <w:rFonts w:ascii="Arial" w:hAnsi="Arial" w:cs="Arial"/>
          <w:sz w:val="20"/>
          <w:szCs w:val="20"/>
        </w:rPr>
        <w:t xml:space="preserve"> de Colombia</w:t>
      </w:r>
      <w:r w:rsidR="00F7236D" w:rsidRPr="00976671">
        <w:rPr>
          <w:rFonts w:ascii="Arial" w:hAnsi="Arial" w:cs="Arial"/>
          <w:b/>
          <w:sz w:val="20"/>
          <w:szCs w:val="20"/>
        </w:rPr>
        <w:t xml:space="preserve">. </w:t>
      </w:r>
      <w:r w:rsidRPr="00976671">
        <w:rPr>
          <w:rFonts w:ascii="Arial" w:hAnsi="Arial" w:cs="Arial"/>
          <w:sz w:val="20"/>
          <w:szCs w:val="20"/>
        </w:rPr>
        <w:t>Jefe de la Unidad de Metabolismo y Hormonas de Compensar EPS</w:t>
      </w:r>
      <w:r w:rsidR="00F7236D" w:rsidRPr="00976671">
        <w:rPr>
          <w:rFonts w:ascii="Arial" w:hAnsi="Arial" w:cs="Arial"/>
          <w:sz w:val="20"/>
          <w:szCs w:val="20"/>
        </w:rPr>
        <w:t>.</w:t>
      </w:r>
      <w:r w:rsidR="00F7236D" w:rsidRPr="00976671">
        <w:rPr>
          <w:rFonts w:ascii="Arial" w:hAnsi="Arial" w:cs="Arial"/>
          <w:b/>
          <w:sz w:val="20"/>
          <w:szCs w:val="20"/>
        </w:rPr>
        <w:t xml:space="preserve"> </w:t>
      </w:r>
      <w:r w:rsidRPr="00976671">
        <w:rPr>
          <w:rFonts w:ascii="Arial" w:hAnsi="Arial" w:cs="Arial"/>
          <w:sz w:val="20"/>
          <w:szCs w:val="20"/>
        </w:rPr>
        <w:t>Jefe de la Unidad de Endocrinología Los Cobos Medical Center, Bogotá</w:t>
      </w:r>
      <w:r w:rsidR="00F7236D" w:rsidRPr="00976671">
        <w:rPr>
          <w:rFonts w:ascii="Arial" w:hAnsi="Arial" w:cs="Arial"/>
          <w:sz w:val="20"/>
          <w:szCs w:val="20"/>
        </w:rPr>
        <w:t>.</w:t>
      </w:r>
    </w:p>
    <w:p w14:paraId="4E42548E" w14:textId="77777777" w:rsidR="00F940B2" w:rsidRPr="00976671" w:rsidRDefault="00F940B2" w:rsidP="00C44AB3">
      <w:pPr>
        <w:spacing w:line="276" w:lineRule="auto"/>
        <w:jc w:val="both"/>
        <w:rPr>
          <w:rFonts w:ascii="Arial" w:hAnsi="Arial" w:cs="Arial"/>
          <w:sz w:val="20"/>
          <w:szCs w:val="20"/>
        </w:rPr>
      </w:pPr>
    </w:p>
    <w:p w14:paraId="614DE5F2" w14:textId="0DA051D2" w:rsidR="00C12BE3" w:rsidRPr="00976671" w:rsidRDefault="00F7236D" w:rsidP="00F7236D">
      <w:pPr>
        <w:pStyle w:val="Prrafodelista"/>
        <w:numPr>
          <w:ilvl w:val="0"/>
          <w:numId w:val="41"/>
        </w:numPr>
        <w:spacing w:line="276" w:lineRule="auto"/>
        <w:jc w:val="both"/>
        <w:rPr>
          <w:rFonts w:ascii="Arial" w:hAnsi="Arial" w:cs="Arial"/>
          <w:b/>
          <w:sz w:val="20"/>
          <w:szCs w:val="20"/>
        </w:rPr>
      </w:pPr>
      <w:r w:rsidRPr="00976671">
        <w:rPr>
          <w:rFonts w:ascii="Arial" w:hAnsi="Arial" w:cs="Arial"/>
          <w:b/>
          <w:sz w:val="20"/>
          <w:szCs w:val="20"/>
        </w:rPr>
        <w:t>Introducción</w:t>
      </w:r>
    </w:p>
    <w:p w14:paraId="0A132722" w14:textId="77777777" w:rsidR="00C12BE3" w:rsidRPr="00976671" w:rsidRDefault="00C12BE3" w:rsidP="00C44AB3">
      <w:pPr>
        <w:spacing w:line="276" w:lineRule="auto"/>
        <w:jc w:val="both"/>
        <w:rPr>
          <w:rFonts w:ascii="Arial" w:hAnsi="Arial" w:cs="Arial"/>
          <w:sz w:val="20"/>
          <w:szCs w:val="20"/>
        </w:rPr>
      </w:pPr>
      <w:r w:rsidRPr="00976671">
        <w:rPr>
          <w:rFonts w:ascii="Arial" w:hAnsi="Arial" w:cs="Arial"/>
          <w:sz w:val="20"/>
          <w:szCs w:val="20"/>
        </w:rPr>
        <w:t>La osteoporosis es una enfermedad multi componente, con una gran carga genetica, pero que además se asocia a factores de riesgo, y que por lo tanto permite implementar medidas de prevencion primaria. Su deteccion temprana es fundamental en la prevencion de la fractura que termina siendo el descenlace no deseado; por lo tanto el medico debe implementar medidas que nos ayuden a identificar precozmente la osteoporosis y que en utimas conduzcan a la prevencion primaria y secundaria de la fractura.</w:t>
      </w:r>
    </w:p>
    <w:p w14:paraId="09AE721C" w14:textId="048C9CAA" w:rsidR="00C12BE3" w:rsidRPr="00976671" w:rsidRDefault="00C12BE3" w:rsidP="00F7236D">
      <w:pPr>
        <w:pStyle w:val="Prrafodelista"/>
        <w:numPr>
          <w:ilvl w:val="0"/>
          <w:numId w:val="41"/>
        </w:numPr>
        <w:spacing w:line="276" w:lineRule="auto"/>
        <w:jc w:val="both"/>
        <w:rPr>
          <w:rFonts w:ascii="Arial" w:hAnsi="Arial" w:cs="Arial"/>
          <w:b/>
          <w:sz w:val="20"/>
          <w:szCs w:val="20"/>
        </w:rPr>
      </w:pPr>
      <w:r w:rsidRPr="00976671">
        <w:rPr>
          <w:rFonts w:ascii="Arial" w:hAnsi="Arial" w:cs="Arial"/>
          <w:b/>
          <w:sz w:val="20"/>
          <w:szCs w:val="20"/>
        </w:rPr>
        <w:t>Objetivos</w:t>
      </w:r>
    </w:p>
    <w:p w14:paraId="6468B365" w14:textId="3FBDE09F" w:rsidR="00C12BE3" w:rsidRPr="00976671" w:rsidRDefault="00C12BE3" w:rsidP="00C12BE3">
      <w:pPr>
        <w:pStyle w:val="Prrafodelista"/>
        <w:numPr>
          <w:ilvl w:val="0"/>
          <w:numId w:val="37"/>
        </w:numPr>
        <w:spacing w:line="276" w:lineRule="auto"/>
        <w:jc w:val="both"/>
        <w:rPr>
          <w:rFonts w:ascii="Arial" w:hAnsi="Arial" w:cs="Arial"/>
          <w:sz w:val="20"/>
          <w:szCs w:val="20"/>
        </w:rPr>
      </w:pPr>
      <w:r w:rsidRPr="00976671">
        <w:rPr>
          <w:rFonts w:ascii="Arial" w:hAnsi="Arial" w:cs="Arial"/>
          <w:sz w:val="20"/>
          <w:szCs w:val="20"/>
        </w:rPr>
        <w:t xml:space="preserve">Identificar los factores de riesgo para desarrollar la osteoporosis, </w:t>
      </w:r>
      <w:r w:rsidR="00F7236D" w:rsidRPr="00976671">
        <w:rPr>
          <w:rFonts w:ascii="Arial" w:hAnsi="Arial" w:cs="Arial"/>
          <w:sz w:val="20"/>
          <w:szCs w:val="20"/>
        </w:rPr>
        <w:t>para</w:t>
      </w:r>
      <w:r w:rsidRPr="00976671">
        <w:rPr>
          <w:rFonts w:ascii="Arial" w:hAnsi="Arial" w:cs="Arial"/>
          <w:sz w:val="20"/>
          <w:szCs w:val="20"/>
        </w:rPr>
        <w:t xml:space="preserve"> implementar en la comunidad, medidas que ayuden a impactar su prevencion.</w:t>
      </w:r>
    </w:p>
    <w:p w14:paraId="31367C48" w14:textId="5668C8CC" w:rsidR="00C12BE3" w:rsidRPr="00976671" w:rsidRDefault="00C12BE3" w:rsidP="00C12BE3">
      <w:pPr>
        <w:pStyle w:val="Prrafodelista"/>
        <w:numPr>
          <w:ilvl w:val="0"/>
          <w:numId w:val="37"/>
        </w:numPr>
        <w:spacing w:line="276" w:lineRule="auto"/>
        <w:jc w:val="both"/>
        <w:rPr>
          <w:rFonts w:ascii="Arial" w:hAnsi="Arial" w:cs="Arial"/>
          <w:sz w:val="20"/>
          <w:szCs w:val="20"/>
        </w:rPr>
      </w:pPr>
      <w:r w:rsidRPr="00976671">
        <w:rPr>
          <w:rFonts w:ascii="Arial" w:hAnsi="Arial" w:cs="Arial"/>
          <w:sz w:val="20"/>
          <w:szCs w:val="20"/>
        </w:rPr>
        <w:t>Manejar herramientas que permitan cuantifcar el riesgo de fractura, ya sea la sumatoria de riesgos con o sin la medicion de la masa ósea.</w:t>
      </w:r>
    </w:p>
    <w:p w14:paraId="0CEC1407" w14:textId="725F17A3" w:rsidR="00C12BE3" w:rsidRPr="00976671" w:rsidRDefault="00C12BE3" w:rsidP="00C12BE3">
      <w:pPr>
        <w:pStyle w:val="Prrafodelista"/>
        <w:numPr>
          <w:ilvl w:val="0"/>
          <w:numId w:val="37"/>
        </w:numPr>
        <w:spacing w:line="276" w:lineRule="auto"/>
        <w:jc w:val="both"/>
        <w:rPr>
          <w:rFonts w:ascii="Arial" w:hAnsi="Arial" w:cs="Arial"/>
          <w:sz w:val="20"/>
          <w:szCs w:val="20"/>
        </w:rPr>
      </w:pPr>
      <w:r w:rsidRPr="00976671">
        <w:rPr>
          <w:rFonts w:ascii="Arial" w:hAnsi="Arial" w:cs="Arial"/>
          <w:sz w:val="20"/>
          <w:szCs w:val="20"/>
        </w:rPr>
        <w:t>Concientizar al medico en la necesidad de identificar las fracturas osbre todo vertebrales, para hacer una intervención oportuna con el fin de prevenir la re-</w:t>
      </w:r>
      <w:proofErr w:type="spellStart"/>
      <w:r w:rsidRPr="00976671">
        <w:rPr>
          <w:rFonts w:ascii="Arial" w:hAnsi="Arial" w:cs="Arial"/>
          <w:sz w:val="20"/>
          <w:szCs w:val="20"/>
        </w:rPr>
        <w:t>fractrua</w:t>
      </w:r>
      <w:proofErr w:type="spellEnd"/>
      <w:r w:rsidR="00F7236D" w:rsidRPr="00976671">
        <w:rPr>
          <w:rFonts w:ascii="Arial" w:hAnsi="Arial" w:cs="Arial"/>
          <w:sz w:val="20"/>
          <w:szCs w:val="20"/>
        </w:rPr>
        <w:t>.</w:t>
      </w:r>
    </w:p>
    <w:p w14:paraId="3284BC22" w14:textId="77777777" w:rsidR="00C12BE3" w:rsidRPr="00976671" w:rsidRDefault="00C12BE3" w:rsidP="00C12BE3">
      <w:pPr>
        <w:spacing w:line="276" w:lineRule="auto"/>
        <w:jc w:val="both"/>
        <w:rPr>
          <w:rFonts w:ascii="Arial" w:hAnsi="Arial" w:cs="Arial"/>
          <w:sz w:val="20"/>
          <w:szCs w:val="20"/>
        </w:rPr>
      </w:pPr>
    </w:p>
    <w:p w14:paraId="5C45CBED" w14:textId="6A71AF13" w:rsidR="00C44AB3" w:rsidRPr="00976671" w:rsidRDefault="00F7236D" w:rsidP="00F7236D">
      <w:pPr>
        <w:pStyle w:val="Prrafodelista"/>
        <w:numPr>
          <w:ilvl w:val="0"/>
          <w:numId w:val="41"/>
        </w:numPr>
        <w:spacing w:line="276" w:lineRule="auto"/>
        <w:jc w:val="both"/>
        <w:rPr>
          <w:rFonts w:ascii="Arial" w:eastAsia="Times New Roman" w:hAnsi="Arial" w:cs="Arial"/>
          <w:b/>
          <w:sz w:val="20"/>
          <w:szCs w:val="20"/>
        </w:rPr>
      </w:pPr>
      <w:r w:rsidRPr="00976671">
        <w:rPr>
          <w:rFonts w:ascii="Arial" w:eastAsia="Times New Roman" w:hAnsi="Arial" w:cs="Arial"/>
          <w:b/>
          <w:sz w:val="20"/>
          <w:szCs w:val="20"/>
        </w:rPr>
        <w:t>¿Cuáles con los f</w:t>
      </w:r>
      <w:r w:rsidR="00C44AB3" w:rsidRPr="00976671">
        <w:rPr>
          <w:rFonts w:ascii="Arial" w:eastAsia="Times New Roman" w:hAnsi="Arial" w:cs="Arial"/>
          <w:b/>
          <w:sz w:val="20"/>
          <w:szCs w:val="20"/>
        </w:rPr>
        <w:t>actores de riesgo para osteoporosis, factores que co</w:t>
      </w:r>
      <w:r w:rsidRPr="00976671">
        <w:rPr>
          <w:rFonts w:ascii="Arial" w:eastAsia="Times New Roman" w:hAnsi="Arial" w:cs="Arial"/>
          <w:b/>
          <w:sz w:val="20"/>
          <w:szCs w:val="20"/>
        </w:rPr>
        <w:t>ntribuyen al riesgo de fractura?</w:t>
      </w:r>
    </w:p>
    <w:p w14:paraId="13C20484" w14:textId="3C2CFB41" w:rsidR="00D74FC5" w:rsidRPr="00976671" w:rsidRDefault="00D74FC5" w:rsidP="00C44AB3">
      <w:pPr>
        <w:spacing w:line="276" w:lineRule="auto"/>
        <w:jc w:val="both"/>
        <w:rPr>
          <w:rFonts w:ascii="Arial" w:hAnsi="Arial" w:cs="Arial"/>
          <w:sz w:val="20"/>
          <w:szCs w:val="20"/>
        </w:rPr>
      </w:pPr>
      <w:r w:rsidRPr="00976671">
        <w:rPr>
          <w:rFonts w:ascii="Arial" w:hAnsi="Arial" w:cs="Arial"/>
          <w:sz w:val="20"/>
          <w:szCs w:val="20"/>
        </w:rPr>
        <w:t>Un factor de riesgo es cualquier característica o circunstancia detectable e</w:t>
      </w:r>
      <w:r w:rsidR="0002053F" w:rsidRPr="00976671">
        <w:rPr>
          <w:rFonts w:ascii="Arial" w:hAnsi="Arial" w:cs="Arial"/>
          <w:sz w:val="20"/>
          <w:szCs w:val="20"/>
        </w:rPr>
        <w:t>n</w:t>
      </w:r>
      <w:r w:rsidRPr="00976671">
        <w:rPr>
          <w:rFonts w:ascii="Arial" w:hAnsi="Arial" w:cs="Arial"/>
          <w:sz w:val="20"/>
          <w:szCs w:val="20"/>
        </w:rPr>
        <w:t xml:space="preserve"> una persona o grupo de personas que se asocia con un aumento en la probabilidad de padecer, desarrollar o estar especialmente </w:t>
      </w:r>
      <w:r w:rsidR="00C44AB3" w:rsidRPr="00976671">
        <w:rPr>
          <w:rFonts w:ascii="Arial" w:hAnsi="Arial" w:cs="Arial"/>
          <w:sz w:val="20"/>
          <w:szCs w:val="20"/>
        </w:rPr>
        <w:t xml:space="preserve">expuesto a un proceso mórbido y </w:t>
      </w:r>
      <w:r w:rsidRPr="00976671">
        <w:rPr>
          <w:rFonts w:ascii="Arial" w:hAnsi="Arial" w:cs="Arial"/>
          <w:sz w:val="20"/>
          <w:szCs w:val="20"/>
        </w:rPr>
        <w:t xml:space="preserve">tienen </w:t>
      </w:r>
      <w:r w:rsidR="00114B69" w:rsidRPr="00976671">
        <w:rPr>
          <w:rFonts w:ascii="Arial" w:hAnsi="Arial" w:cs="Arial"/>
          <w:sz w:val="20"/>
          <w:szCs w:val="20"/>
        </w:rPr>
        <w:t>como objetivos</w:t>
      </w:r>
      <w:r w:rsidRPr="00976671">
        <w:rPr>
          <w:rFonts w:ascii="Arial" w:hAnsi="Arial" w:cs="Arial"/>
          <w:sz w:val="20"/>
          <w:szCs w:val="20"/>
        </w:rPr>
        <w:t xml:space="preserve"> poder predecir en el futuro la aparicion de la enfermedad, cuando se compara una persona no expuesta a un factor de r</w:t>
      </w:r>
      <w:r w:rsidR="00C44AB3" w:rsidRPr="00976671">
        <w:rPr>
          <w:rFonts w:ascii="Arial" w:hAnsi="Arial" w:cs="Arial"/>
          <w:sz w:val="20"/>
          <w:szCs w:val="20"/>
        </w:rPr>
        <w:t>iesgo con otra persona expuesta, a</w:t>
      </w:r>
      <w:r w:rsidRPr="00976671">
        <w:rPr>
          <w:rFonts w:ascii="Arial" w:hAnsi="Arial" w:cs="Arial"/>
          <w:sz w:val="20"/>
          <w:szCs w:val="20"/>
        </w:rPr>
        <w:t>yuda</w:t>
      </w:r>
      <w:r w:rsidR="00114B69" w:rsidRPr="00976671">
        <w:rPr>
          <w:rFonts w:ascii="Arial" w:hAnsi="Arial" w:cs="Arial"/>
          <w:sz w:val="20"/>
          <w:szCs w:val="20"/>
        </w:rPr>
        <w:t xml:space="preserve"> también establecer causalidad;</w:t>
      </w:r>
      <w:r w:rsidR="00C44AB3" w:rsidRPr="00976671">
        <w:rPr>
          <w:rFonts w:ascii="Arial" w:hAnsi="Arial" w:cs="Arial"/>
          <w:sz w:val="20"/>
          <w:szCs w:val="20"/>
        </w:rPr>
        <w:t xml:space="preserve"> f</w:t>
      </w:r>
      <w:r w:rsidRPr="00976671">
        <w:rPr>
          <w:rFonts w:ascii="Arial" w:hAnsi="Arial" w:cs="Arial"/>
          <w:sz w:val="20"/>
          <w:szCs w:val="20"/>
        </w:rPr>
        <w:t xml:space="preserve">inalmente si un factor de riesgo se conoce asociado con la presencia de una enfermedad, su eliminación reducirá la probabilidad de su presencia. Este es el objetivo de la prevención primaria. </w:t>
      </w:r>
    </w:p>
    <w:p w14:paraId="65E4DBD7" w14:textId="498EED35" w:rsidR="00D74FC5" w:rsidRPr="00976671" w:rsidRDefault="00F7236D" w:rsidP="00C44AB3">
      <w:pPr>
        <w:widowControl w:val="0"/>
        <w:autoSpaceDE w:val="0"/>
        <w:autoSpaceDN w:val="0"/>
        <w:adjustRightInd w:val="0"/>
        <w:spacing w:after="240" w:line="240" w:lineRule="auto"/>
        <w:rPr>
          <w:rFonts w:ascii="Arial" w:eastAsiaTheme="minorEastAsia" w:hAnsi="Arial" w:cs="Arial"/>
          <w:b/>
          <w:sz w:val="20"/>
          <w:szCs w:val="20"/>
          <w:lang w:val="es-ES" w:eastAsia="es-ES"/>
        </w:rPr>
      </w:pPr>
      <w:r w:rsidRPr="00976671">
        <w:rPr>
          <w:rFonts w:ascii="Arial" w:eastAsiaTheme="minorEastAsia" w:hAnsi="Arial" w:cs="Arial"/>
          <w:b/>
          <w:sz w:val="20"/>
          <w:szCs w:val="20"/>
          <w:lang w:val="es-ES" w:eastAsia="es-ES"/>
        </w:rPr>
        <w:t xml:space="preserve">A </w:t>
      </w:r>
      <w:r w:rsidR="004B0B09" w:rsidRPr="00976671">
        <w:rPr>
          <w:rFonts w:ascii="Arial" w:eastAsiaTheme="minorEastAsia" w:hAnsi="Arial" w:cs="Arial"/>
          <w:b/>
          <w:sz w:val="20"/>
          <w:szCs w:val="20"/>
          <w:lang w:val="es-ES" w:eastAsia="es-ES"/>
        </w:rPr>
        <w:t>continuación,</w:t>
      </w:r>
      <w:r w:rsidRPr="00976671">
        <w:rPr>
          <w:rFonts w:ascii="Arial" w:eastAsiaTheme="minorEastAsia" w:hAnsi="Arial" w:cs="Arial"/>
          <w:b/>
          <w:sz w:val="20"/>
          <w:szCs w:val="20"/>
          <w:lang w:val="es-ES" w:eastAsia="es-ES"/>
        </w:rPr>
        <w:t xml:space="preserve"> se mencionan los f</w:t>
      </w:r>
      <w:r w:rsidR="00C44AB3" w:rsidRPr="00976671">
        <w:rPr>
          <w:rFonts w:ascii="Arial" w:eastAsiaTheme="minorEastAsia" w:hAnsi="Arial" w:cs="Arial"/>
          <w:b/>
          <w:sz w:val="20"/>
          <w:szCs w:val="20"/>
          <w:lang w:val="es-ES" w:eastAsia="es-ES"/>
        </w:rPr>
        <w:t xml:space="preserve">actores </w:t>
      </w:r>
      <w:r w:rsidR="00D74FC5" w:rsidRPr="00976671">
        <w:rPr>
          <w:rFonts w:ascii="Arial" w:eastAsiaTheme="minorEastAsia" w:hAnsi="Arial" w:cs="Arial"/>
          <w:b/>
          <w:sz w:val="20"/>
          <w:szCs w:val="20"/>
          <w:lang w:val="es-ES" w:eastAsia="es-ES"/>
        </w:rPr>
        <w:t>clín</w:t>
      </w:r>
      <w:r w:rsidR="00DD47C8" w:rsidRPr="00976671">
        <w:rPr>
          <w:rFonts w:ascii="Arial" w:eastAsiaTheme="minorEastAsia" w:hAnsi="Arial" w:cs="Arial"/>
          <w:b/>
          <w:sz w:val="20"/>
          <w:szCs w:val="20"/>
          <w:lang w:val="es-ES" w:eastAsia="es-ES"/>
        </w:rPr>
        <w:t>i</w:t>
      </w:r>
      <w:r w:rsidR="00D74FC5" w:rsidRPr="00976671">
        <w:rPr>
          <w:rFonts w:ascii="Arial" w:eastAsiaTheme="minorEastAsia" w:hAnsi="Arial" w:cs="Arial"/>
          <w:b/>
          <w:sz w:val="20"/>
          <w:szCs w:val="20"/>
          <w:lang w:val="es-ES" w:eastAsia="es-ES"/>
        </w:rPr>
        <w:t>cos</w:t>
      </w:r>
      <w:r w:rsidR="00EB64FF" w:rsidRPr="00976671">
        <w:rPr>
          <w:rFonts w:ascii="Arial" w:eastAsiaTheme="minorEastAsia" w:hAnsi="Arial" w:cs="Arial"/>
          <w:b/>
          <w:sz w:val="20"/>
          <w:szCs w:val="20"/>
          <w:lang w:val="es-ES" w:eastAsia="es-ES"/>
        </w:rPr>
        <w:t>:</w:t>
      </w:r>
    </w:p>
    <w:p w14:paraId="78C0F0F2" w14:textId="2AA841B6" w:rsidR="00DD47C8" w:rsidRPr="00976671" w:rsidRDefault="00D74FC5" w:rsidP="00114B69">
      <w:pPr>
        <w:widowControl w:val="0"/>
        <w:autoSpaceDE w:val="0"/>
        <w:autoSpaceDN w:val="0"/>
        <w:adjustRightInd w:val="0"/>
        <w:spacing w:after="240" w:line="276" w:lineRule="auto"/>
        <w:jc w:val="both"/>
        <w:rPr>
          <w:rFonts w:ascii="Arial" w:hAnsi="Arial" w:cs="Arial"/>
          <w:sz w:val="20"/>
          <w:szCs w:val="20"/>
        </w:rPr>
      </w:pPr>
      <w:r w:rsidRPr="00976671">
        <w:rPr>
          <w:rFonts w:ascii="Arial" w:hAnsi="Arial" w:cs="Arial"/>
          <w:b/>
          <w:sz w:val="20"/>
          <w:szCs w:val="20"/>
        </w:rPr>
        <w:t>Edad:</w:t>
      </w:r>
      <w:r w:rsidR="00114B69" w:rsidRPr="00976671">
        <w:rPr>
          <w:rFonts w:ascii="Arial" w:hAnsi="Arial" w:cs="Arial"/>
          <w:sz w:val="20"/>
          <w:szCs w:val="20"/>
        </w:rPr>
        <w:t xml:space="preserve"> </w:t>
      </w:r>
      <w:r w:rsidR="00F7236D" w:rsidRPr="00976671">
        <w:rPr>
          <w:rFonts w:ascii="Arial" w:hAnsi="Arial" w:cs="Arial"/>
          <w:sz w:val="20"/>
          <w:szCs w:val="20"/>
        </w:rPr>
        <w:t>p</w:t>
      </w:r>
      <w:r w:rsidRPr="00976671">
        <w:rPr>
          <w:rFonts w:ascii="Arial" w:hAnsi="Arial" w:cs="Arial"/>
          <w:sz w:val="20"/>
          <w:szCs w:val="20"/>
        </w:rPr>
        <w:t>ara cualquier DMO, el riesgo de fractura es mucho mayor en l</w:t>
      </w:r>
      <w:r w:rsidR="0006253F" w:rsidRPr="00976671">
        <w:rPr>
          <w:rFonts w:ascii="Arial" w:hAnsi="Arial" w:cs="Arial"/>
          <w:sz w:val="20"/>
          <w:szCs w:val="20"/>
        </w:rPr>
        <w:t>os ancianos que en los jóvenes</w:t>
      </w:r>
      <w:r w:rsidR="00EB64FF" w:rsidRPr="00976671">
        <w:rPr>
          <w:rFonts w:ascii="Arial" w:hAnsi="Arial" w:cs="Arial"/>
          <w:sz w:val="20"/>
          <w:szCs w:val="20"/>
        </w:rPr>
        <w:t>,</w:t>
      </w:r>
      <w:r w:rsidR="0006253F" w:rsidRPr="00976671">
        <w:rPr>
          <w:rFonts w:ascii="Arial" w:hAnsi="Arial" w:cs="Arial"/>
          <w:sz w:val="20"/>
          <w:szCs w:val="20"/>
        </w:rPr>
        <w:t xml:space="preserve"> ya </w:t>
      </w:r>
      <w:r w:rsidRPr="00976671">
        <w:rPr>
          <w:rFonts w:ascii="Arial" w:hAnsi="Arial" w:cs="Arial"/>
          <w:sz w:val="20"/>
          <w:szCs w:val="20"/>
        </w:rPr>
        <w:t>que la edad contribuye al riesgo independientemente de la DMO. En el umbral de la osteoporosis (puntuación T = - 2,5 DE), la probabilidad de fractura de cadera a 10 años varí</w:t>
      </w:r>
      <w:r w:rsidR="008F7F24" w:rsidRPr="00976671">
        <w:rPr>
          <w:rFonts w:ascii="Arial" w:hAnsi="Arial" w:cs="Arial"/>
          <w:sz w:val="20"/>
          <w:szCs w:val="20"/>
        </w:rPr>
        <w:t>a 5 veces en las mujeres de según la edad</w:t>
      </w:r>
      <w:r w:rsidRPr="00976671">
        <w:rPr>
          <w:rFonts w:ascii="Arial" w:hAnsi="Arial" w:cs="Arial"/>
          <w:sz w:val="20"/>
          <w:szCs w:val="20"/>
        </w:rPr>
        <w:t xml:space="preserve">. </w:t>
      </w:r>
      <w:r w:rsidR="00471288" w:rsidRPr="00976671">
        <w:rPr>
          <w:rFonts w:ascii="Arial" w:hAnsi="Arial" w:cs="Arial"/>
          <w:sz w:val="20"/>
          <w:szCs w:val="20"/>
        </w:rPr>
        <w:t>(</w:t>
      </w:r>
      <w:proofErr w:type="spellStart"/>
      <w:r w:rsidR="00471288" w:rsidRPr="00976671">
        <w:rPr>
          <w:rFonts w:ascii="Arial" w:eastAsiaTheme="minorEastAsia" w:hAnsi="Arial" w:cs="Arial"/>
          <w:sz w:val="20"/>
          <w:szCs w:val="20"/>
          <w:lang w:val="es-ES" w:eastAsia="es-ES"/>
        </w:rPr>
        <w:t>Kanis</w:t>
      </w:r>
      <w:proofErr w:type="spellEnd"/>
      <w:r w:rsidR="00471288" w:rsidRPr="00976671">
        <w:rPr>
          <w:rFonts w:ascii="Arial" w:eastAsiaTheme="minorEastAsia" w:hAnsi="Arial" w:cs="Arial"/>
          <w:sz w:val="20"/>
          <w:szCs w:val="20"/>
          <w:lang w:val="es-ES" w:eastAsia="es-ES"/>
        </w:rPr>
        <w:t xml:space="preserve"> </w:t>
      </w:r>
      <w:proofErr w:type="spellStart"/>
      <w:r w:rsidR="00471288" w:rsidRPr="00976671">
        <w:rPr>
          <w:rFonts w:ascii="Arial" w:eastAsiaTheme="minorEastAsia" w:hAnsi="Arial" w:cs="Arial"/>
          <w:sz w:val="20"/>
          <w:szCs w:val="20"/>
          <w:lang w:val="es-ES" w:eastAsia="es-ES"/>
        </w:rPr>
        <w:t>JA</w:t>
      </w:r>
      <w:proofErr w:type="spellEnd"/>
      <w:r w:rsidR="004B4409" w:rsidRPr="00976671">
        <w:rPr>
          <w:rFonts w:ascii="Arial" w:eastAsiaTheme="minorEastAsia" w:hAnsi="Arial" w:cs="Arial"/>
          <w:sz w:val="20"/>
          <w:szCs w:val="20"/>
          <w:lang w:val="es-ES" w:eastAsia="es-ES"/>
        </w:rPr>
        <w:t xml:space="preserve"> et al, 2001)</w:t>
      </w:r>
    </w:p>
    <w:p w14:paraId="3A8EB8C5" w14:textId="7B404994" w:rsidR="00A77F8B" w:rsidRPr="00976671" w:rsidRDefault="00D74FC5" w:rsidP="00F7236D">
      <w:pPr>
        <w:widowControl w:val="0"/>
        <w:autoSpaceDE w:val="0"/>
        <w:autoSpaceDN w:val="0"/>
        <w:adjustRightInd w:val="0"/>
        <w:spacing w:after="240" w:line="276" w:lineRule="auto"/>
        <w:jc w:val="both"/>
        <w:rPr>
          <w:rFonts w:ascii="Arial" w:eastAsiaTheme="minorEastAsia" w:hAnsi="Arial" w:cs="Arial"/>
          <w:sz w:val="20"/>
          <w:szCs w:val="20"/>
          <w:lang w:val="es-ES" w:eastAsia="es-ES"/>
        </w:rPr>
      </w:pPr>
      <w:r w:rsidRPr="00976671">
        <w:rPr>
          <w:rFonts w:ascii="Arial" w:eastAsiaTheme="minorEastAsia" w:hAnsi="Arial" w:cs="Arial"/>
          <w:b/>
          <w:sz w:val="20"/>
          <w:szCs w:val="20"/>
          <w:lang w:val="es-ES" w:eastAsia="es-ES"/>
        </w:rPr>
        <w:t>Bajo Peso:</w:t>
      </w:r>
      <w:r w:rsidR="00114B69" w:rsidRPr="00976671">
        <w:rPr>
          <w:rFonts w:ascii="Arial" w:eastAsiaTheme="minorEastAsia" w:hAnsi="Arial" w:cs="Arial"/>
          <w:sz w:val="20"/>
          <w:szCs w:val="20"/>
          <w:lang w:val="es-ES" w:eastAsia="es-ES"/>
        </w:rPr>
        <w:t xml:space="preserve"> </w:t>
      </w:r>
      <w:r w:rsidR="00F7236D" w:rsidRPr="00976671">
        <w:rPr>
          <w:rFonts w:ascii="Arial" w:eastAsiaTheme="minorEastAsia" w:hAnsi="Arial" w:cs="Arial"/>
          <w:sz w:val="20"/>
          <w:szCs w:val="20"/>
          <w:lang w:val="es-ES" w:eastAsia="es-ES"/>
        </w:rPr>
        <w:t>e</w:t>
      </w:r>
      <w:r w:rsidRPr="00976671">
        <w:rPr>
          <w:rFonts w:ascii="Arial" w:eastAsiaTheme="minorEastAsia" w:hAnsi="Arial" w:cs="Arial"/>
          <w:sz w:val="20"/>
          <w:szCs w:val="20"/>
          <w:lang w:val="es-ES" w:eastAsia="es-ES"/>
        </w:rPr>
        <w:t xml:space="preserve">l riesgo es casi el doble aumento para individuos con un </w:t>
      </w:r>
      <w:r w:rsidR="00E451A0" w:rsidRPr="00976671">
        <w:rPr>
          <w:rFonts w:ascii="Arial" w:eastAsiaTheme="minorEastAsia" w:hAnsi="Arial" w:cs="Arial"/>
          <w:sz w:val="20"/>
          <w:szCs w:val="20"/>
          <w:lang w:val="es-ES" w:eastAsia="es-ES"/>
        </w:rPr>
        <w:t>índice de masa corporal (</w:t>
      </w:r>
      <w:r w:rsidRPr="00976671">
        <w:rPr>
          <w:rFonts w:ascii="Arial" w:eastAsiaTheme="minorEastAsia" w:hAnsi="Arial" w:cs="Arial"/>
          <w:sz w:val="20"/>
          <w:szCs w:val="20"/>
          <w:lang w:val="es-ES" w:eastAsia="es-ES"/>
        </w:rPr>
        <w:t>IMC</w:t>
      </w:r>
      <w:r w:rsidR="00E451A0" w:rsidRPr="00976671">
        <w:rPr>
          <w:rFonts w:ascii="Arial" w:eastAsiaTheme="minorEastAsia" w:hAnsi="Arial" w:cs="Arial"/>
          <w:sz w:val="20"/>
          <w:szCs w:val="20"/>
          <w:lang w:val="es-ES" w:eastAsia="es-ES"/>
        </w:rPr>
        <w:t>)</w:t>
      </w:r>
      <w:r w:rsidRPr="00976671">
        <w:rPr>
          <w:rFonts w:ascii="Arial" w:eastAsiaTheme="minorEastAsia" w:hAnsi="Arial" w:cs="Arial"/>
          <w:sz w:val="20"/>
          <w:szCs w:val="20"/>
          <w:lang w:val="es-ES" w:eastAsia="es-ES"/>
        </w:rPr>
        <w:t xml:space="preserve"> de 25 kg/m</w:t>
      </w:r>
      <w:r w:rsidRPr="00976671">
        <w:rPr>
          <w:rFonts w:ascii="Arial" w:eastAsiaTheme="minorEastAsia" w:hAnsi="Arial" w:cs="Arial"/>
          <w:sz w:val="20"/>
          <w:szCs w:val="20"/>
          <w:vertAlign w:val="superscript"/>
          <w:lang w:val="es-ES" w:eastAsia="es-ES"/>
        </w:rPr>
        <w:t>2</w:t>
      </w:r>
      <w:r w:rsidRPr="00976671">
        <w:rPr>
          <w:rFonts w:ascii="Arial" w:eastAsiaTheme="minorEastAsia" w:hAnsi="Arial" w:cs="Arial"/>
          <w:sz w:val="20"/>
          <w:szCs w:val="20"/>
          <w:lang w:val="es-ES" w:eastAsia="es-ES"/>
        </w:rPr>
        <w:t xml:space="preserve"> frente a </w:t>
      </w:r>
      <w:r w:rsidR="00EB64FF" w:rsidRPr="00976671">
        <w:rPr>
          <w:rFonts w:ascii="Arial" w:eastAsiaTheme="minorEastAsia" w:hAnsi="Arial" w:cs="Arial"/>
          <w:sz w:val="20"/>
          <w:szCs w:val="20"/>
          <w:lang w:val="es-ES" w:eastAsia="es-ES"/>
        </w:rPr>
        <w:t xml:space="preserve">uno de </w:t>
      </w:r>
      <w:r w:rsidRPr="00976671">
        <w:rPr>
          <w:rFonts w:ascii="Arial" w:eastAsiaTheme="minorEastAsia" w:hAnsi="Arial" w:cs="Arial"/>
          <w:sz w:val="20"/>
          <w:szCs w:val="20"/>
          <w:lang w:val="es-ES" w:eastAsia="es-ES"/>
        </w:rPr>
        <w:t>20 kg/m</w:t>
      </w:r>
      <w:r w:rsidRPr="00976671">
        <w:rPr>
          <w:rFonts w:ascii="Arial" w:eastAsiaTheme="minorEastAsia" w:hAnsi="Arial" w:cs="Arial"/>
          <w:sz w:val="20"/>
          <w:szCs w:val="20"/>
          <w:vertAlign w:val="superscript"/>
          <w:lang w:val="es-ES" w:eastAsia="es-ES"/>
        </w:rPr>
        <w:t>2</w:t>
      </w:r>
      <w:r w:rsidRPr="00976671">
        <w:rPr>
          <w:rFonts w:ascii="Arial" w:eastAsiaTheme="minorEastAsia" w:hAnsi="Arial" w:cs="Arial"/>
          <w:sz w:val="20"/>
          <w:szCs w:val="20"/>
          <w:lang w:val="es-ES" w:eastAsia="es-ES"/>
        </w:rPr>
        <w:t xml:space="preserve">. </w:t>
      </w:r>
      <w:r w:rsidR="001B63CD" w:rsidRPr="00976671">
        <w:rPr>
          <w:rFonts w:ascii="Arial" w:eastAsiaTheme="minorEastAsia" w:hAnsi="Arial" w:cs="Arial"/>
          <w:sz w:val="20"/>
          <w:szCs w:val="20"/>
          <w:lang w:val="es-ES" w:eastAsia="es-ES"/>
        </w:rPr>
        <w:t>independiente del sexo</w:t>
      </w:r>
      <w:r w:rsidRPr="00976671">
        <w:rPr>
          <w:rFonts w:ascii="Arial" w:eastAsiaTheme="minorEastAsia" w:hAnsi="Arial" w:cs="Arial"/>
          <w:sz w:val="20"/>
          <w:szCs w:val="20"/>
          <w:lang w:val="es-ES" w:eastAsia="es-ES"/>
        </w:rPr>
        <w:t xml:space="preserve">. Las mujeres después de la menopausia son capaces de producir esteroides suprarrenales, de los cuales la </w:t>
      </w:r>
      <w:proofErr w:type="spellStart"/>
      <w:r w:rsidRPr="00976671">
        <w:rPr>
          <w:rFonts w:ascii="Arial" w:eastAsiaTheme="minorEastAsia" w:hAnsi="Arial" w:cs="Arial"/>
          <w:sz w:val="20"/>
          <w:szCs w:val="20"/>
          <w:lang w:val="es-ES" w:eastAsia="es-ES"/>
        </w:rPr>
        <w:t>androstenediona</w:t>
      </w:r>
      <w:proofErr w:type="spellEnd"/>
      <w:r w:rsidRPr="00976671">
        <w:rPr>
          <w:rFonts w:ascii="Arial" w:eastAsiaTheme="minorEastAsia" w:hAnsi="Arial" w:cs="Arial"/>
          <w:sz w:val="20"/>
          <w:szCs w:val="20"/>
          <w:lang w:val="es-ES" w:eastAsia="es-ES"/>
        </w:rPr>
        <w:t xml:space="preserve"> se</w:t>
      </w:r>
      <w:r w:rsidRPr="00976671">
        <w:rPr>
          <w:rFonts w:ascii="Arial" w:eastAsiaTheme="minorEastAsia" w:hAnsi="Arial" w:cs="Arial"/>
          <w:sz w:val="20"/>
          <w:szCs w:val="24"/>
          <w:lang w:val="es-ES" w:eastAsia="es-ES"/>
        </w:rPr>
        <w:t xml:space="preserve"> </w:t>
      </w:r>
      <w:r w:rsidRPr="00976671">
        <w:rPr>
          <w:rFonts w:ascii="Arial" w:eastAsiaTheme="minorEastAsia" w:hAnsi="Arial" w:cs="Arial"/>
          <w:sz w:val="20"/>
          <w:szCs w:val="20"/>
          <w:lang w:val="es-ES" w:eastAsia="es-ES"/>
        </w:rPr>
        <w:lastRenderedPageBreak/>
        <w:t>convierte en estrógenos en el tejido adiposo. Esto podría explicar por qué las mujeres delgadas tienen mayor riesgo qu</w:t>
      </w:r>
      <w:r w:rsidR="00025373" w:rsidRPr="00976671">
        <w:rPr>
          <w:rFonts w:ascii="Arial" w:eastAsiaTheme="minorEastAsia" w:hAnsi="Arial" w:cs="Arial"/>
          <w:sz w:val="20"/>
          <w:szCs w:val="20"/>
          <w:lang w:val="es-ES" w:eastAsia="es-ES"/>
        </w:rPr>
        <w:t>e sus contrapartes más pesadas.</w:t>
      </w:r>
      <w:r w:rsidR="004B4409" w:rsidRPr="00976671">
        <w:rPr>
          <w:rFonts w:ascii="Arial" w:eastAsiaTheme="minorEastAsia" w:hAnsi="Arial" w:cs="Arial"/>
          <w:sz w:val="20"/>
          <w:szCs w:val="20"/>
          <w:lang w:val="es-ES" w:eastAsia="es-ES"/>
        </w:rPr>
        <w:t xml:space="preserve"> </w:t>
      </w:r>
      <w:r w:rsidR="00AA71A6" w:rsidRPr="00976671">
        <w:rPr>
          <w:rFonts w:ascii="Arial" w:eastAsiaTheme="minorEastAsia" w:hAnsi="Arial" w:cs="Arial"/>
          <w:sz w:val="20"/>
          <w:szCs w:val="20"/>
          <w:lang w:val="es-ES" w:eastAsia="es-ES"/>
        </w:rPr>
        <w:t>(</w:t>
      </w:r>
      <w:proofErr w:type="spellStart"/>
      <w:r w:rsidR="004B4409" w:rsidRPr="00976671">
        <w:rPr>
          <w:rFonts w:ascii="Arial" w:eastAsiaTheme="minorEastAsia" w:hAnsi="Arial" w:cs="Arial"/>
          <w:sz w:val="20"/>
          <w:szCs w:val="20"/>
          <w:lang w:val="es-ES" w:eastAsia="es-ES"/>
        </w:rPr>
        <w:t>Pisani</w:t>
      </w:r>
      <w:proofErr w:type="spellEnd"/>
      <w:r w:rsidR="00AA71A6" w:rsidRPr="00976671">
        <w:rPr>
          <w:rFonts w:ascii="Arial" w:eastAsiaTheme="minorEastAsia" w:hAnsi="Arial" w:cs="Arial"/>
          <w:sz w:val="20"/>
          <w:szCs w:val="20"/>
          <w:lang w:val="es-ES" w:eastAsia="es-ES"/>
        </w:rPr>
        <w:t>, P.,</w:t>
      </w:r>
      <w:r w:rsidR="004B4409" w:rsidRPr="00976671">
        <w:rPr>
          <w:rFonts w:ascii="Arial" w:eastAsiaTheme="minorEastAsia" w:hAnsi="Arial" w:cs="Arial"/>
          <w:sz w:val="20"/>
          <w:szCs w:val="20"/>
          <w:lang w:val="es-ES" w:eastAsia="es-ES"/>
        </w:rPr>
        <w:t xml:space="preserve"> et al 2016)</w:t>
      </w:r>
    </w:p>
    <w:p w14:paraId="7483E319" w14:textId="786A7D36" w:rsidR="00A77F8B" w:rsidRPr="00976671" w:rsidRDefault="00114B69" w:rsidP="00F7236D">
      <w:pPr>
        <w:widowControl w:val="0"/>
        <w:autoSpaceDE w:val="0"/>
        <w:autoSpaceDN w:val="0"/>
        <w:adjustRightInd w:val="0"/>
        <w:spacing w:after="240" w:line="276" w:lineRule="auto"/>
        <w:jc w:val="both"/>
        <w:rPr>
          <w:rFonts w:ascii="Arial" w:eastAsiaTheme="minorEastAsia" w:hAnsi="Arial" w:cs="Arial"/>
          <w:sz w:val="20"/>
          <w:szCs w:val="20"/>
          <w:lang w:val="es-ES" w:eastAsia="es-ES"/>
        </w:rPr>
      </w:pPr>
      <w:r w:rsidRPr="00976671">
        <w:rPr>
          <w:rFonts w:ascii="Arial" w:eastAsiaTheme="minorEastAsia" w:hAnsi="Arial" w:cs="Arial"/>
          <w:b/>
          <w:sz w:val="20"/>
          <w:szCs w:val="20"/>
          <w:lang w:val="es-ES" w:eastAsia="es-ES"/>
        </w:rPr>
        <w:t xml:space="preserve">Estado </w:t>
      </w:r>
      <w:proofErr w:type="spellStart"/>
      <w:r w:rsidRPr="00976671">
        <w:rPr>
          <w:rFonts w:ascii="Arial" w:eastAsiaTheme="minorEastAsia" w:hAnsi="Arial" w:cs="Arial"/>
          <w:b/>
          <w:sz w:val="20"/>
          <w:szCs w:val="20"/>
          <w:lang w:val="es-ES" w:eastAsia="es-ES"/>
        </w:rPr>
        <w:t>estrogénic</w:t>
      </w:r>
      <w:r w:rsidR="00025373" w:rsidRPr="00976671">
        <w:rPr>
          <w:rFonts w:ascii="Arial" w:eastAsiaTheme="minorEastAsia" w:hAnsi="Arial" w:cs="Arial"/>
          <w:b/>
          <w:sz w:val="20"/>
          <w:szCs w:val="20"/>
          <w:lang w:val="es-ES" w:eastAsia="es-ES"/>
        </w:rPr>
        <w:t>o</w:t>
      </w:r>
      <w:proofErr w:type="spellEnd"/>
      <w:r w:rsidRPr="00976671">
        <w:rPr>
          <w:rFonts w:ascii="Arial" w:eastAsiaTheme="minorEastAsia" w:hAnsi="Arial" w:cs="Arial"/>
          <w:b/>
          <w:sz w:val="20"/>
          <w:szCs w:val="20"/>
          <w:lang w:val="es-ES" w:eastAsia="es-ES"/>
        </w:rPr>
        <w:t>:</w:t>
      </w:r>
      <w:r w:rsidRPr="00976671">
        <w:rPr>
          <w:rFonts w:ascii="Arial" w:eastAsiaTheme="minorEastAsia" w:hAnsi="Arial" w:cs="Arial"/>
          <w:sz w:val="20"/>
          <w:szCs w:val="20"/>
          <w:lang w:val="es-ES" w:eastAsia="es-ES"/>
        </w:rPr>
        <w:t xml:space="preserve"> </w:t>
      </w:r>
      <w:r w:rsidR="00F7236D" w:rsidRPr="00976671">
        <w:rPr>
          <w:rFonts w:ascii="Arial" w:eastAsiaTheme="minorEastAsia" w:hAnsi="Arial" w:cs="Arial"/>
          <w:sz w:val="20"/>
          <w:szCs w:val="20"/>
          <w:lang w:val="es-ES" w:eastAsia="es-ES"/>
        </w:rPr>
        <w:t>l</w:t>
      </w:r>
      <w:r w:rsidR="00D74FC5" w:rsidRPr="00976671">
        <w:rPr>
          <w:rFonts w:ascii="Arial" w:eastAsiaTheme="minorEastAsia" w:hAnsi="Arial" w:cs="Arial"/>
          <w:sz w:val="20"/>
          <w:szCs w:val="20"/>
          <w:lang w:val="es-ES" w:eastAsia="es-ES"/>
        </w:rPr>
        <w:t>a menopausia temprana (antes de los 45 años), tanto natural como inducida quirúrgicamente, aumenta el riesgo de mortalidad y de fracturas por fragilidad</w:t>
      </w:r>
      <w:r w:rsidR="00A77F8B" w:rsidRPr="00976671">
        <w:rPr>
          <w:rFonts w:ascii="Arial" w:eastAsiaTheme="minorEastAsia" w:hAnsi="Arial" w:cs="Arial"/>
          <w:sz w:val="20"/>
          <w:szCs w:val="20"/>
          <w:lang w:val="es-ES" w:eastAsia="es-ES"/>
        </w:rPr>
        <w:t>,</w:t>
      </w:r>
      <w:r w:rsidR="00D74FC5" w:rsidRPr="00976671">
        <w:rPr>
          <w:rFonts w:ascii="Arial" w:eastAsiaTheme="minorEastAsia" w:hAnsi="Arial" w:cs="Arial"/>
          <w:sz w:val="20"/>
          <w:szCs w:val="20"/>
          <w:lang w:val="es-ES" w:eastAsia="es-ES"/>
        </w:rPr>
        <w:t xml:space="preserve"> porque estas mujeres están expuestas a un estado </w:t>
      </w:r>
      <w:proofErr w:type="spellStart"/>
      <w:r w:rsidR="00D74FC5" w:rsidRPr="00976671">
        <w:rPr>
          <w:rFonts w:ascii="Arial" w:eastAsiaTheme="minorEastAsia" w:hAnsi="Arial" w:cs="Arial"/>
          <w:sz w:val="20"/>
          <w:szCs w:val="20"/>
          <w:lang w:val="es-ES" w:eastAsia="es-ES"/>
        </w:rPr>
        <w:t>hipo</w:t>
      </w:r>
      <w:r w:rsidR="00EB64FF" w:rsidRPr="00976671">
        <w:rPr>
          <w:rFonts w:ascii="Arial" w:eastAsiaTheme="minorEastAsia" w:hAnsi="Arial" w:cs="Arial"/>
          <w:sz w:val="20"/>
          <w:szCs w:val="20"/>
          <w:lang w:val="es-ES" w:eastAsia="es-ES"/>
        </w:rPr>
        <w:t>estrogénico</w:t>
      </w:r>
      <w:proofErr w:type="spellEnd"/>
      <w:r w:rsidR="00D74FC5" w:rsidRPr="00976671">
        <w:rPr>
          <w:rFonts w:ascii="Arial" w:eastAsiaTheme="minorEastAsia" w:hAnsi="Arial" w:cs="Arial"/>
          <w:sz w:val="20"/>
          <w:szCs w:val="20"/>
          <w:lang w:val="es-ES" w:eastAsia="es-ES"/>
        </w:rPr>
        <w:t xml:space="preserve"> durante más tiempo. El </w:t>
      </w:r>
      <w:proofErr w:type="spellStart"/>
      <w:r w:rsidR="00D74FC5" w:rsidRPr="00976671">
        <w:rPr>
          <w:rFonts w:ascii="Arial" w:eastAsiaTheme="minorEastAsia" w:hAnsi="Arial" w:cs="Arial"/>
          <w:sz w:val="20"/>
          <w:szCs w:val="20"/>
          <w:lang w:val="es-ES" w:eastAsia="es-ES"/>
        </w:rPr>
        <w:t>hipogonadismo</w:t>
      </w:r>
      <w:proofErr w:type="spellEnd"/>
      <w:r w:rsidR="00D74FC5" w:rsidRPr="00976671">
        <w:rPr>
          <w:rFonts w:ascii="Arial" w:eastAsiaTheme="minorEastAsia" w:hAnsi="Arial" w:cs="Arial"/>
          <w:sz w:val="20"/>
          <w:szCs w:val="20"/>
          <w:lang w:val="es-ES" w:eastAsia="es-ES"/>
        </w:rPr>
        <w:t xml:space="preserve"> también ocurre en una pequeña proporción de hombres y</w:t>
      </w:r>
      <w:r w:rsidR="001A1110" w:rsidRPr="00976671">
        <w:rPr>
          <w:rFonts w:ascii="Arial" w:eastAsiaTheme="minorEastAsia" w:hAnsi="Arial" w:cs="Arial"/>
          <w:sz w:val="20"/>
          <w:szCs w:val="20"/>
          <w:lang w:val="es-ES" w:eastAsia="es-ES"/>
        </w:rPr>
        <w:t xml:space="preserve"> puede conducir a pérdida ósea</w:t>
      </w:r>
      <w:r w:rsidR="00D74FC5" w:rsidRPr="00976671">
        <w:rPr>
          <w:rFonts w:ascii="Arial" w:eastAsiaTheme="minorEastAsia" w:hAnsi="Arial" w:cs="Arial"/>
          <w:sz w:val="20"/>
          <w:szCs w:val="20"/>
          <w:lang w:val="es-ES" w:eastAsia="es-ES"/>
        </w:rPr>
        <w:t xml:space="preserve"> y fracturas</w:t>
      </w:r>
      <w:r w:rsidR="00AA71A6" w:rsidRPr="00976671">
        <w:rPr>
          <w:rFonts w:ascii="Arial" w:eastAsiaTheme="minorEastAsia" w:hAnsi="Arial" w:cs="Arial"/>
          <w:sz w:val="20"/>
          <w:szCs w:val="20"/>
          <w:lang w:val="es-ES" w:eastAsia="es-ES"/>
        </w:rPr>
        <w:t>. (</w:t>
      </w:r>
      <w:proofErr w:type="spellStart"/>
      <w:r w:rsidR="00AA71A6" w:rsidRPr="00976671">
        <w:rPr>
          <w:rFonts w:ascii="Arial" w:eastAsiaTheme="minorEastAsia" w:hAnsi="Arial" w:cs="Arial"/>
          <w:sz w:val="20"/>
          <w:szCs w:val="20"/>
          <w:lang w:eastAsia="es-ES"/>
        </w:rPr>
        <w:t>Hippisley</w:t>
      </w:r>
      <w:proofErr w:type="spellEnd"/>
      <w:r w:rsidR="00AA71A6" w:rsidRPr="00976671">
        <w:rPr>
          <w:rFonts w:ascii="Arial" w:eastAsiaTheme="minorEastAsia" w:hAnsi="Arial" w:cs="Arial"/>
          <w:sz w:val="20"/>
          <w:szCs w:val="20"/>
          <w:lang w:eastAsia="es-ES"/>
        </w:rPr>
        <w:t xml:space="preserve">-Cox, J., &amp; </w:t>
      </w:r>
      <w:proofErr w:type="spellStart"/>
      <w:r w:rsidR="00AA71A6" w:rsidRPr="00976671">
        <w:rPr>
          <w:rFonts w:ascii="Arial" w:eastAsiaTheme="minorEastAsia" w:hAnsi="Arial" w:cs="Arial"/>
          <w:sz w:val="20"/>
          <w:szCs w:val="20"/>
          <w:lang w:eastAsia="es-ES"/>
        </w:rPr>
        <w:t>Coupland</w:t>
      </w:r>
      <w:proofErr w:type="spellEnd"/>
      <w:r w:rsidR="00AA71A6" w:rsidRPr="00976671">
        <w:rPr>
          <w:rFonts w:ascii="Arial" w:eastAsiaTheme="minorEastAsia" w:hAnsi="Arial" w:cs="Arial"/>
          <w:sz w:val="20"/>
          <w:szCs w:val="20"/>
          <w:lang w:eastAsia="es-ES"/>
        </w:rPr>
        <w:t>, C., 2009)</w:t>
      </w:r>
    </w:p>
    <w:p w14:paraId="1F3E50D6" w14:textId="45C60B01" w:rsidR="00D74FC5" w:rsidRPr="00976671" w:rsidRDefault="00D74FC5" w:rsidP="00D74FC5">
      <w:pPr>
        <w:widowControl w:val="0"/>
        <w:autoSpaceDE w:val="0"/>
        <w:autoSpaceDN w:val="0"/>
        <w:adjustRightInd w:val="0"/>
        <w:spacing w:after="240" w:line="276" w:lineRule="auto"/>
        <w:jc w:val="both"/>
        <w:rPr>
          <w:rFonts w:ascii="Arial" w:eastAsiaTheme="minorEastAsia" w:hAnsi="Arial" w:cs="Arial"/>
          <w:sz w:val="20"/>
          <w:szCs w:val="20"/>
          <w:lang w:val="es-ES" w:eastAsia="es-ES"/>
        </w:rPr>
      </w:pPr>
      <w:r w:rsidRPr="00976671">
        <w:rPr>
          <w:rFonts w:ascii="Arial" w:eastAsiaTheme="minorEastAsia" w:hAnsi="Arial" w:cs="Arial"/>
          <w:b/>
          <w:sz w:val="20"/>
          <w:szCs w:val="20"/>
          <w:lang w:val="es-ES" w:eastAsia="es-ES"/>
        </w:rPr>
        <w:t>Tabaquismo:</w:t>
      </w:r>
      <w:r w:rsidR="00114B69" w:rsidRPr="00976671">
        <w:rPr>
          <w:rFonts w:ascii="Arial" w:eastAsiaTheme="minorEastAsia" w:hAnsi="Arial" w:cs="Arial"/>
          <w:sz w:val="20"/>
          <w:szCs w:val="20"/>
          <w:lang w:val="es-ES" w:eastAsia="es-ES"/>
        </w:rPr>
        <w:t xml:space="preserve"> </w:t>
      </w:r>
      <w:r w:rsidR="00F7236D" w:rsidRPr="00976671">
        <w:rPr>
          <w:rFonts w:ascii="Arial" w:eastAsiaTheme="minorEastAsia" w:hAnsi="Arial" w:cs="Arial"/>
          <w:sz w:val="20"/>
          <w:szCs w:val="20"/>
          <w:lang w:val="es-ES" w:eastAsia="es-ES"/>
        </w:rPr>
        <w:t>p</w:t>
      </w:r>
      <w:r w:rsidR="001B63CD" w:rsidRPr="00976671">
        <w:rPr>
          <w:rFonts w:ascii="Arial" w:eastAsiaTheme="minorEastAsia" w:hAnsi="Arial" w:cs="Arial"/>
          <w:sz w:val="20"/>
          <w:szCs w:val="20"/>
          <w:lang w:val="es-ES" w:eastAsia="es-ES"/>
        </w:rPr>
        <w:t xml:space="preserve">roduce </w:t>
      </w:r>
      <w:r w:rsidR="005D0A77" w:rsidRPr="00976671">
        <w:rPr>
          <w:rFonts w:ascii="Arial" w:eastAsiaTheme="minorEastAsia" w:hAnsi="Arial" w:cs="Arial"/>
          <w:sz w:val="20"/>
          <w:szCs w:val="20"/>
          <w:lang w:val="es-ES" w:eastAsia="es-ES"/>
        </w:rPr>
        <w:t>alteración</w:t>
      </w:r>
      <w:r w:rsidRPr="00976671">
        <w:rPr>
          <w:rFonts w:ascii="Arial" w:eastAsiaTheme="minorEastAsia" w:hAnsi="Arial" w:cs="Arial"/>
          <w:sz w:val="20"/>
          <w:szCs w:val="20"/>
          <w:lang w:val="es-ES" w:eastAsia="es-ES"/>
        </w:rPr>
        <w:t xml:space="preserve"> en el metabolismo de hormonas </w:t>
      </w:r>
      <w:proofErr w:type="spellStart"/>
      <w:r w:rsidRPr="00976671">
        <w:rPr>
          <w:rFonts w:ascii="Arial" w:eastAsiaTheme="minorEastAsia" w:hAnsi="Arial" w:cs="Arial"/>
          <w:sz w:val="20"/>
          <w:szCs w:val="20"/>
          <w:lang w:val="es-ES" w:eastAsia="es-ES"/>
        </w:rPr>
        <w:t>calciotrópicas</w:t>
      </w:r>
      <w:proofErr w:type="spellEnd"/>
      <w:r w:rsidRPr="00976671">
        <w:rPr>
          <w:rFonts w:ascii="Arial" w:eastAsiaTheme="minorEastAsia" w:hAnsi="Arial" w:cs="Arial"/>
          <w:sz w:val="20"/>
          <w:szCs w:val="20"/>
          <w:lang w:val="es-ES" w:eastAsia="es-ES"/>
        </w:rPr>
        <w:t xml:space="preserve"> </w:t>
      </w:r>
      <w:r w:rsidR="00EB64FF" w:rsidRPr="00976671">
        <w:rPr>
          <w:rFonts w:ascii="Arial" w:eastAsiaTheme="minorEastAsia" w:hAnsi="Arial" w:cs="Arial"/>
          <w:sz w:val="20"/>
          <w:szCs w:val="20"/>
          <w:lang w:val="es-ES" w:eastAsia="es-ES"/>
        </w:rPr>
        <w:t xml:space="preserve">encargadas de </w:t>
      </w:r>
      <w:r w:rsidRPr="00976671">
        <w:rPr>
          <w:rFonts w:ascii="Arial" w:eastAsiaTheme="minorEastAsia" w:hAnsi="Arial" w:cs="Arial"/>
          <w:sz w:val="20"/>
          <w:szCs w:val="20"/>
          <w:lang w:val="es-ES" w:eastAsia="es-ES"/>
        </w:rPr>
        <w:t>la ab</w:t>
      </w:r>
      <w:r w:rsidR="006D3A2D" w:rsidRPr="00976671">
        <w:rPr>
          <w:rFonts w:ascii="Arial" w:eastAsiaTheme="minorEastAsia" w:hAnsi="Arial" w:cs="Arial"/>
          <w:sz w:val="20"/>
          <w:szCs w:val="20"/>
          <w:lang w:val="es-ES" w:eastAsia="es-ES"/>
        </w:rPr>
        <w:t xml:space="preserve">sorción intestinal de calcio, </w:t>
      </w:r>
      <w:r w:rsidR="00EB64FF" w:rsidRPr="00976671">
        <w:rPr>
          <w:rFonts w:ascii="Arial" w:eastAsiaTheme="minorEastAsia" w:hAnsi="Arial" w:cs="Arial"/>
          <w:sz w:val="20"/>
          <w:szCs w:val="20"/>
          <w:lang w:val="es-ES" w:eastAsia="es-ES"/>
        </w:rPr>
        <w:t>altera</w:t>
      </w:r>
      <w:r w:rsidRPr="00976671">
        <w:rPr>
          <w:rFonts w:ascii="Arial" w:eastAsiaTheme="minorEastAsia" w:hAnsi="Arial" w:cs="Arial"/>
          <w:sz w:val="20"/>
          <w:szCs w:val="20"/>
          <w:lang w:val="es-ES" w:eastAsia="es-ES"/>
        </w:rPr>
        <w:t>ción en la producción y metabolismo de la hormona</w:t>
      </w:r>
      <w:r w:rsidR="00EB64FF" w:rsidRPr="00976671">
        <w:rPr>
          <w:rFonts w:ascii="Arial" w:eastAsiaTheme="minorEastAsia" w:hAnsi="Arial" w:cs="Arial"/>
          <w:sz w:val="20"/>
          <w:szCs w:val="20"/>
          <w:lang w:val="es-ES" w:eastAsia="es-ES"/>
        </w:rPr>
        <w:t>s</w:t>
      </w:r>
      <w:r w:rsidRPr="00976671">
        <w:rPr>
          <w:rFonts w:ascii="Arial" w:eastAsiaTheme="minorEastAsia" w:hAnsi="Arial" w:cs="Arial"/>
          <w:sz w:val="20"/>
          <w:szCs w:val="20"/>
          <w:lang w:val="es-ES" w:eastAsia="es-ES"/>
        </w:rPr>
        <w:t xml:space="preserve"> sexual</w:t>
      </w:r>
      <w:r w:rsidR="00EB64FF" w:rsidRPr="00976671">
        <w:rPr>
          <w:rFonts w:ascii="Arial" w:eastAsiaTheme="minorEastAsia" w:hAnsi="Arial" w:cs="Arial"/>
          <w:sz w:val="20"/>
          <w:szCs w:val="20"/>
          <w:lang w:val="es-ES" w:eastAsia="es-ES"/>
        </w:rPr>
        <w:t>es</w:t>
      </w:r>
      <w:r w:rsidRPr="00976671">
        <w:rPr>
          <w:rFonts w:ascii="Arial" w:eastAsiaTheme="minorEastAsia" w:hAnsi="Arial" w:cs="Arial"/>
          <w:sz w:val="20"/>
          <w:szCs w:val="20"/>
          <w:lang w:val="es-ES" w:eastAsia="es-ES"/>
        </w:rPr>
        <w:t xml:space="preserve">, alteraciones en el metabolismo de la hormona </w:t>
      </w:r>
      <w:r w:rsidR="006D3A2D" w:rsidRPr="00976671">
        <w:rPr>
          <w:rFonts w:ascii="Arial" w:eastAsiaTheme="minorEastAsia" w:hAnsi="Arial" w:cs="Arial"/>
          <w:sz w:val="20"/>
          <w:szCs w:val="20"/>
          <w:lang w:val="es-ES" w:eastAsia="es-ES"/>
        </w:rPr>
        <w:t>estimuladora de la corteza adrenal (ACTH),</w:t>
      </w:r>
      <w:r w:rsidRPr="00976671">
        <w:rPr>
          <w:rFonts w:ascii="Arial" w:eastAsiaTheme="minorEastAsia" w:hAnsi="Arial" w:cs="Arial"/>
          <w:sz w:val="20"/>
          <w:szCs w:val="20"/>
          <w:lang w:val="es-ES" w:eastAsia="es-ES"/>
        </w:rPr>
        <w:t xml:space="preserve"> en el activador del receptor del factor nuclear kappa-B (RANK), activador del receptor del factor nu</w:t>
      </w:r>
      <w:r w:rsidR="006D3A2D" w:rsidRPr="00976671">
        <w:rPr>
          <w:rFonts w:ascii="Arial" w:eastAsiaTheme="minorEastAsia" w:hAnsi="Arial" w:cs="Arial"/>
          <w:sz w:val="20"/>
          <w:szCs w:val="20"/>
          <w:lang w:val="es-ES" w:eastAsia="es-ES"/>
        </w:rPr>
        <w:t>clear kappa-B ligando (</w:t>
      </w:r>
      <w:proofErr w:type="spellStart"/>
      <w:r w:rsidR="006D3A2D" w:rsidRPr="00976671">
        <w:rPr>
          <w:rFonts w:ascii="Arial" w:eastAsiaTheme="minorEastAsia" w:hAnsi="Arial" w:cs="Arial"/>
          <w:sz w:val="20"/>
          <w:szCs w:val="20"/>
          <w:lang w:val="es-ES" w:eastAsia="es-ES"/>
        </w:rPr>
        <w:t>RANKL</w:t>
      </w:r>
      <w:proofErr w:type="spellEnd"/>
      <w:r w:rsidR="006D3A2D" w:rsidRPr="00976671">
        <w:rPr>
          <w:rFonts w:ascii="Arial" w:eastAsiaTheme="minorEastAsia" w:hAnsi="Arial" w:cs="Arial"/>
          <w:sz w:val="20"/>
          <w:szCs w:val="20"/>
          <w:lang w:val="es-ES" w:eastAsia="es-ES"/>
        </w:rPr>
        <w:t>),</w:t>
      </w:r>
      <w:r w:rsidRPr="00976671">
        <w:rPr>
          <w:rFonts w:ascii="Arial" w:eastAsiaTheme="minorEastAsia" w:hAnsi="Arial" w:cs="Arial"/>
          <w:sz w:val="20"/>
          <w:szCs w:val="20"/>
          <w:lang w:val="es-ES" w:eastAsia="es-ES"/>
        </w:rPr>
        <w:t xml:space="preserve"> sistema </w:t>
      </w:r>
      <w:r w:rsidR="001B63CD" w:rsidRPr="00976671">
        <w:rPr>
          <w:rFonts w:ascii="Arial" w:eastAsiaTheme="minorEastAsia" w:hAnsi="Arial" w:cs="Arial"/>
          <w:sz w:val="20"/>
          <w:szCs w:val="20"/>
          <w:lang w:val="es-ES" w:eastAsia="es-ES"/>
        </w:rPr>
        <w:t xml:space="preserve">de </w:t>
      </w:r>
      <w:proofErr w:type="spellStart"/>
      <w:r w:rsidR="001B63CD" w:rsidRPr="00976671">
        <w:rPr>
          <w:rFonts w:ascii="Arial" w:eastAsiaTheme="minorEastAsia" w:hAnsi="Arial" w:cs="Arial"/>
          <w:sz w:val="20"/>
          <w:szCs w:val="20"/>
          <w:lang w:val="es-ES" w:eastAsia="es-ES"/>
        </w:rPr>
        <w:t>osteoprotegerina</w:t>
      </w:r>
      <w:proofErr w:type="spellEnd"/>
      <w:r w:rsidR="001B63CD" w:rsidRPr="00976671">
        <w:rPr>
          <w:rFonts w:ascii="Arial" w:eastAsiaTheme="minorEastAsia" w:hAnsi="Arial" w:cs="Arial"/>
          <w:sz w:val="20"/>
          <w:szCs w:val="20"/>
          <w:lang w:val="es-ES" w:eastAsia="es-ES"/>
        </w:rPr>
        <w:t xml:space="preserve">, </w:t>
      </w:r>
      <w:r w:rsidRPr="00976671">
        <w:rPr>
          <w:rFonts w:ascii="Arial" w:eastAsiaTheme="minorEastAsia" w:hAnsi="Arial" w:cs="Arial"/>
          <w:sz w:val="20"/>
          <w:szCs w:val="20"/>
          <w:lang w:val="es-ES" w:eastAsia="es-ES"/>
        </w:rPr>
        <w:t>alteración del metabolismo del colágeno y de la angio</w:t>
      </w:r>
      <w:r w:rsidR="00025373" w:rsidRPr="00976671">
        <w:rPr>
          <w:rFonts w:ascii="Arial" w:eastAsiaTheme="minorEastAsia" w:hAnsi="Arial" w:cs="Arial"/>
          <w:sz w:val="20"/>
          <w:szCs w:val="20"/>
          <w:lang w:val="es-ES" w:eastAsia="es-ES"/>
        </w:rPr>
        <w:t>génesis del hueso</w:t>
      </w:r>
      <w:r w:rsidR="00F7236D" w:rsidRPr="00976671">
        <w:rPr>
          <w:rFonts w:ascii="Arial" w:eastAsiaTheme="minorEastAsia" w:hAnsi="Arial" w:cs="Arial"/>
          <w:sz w:val="20"/>
          <w:szCs w:val="20"/>
          <w:lang w:val="es-ES" w:eastAsia="es-ES"/>
        </w:rPr>
        <w:t>.</w:t>
      </w:r>
      <w:r w:rsidR="004B4409" w:rsidRPr="00976671">
        <w:rPr>
          <w:rFonts w:ascii="Arial" w:eastAsiaTheme="minorEastAsia" w:hAnsi="Arial" w:cs="Arial"/>
          <w:sz w:val="20"/>
          <w:szCs w:val="20"/>
          <w:lang w:val="es-ES" w:eastAsia="es-ES"/>
        </w:rPr>
        <w:t xml:space="preserve"> (</w:t>
      </w:r>
      <w:proofErr w:type="spellStart"/>
      <w:r w:rsidR="004B4409" w:rsidRPr="00976671">
        <w:rPr>
          <w:rFonts w:ascii="Arial" w:eastAsiaTheme="minorEastAsia" w:hAnsi="Arial" w:cs="Arial"/>
          <w:sz w:val="20"/>
          <w:szCs w:val="20"/>
          <w:lang w:val="es-ES" w:eastAsia="es-ES"/>
        </w:rPr>
        <w:t>Kanis</w:t>
      </w:r>
      <w:proofErr w:type="spellEnd"/>
      <w:r w:rsidR="004B4409" w:rsidRPr="00976671">
        <w:rPr>
          <w:rFonts w:ascii="Arial" w:eastAsiaTheme="minorEastAsia" w:hAnsi="Arial" w:cs="Arial"/>
          <w:sz w:val="20"/>
          <w:szCs w:val="20"/>
          <w:lang w:val="es-ES" w:eastAsia="es-ES"/>
        </w:rPr>
        <w:t xml:space="preserve"> </w:t>
      </w:r>
      <w:proofErr w:type="spellStart"/>
      <w:r w:rsidR="004B4409" w:rsidRPr="00976671">
        <w:rPr>
          <w:rFonts w:ascii="Arial" w:eastAsiaTheme="minorEastAsia" w:hAnsi="Arial" w:cs="Arial"/>
          <w:sz w:val="20"/>
          <w:szCs w:val="20"/>
          <w:lang w:val="es-ES" w:eastAsia="es-ES"/>
        </w:rPr>
        <w:t>JA</w:t>
      </w:r>
      <w:proofErr w:type="spellEnd"/>
      <w:r w:rsidR="004B4409" w:rsidRPr="00976671">
        <w:rPr>
          <w:rFonts w:ascii="Arial" w:eastAsiaTheme="minorEastAsia" w:hAnsi="Arial" w:cs="Arial"/>
          <w:sz w:val="20"/>
          <w:szCs w:val="20"/>
          <w:lang w:val="es-ES" w:eastAsia="es-ES"/>
        </w:rPr>
        <w:t>,</w:t>
      </w:r>
      <w:r w:rsidR="00AA71A6" w:rsidRPr="00976671">
        <w:rPr>
          <w:rFonts w:ascii="Arial" w:eastAsiaTheme="minorEastAsia" w:hAnsi="Arial" w:cs="Arial"/>
          <w:sz w:val="20"/>
          <w:szCs w:val="20"/>
          <w:lang w:val="es-ES" w:eastAsia="es-ES"/>
        </w:rPr>
        <w:t xml:space="preserve"> et al,</w:t>
      </w:r>
      <w:r w:rsidR="004B4409" w:rsidRPr="00976671">
        <w:rPr>
          <w:rFonts w:ascii="Arial" w:eastAsiaTheme="minorEastAsia" w:hAnsi="Arial" w:cs="Arial"/>
          <w:sz w:val="20"/>
          <w:szCs w:val="20"/>
          <w:lang w:val="es-ES" w:eastAsia="es-ES"/>
        </w:rPr>
        <w:t xml:space="preserve"> 2005) </w:t>
      </w:r>
    </w:p>
    <w:p w14:paraId="1924168C" w14:textId="5FBD6704" w:rsidR="00D74FC5" w:rsidRPr="00976671" w:rsidRDefault="00D74FC5" w:rsidP="00D74FC5">
      <w:pPr>
        <w:widowControl w:val="0"/>
        <w:autoSpaceDE w:val="0"/>
        <w:autoSpaceDN w:val="0"/>
        <w:adjustRightInd w:val="0"/>
        <w:spacing w:after="240" w:line="276" w:lineRule="auto"/>
        <w:jc w:val="both"/>
        <w:rPr>
          <w:rFonts w:ascii="Arial" w:eastAsiaTheme="minorEastAsia" w:hAnsi="Arial" w:cs="Arial"/>
          <w:sz w:val="20"/>
          <w:szCs w:val="20"/>
          <w:lang w:val="es-ES" w:eastAsia="es-ES"/>
        </w:rPr>
      </w:pPr>
      <w:r w:rsidRPr="00976671">
        <w:rPr>
          <w:rFonts w:ascii="Arial" w:eastAsiaTheme="minorEastAsia" w:hAnsi="Arial" w:cs="Arial"/>
          <w:sz w:val="20"/>
          <w:szCs w:val="20"/>
          <w:lang w:val="es-ES" w:eastAsia="es-ES"/>
        </w:rPr>
        <w:t>Dos estudios transversales han demostrado que la densidad ósea de los ex fumadores mejora antes de los 10 años y se acerca a la de los que nunca fumaron con más de 30 años de abandono del hábito de fumar y que el riesgo de fractura de los ex fumadores es intermedio entre los fumadores actuales y nunca fumadores con 10 o más años de abandono del hábito de fumar.</w:t>
      </w:r>
    </w:p>
    <w:p w14:paraId="06EDA7D5" w14:textId="788457CF" w:rsidR="006D3A2D" w:rsidRPr="00976671" w:rsidRDefault="00D74FC5" w:rsidP="003D3C2F">
      <w:pPr>
        <w:widowControl w:val="0"/>
        <w:autoSpaceDE w:val="0"/>
        <w:autoSpaceDN w:val="0"/>
        <w:adjustRightInd w:val="0"/>
        <w:spacing w:after="240" w:line="276" w:lineRule="auto"/>
        <w:jc w:val="both"/>
        <w:rPr>
          <w:rFonts w:ascii="Arial" w:eastAsiaTheme="minorEastAsia" w:hAnsi="Arial" w:cs="Arial"/>
          <w:sz w:val="20"/>
          <w:szCs w:val="20"/>
          <w:lang w:val="es-ES" w:eastAsia="es-ES"/>
        </w:rPr>
      </w:pPr>
      <w:r w:rsidRPr="00976671">
        <w:rPr>
          <w:rFonts w:ascii="Arial" w:eastAsiaTheme="minorEastAsia" w:hAnsi="Arial" w:cs="Arial"/>
          <w:b/>
          <w:sz w:val="20"/>
          <w:szCs w:val="20"/>
          <w:lang w:val="es-ES" w:eastAsia="es-ES"/>
        </w:rPr>
        <w:t>Glucocorticoides:</w:t>
      </w:r>
      <w:r w:rsidR="001A1110" w:rsidRPr="00976671">
        <w:rPr>
          <w:rFonts w:ascii="Arial" w:eastAsiaTheme="minorEastAsia" w:hAnsi="Arial" w:cs="Arial"/>
          <w:sz w:val="20"/>
          <w:szCs w:val="20"/>
          <w:lang w:val="es-ES" w:eastAsia="es-ES"/>
        </w:rPr>
        <w:t xml:space="preserve"> </w:t>
      </w:r>
      <w:r w:rsidR="00F7236D" w:rsidRPr="00976671">
        <w:rPr>
          <w:rFonts w:ascii="Arial" w:eastAsiaTheme="minorEastAsia" w:hAnsi="Arial" w:cs="Arial"/>
          <w:sz w:val="20"/>
          <w:szCs w:val="20"/>
          <w:lang w:val="es-ES" w:eastAsia="es-ES"/>
        </w:rPr>
        <w:t>s</w:t>
      </w:r>
      <w:r w:rsidRPr="00976671">
        <w:rPr>
          <w:rFonts w:ascii="Arial" w:eastAsiaTheme="minorEastAsia" w:hAnsi="Arial" w:cs="Arial"/>
          <w:sz w:val="20"/>
          <w:szCs w:val="20"/>
          <w:lang w:val="es-ES" w:eastAsia="es-ES"/>
        </w:rPr>
        <w:t>u uso es r</w:t>
      </w:r>
      <w:r w:rsidR="00F7236D" w:rsidRPr="00976671">
        <w:rPr>
          <w:rFonts w:ascii="Arial" w:eastAsiaTheme="minorEastAsia" w:hAnsi="Arial" w:cs="Arial"/>
          <w:sz w:val="20"/>
          <w:szCs w:val="20"/>
          <w:lang w:val="es-ES" w:eastAsia="es-ES"/>
        </w:rPr>
        <w:t>econocido</w:t>
      </w:r>
      <w:r w:rsidRPr="00976671">
        <w:rPr>
          <w:rFonts w:ascii="Arial" w:eastAsiaTheme="minorEastAsia" w:hAnsi="Arial" w:cs="Arial"/>
          <w:sz w:val="20"/>
          <w:szCs w:val="20"/>
          <w:lang w:val="es-ES" w:eastAsia="es-ES"/>
        </w:rPr>
        <w:t xml:space="preserve"> como la forma más c</w:t>
      </w:r>
      <w:r w:rsidR="001B63CD" w:rsidRPr="00976671">
        <w:rPr>
          <w:rFonts w:ascii="Arial" w:eastAsiaTheme="minorEastAsia" w:hAnsi="Arial" w:cs="Arial"/>
          <w:sz w:val="20"/>
          <w:szCs w:val="20"/>
          <w:lang w:val="es-ES" w:eastAsia="es-ES"/>
        </w:rPr>
        <w:t>omún de osteoporosis secundaria</w:t>
      </w:r>
      <w:r w:rsidRPr="00976671">
        <w:rPr>
          <w:rFonts w:ascii="Arial" w:eastAsiaTheme="minorEastAsia" w:hAnsi="Arial" w:cs="Arial"/>
          <w:sz w:val="20"/>
          <w:szCs w:val="20"/>
          <w:lang w:val="es-ES" w:eastAsia="es-ES"/>
        </w:rPr>
        <w:t xml:space="preserve">; </w:t>
      </w:r>
      <w:r w:rsidR="003D3C2F" w:rsidRPr="00976671">
        <w:rPr>
          <w:rFonts w:ascii="Arial" w:eastAsiaTheme="minorEastAsia" w:hAnsi="Arial" w:cs="Arial"/>
          <w:sz w:val="20"/>
          <w:szCs w:val="20"/>
          <w:lang w:val="es-ES" w:eastAsia="es-ES"/>
        </w:rPr>
        <w:t>u</w:t>
      </w:r>
      <w:r w:rsidRPr="00976671">
        <w:rPr>
          <w:rFonts w:ascii="Arial" w:eastAsiaTheme="minorEastAsia" w:hAnsi="Arial" w:cs="Arial"/>
          <w:sz w:val="20"/>
          <w:szCs w:val="20"/>
          <w:lang w:val="es-ES" w:eastAsia="es-ES"/>
        </w:rPr>
        <w:t xml:space="preserve">no de cada cinco pacientes tratados con glucocorticoides orales tiene una fractura </w:t>
      </w:r>
      <w:proofErr w:type="spellStart"/>
      <w:r w:rsidRPr="00976671">
        <w:rPr>
          <w:rFonts w:ascii="Arial" w:eastAsiaTheme="minorEastAsia" w:hAnsi="Arial" w:cs="Arial"/>
          <w:sz w:val="20"/>
          <w:szCs w:val="20"/>
          <w:lang w:val="es-ES" w:eastAsia="es-ES"/>
        </w:rPr>
        <w:t>osteoporótica</w:t>
      </w:r>
      <w:proofErr w:type="spellEnd"/>
      <w:r w:rsidRPr="00976671">
        <w:rPr>
          <w:rFonts w:ascii="Arial" w:eastAsiaTheme="minorEastAsia" w:hAnsi="Arial" w:cs="Arial"/>
          <w:sz w:val="20"/>
          <w:szCs w:val="20"/>
          <w:lang w:val="es-ES" w:eastAsia="es-ES"/>
        </w:rPr>
        <w:t xml:space="preserve"> dentro de los primeros 12 meses de tratamiento. Esta proporción aumenta al 50% después de 5-10 años, siendo</w:t>
      </w:r>
      <w:r w:rsidR="001B63CD" w:rsidRPr="00976671">
        <w:rPr>
          <w:rFonts w:ascii="Arial" w:eastAsiaTheme="minorEastAsia" w:hAnsi="Arial" w:cs="Arial"/>
          <w:sz w:val="20"/>
          <w:szCs w:val="20"/>
          <w:lang w:val="es-ES" w:eastAsia="es-ES"/>
        </w:rPr>
        <w:t xml:space="preserve"> la mayoría</w:t>
      </w:r>
      <w:r w:rsidRPr="00976671">
        <w:rPr>
          <w:rFonts w:ascii="Arial" w:eastAsiaTheme="minorEastAsia" w:hAnsi="Arial" w:cs="Arial"/>
          <w:sz w:val="20"/>
          <w:szCs w:val="20"/>
          <w:lang w:val="es-ES" w:eastAsia="es-ES"/>
        </w:rPr>
        <w:t xml:space="preserve"> fracturas en la columna vertebral</w:t>
      </w:r>
      <w:r w:rsidR="001B63CD" w:rsidRPr="00976671">
        <w:rPr>
          <w:rFonts w:ascii="Arial" w:eastAsiaTheme="minorEastAsia" w:hAnsi="Arial" w:cs="Arial"/>
          <w:sz w:val="20"/>
          <w:szCs w:val="20"/>
          <w:lang w:val="es-ES" w:eastAsia="es-ES"/>
        </w:rPr>
        <w:t>.</w:t>
      </w:r>
      <w:r w:rsidRPr="00976671">
        <w:rPr>
          <w:rFonts w:ascii="Arial" w:eastAsiaTheme="minorEastAsia" w:hAnsi="Arial" w:cs="Arial"/>
          <w:sz w:val="20"/>
          <w:szCs w:val="20"/>
          <w:lang w:val="es-ES" w:eastAsia="es-ES"/>
        </w:rPr>
        <w:t xml:space="preserve"> El riesgo relativo de fractura aumenta en función de la dosis de glucocorticoides</w:t>
      </w:r>
      <w:r w:rsidR="001B63CD" w:rsidRPr="00976671">
        <w:rPr>
          <w:rFonts w:ascii="Arial" w:eastAsiaTheme="minorEastAsia" w:hAnsi="Arial" w:cs="Arial"/>
          <w:sz w:val="20"/>
          <w:szCs w:val="20"/>
          <w:lang w:val="es-ES" w:eastAsia="es-ES"/>
        </w:rPr>
        <w:t xml:space="preserve"> y la duración del tratamiento. </w:t>
      </w:r>
      <w:r w:rsidRPr="00976671">
        <w:rPr>
          <w:rFonts w:ascii="Arial" w:eastAsiaTheme="minorEastAsia" w:hAnsi="Arial" w:cs="Arial"/>
          <w:sz w:val="20"/>
          <w:szCs w:val="20"/>
          <w:lang w:val="es-ES" w:eastAsia="es-ES"/>
        </w:rPr>
        <w:t>El riesgo de fractura es mayor durante los primeros meses después del inicio del tratamiento y disminuye cua</w:t>
      </w:r>
      <w:r w:rsidR="003D3C2F" w:rsidRPr="00976671">
        <w:rPr>
          <w:rFonts w:ascii="Arial" w:eastAsiaTheme="minorEastAsia" w:hAnsi="Arial" w:cs="Arial"/>
          <w:sz w:val="20"/>
          <w:szCs w:val="20"/>
          <w:lang w:val="es-ES" w:eastAsia="es-ES"/>
        </w:rPr>
        <w:t>ndo se suspende el tratamiento.</w:t>
      </w:r>
      <w:r w:rsidR="00F05850" w:rsidRPr="00976671">
        <w:rPr>
          <w:rFonts w:ascii="Arial" w:eastAsiaTheme="minorEastAsia" w:hAnsi="Arial" w:cs="Arial"/>
          <w:sz w:val="20"/>
          <w:szCs w:val="20"/>
          <w:lang w:val="es-ES" w:eastAsia="es-ES"/>
        </w:rPr>
        <w:t xml:space="preserve"> </w:t>
      </w:r>
      <w:r w:rsidR="00432B2F" w:rsidRPr="00976671">
        <w:rPr>
          <w:rFonts w:ascii="Arial" w:eastAsiaTheme="minorEastAsia" w:hAnsi="Arial" w:cs="Arial"/>
          <w:sz w:val="20"/>
          <w:szCs w:val="20"/>
          <w:lang w:val="es-ES" w:eastAsia="es-ES"/>
        </w:rPr>
        <w:t>(</w:t>
      </w:r>
      <w:proofErr w:type="spellStart"/>
      <w:r w:rsidR="00F05850" w:rsidRPr="00976671">
        <w:rPr>
          <w:rFonts w:ascii="Arial" w:hAnsi="Arial" w:cs="Arial"/>
          <w:sz w:val="20"/>
          <w:szCs w:val="20"/>
          <w:shd w:val="clear" w:color="auto" w:fill="FFFFFF"/>
        </w:rPr>
        <w:t>Briot</w:t>
      </w:r>
      <w:proofErr w:type="spellEnd"/>
      <w:r w:rsidR="00F05850" w:rsidRPr="00976671">
        <w:rPr>
          <w:rFonts w:ascii="Arial" w:hAnsi="Arial" w:cs="Arial"/>
          <w:sz w:val="20"/>
          <w:szCs w:val="20"/>
          <w:shd w:val="clear" w:color="auto" w:fill="FFFFFF"/>
        </w:rPr>
        <w:t xml:space="preserve">, K., &amp; </w:t>
      </w:r>
      <w:proofErr w:type="spellStart"/>
      <w:r w:rsidR="00F05850" w:rsidRPr="00976671">
        <w:rPr>
          <w:rFonts w:ascii="Arial" w:hAnsi="Arial" w:cs="Arial"/>
          <w:sz w:val="20"/>
          <w:szCs w:val="20"/>
          <w:shd w:val="clear" w:color="auto" w:fill="FFFFFF"/>
        </w:rPr>
        <w:t>Roux</w:t>
      </w:r>
      <w:proofErr w:type="spellEnd"/>
      <w:r w:rsidR="00F05850" w:rsidRPr="00976671">
        <w:rPr>
          <w:rFonts w:ascii="Arial" w:hAnsi="Arial" w:cs="Arial"/>
          <w:sz w:val="20"/>
          <w:szCs w:val="20"/>
          <w:shd w:val="clear" w:color="auto" w:fill="FFFFFF"/>
        </w:rPr>
        <w:t>, C., 2015)</w:t>
      </w:r>
    </w:p>
    <w:p w14:paraId="6D91BB5D" w14:textId="0DC118D8" w:rsidR="00D74FC5" w:rsidRPr="00976671" w:rsidRDefault="00D74FC5" w:rsidP="00D74FC5">
      <w:pPr>
        <w:widowControl w:val="0"/>
        <w:autoSpaceDE w:val="0"/>
        <w:autoSpaceDN w:val="0"/>
        <w:adjustRightInd w:val="0"/>
        <w:spacing w:after="240" w:line="276" w:lineRule="auto"/>
        <w:jc w:val="both"/>
        <w:rPr>
          <w:rFonts w:ascii="Arial" w:eastAsiaTheme="minorEastAsia" w:hAnsi="Arial" w:cs="Arial"/>
          <w:sz w:val="20"/>
          <w:szCs w:val="20"/>
          <w:lang w:val="es-ES" w:eastAsia="es-ES"/>
        </w:rPr>
      </w:pPr>
      <w:r w:rsidRPr="00976671">
        <w:rPr>
          <w:rFonts w:ascii="Arial" w:eastAsiaTheme="minorEastAsia" w:hAnsi="Arial" w:cs="Arial"/>
          <w:b/>
          <w:sz w:val="20"/>
          <w:szCs w:val="20"/>
          <w:lang w:val="es-ES" w:eastAsia="es-ES"/>
        </w:rPr>
        <w:t>Sedentarismo</w:t>
      </w:r>
      <w:r w:rsidR="00A617EC" w:rsidRPr="00976671">
        <w:rPr>
          <w:rFonts w:ascii="Arial" w:eastAsiaTheme="minorEastAsia" w:hAnsi="Arial" w:cs="Arial"/>
          <w:b/>
          <w:sz w:val="20"/>
          <w:szCs w:val="20"/>
          <w:lang w:val="es-ES" w:eastAsia="es-ES"/>
        </w:rPr>
        <w:t>:</w:t>
      </w:r>
      <w:r w:rsidRPr="00976671">
        <w:rPr>
          <w:rFonts w:ascii="Arial" w:eastAsiaTheme="minorEastAsia" w:hAnsi="Arial" w:cs="Arial"/>
          <w:sz w:val="20"/>
          <w:szCs w:val="20"/>
          <w:lang w:val="es-ES" w:eastAsia="es-ES"/>
        </w:rPr>
        <w:t xml:space="preserve"> </w:t>
      </w:r>
      <w:r w:rsidR="00F7236D" w:rsidRPr="00976671">
        <w:rPr>
          <w:rFonts w:ascii="Arial" w:eastAsiaTheme="minorEastAsia" w:hAnsi="Arial" w:cs="Arial"/>
          <w:sz w:val="20"/>
          <w:szCs w:val="20"/>
          <w:lang w:val="es-ES" w:eastAsia="es-ES"/>
        </w:rPr>
        <w:t>e</w:t>
      </w:r>
      <w:r w:rsidR="00152473" w:rsidRPr="00976671">
        <w:rPr>
          <w:rFonts w:ascii="Arial" w:eastAsiaTheme="minorEastAsia" w:hAnsi="Arial" w:cs="Arial"/>
          <w:sz w:val="20"/>
          <w:szCs w:val="20"/>
          <w:lang w:val="es-ES" w:eastAsia="es-ES"/>
        </w:rPr>
        <w:t>n</w:t>
      </w:r>
      <w:r w:rsidRPr="00976671">
        <w:rPr>
          <w:rFonts w:ascii="Arial" w:eastAsiaTheme="minorEastAsia" w:hAnsi="Arial" w:cs="Arial"/>
          <w:sz w:val="20"/>
          <w:szCs w:val="20"/>
          <w:lang w:val="es-ES" w:eastAsia="es-ES"/>
        </w:rPr>
        <w:t xml:space="preserve"> l</w:t>
      </w:r>
      <w:r w:rsidR="00152473" w:rsidRPr="00976671">
        <w:rPr>
          <w:rFonts w:ascii="Arial" w:eastAsiaTheme="minorEastAsia" w:hAnsi="Arial" w:cs="Arial"/>
          <w:sz w:val="20"/>
          <w:szCs w:val="20"/>
          <w:lang w:val="es-ES" w:eastAsia="es-ES"/>
        </w:rPr>
        <w:t>a e</w:t>
      </w:r>
      <w:r w:rsidRPr="00976671">
        <w:rPr>
          <w:rFonts w:ascii="Arial" w:eastAsiaTheme="minorEastAsia" w:hAnsi="Arial" w:cs="Arial"/>
          <w:sz w:val="20"/>
          <w:szCs w:val="20"/>
          <w:lang w:val="es-ES" w:eastAsia="es-ES"/>
        </w:rPr>
        <w:t xml:space="preserve">ncuesta </w:t>
      </w:r>
      <w:r w:rsidR="003D3C2F" w:rsidRPr="00976671">
        <w:rPr>
          <w:rFonts w:ascii="Arial" w:eastAsiaTheme="minorEastAsia" w:hAnsi="Arial" w:cs="Arial"/>
          <w:sz w:val="20"/>
          <w:szCs w:val="20"/>
          <w:lang w:val="es-ES" w:eastAsia="es-ES"/>
        </w:rPr>
        <w:t>2005/2006 NHANES</w:t>
      </w:r>
      <w:r w:rsidR="00EB64FF" w:rsidRPr="00976671">
        <w:rPr>
          <w:rFonts w:ascii="Arial" w:eastAsiaTheme="minorEastAsia" w:hAnsi="Arial" w:cs="Arial"/>
          <w:sz w:val="20"/>
          <w:szCs w:val="20"/>
          <w:lang w:val="es-ES" w:eastAsia="es-ES"/>
        </w:rPr>
        <w:t>,</w:t>
      </w:r>
      <w:r w:rsidRPr="00976671">
        <w:rPr>
          <w:rFonts w:ascii="Arial" w:eastAsiaTheme="minorEastAsia" w:hAnsi="Arial" w:cs="Arial"/>
          <w:sz w:val="20"/>
          <w:szCs w:val="20"/>
          <w:lang w:val="es-ES" w:eastAsia="es-ES"/>
        </w:rPr>
        <w:t xml:space="preserve"> estudio transversal de una muestra representativa</w:t>
      </w:r>
      <w:r w:rsidR="00152473" w:rsidRPr="00976671">
        <w:rPr>
          <w:rFonts w:ascii="Arial" w:eastAsiaTheme="minorEastAsia" w:hAnsi="Arial" w:cs="Arial"/>
          <w:sz w:val="20"/>
          <w:szCs w:val="20"/>
          <w:lang w:val="es-ES" w:eastAsia="es-ES"/>
        </w:rPr>
        <w:t xml:space="preserve"> de la población de los EEUU l</w:t>
      </w:r>
      <w:r w:rsidRPr="00976671">
        <w:rPr>
          <w:rFonts w:ascii="Arial" w:eastAsiaTheme="minorEastAsia" w:hAnsi="Arial" w:cs="Arial"/>
          <w:sz w:val="20"/>
          <w:szCs w:val="20"/>
          <w:lang w:val="es-ES" w:eastAsia="es-ES"/>
        </w:rPr>
        <w:t xml:space="preserve">a </w:t>
      </w:r>
      <w:r w:rsidR="00EB64FF" w:rsidRPr="00976671">
        <w:rPr>
          <w:rFonts w:ascii="Arial" w:eastAsiaTheme="minorEastAsia" w:hAnsi="Arial" w:cs="Arial"/>
          <w:sz w:val="20"/>
          <w:szCs w:val="20"/>
          <w:lang w:val="es-ES" w:eastAsia="es-ES"/>
        </w:rPr>
        <w:t>actividad fí</w:t>
      </w:r>
      <w:r w:rsidRPr="00976671">
        <w:rPr>
          <w:rFonts w:ascii="Arial" w:eastAsiaTheme="minorEastAsia" w:hAnsi="Arial" w:cs="Arial"/>
          <w:sz w:val="20"/>
          <w:szCs w:val="20"/>
          <w:lang w:val="es-ES" w:eastAsia="es-ES"/>
        </w:rPr>
        <w:t xml:space="preserve">sica y la </w:t>
      </w:r>
      <w:r w:rsidR="00152473" w:rsidRPr="00976671">
        <w:rPr>
          <w:rFonts w:ascii="Arial" w:eastAsiaTheme="minorEastAsia" w:hAnsi="Arial" w:cs="Arial"/>
          <w:sz w:val="20"/>
          <w:szCs w:val="20"/>
          <w:lang w:val="es-ES" w:eastAsia="es-ES"/>
        </w:rPr>
        <w:t>conducta sedentaria</w:t>
      </w:r>
      <w:r w:rsidRPr="00976671">
        <w:rPr>
          <w:rFonts w:ascii="Arial" w:eastAsiaTheme="minorEastAsia" w:hAnsi="Arial" w:cs="Arial"/>
          <w:sz w:val="20"/>
          <w:szCs w:val="20"/>
          <w:lang w:val="es-ES" w:eastAsia="es-ES"/>
        </w:rPr>
        <w:t xml:space="preserve"> utilizando un acelerómetro y </w:t>
      </w:r>
      <w:r w:rsidR="00EB64FF" w:rsidRPr="00976671">
        <w:rPr>
          <w:rFonts w:ascii="Arial" w:eastAsiaTheme="minorEastAsia" w:hAnsi="Arial" w:cs="Arial"/>
          <w:sz w:val="20"/>
          <w:szCs w:val="20"/>
          <w:lang w:val="es-ES" w:eastAsia="es-ES"/>
        </w:rPr>
        <w:t xml:space="preserve">midiendo </w:t>
      </w:r>
      <w:r w:rsidRPr="00976671">
        <w:rPr>
          <w:rFonts w:ascii="Arial" w:eastAsiaTheme="minorEastAsia" w:hAnsi="Arial" w:cs="Arial"/>
          <w:sz w:val="20"/>
          <w:szCs w:val="20"/>
          <w:lang w:val="es-ES" w:eastAsia="es-ES"/>
        </w:rPr>
        <w:t>la</w:t>
      </w:r>
      <w:r w:rsidR="00A617EC" w:rsidRPr="00976671">
        <w:rPr>
          <w:rFonts w:ascii="Arial" w:eastAsiaTheme="minorEastAsia" w:hAnsi="Arial" w:cs="Arial"/>
          <w:sz w:val="20"/>
          <w:szCs w:val="20"/>
          <w:lang w:val="es-ES" w:eastAsia="es-ES"/>
        </w:rPr>
        <w:t xml:space="preserve"> DMO</w:t>
      </w:r>
      <w:r w:rsidR="00EB64FF" w:rsidRPr="00976671">
        <w:rPr>
          <w:rFonts w:ascii="Arial" w:eastAsiaTheme="minorEastAsia" w:hAnsi="Arial" w:cs="Arial"/>
          <w:sz w:val="20"/>
          <w:szCs w:val="20"/>
          <w:lang w:val="es-ES" w:eastAsia="es-ES"/>
        </w:rPr>
        <w:t>, se asoció el seden</w:t>
      </w:r>
      <w:r w:rsidR="00A617EC" w:rsidRPr="00976671">
        <w:rPr>
          <w:rFonts w:ascii="Arial" w:eastAsiaTheme="minorEastAsia" w:hAnsi="Arial" w:cs="Arial"/>
          <w:sz w:val="20"/>
          <w:szCs w:val="20"/>
          <w:lang w:val="es-ES" w:eastAsia="es-ES"/>
        </w:rPr>
        <w:t>t</w:t>
      </w:r>
      <w:r w:rsidR="00EB64FF" w:rsidRPr="00976671">
        <w:rPr>
          <w:rFonts w:ascii="Arial" w:eastAsiaTheme="minorEastAsia" w:hAnsi="Arial" w:cs="Arial"/>
          <w:sz w:val="20"/>
          <w:szCs w:val="20"/>
          <w:lang w:val="es-ES" w:eastAsia="es-ES"/>
        </w:rPr>
        <w:t>a</w:t>
      </w:r>
      <w:r w:rsidR="00A617EC" w:rsidRPr="00976671">
        <w:rPr>
          <w:rFonts w:ascii="Arial" w:eastAsiaTheme="minorEastAsia" w:hAnsi="Arial" w:cs="Arial"/>
          <w:sz w:val="20"/>
          <w:szCs w:val="20"/>
          <w:lang w:val="es-ES" w:eastAsia="es-ES"/>
        </w:rPr>
        <w:t>rismo</w:t>
      </w:r>
      <w:r w:rsidRPr="00976671">
        <w:rPr>
          <w:rFonts w:ascii="Arial" w:eastAsiaTheme="minorEastAsia" w:hAnsi="Arial" w:cs="Arial"/>
          <w:sz w:val="20"/>
          <w:szCs w:val="20"/>
          <w:lang w:val="es-ES" w:eastAsia="es-ES"/>
        </w:rPr>
        <w:t xml:space="preserve"> de forma perjudicial con la DMO del fémur total y de todas las subregiones de cadera en las mujeres</w:t>
      </w:r>
      <w:r w:rsidR="00EB64FF" w:rsidRPr="00976671">
        <w:rPr>
          <w:rFonts w:ascii="Arial" w:eastAsiaTheme="minorEastAsia" w:hAnsi="Arial" w:cs="Arial"/>
          <w:sz w:val="20"/>
          <w:szCs w:val="20"/>
          <w:lang w:val="es-ES" w:eastAsia="es-ES"/>
        </w:rPr>
        <w:t>, no así en el hombre</w:t>
      </w:r>
      <w:r w:rsidR="00A617EC" w:rsidRPr="00976671">
        <w:rPr>
          <w:rFonts w:ascii="Arial" w:eastAsiaTheme="minorEastAsia" w:hAnsi="Arial" w:cs="Arial"/>
          <w:sz w:val="20"/>
          <w:szCs w:val="20"/>
          <w:lang w:val="es-ES" w:eastAsia="es-ES"/>
        </w:rPr>
        <w:t>.</w:t>
      </w:r>
    </w:p>
    <w:p w14:paraId="36AF9D80" w14:textId="6B14F0B2" w:rsidR="00570CCB" w:rsidRPr="00976671" w:rsidRDefault="00570CCB" w:rsidP="00570CCB">
      <w:pPr>
        <w:widowControl w:val="0"/>
        <w:autoSpaceDE w:val="0"/>
        <w:autoSpaceDN w:val="0"/>
        <w:adjustRightInd w:val="0"/>
        <w:spacing w:after="240" w:line="276" w:lineRule="auto"/>
        <w:jc w:val="both"/>
        <w:rPr>
          <w:rFonts w:ascii="Arial" w:eastAsiaTheme="minorEastAsia" w:hAnsi="Arial" w:cs="Arial"/>
          <w:sz w:val="20"/>
          <w:szCs w:val="20"/>
          <w:lang w:val="es-ES" w:eastAsia="es-ES"/>
        </w:rPr>
      </w:pPr>
      <w:r w:rsidRPr="00976671">
        <w:rPr>
          <w:rFonts w:ascii="Arial" w:eastAsiaTheme="minorEastAsia" w:hAnsi="Arial" w:cs="Arial"/>
          <w:b/>
          <w:sz w:val="20"/>
          <w:szCs w:val="20"/>
          <w:lang w:val="es-ES" w:eastAsia="es-ES"/>
        </w:rPr>
        <w:t>Alcohol</w:t>
      </w:r>
      <w:r w:rsidR="003D3C2F" w:rsidRPr="00976671">
        <w:rPr>
          <w:rFonts w:ascii="Arial" w:eastAsiaTheme="minorEastAsia" w:hAnsi="Arial" w:cs="Arial"/>
          <w:b/>
          <w:sz w:val="20"/>
          <w:szCs w:val="20"/>
          <w:lang w:val="es-ES" w:eastAsia="es-ES"/>
        </w:rPr>
        <w:t>:</w:t>
      </w:r>
      <w:r w:rsidR="00F7236D" w:rsidRPr="00976671">
        <w:rPr>
          <w:rFonts w:ascii="Arial" w:eastAsiaTheme="minorEastAsia" w:hAnsi="Arial" w:cs="Arial"/>
          <w:sz w:val="20"/>
          <w:szCs w:val="20"/>
          <w:lang w:val="es-ES" w:eastAsia="es-ES"/>
        </w:rPr>
        <w:t xml:space="preserve"> l</w:t>
      </w:r>
      <w:r w:rsidRPr="00976671">
        <w:rPr>
          <w:rFonts w:ascii="Arial" w:eastAsiaTheme="minorEastAsia" w:hAnsi="Arial" w:cs="Arial"/>
          <w:sz w:val="20"/>
          <w:szCs w:val="20"/>
          <w:lang w:val="es-ES" w:eastAsia="es-ES"/>
        </w:rPr>
        <w:t xml:space="preserve">os efectos del consumo de alcohol en los huesos están relacionados con la dosis ingerida y la duración del consumo. Un consumo de una bebida por día para mujeres y dos para hombres no es perjudicial para el tejido óseo, mientras que los niveles más altos de consumo (2 a 4 bebidas por día) pueden dañar el tejido óseo, aunque los efectos exactos dependen de la edad, el sexo y el estado hormonal del </w:t>
      </w:r>
      <w:r w:rsidR="00D21AB7" w:rsidRPr="00976671">
        <w:rPr>
          <w:rFonts w:ascii="Arial" w:eastAsiaTheme="minorEastAsia" w:hAnsi="Arial" w:cs="Arial"/>
          <w:sz w:val="20"/>
          <w:szCs w:val="20"/>
          <w:lang w:val="es-ES" w:eastAsia="es-ES"/>
        </w:rPr>
        <w:t>consumidor,</w:t>
      </w:r>
      <w:r w:rsidRPr="00976671">
        <w:rPr>
          <w:rFonts w:ascii="Arial" w:eastAsiaTheme="minorEastAsia" w:hAnsi="Arial" w:cs="Arial"/>
          <w:sz w:val="20"/>
          <w:szCs w:val="20"/>
          <w:lang w:val="es-ES" w:eastAsia="es-ES"/>
        </w:rPr>
        <w:t xml:space="preserve"> así como del tipo de bebida alcohólica. Cuando se consumen más de cuatro vasos por día, los efectos del alcohol sobre los huesos son perjudiciales. </w:t>
      </w:r>
    </w:p>
    <w:p w14:paraId="1C9562E0" w14:textId="77777777" w:rsidR="00F940B2" w:rsidRPr="00976671" w:rsidRDefault="00F940B2" w:rsidP="00570CCB">
      <w:pPr>
        <w:widowControl w:val="0"/>
        <w:autoSpaceDE w:val="0"/>
        <w:autoSpaceDN w:val="0"/>
        <w:adjustRightInd w:val="0"/>
        <w:spacing w:after="240" w:line="276" w:lineRule="auto"/>
        <w:jc w:val="both"/>
        <w:rPr>
          <w:rFonts w:ascii="Arial" w:eastAsiaTheme="minorEastAsia" w:hAnsi="Arial" w:cs="Arial"/>
          <w:sz w:val="20"/>
          <w:szCs w:val="24"/>
          <w:lang w:val="es-ES" w:eastAsia="es-ES"/>
        </w:rPr>
      </w:pPr>
    </w:p>
    <w:p w14:paraId="024EB2E0" w14:textId="0E2046AA" w:rsidR="00C44AB3" w:rsidRPr="00976671" w:rsidRDefault="00653A6E" w:rsidP="00F7236D">
      <w:pPr>
        <w:pStyle w:val="Prrafodelista"/>
        <w:numPr>
          <w:ilvl w:val="0"/>
          <w:numId w:val="41"/>
        </w:numPr>
        <w:spacing w:line="276" w:lineRule="auto"/>
        <w:jc w:val="both"/>
        <w:rPr>
          <w:rFonts w:ascii="Arial" w:eastAsia="Times New Roman" w:hAnsi="Arial" w:cs="Arial"/>
          <w:b/>
          <w:color w:val="000000" w:themeColor="text1"/>
          <w:szCs w:val="20"/>
        </w:rPr>
      </w:pPr>
      <w:r w:rsidRPr="00976671">
        <w:rPr>
          <w:rFonts w:ascii="Arial" w:eastAsia="Times New Roman" w:hAnsi="Arial" w:cs="Arial"/>
          <w:b/>
          <w:color w:val="000000" w:themeColor="text1"/>
          <w:szCs w:val="20"/>
        </w:rPr>
        <w:t xml:space="preserve">¿Cómo se define </w:t>
      </w:r>
      <w:r w:rsidR="00C44AB3" w:rsidRPr="00976671">
        <w:rPr>
          <w:rFonts w:ascii="Arial" w:eastAsia="Times New Roman" w:hAnsi="Arial" w:cs="Arial"/>
          <w:b/>
          <w:color w:val="000000" w:themeColor="text1"/>
          <w:szCs w:val="20"/>
        </w:rPr>
        <w:t xml:space="preserve">fractura por </w:t>
      </w:r>
      <w:r w:rsidRPr="00976671">
        <w:rPr>
          <w:rFonts w:ascii="Arial" w:eastAsia="Times New Roman" w:hAnsi="Arial" w:cs="Arial"/>
          <w:b/>
          <w:color w:val="000000" w:themeColor="text1"/>
          <w:szCs w:val="20"/>
        </w:rPr>
        <w:t>fragilidad, fractura prevalente?</w:t>
      </w:r>
    </w:p>
    <w:p w14:paraId="16ECA727" w14:textId="3DB3DB58" w:rsidR="000A1C18" w:rsidRPr="00976671" w:rsidRDefault="000A1C18" w:rsidP="000A1C18">
      <w:pPr>
        <w:spacing w:line="276" w:lineRule="auto"/>
        <w:jc w:val="both"/>
        <w:rPr>
          <w:rFonts w:ascii="Arial" w:eastAsiaTheme="minorEastAsia" w:hAnsi="Arial" w:cs="Arial"/>
          <w:sz w:val="20"/>
          <w:szCs w:val="20"/>
          <w:lang w:val="es-ES" w:eastAsia="es-ES"/>
        </w:rPr>
      </w:pPr>
      <w:r w:rsidRPr="00976671">
        <w:rPr>
          <w:rFonts w:ascii="Arial" w:eastAsiaTheme="minorEastAsia" w:hAnsi="Arial" w:cs="Arial"/>
          <w:sz w:val="20"/>
          <w:szCs w:val="20"/>
          <w:lang w:val="es-ES" w:eastAsia="es-ES"/>
        </w:rPr>
        <w:t xml:space="preserve">Fractura por fragilidad es aquella que se presenta como la resultante </w:t>
      </w:r>
      <w:r w:rsidR="00DF4B72" w:rsidRPr="00976671">
        <w:rPr>
          <w:rFonts w:ascii="Arial" w:eastAsiaTheme="minorEastAsia" w:hAnsi="Arial" w:cs="Arial"/>
          <w:sz w:val="20"/>
          <w:szCs w:val="20"/>
          <w:lang w:val="es-ES" w:eastAsia="es-ES"/>
        </w:rPr>
        <w:t>de</w:t>
      </w:r>
      <w:r w:rsidRPr="00976671">
        <w:rPr>
          <w:rFonts w:ascii="Arial" w:eastAsiaTheme="minorEastAsia" w:hAnsi="Arial" w:cs="Arial"/>
          <w:sz w:val="20"/>
          <w:szCs w:val="20"/>
          <w:lang w:val="es-ES" w:eastAsia="es-ES"/>
        </w:rPr>
        <w:t xml:space="preserve"> una caída de su propia altura durante la realización de una actividad física cotidiana o por un trauma mínimo. Típicamente ocurren en la columna vertebral, cadera y antebrazo. Las fracturas vertebrales pueden ocurrir sin trauma. Se necesitan estudios </w:t>
      </w:r>
      <w:proofErr w:type="spellStart"/>
      <w:r w:rsidRPr="00976671">
        <w:rPr>
          <w:rFonts w:ascii="Arial" w:eastAsiaTheme="minorEastAsia" w:hAnsi="Arial" w:cs="Arial"/>
          <w:sz w:val="20"/>
          <w:szCs w:val="20"/>
          <w:lang w:val="es-ES" w:eastAsia="es-ES"/>
        </w:rPr>
        <w:t>ima</w:t>
      </w:r>
      <w:r w:rsidR="00F05850" w:rsidRPr="00976671">
        <w:rPr>
          <w:rFonts w:ascii="Arial" w:eastAsiaTheme="minorEastAsia" w:hAnsi="Arial" w:cs="Arial"/>
          <w:sz w:val="20"/>
          <w:szCs w:val="20"/>
          <w:lang w:val="es-ES" w:eastAsia="es-ES"/>
        </w:rPr>
        <w:t>genológicos</w:t>
      </w:r>
      <w:proofErr w:type="spellEnd"/>
      <w:r w:rsidR="00F05850" w:rsidRPr="00976671">
        <w:rPr>
          <w:rFonts w:ascii="Arial" w:eastAsiaTheme="minorEastAsia" w:hAnsi="Arial" w:cs="Arial"/>
          <w:sz w:val="20"/>
          <w:szCs w:val="20"/>
          <w:lang w:val="es-ES" w:eastAsia="es-ES"/>
        </w:rPr>
        <w:t xml:space="preserve"> para su detección. </w:t>
      </w:r>
    </w:p>
    <w:p w14:paraId="381862F4" w14:textId="77777777" w:rsidR="00D45758" w:rsidRPr="00976671" w:rsidRDefault="000A1C18" w:rsidP="000A1C18">
      <w:pPr>
        <w:spacing w:line="276" w:lineRule="auto"/>
        <w:jc w:val="both"/>
        <w:rPr>
          <w:rFonts w:ascii="Arial" w:eastAsiaTheme="minorEastAsia" w:hAnsi="Arial" w:cs="Arial"/>
          <w:sz w:val="20"/>
          <w:szCs w:val="20"/>
          <w:lang w:val="es-ES" w:eastAsia="es-ES"/>
        </w:rPr>
      </w:pPr>
      <w:r w:rsidRPr="00976671">
        <w:rPr>
          <w:rFonts w:ascii="Arial" w:eastAsiaTheme="minorEastAsia" w:hAnsi="Arial" w:cs="Arial"/>
          <w:sz w:val="20"/>
          <w:szCs w:val="20"/>
          <w:lang w:val="es-ES" w:eastAsia="es-ES"/>
        </w:rPr>
        <w:lastRenderedPageBreak/>
        <w:t xml:space="preserve">Fractura prevalente es aquella que ya existía en la paciente antes del momento de la evaluación clínica o que se aprecia en exámenes </w:t>
      </w:r>
      <w:proofErr w:type="spellStart"/>
      <w:r w:rsidRPr="00976671">
        <w:rPr>
          <w:rFonts w:ascii="Arial" w:eastAsiaTheme="minorEastAsia" w:hAnsi="Arial" w:cs="Arial"/>
          <w:sz w:val="20"/>
          <w:szCs w:val="20"/>
          <w:lang w:val="es-ES" w:eastAsia="es-ES"/>
        </w:rPr>
        <w:t>imagenológicos</w:t>
      </w:r>
      <w:proofErr w:type="spellEnd"/>
      <w:r w:rsidRPr="00976671">
        <w:rPr>
          <w:rFonts w:ascii="Arial" w:eastAsiaTheme="minorEastAsia" w:hAnsi="Arial" w:cs="Arial"/>
          <w:sz w:val="20"/>
          <w:szCs w:val="20"/>
          <w:lang w:val="es-ES" w:eastAsia="es-ES"/>
        </w:rPr>
        <w:t xml:space="preserve"> aun sin conocimiento de la paciente. </w:t>
      </w:r>
    </w:p>
    <w:p w14:paraId="0FD54363" w14:textId="51941974" w:rsidR="000A1C18" w:rsidRPr="00976671" w:rsidRDefault="005D0A77" w:rsidP="000A1C18">
      <w:pPr>
        <w:spacing w:line="276" w:lineRule="auto"/>
        <w:jc w:val="both"/>
        <w:rPr>
          <w:rFonts w:ascii="Arial" w:eastAsiaTheme="minorEastAsia" w:hAnsi="Arial" w:cs="Arial"/>
          <w:sz w:val="20"/>
          <w:szCs w:val="20"/>
          <w:lang w:val="es-ES" w:eastAsia="es-ES"/>
        </w:rPr>
      </w:pPr>
      <w:r w:rsidRPr="00976671">
        <w:rPr>
          <w:rFonts w:ascii="Arial" w:eastAsiaTheme="minorEastAsia" w:hAnsi="Arial" w:cs="Arial"/>
          <w:sz w:val="20"/>
          <w:szCs w:val="20"/>
          <w:lang w:val="es-ES" w:eastAsia="es-ES"/>
        </w:rPr>
        <w:t>La fractura vertebral</w:t>
      </w:r>
      <w:r w:rsidR="000A1C18" w:rsidRPr="00976671">
        <w:rPr>
          <w:rFonts w:ascii="Arial" w:eastAsiaTheme="minorEastAsia" w:hAnsi="Arial" w:cs="Arial"/>
          <w:sz w:val="20"/>
          <w:szCs w:val="20"/>
          <w:lang w:val="es-ES" w:eastAsia="es-ES"/>
        </w:rPr>
        <w:t xml:space="preserve">, </w:t>
      </w:r>
      <w:r w:rsidR="00DF4B72" w:rsidRPr="00976671">
        <w:rPr>
          <w:rFonts w:ascii="Arial" w:eastAsiaTheme="minorEastAsia" w:hAnsi="Arial" w:cs="Arial"/>
          <w:sz w:val="20"/>
          <w:szCs w:val="20"/>
          <w:lang w:val="es-ES" w:eastAsia="es-ES"/>
        </w:rPr>
        <w:t xml:space="preserve">se define como </w:t>
      </w:r>
      <w:r w:rsidR="000A1C18" w:rsidRPr="00976671">
        <w:rPr>
          <w:rFonts w:ascii="Arial" w:eastAsiaTheme="minorEastAsia" w:hAnsi="Arial" w:cs="Arial"/>
          <w:sz w:val="20"/>
          <w:szCs w:val="20"/>
          <w:lang w:val="es-ES" w:eastAsia="es-ES"/>
        </w:rPr>
        <w:t xml:space="preserve"> una pérdida de más del 20% de altura del cuerpo vertebral con respecto a la pared posterior</w:t>
      </w:r>
      <w:r w:rsidR="00DF4B72" w:rsidRPr="00976671">
        <w:rPr>
          <w:rFonts w:ascii="Arial" w:eastAsiaTheme="minorEastAsia" w:hAnsi="Arial" w:cs="Arial"/>
          <w:sz w:val="20"/>
          <w:szCs w:val="20"/>
          <w:lang w:val="es-ES" w:eastAsia="es-ES"/>
        </w:rPr>
        <w:t xml:space="preserve"> o anterior</w:t>
      </w:r>
      <w:r w:rsidR="000A1C18" w:rsidRPr="00976671">
        <w:rPr>
          <w:rFonts w:ascii="Arial" w:eastAsiaTheme="minorEastAsia" w:hAnsi="Arial" w:cs="Arial"/>
          <w:sz w:val="20"/>
          <w:szCs w:val="20"/>
          <w:lang w:val="es-ES" w:eastAsia="es-ES"/>
        </w:rPr>
        <w:t xml:space="preserve"> (fractura por </w:t>
      </w:r>
      <w:proofErr w:type="spellStart"/>
      <w:r w:rsidR="000A1C18" w:rsidRPr="00976671">
        <w:rPr>
          <w:rFonts w:ascii="Arial" w:eastAsiaTheme="minorEastAsia" w:hAnsi="Arial" w:cs="Arial"/>
          <w:sz w:val="20"/>
          <w:szCs w:val="20"/>
          <w:lang w:val="es-ES" w:eastAsia="es-ES"/>
        </w:rPr>
        <w:t>acuñamiento</w:t>
      </w:r>
      <w:proofErr w:type="spellEnd"/>
      <w:r w:rsidR="000A1C18" w:rsidRPr="00976671">
        <w:rPr>
          <w:rFonts w:ascii="Arial" w:eastAsiaTheme="minorEastAsia" w:hAnsi="Arial" w:cs="Arial"/>
          <w:sz w:val="20"/>
          <w:szCs w:val="20"/>
          <w:lang w:val="es-ES" w:eastAsia="es-ES"/>
        </w:rPr>
        <w:t xml:space="preserve">) o con respecto a la vértebra adyacente (fractura por aplastamiento). </w:t>
      </w:r>
      <w:r w:rsidR="000A1C18" w:rsidRPr="00976671">
        <w:rPr>
          <w:rFonts w:ascii="Arial" w:hAnsi="Arial" w:cs="Arial"/>
          <w:sz w:val="20"/>
          <w:szCs w:val="20"/>
        </w:rPr>
        <w:t xml:space="preserve">La mayoría de las fracturas vertebrales no reciben atención médica </w:t>
      </w:r>
      <w:r w:rsidR="00DF4B72" w:rsidRPr="00976671">
        <w:rPr>
          <w:rFonts w:ascii="Arial" w:hAnsi="Arial" w:cs="Arial"/>
          <w:sz w:val="20"/>
          <w:szCs w:val="20"/>
        </w:rPr>
        <w:t>porque</w:t>
      </w:r>
      <w:r w:rsidR="000A1C18" w:rsidRPr="00976671">
        <w:rPr>
          <w:rFonts w:ascii="Arial" w:hAnsi="Arial" w:cs="Arial"/>
          <w:sz w:val="20"/>
          <w:szCs w:val="20"/>
        </w:rPr>
        <w:t xml:space="preserve"> no se diagnostican. </w:t>
      </w:r>
      <w:r w:rsidR="00877382" w:rsidRPr="00976671">
        <w:rPr>
          <w:rFonts w:ascii="Arial" w:hAnsi="Arial" w:cs="Arial"/>
          <w:sz w:val="20"/>
          <w:szCs w:val="20"/>
        </w:rPr>
        <w:t>La</w:t>
      </w:r>
      <w:r w:rsidR="000A1C18" w:rsidRPr="00976671">
        <w:rPr>
          <w:rFonts w:ascii="Arial" w:hAnsi="Arial" w:cs="Arial"/>
          <w:sz w:val="20"/>
          <w:szCs w:val="20"/>
        </w:rPr>
        <w:t xml:space="preserve"> evaluación de la fractura vertebral se debe considerar</w:t>
      </w:r>
      <w:r w:rsidR="00DF4B72" w:rsidRPr="00976671">
        <w:rPr>
          <w:rFonts w:ascii="Arial" w:hAnsi="Arial" w:cs="Arial"/>
          <w:sz w:val="20"/>
          <w:szCs w:val="20"/>
        </w:rPr>
        <w:t xml:space="preserve"> de manera activa</w:t>
      </w:r>
      <w:r w:rsidR="000A1C18" w:rsidRPr="00976671">
        <w:rPr>
          <w:rFonts w:ascii="Arial" w:hAnsi="Arial" w:cs="Arial"/>
          <w:sz w:val="20"/>
          <w:szCs w:val="20"/>
        </w:rPr>
        <w:t xml:space="preserve"> en individuos de alto riesgo, utilizando radiografías de columna lumbar lateral y torácica lateral o imag</w:t>
      </w:r>
      <w:r w:rsidR="00877382" w:rsidRPr="00976671">
        <w:rPr>
          <w:rFonts w:ascii="Arial" w:hAnsi="Arial" w:cs="Arial"/>
          <w:sz w:val="20"/>
          <w:szCs w:val="20"/>
        </w:rPr>
        <w:t>eno</w:t>
      </w:r>
      <w:r w:rsidR="00DF4B72" w:rsidRPr="00976671">
        <w:rPr>
          <w:rFonts w:ascii="Arial" w:hAnsi="Arial" w:cs="Arial"/>
          <w:sz w:val="20"/>
          <w:szCs w:val="20"/>
        </w:rPr>
        <w:t xml:space="preserve">logía DXA de columna lateral; </w:t>
      </w:r>
      <w:r w:rsidR="00877382" w:rsidRPr="00976671">
        <w:rPr>
          <w:rFonts w:ascii="Arial" w:hAnsi="Arial" w:cs="Arial"/>
          <w:sz w:val="20"/>
          <w:szCs w:val="20"/>
        </w:rPr>
        <w:t>r</w:t>
      </w:r>
      <w:r w:rsidR="00DF4B72" w:rsidRPr="00976671">
        <w:rPr>
          <w:rFonts w:ascii="Arial" w:hAnsi="Arial" w:cs="Arial"/>
          <w:sz w:val="20"/>
          <w:szCs w:val="20"/>
        </w:rPr>
        <w:t>e</w:t>
      </w:r>
      <w:r w:rsidR="00877382" w:rsidRPr="00976671">
        <w:rPr>
          <w:rFonts w:ascii="Arial" w:hAnsi="Arial" w:cs="Arial"/>
          <w:sz w:val="20"/>
          <w:szCs w:val="20"/>
        </w:rPr>
        <w:t xml:space="preserve">cordar que </w:t>
      </w:r>
      <w:r w:rsidR="00DF4B72" w:rsidRPr="00976671">
        <w:rPr>
          <w:rFonts w:ascii="Arial" w:hAnsi="Arial" w:cs="Arial"/>
          <w:sz w:val="20"/>
          <w:szCs w:val="20"/>
        </w:rPr>
        <w:t xml:space="preserve">una frarctura </w:t>
      </w:r>
      <w:r w:rsidR="00877382" w:rsidRPr="00976671">
        <w:rPr>
          <w:rFonts w:ascii="Arial" w:hAnsi="Arial" w:cs="Arial"/>
          <w:sz w:val="20"/>
          <w:szCs w:val="20"/>
        </w:rPr>
        <w:t>establece el diagnostico de osteoporosis independiente de la DMO</w:t>
      </w:r>
      <w:r w:rsidR="00DF4B72" w:rsidRPr="00976671">
        <w:rPr>
          <w:rFonts w:ascii="Arial" w:hAnsi="Arial" w:cs="Arial"/>
          <w:sz w:val="20"/>
          <w:szCs w:val="20"/>
        </w:rPr>
        <w:t>.</w:t>
      </w:r>
      <w:r w:rsidR="00432B2F" w:rsidRPr="00976671">
        <w:rPr>
          <w:rFonts w:ascii="Arial" w:hAnsi="Arial" w:cs="Arial"/>
          <w:sz w:val="20"/>
          <w:szCs w:val="20"/>
        </w:rPr>
        <w:t xml:space="preserve"> (</w:t>
      </w:r>
      <w:proofErr w:type="spellStart"/>
      <w:r w:rsidR="00432B2F" w:rsidRPr="00976671">
        <w:rPr>
          <w:rFonts w:ascii="Arial" w:hAnsi="Arial" w:cs="Arial"/>
          <w:sz w:val="20"/>
          <w:szCs w:val="20"/>
          <w:lang w:val="es-ES"/>
        </w:rPr>
        <w:t>Fink</w:t>
      </w:r>
      <w:proofErr w:type="spellEnd"/>
      <w:r w:rsidR="00432B2F" w:rsidRPr="00976671">
        <w:rPr>
          <w:rFonts w:ascii="Arial" w:hAnsi="Arial" w:cs="Arial"/>
          <w:sz w:val="20"/>
          <w:szCs w:val="20"/>
          <w:lang w:val="es-ES"/>
        </w:rPr>
        <w:t xml:space="preserve"> HA et al, 2005)</w:t>
      </w:r>
    </w:p>
    <w:p w14:paraId="232C856F" w14:textId="7B42E1F9" w:rsidR="000A1C18" w:rsidRPr="00976671" w:rsidRDefault="000A1C18" w:rsidP="000A1C18">
      <w:pPr>
        <w:spacing w:line="276" w:lineRule="auto"/>
        <w:jc w:val="both"/>
        <w:rPr>
          <w:rFonts w:ascii="Arial" w:hAnsi="Arial" w:cs="Arial"/>
          <w:sz w:val="20"/>
          <w:szCs w:val="20"/>
          <w:lang w:val="es-ES"/>
        </w:rPr>
      </w:pPr>
      <w:r w:rsidRPr="00976671">
        <w:rPr>
          <w:rFonts w:ascii="Arial" w:hAnsi="Arial" w:cs="Arial"/>
          <w:sz w:val="20"/>
          <w:szCs w:val="20"/>
          <w:lang w:val="es-ES"/>
        </w:rPr>
        <w:t xml:space="preserve">El riesgo de una nueva fractura vertebral en el año después de sufrir una fractura vertebral incidente </w:t>
      </w:r>
      <w:r w:rsidR="00877382" w:rsidRPr="00976671">
        <w:rPr>
          <w:rFonts w:ascii="Arial" w:hAnsi="Arial" w:cs="Arial"/>
          <w:sz w:val="20"/>
          <w:szCs w:val="20"/>
          <w:lang w:val="es-ES"/>
        </w:rPr>
        <w:t>es de alrededor</w:t>
      </w:r>
      <w:r w:rsidRPr="00976671">
        <w:rPr>
          <w:rFonts w:ascii="Arial" w:hAnsi="Arial" w:cs="Arial"/>
          <w:sz w:val="20"/>
          <w:szCs w:val="20"/>
          <w:lang w:val="es-ES"/>
        </w:rPr>
        <w:t xml:space="preserve"> 5 veces mayor que el de las mujeres que no sufrieron una fractura vertebral el año anterior (RR 5.1, IC 95% 3.1–8.4). La incidencia global de una nueva fractura vertebral en el año siguiente después de sufrir una fractura vertebral inicial fue del 19,2% (IC 95%: 13,6–24,8%). </w:t>
      </w:r>
      <w:r w:rsidR="00877382" w:rsidRPr="00976671">
        <w:rPr>
          <w:rFonts w:ascii="Arial" w:hAnsi="Arial" w:cs="Arial"/>
          <w:sz w:val="20"/>
          <w:szCs w:val="20"/>
          <w:lang w:val="es-ES"/>
        </w:rPr>
        <w:t>U</w:t>
      </w:r>
      <w:r w:rsidRPr="00976671">
        <w:rPr>
          <w:rFonts w:ascii="Arial" w:hAnsi="Arial" w:cs="Arial"/>
          <w:sz w:val="20"/>
          <w:szCs w:val="20"/>
          <w:lang w:val="es-ES"/>
        </w:rPr>
        <w:t>n mayor número de fracturas vertebrales se asoc</w:t>
      </w:r>
      <w:r w:rsidR="00D30E44" w:rsidRPr="00976671">
        <w:rPr>
          <w:rFonts w:ascii="Arial" w:hAnsi="Arial" w:cs="Arial"/>
          <w:sz w:val="20"/>
          <w:szCs w:val="20"/>
          <w:lang w:val="es-ES"/>
        </w:rPr>
        <w:t>ia</w:t>
      </w:r>
      <w:r w:rsidRPr="00976671">
        <w:rPr>
          <w:rFonts w:ascii="Arial" w:hAnsi="Arial" w:cs="Arial"/>
          <w:sz w:val="20"/>
          <w:szCs w:val="20"/>
          <w:lang w:val="es-ES"/>
        </w:rPr>
        <w:t xml:space="preserve"> con un mayor riesgo de fracturas que la presencia de solo una fractura.</w:t>
      </w:r>
      <w:r w:rsidR="00432B2F" w:rsidRPr="00976671">
        <w:rPr>
          <w:rFonts w:ascii="Arial" w:hAnsi="Arial" w:cs="Arial"/>
          <w:sz w:val="20"/>
          <w:szCs w:val="20"/>
          <w:lang w:val="es-ES"/>
        </w:rPr>
        <w:t xml:space="preserve"> (Lindsay</w:t>
      </w:r>
      <w:r w:rsidR="00446387" w:rsidRPr="00976671">
        <w:rPr>
          <w:rFonts w:ascii="Arial" w:hAnsi="Arial" w:cs="Arial"/>
          <w:sz w:val="20"/>
          <w:szCs w:val="20"/>
          <w:lang w:val="es-ES"/>
        </w:rPr>
        <w:t>, R.,</w:t>
      </w:r>
      <w:r w:rsidR="00432B2F" w:rsidRPr="00976671">
        <w:rPr>
          <w:rFonts w:ascii="Arial" w:hAnsi="Arial" w:cs="Arial"/>
          <w:sz w:val="20"/>
          <w:szCs w:val="20"/>
          <w:lang w:val="es-ES"/>
        </w:rPr>
        <w:t xml:space="preserve"> et al, 2001)</w:t>
      </w:r>
    </w:p>
    <w:p w14:paraId="7E07A812" w14:textId="460EF0D5" w:rsidR="000A1C18" w:rsidRPr="00976671" w:rsidRDefault="000A1C18" w:rsidP="000A1C18">
      <w:pPr>
        <w:spacing w:line="276" w:lineRule="auto"/>
        <w:jc w:val="both"/>
        <w:rPr>
          <w:rFonts w:ascii="Arial" w:hAnsi="Arial" w:cs="Arial"/>
          <w:sz w:val="20"/>
          <w:szCs w:val="20"/>
        </w:rPr>
      </w:pPr>
      <w:r w:rsidRPr="00976671">
        <w:rPr>
          <w:rFonts w:ascii="Arial" w:hAnsi="Arial" w:cs="Arial"/>
          <w:sz w:val="20"/>
          <w:szCs w:val="20"/>
        </w:rPr>
        <w:t xml:space="preserve">Las </w:t>
      </w:r>
      <w:r w:rsidR="00653A6E" w:rsidRPr="00976671">
        <w:rPr>
          <w:rFonts w:ascii="Arial" w:hAnsi="Arial" w:cs="Arial"/>
          <w:sz w:val="20"/>
          <w:szCs w:val="20"/>
        </w:rPr>
        <w:t>fracturas vertebrales</w:t>
      </w:r>
      <w:r w:rsidRPr="00976671">
        <w:rPr>
          <w:rFonts w:ascii="Arial" w:hAnsi="Arial" w:cs="Arial"/>
          <w:sz w:val="20"/>
          <w:szCs w:val="20"/>
        </w:rPr>
        <w:t xml:space="preserve"> también han demostrado tener un impacto negativo en la calidad</w:t>
      </w:r>
      <w:r w:rsidR="00877382" w:rsidRPr="00976671">
        <w:rPr>
          <w:rFonts w:ascii="Arial" w:hAnsi="Arial" w:cs="Arial"/>
          <w:sz w:val="20"/>
          <w:szCs w:val="20"/>
        </w:rPr>
        <w:t xml:space="preserve"> de vida.</w:t>
      </w:r>
    </w:p>
    <w:p w14:paraId="591BBFC7" w14:textId="3741AABC" w:rsidR="000A1C18" w:rsidRPr="00976671" w:rsidRDefault="000A1C18" w:rsidP="000A1C18">
      <w:pPr>
        <w:spacing w:line="276" w:lineRule="auto"/>
        <w:jc w:val="both"/>
        <w:rPr>
          <w:rFonts w:ascii="Arial" w:hAnsi="Arial" w:cs="Arial"/>
          <w:sz w:val="20"/>
          <w:szCs w:val="20"/>
          <w:lang w:val="es-ES"/>
        </w:rPr>
      </w:pPr>
      <w:r w:rsidRPr="00976671">
        <w:rPr>
          <w:rFonts w:ascii="Arial" w:hAnsi="Arial" w:cs="Arial"/>
          <w:sz w:val="20"/>
          <w:szCs w:val="20"/>
          <w:lang w:val="es-ES"/>
        </w:rPr>
        <w:t xml:space="preserve">La Sociedad Internacional para la Densitometría Clínica (ISCD) ha adoptado el término </w:t>
      </w:r>
      <w:proofErr w:type="spellStart"/>
      <w:r w:rsidRPr="00976671">
        <w:rPr>
          <w:rFonts w:ascii="Arial" w:hAnsi="Arial" w:cs="Arial"/>
          <w:sz w:val="20"/>
          <w:szCs w:val="20"/>
          <w:lang w:val="es-ES"/>
        </w:rPr>
        <w:t>VFA</w:t>
      </w:r>
      <w:proofErr w:type="spellEnd"/>
      <w:r w:rsidRPr="00976671">
        <w:rPr>
          <w:rFonts w:ascii="Arial" w:hAnsi="Arial" w:cs="Arial"/>
          <w:sz w:val="20"/>
          <w:szCs w:val="20"/>
          <w:lang w:val="es-ES"/>
        </w:rPr>
        <w:t xml:space="preserve"> (Vertebral Fracture </w:t>
      </w:r>
      <w:proofErr w:type="spellStart"/>
      <w:r w:rsidRPr="00976671">
        <w:rPr>
          <w:rFonts w:ascii="Arial" w:hAnsi="Arial" w:cs="Arial"/>
          <w:sz w:val="20"/>
          <w:szCs w:val="20"/>
          <w:lang w:val="es-ES"/>
        </w:rPr>
        <w:t>Assessment</w:t>
      </w:r>
      <w:proofErr w:type="spellEnd"/>
      <w:r w:rsidRPr="00976671">
        <w:rPr>
          <w:rFonts w:ascii="Arial" w:hAnsi="Arial" w:cs="Arial"/>
          <w:sz w:val="20"/>
          <w:szCs w:val="20"/>
          <w:lang w:val="es-ES"/>
        </w:rPr>
        <w:t xml:space="preserve">) para denotar la imagen </w:t>
      </w:r>
      <w:proofErr w:type="spellStart"/>
      <w:r w:rsidRPr="00976671">
        <w:rPr>
          <w:rFonts w:ascii="Arial" w:hAnsi="Arial" w:cs="Arial"/>
          <w:sz w:val="20"/>
          <w:szCs w:val="20"/>
          <w:lang w:val="es-ES"/>
        </w:rPr>
        <w:t>densitométrica</w:t>
      </w:r>
      <w:proofErr w:type="spellEnd"/>
      <w:r w:rsidRPr="00976671">
        <w:rPr>
          <w:rFonts w:ascii="Arial" w:hAnsi="Arial" w:cs="Arial"/>
          <w:sz w:val="20"/>
          <w:szCs w:val="20"/>
          <w:lang w:val="es-ES"/>
        </w:rPr>
        <w:t xml:space="preserve"> de la columna vertebral realizada con el propósito de identificar fracturas vertebrales. La introducción de VFA permitió al clínico realizar el estudio como parte de un servicio en el punto de atención, en la misma clínica e incluso al mismo tiempo que la evaluación DXA, y a un costo menor que con la radiografía de columna. VFA también se asocia con ≤1% de la radiación asociada </w:t>
      </w:r>
      <w:r w:rsidR="00B93446" w:rsidRPr="00976671">
        <w:rPr>
          <w:rFonts w:ascii="Arial" w:hAnsi="Arial" w:cs="Arial"/>
          <w:sz w:val="20"/>
          <w:szCs w:val="20"/>
          <w:lang w:val="es-ES"/>
        </w:rPr>
        <w:t>con una radiografía de columna.</w:t>
      </w:r>
    </w:p>
    <w:p w14:paraId="44EAF9D2" w14:textId="5EA4F4D8" w:rsidR="000A1C18" w:rsidRPr="00976671" w:rsidRDefault="000A1C18" w:rsidP="000A1C18">
      <w:pPr>
        <w:spacing w:line="276" w:lineRule="auto"/>
        <w:jc w:val="both"/>
        <w:rPr>
          <w:rFonts w:ascii="Arial" w:hAnsi="Arial" w:cs="Arial"/>
          <w:sz w:val="20"/>
          <w:szCs w:val="20"/>
          <w:lang w:val="es-ES"/>
        </w:rPr>
      </w:pPr>
      <w:r w:rsidRPr="00976671">
        <w:rPr>
          <w:rFonts w:ascii="Arial" w:hAnsi="Arial" w:cs="Arial"/>
          <w:sz w:val="20"/>
          <w:szCs w:val="20"/>
          <w:lang w:val="es-ES"/>
        </w:rPr>
        <w:t>Indicaciones para valorar fractura</w:t>
      </w:r>
      <w:r w:rsidR="004F7B8D" w:rsidRPr="00976671">
        <w:rPr>
          <w:rFonts w:ascii="Arial" w:hAnsi="Arial" w:cs="Arial"/>
          <w:sz w:val="20"/>
          <w:szCs w:val="20"/>
          <w:lang w:val="es-ES"/>
        </w:rPr>
        <w:t>s</w:t>
      </w:r>
      <w:r w:rsidRPr="00976671">
        <w:rPr>
          <w:rFonts w:ascii="Arial" w:hAnsi="Arial" w:cs="Arial"/>
          <w:sz w:val="20"/>
          <w:szCs w:val="20"/>
          <w:lang w:val="es-ES"/>
        </w:rPr>
        <w:t xml:space="preserve"> vertebrales ya sea con </w:t>
      </w:r>
      <w:proofErr w:type="spellStart"/>
      <w:r w:rsidRPr="00976671">
        <w:rPr>
          <w:rFonts w:ascii="Arial" w:hAnsi="Arial" w:cs="Arial"/>
          <w:sz w:val="20"/>
          <w:szCs w:val="20"/>
          <w:lang w:val="es-ES"/>
        </w:rPr>
        <w:t>DMO</w:t>
      </w:r>
      <w:proofErr w:type="spellEnd"/>
      <w:r w:rsidRPr="00976671">
        <w:rPr>
          <w:rFonts w:ascii="Arial" w:hAnsi="Arial" w:cs="Arial"/>
          <w:sz w:val="20"/>
          <w:szCs w:val="20"/>
          <w:lang w:val="es-ES"/>
        </w:rPr>
        <w:t xml:space="preserve"> o con </w:t>
      </w:r>
      <w:proofErr w:type="spellStart"/>
      <w:r w:rsidRPr="00976671">
        <w:rPr>
          <w:rFonts w:ascii="Arial" w:hAnsi="Arial" w:cs="Arial"/>
          <w:sz w:val="20"/>
          <w:szCs w:val="20"/>
          <w:lang w:val="es-ES"/>
        </w:rPr>
        <w:t>Rx</w:t>
      </w:r>
      <w:proofErr w:type="spellEnd"/>
      <w:r w:rsidRPr="00976671">
        <w:rPr>
          <w:rFonts w:ascii="Arial" w:hAnsi="Arial" w:cs="Arial"/>
          <w:sz w:val="20"/>
          <w:szCs w:val="20"/>
          <w:lang w:val="es-ES"/>
        </w:rPr>
        <w:t xml:space="preserve"> Lateral</w:t>
      </w:r>
      <w:r w:rsidR="00D30E44" w:rsidRPr="00976671">
        <w:rPr>
          <w:rFonts w:ascii="Arial" w:hAnsi="Arial" w:cs="Arial"/>
          <w:sz w:val="20"/>
          <w:szCs w:val="20"/>
          <w:lang w:val="es-ES"/>
        </w:rPr>
        <w:t xml:space="preserve"> según la </w:t>
      </w:r>
      <w:proofErr w:type="spellStart"/>
      <w:r w:rsidRPr="00976671">
        <w:rPr>
          <w:rFonts w:ascii="Arial" w:hAnsi="Arial" w:cs="Arial"/>
          <w:sz w:val="20"/>
          <w:szCs w:val="20"/>
          <w:lang w:val="es-ES"/>
        </w:rPr>
        <w:t>National</w:t>
      </w:r>
      <w:proofErr w:type="spellEnd"/>
      <w:r w:rsidRPr="00976671">
        <w:rPr>
          <w:rFonts w:ascii="Arial" w:hAnsi="Arial" w:cs="Arial"/>
          <w:sz w:val="20"/>
          <w:szCs w:val="20"/>
          <w:lang w:val="es-ES"/>
        </w:rPr>
        <w:t xml:space="preserve"> </w:t>
      </w:r>
      <w:proofErr w:type="spellStart"/>
      <w:r w:rsidRPr="00976671">
        <w:rPr>
          <w:rFonts w:ascii="Arial" w:hAnsi="Arial" w:cs="Arial"/>
          <w:sz w:val="20"/>
          <w:szCs w:val="20"/>
          <w:lang w:val="es-ES"/>
        </w:rPr>
        <w:t>Osteoporsis</w:t>
      </w:r>
      <w:proofErr w:type="spellEnd"/>
      <w:r w:rsidRPr="00976671">
        <w:rPr>
          <w:rFonts w:ascii="Arial" w:hAnsi="Arial" w:cs="Arial"/>
          <w:sz w:val="20"/>
          <w:szCs w:val="20"/>
          <w:lang w:val="es-ES"/>
        </w:rPr>
        <w:t xml:space="preserve"> </w:t>
      </w:r>
      <w:proofErr w:type="spellStart"/>
      <w:r w:rsidRPr="00976671">
        <w:rPr>
          <w:rFonts w:ascii="Arial" w:hAnsi="Arial" w:cs="Arial"/>
          <w:sz w:val="20"/>
          <w:szCs w:val="20"/>
          <w:lang w:val="es-ES"/>
        </w:rPr>
        <w:t>Foundation</w:t>
      </w:r>
      <w:proofErr w:type="spellEnd"/>
    </w:p>
    <w:p w14:paraId="057EBF31" w14:textId="77777777" w:rsidR="000A1C18" w:rsidRPr="00976671" w:rsidRDefault="000A1C18" w:rsidP="000A1C18">
      <w:pPr>
        <w:pStyle w:val="Prrafodelista"/>
        <w:numPr>
          <w:ilvl w:val="0"/>
          <w:numId w:val="6"/>
        </w:numPr>
        <w:spacing w:line="276" w:lineRule="auto"/>
        <w:jc w:val="both"/>
        <w:rPr>
          <w:rFonts w:ascii="Arial" w:hAnsi="Arial" w:cs="Arial"/>
          <w:sz w:val="20"/>
          <w:szCs w:val="20"/>
          <w:lang w:val="es-ES"/>
        </w:rPr>
      </w:pPr>
      <w:r w:rsidRPr="00976671">
        <w:rPr>
          <w:rFonts w:ascii="Arial" w:hAnsi="Arial" w:cs="Arial"/>
          <w:sz w:val="20"/>
          <w:szCs w:val="20"/>
          <w:lang w:val="es-ES"/>
        </w:rPr>
        <w:t>Toda mujer ≥ 70 años y hombre ≥ 80 años con una DMO con T score ≤ -1 en columna, cadera total o cuello femoral</w:t>
      </w:r>
    </w:p>
    <w:p w14:paraId="6A795C5E" w14:textId="77777777" w:rsidR="000A1C18" w:rsidRPr="00976671" w:rsidRDefault="000A1C18" w:rsidP="000A1C18">
      <w:pPr>
        <w:pStyle w:val="Prrafodelista"/>
        <w:numPr>
          <w:ilvl w:val="0"/>
          <w:numId w:val="6"/>
        </w:numPr>
        <w:spacing w:line="276" w:lineRule="auto"/>
        <w:jc w:val="both"/>
        <w:rPr>
          <w:rFonts w:ascii="Arial" w:hAnsi="Arial" w:cs="Arial"/>
          <w:sz w:val="20"/>
          <w:szCs w:val="20"/>
          <w:lang w:val="es-ES"/>
        </w:rPr>
      </w:pPr>
      <w:r w:rsidRPr="00976671">
        <w:rPr>
          <w:rFonts w:ascii="Arial" w:hAnsi="Arial" w:cs="Arial"/>
          <w:sz w:val="20"/>
          <w:szCs w:val="20"/>
          <w:lang w:val="es-ES"/>
        </w:rPr>
        <w:t>Mujer entre 65-69 años y hombre entre 70-79 años si el T score ≤ -1.5 en columna, cadera total o cuello femoral</w:t>
      </w:r>
    </w:p>
    <w:p w14:paraId="4CD96A60" w14:textId="77777777" w:rsidR="000A1C18" w:rsidRPr="00976671" w:rsidRDefault="000A1C18" w:rsidP="000A1C18">
      <w:pPr>
        <w:pStyle w:val="Prrafodelista"/>
        <w:numPr>
          <w:ilvl w:val="0"/>
          <w:numId w:val="6"/>
        </w:numPr>
        <w:spacing w:line="276" w:lineRule="auto"/>
        <w:jc w:val="both"/>
        <w:rPr>
          <w:rFonts w:ascii="Arial" w:hAnsi="Arial" w:cs="Arial"/>
          <w:sz w:val="20"/>
          <w:szCs w:val="20"/>
          <w:lang w:val="es-ES"/>
        </w:rPr>
      </w:pPr>
      <w:r w:rsidRPr="00976671">
        <w:rPr>
          <w:rFonts w:ascii="Arial" w:hAnsi="Arial" w:cs="Arial"/>
          <w:sz w:val="20"/>
          <w:szCs w:val="20"/>
          <w:lang w:val="es-ES"/>
        </w:rPr>
        <w:t xml:space="preserve">Mujer pos </w:t>
      </w:r>
      <w:proofErr w:type="spellStart"/>
      <w:r w:rsidRPr="00976671">
        <w:rPr>
          <w:rFonts w:ascii="Arial" w:hAnsi="Arial" w:cs="Arial"/>
          <w:sz w:val="20"/>
          <w:szCs w:val="20"/>
          <w:lang w:val="es-ES"/>
        </w:rPr>
        <w:t>menopausica</w:t>
      </w:r>
      <w:proofErr w:type="spellEnd"/>
      <w:r w:rsidRPr="00976671">
        <w:rPr>
          <w:rFonts w:ascii="Arial" w:hAnsi="Arial" w:cs="Arial"/>
          <w:sz w:val="20"/>
          <w:szCs w:val="20"/>
          <w:lang w:val="es-ES"/>
        </w:rPr>
        <w:t xml:space="preserve"> y hombre ≥50 años con factores de riesgo específicos</w:t>
      </w:r>
    </w:p>
    <w:p w14:paraId="4BD2B1C0" w14:textId="77777777" w:rsidR="000A1C18" w:rsidRPr="00976671" w:rsidRDefault="000A1C18" w:rsidP="00976671">
      <w:pPr>
        <w:pStyle w:val="Prrafodelista"/>
        <w:numPr>
          <w:ilvl w:val="1"/>
          <w:numId w:val="44"/>
        </w:numPr>
        <w:spacing w:line="276" w:lineRule="auto"/>
        <w:jc w:val="both"/>
        <w:rPr>
          <w:rFonts w:ascii="Arial" w:hAnsi="Arial" w:cs="Arial"/>
          <w:sz w:val="20"/>
          <w:szCs w:val="20"/>
          <w:lang w:val="es-ES"/>
        </w:rPr>
      </w:pPr>
      <w:r w:rsidRPr="00976671">
        <w:rPr>
          <w:rFonts w:ascii="Arial" w:hAnsi="Arial" w:cs="Arial"/>
          <w:sz w:val="20"/>
          <w:szCs w:val="20"/>
          <w:lang w:val="es-ES"/>
        </w:rPr>
        <w:t>Fractura con bajo trauma que ocurra ≥50 años</w:t>
      </w:r>
    </w:p>
    <w:p w14:paraId="6CF9FA86" w14:textId="57F00CAB" w:rsidR="000A1C18" w:rsidRPr="00976671" w:rsidRDefault="000A1C18" w:rsidP="00976671">
      <w:pPr>
        <w:pStyle w:val="Prrafodelista"/>
        <w:numPr>
          <w:ilvl w:val="1"/>
          <w:numId w:val="44"/>
        </w:numPr>
        <w:spacing w:line="276" w:lineRule="auto"/>
        <w:jc w:val="both"/>
        <w:rPr>
          <w:rFonts w:ascii="Arial" w:hAnsi="Arial" w:cs="Arial"/>
          <w:sz w:val="20"/>
          <w:szCs w:val="20"/>
          <w:lang w:val="es-ES"/>
        </w:rPr>
      </w:pPr>
      <w:r w:rsidRPr="00976671">
        <w:rPr>
          <w:rFonts w:ascii="Arial" w:hAnsi="Arial" w:cs="Arial"/>
          <w:sz w:val="20"/>
          <w:szCs w:val="20"/>
          <w:lang w:val="es-ES"/>
        </w:rPr>
        <w:t xml:space="preserve">Historia </w:t>
      </w:r>
      <w:r w:rsidR="00D30E44" w:rsidRPr="00976671">
        <w:rPr>
          <w:rFonts w:ascii="Arial" w:hAnsi="Arial" w:cs="Arial"/>
          <w:sz w:val="20"/>
          <w:szCs w:val="20"/>
          <w:lang w:val="es-ES"/>
        </w:rPr>
        <w:t>de perdida de talla de 4 cm o m</w:t>
      </w:r>
      <w:r w:rsidRPr="00976671">
        <w:rPr>
          <w:rFonts w:ascii="Arial" w:hAnsi="Arial" w:cs="Arial"/>
          <w:sz w:val="20"/>
          <w:szCs w:val="20"/>
          <w:lang w:val="es-ES"/>
        </w:rPr>
        <w:t>ás</w:t>
      </w:r>
    </w:p>
    <w:p w14:paraId="4D0CD679" w14:textId="77777777" w:rsidR="000A1C18" w:rsidRPr="00976671" w:rsidRDefault="000A1C18" w:rsidP="00976671">
      <w:pPr>
        <w:pStyle w:val="Prrafodelista"/>
        <w:numPr>
          <w:ilvl w:val="1"/>
          <w:numId w:val="44"/>
        </w:numPr>
        <w:spacing w:line="276" w:lineRule="auto"/>
        <w:jc w:val="both"/>
        <w:rPr>
          <w:rFonts w:ascii="Arial" w:hAnsi="Arial" w:cs="Arial"/>
          <w:sz w:val="20"/>
          <w:szCs w:val="20"/>
          <w:lang w:val="es-ES"/>
        </w:rPr>
      </w:pPr>
      <w:r w:rsidRPr="00976671">
        <w:rPr>
          <w:rFonts w:ascii="Arial" w:hAnsi="Arial" w:cs="Arial"/>
          <w:sz w:val="20"/>
          <w:szCs w:val="20"/>
          <w:lang w:val="es-ES"/>
        </w:rPr>
        <w:t>Perdida prospectiva de 2 cm o mas</w:t>
      </w:r>
    </w:p>
    <w:p w14:paraId="008CBA1A" w14:textId="77777777" w:rsidR="000A1C18" w:rsidRPr="00976671" w:rsidRDefault="000A1C18" w:rsidP="00976671">
      <w:pPr>
        <w:pStyle w:val="Prrafodelista"/>
        <w:numPr>
          <w:ilvl w:val="1"/>
          <w:numId w:val="44"/>
        </w:numPr>
        <w:spacing w:line="276" w:lineRule="auto"/>
        <w:jc w:val="both"/>
        <w:rPr>
          <w:rFonts w:ascii="Arial" w:hAnsi="Arial" w:cs="Arial"/>
          <w:sz w:val="20"/>
          <w:szCs w:val="20"/>
          <w:lang w:val="es-ES"/>
        </w:rPr>
      </w:pPr>
      <w:r w:rsidRPr="00976671">
        <w:rPr>
          <w:rFonts w:ascii="Arial" w:hAnsi="Arial" w:cs="Arial"/>
          <w:sz w:val="20"/>
          <w:szCs w:val="20"/>
          <w:lang w:val="es-ES"/>
        </w:rPr>
        <w:t>Tratamiento reciente o en proceso con corticoides</w:t>
      </w:r>
    </w:p>
    <w:p w14:paraId="0A6988E7" w14:textId="2B564343" w:rsidR="000A1C18" w:rsidRPr="00976671" w:rsidRDefault="000A1C18" w:rsidP="000A1C18">
      <w:pPr>
        <w:spacing w:line="276" w:lineRule="auto"/>
        <w:jc w:val="both"/>
        <w:rPr>
          <w:rFonts w:ascii="Arial" w:hAnsi="Arial" w:cs="Arial"/>
          <w:sz w:val="20"/>
          <w:szCs w:val="20"/>
          <w:lang w:val="es-ES"/>
        </w:rPr>
      </w:pPr>
      <w:r w:rsidRPr="00976671">
        <w:rPr>
          <w:rFonts w:ascii="Arial" w:hAnsi="Arial" w:cs="Arial"/>
          <w:sz w:val="20"/>
          <w:szCs w:val="20"/>
          <w:lang w:val="es-ES"/>
        </w:rPr>
        <w:t xml:space="preserve">Las cuatro metodologías utilizadas actualmente son el método visual cualitativo, </w:t>
      </w:r>
      <w:r w:rsidR="00556E8E" w:rsidRPr="00976671">
        <w:rPr>
          <w:rFonts w:ascii="Arial" w:hAnsi="Arial" w:cs="Arial"/>
          <w:sz w:val="20"/>
          <w:szCs w:val="20"/>
          <w:lang w:val="es-ES"/>
        </w:rPr>
        <w:t xml:space="preserve">el </w:t>
      </w:r>
      <w:proofErr w:type="spellStart"/>
      <w:r w:rsidRPr="00976671">
        <w:rPr>
          <w:rFonts w:ascii="Arial" w:hAnsi="Arial" w:cs="Arial"/>
          <w:sz w:val="20"/>
          <w:szCs w:val="20"/>
          <w:lang w:val="es-ES"/>
        </w:rPr>
        <w:t>morfométrico</w:t>
      </w:r>
      <w:proofErr w:type="spellEnd"/>
      <w:r w:rsidRPr="00976671">
        <w:rPr>
          <w:rFonts w:ascii="Arial" w:hAnsi="Arial" w:cs="Arial"/>
          <w:sz w:val="20"/>
          <w:szCs w:val="20"/>
          <w:lang w:val="es-ES"/>
        </w:rPr>
        <w:t xml:space="preserve"> cuantitativo (QM), </w:t>
      </w:r>
      <w:r w:rsidR="00556E8E" w:rsidRPr="00976671">
        <w:rPr>
          <w:rFonts w:ascii="Arial" w:hAnsi="Arial" w:cs="Arial"/>
          <w:sz w:val="20"/>
          <w:szCs w:val="20"/>
          <w:lang w:val="es-ES"/>
        </w:rPr>
        <w:t xml:space="preserve">el </w:t>
      </w:r>
      <w:proofErr w:type="spellStart"/>
      <w:r w:rsidRPr="00976671">
        <w:rPr>
          <w:rFonts w:ascii="Arial" w:hAnsi="Arial" w:cs="Arial"/>
          <w:sz w:val="20"/>
          <w:szCs w:val="20"/>
          <w:lang w:val="es-ES"/>
        </w:rPr>
        <w:t>semicuantitativo</w:t>
      </w:r>
      <w:proofErr w:type="spellEnd"/>
      <w:r w:rsidRPr="00976671">
        <w:rPr>
          <w:rFonts w:ascii="Arial" w:hAnsi="Arial" w:cs="Arial"/>
          <w:sz w:val="20"/>
          <w:szCs w:val="20"/>
          <w:lang w:val="es-ES"/>
        </w:rPr>
        <w:t xml:space="preserve"> (</w:t>
      </w:r>
      <w:proofErr w:type="spellStart"/>
      <w:r w:rsidRPr="00976671">
        <w:rPr>
          <w:rFonts w:ascii="Arial" w:hAnsi="Arial" w:cs="Arial"/>
          <w:sz w:val="20"/>
          <w:szCs w:val="20"/>
          <w:lang w:val="es-ES"/>
        </w:rPr>
        <w:t>SQ</w:t>
      </w:r>
      <w:proofErr w:type="spellEnd"/>
      <w:r w:rsidRPr="00976671">
        <w:rPr>
          <w:rFonts w:ascii="Arial" w:hAnsi="Arial" w:cs="Arial"/>
          <w:sz w:val="20"/>
          <w:szCs w:val="20"/>
          <w:lang w:val="es-ES"/>
        </w:rPr>
        <w:t xml:space="preserve">) de </w:t>
      </w:r>
      <w:proofErr w:type="spellStart"/>
      <w:r w:rsidRPr="00976671">
        <w:rPr>
          <w:rFonts w:ascii="Arial" w:hAnsi="Arial" w:cs="Arial"/>
          <w:sz w:val="20"/>
          <w:szCs w:val="20"/>
          <w:lang w:val="es-ES"/>
        </w:rPr>
        <w:t>Genant</w:t>
      </w:r>
      <w:proofErr w:type="spellEnd"/>
      <w:r w:rsidRPr="00976671">
        <w:rPr>
          <w:rFonts w:ascii="Arial" w:hAnsi="Arial" w:cs="Arial"/>
          <w:sz w:val="20"/>
          <w:szCs w:val="20"/>
          <w:lang w:val="es-ES"/>
        </w:rPr>
        <w:t xml:space="preserve"> y la evaluación cualitativa basada en algoritmos (ABQ). La falta de consenso sobre qué método es el mejor para definir e identificar una fractura vertebral puede contribuir a la falta de notificación de fracturas en los estudios radiográficos. </w:t>
      </w:r>
    </w:p>
    <w:p w14:paraId="2688F789" w14:textId="57998FCB" w:rsidR="000A1C18" w:rsidRPr="00976671" w:rsidRDefault="000A1C18" w:rsidP="000A1C18">
      <w:pPr>
        <w:spacing w:line="276" w:lineRule="auto"/>
        <w:jc w:val="both"/>
        <w:rPr>
          <w:rFonts w:ascii="Arial" w:hAnsi="Arial" w:cs="Arial"/>
          <w:sz w:val="20"/>
          <w:szCs w:val="20"/>
          <w:lang w:val="es-ES"/>
        </w:rPr>
      </w:pPr>
      <w:r w:rsidRPr="00976671">
        <w:rPr>
          <w:rFonts w:ascii="Arial" w:hAnsi="Arial" w:cs="Arial"/>
          <w:sz w:val="20"/>
          <w:szCs w:val="20"/>
          <w:lang w:val="es-ES"/>
        </w:rPr>
        <w:t>La ISCD ha recomendado que se utilice el mé</w:t>
      </w:r>
      <w:r w:rsidR="004F7B8D" w:rsidRPr="00976671">
        <w:rPr>
          <w:rFonts w:ascii="Arial" w:hAnsi="Arial" w:cs="Arial"/>
          <w:sz w:val="20"/>
          <w:szCs w:val="20"/>
          <w:lang w:val="es-ES"/>
        </w:rPr>
        <w:t xml:space="preserve">todo </w:t>
      </w:r>
      <w:proofErr w:type="spellStart"/>
      <w:r w:rsidR="004F7B8D" w:rsidRPr="00976671">
        <w:rPr>
          <w:rFonts w:ascii="Arial" w:hAnsi="Arial" w:cs="Arial"/>
          <w:sz w:val="20"/>
          <w:szCs w:val="20"/>
          <w:lang w:val="es-ES"/>
        </w:rPr>
        <w:t>semicuantitativo</w:t>
      </w:r>
      <w:proofErr w:type="spellEnd"/>
      <w:r w:rsidR="004F7B8D" w:rsidRPr="00976671">
        <w:rPr>
          <w:rFonts w:ascii="Arial" w:hAnsi="Arial" w:cs="Arial"/>
          <w:sz w:val="20"/>
          <w:szCs w:val="20"/>
          <w:lang w:val="es-ES"/>
        </w:rPr>
        <w:t xml:space="preserve"> de </w:t>
      </w:r>
      <w:proofErr w:type="spellStart"/>
      <w:r w:rsidR="00556E8E" w:rsidRPr="00976671">
        <w:rPr>
          <w:rFonts w:ascii="Arial" w:hAnsi="Arial" w:cs="Arial"/>
          <w:sz w:val="20"/>
          <w:szCs w:val="20"/>
          <w:lang w:val="es-ES"/>
        </w:rPr>
        <w:t>Genant</w:t>
      </w:r>
      <w:proofErr w:type="spellEnd"/>
      <w:r w:rsidR="00556E8E" w:rsidRPr="00976671">
        <w:rPr>
          <w:rFonts w:ascii="Arial" w:hAnsi="Arial" w:cs="Arial"/>
          <w:sz w:val="20"/>
          <w:szCs w:val="20"/>
          <w:lang w:val="es-ES"/>
        </w:rPr>
        <w:t xml:space="preserve"> </w:t>
      </w:r>
      <w:r w:rsidR="007C58BF" w:rsidRPr="00976671">
        <w:rPr>
          <w:rFonts w:ascii="Arial" w:hAnsi="Arial" w:cs="Arial"/>
          <w:sz w:val="20"/>
          <w:szCs w:val="20"/>
          <w:lang w:val="es-ES"/>
        </w:rPr>
        <w:t>(</w:t>
      </w:r>
      <w:proofErr w:type="spellStart"/>
      <w:r w:rsidR="007C58BF" w:rsidRPr="00976671">
        <w:rPr>
          <w:rFonts w:ascii="Arial" w:hAnsi="Arial" w:cs="Arial"/>
          <w:sz w:val="20"/>
          <w:szCs w:val="20"/>
          <w:lang w:val="es-ES"/>
        </w:rPr>
        <w:t>Genant</w:t>
      </w:r>
      <w:proofErr w:type="spellEnd"/>
      <w:r w:rsidR="00446387" w:rsidRPr="00976671">
        <w:rPr>
          <w:rFonts w:ascii="Arial" w:hAnsi="Arial" w:cs="Arial"/>
          <w:sz w:val="20"/>
          <w:szCs w:val="20"/>
          <w:lang w:val="es-ES"/>
        </w:rPr>
        <w:t>, H.K.,</w:t>
      </w:r>
      <w:r w:rsidR="007C58BF" w:rsidRPr="00976671">
        <w:rPr>
          <w:rFonts w:ascii="Arial" w:hAnsi="Arial" w:cs="Arial"/>
          <w:sz w:val="20"/>
          <w:szCs w:val="20"/>
          <w:lang w:val="es-ES"/>
        </w:rPr>
        <w:t xml:space="preserve"> et al, 1993) </w:t>
      </w:r>
      <w:r w:rsidR="00556E8E" w:rsidRPr="00976671">
        <w:rPr>
          <w:rFonts w:ascii="Arial" w:hAnsi="Arial" w:cs="Arial"/>
          <w:sz w:val="20"/>
          <w:szCs w:val="20"/>
          <w:lang w:val="es-ES"/>
        </w:rPr>
        <w:t xml:space="preserve">el cual </w:t>
      </w:r>
      <w:r w:rsidRPr="00976671">
        <w:rPr>
          <w:rFonts w:ascii="Arial" w:hAnsi="Arial" w:cs="Arial"/>
          <w:sz w:val="20"/>
          <w:szCs w:val="20"/>
          <w:lang w:val="es-ES"/>
        </w:rPr>
        <w:t>combina un enfoque cualitativo de inspección de los cuerpos vertebrales para decidir si una vértebra se fractura con una evaluación cuantitativa del grado y el tipo de fractura mediante una comparación con un cuadro (</w:t>
      </w:r>
      <w:r w:rsidR="00653A6E" w:rsidRPr="00976671">
        <w:rPr>
          <w:rFonts w:ascii="Arial" w:hAnsi="Arial" w:cs="Arial"/>
          <w:sz w:val="20"/>
          <w:szCs w:val="20"/>
          <w:lang w:val="es-ES"/>
        </w:rPr>
        <w:t>ver f</w:t>
      </w:r>
      <w:r w:rsidRPr="00976671">
        <w:rPr>
          <w:rFonts w:ascii="Arial" w:hAnsi="Arial" w:cs="Arial"/>
          <w:sz w:val="20"/>
          <w:szCs w:val="20"/>
          <w:lang w:val="es-ES"/>
        </w:rPr>
        <w:t>ig</w:t>
      </w:r>
      <w:r w:rsidR="00653A6E" w:rsidRPr="00976671">
        <w:rPr>
          <w:rFonts w:ascii="Arial" w:hAnsi="Arial" w:cs="Arial"/>
          <w:sz w:val="20"/>
          <w:szCs w:val="20"/>
          <w:lang w:val="es-ES"/>
        </w:rPr>
        <w:t>ura No</w:t>
      </w:r>
      <w:r w:rsidRPr="00976671">
        <w:rPr>
          <w:rFonts w:ascii="Arial" w:hAnsi="Arial" w:cs="Arial"/>
          <w:sz w:val="20"/>
          <w:szCs w:val="20"/>
          <w:lang w:val="es-ES"/>
        </w:rPr>
        <w:t xml:space="preserve"> </w:t>
      </w:r>
      <w:r w:rsidR="00556E8E" w:rsidRPr="00976671">
        <w:rPr>
          <w:rFonts w:ascii="Arial" w:hAnsi="Arial" w:cs="Arial"/>
          <w:sz w:val="20"/>
          <w:szCs w:val="20"/>
          <w:lang w:val="es-ES"/>
        </w:rPr>
        <w:t>1</w:t>
      </w:r>
      <w:r w:rsidRPr="00976671">
        <w:rPr>
          <w:rFonts w:ascii="Arial" w:hAnsi="Arial" w:cs="Arial"/>
          <w:sz w:val="20"/>
          <w:szCs w:val="20"/>
          <w:lang w:val="es-ES"/>
        </w:rPr>
        <w:t xml:space="preserve">). Las fracturas se definen como en cuña (una reducción en la relación de altura anterior a posterior), </w:t>
      </w:r>
      <w:proofErr w:type="spellStart"/>
      <w:r w:rsidRPr="00976671">
        <w:rPr>
          <w:rFonts w:ascii="Arial" w:hAnsi="Arial" w:cs="Arial"/>
          <w:sz w:val="20"/>
          <w:szCs w:val="20"/>
          <w:lang w:val="es-ES"/>
        </w:rPr>
        <w:t>bi</w:t>
      </w:r>
      <w:proofErr w:type="spellEnd"/>
      <w:r w:rsidRPr="00976671">
        <w:rPr>
          <w:rFonts w:ascii="Arial" w:hAnsi="Arial" w:cs="Arial"/>
          <w:sz w:val="20"/>
          <w:szCs w:val="20"/>
          <w:lang w:val="es-ES"/>
        </w:rPr>
        <w:t xml:space="preserve">-cóncava (una reducción de la relación de altura vertebral media a posterior), o una fractura por aplastamiento (una reducción de la anterior, </w:t>
      </w:r>
      <w:r w:rsidRPr="00976671">
        <w:rPr>
          <w:rFonts w:ascii="Arial" w:hAnsi="Arial" w:cs="Arial"/>
          <w:sz w:val="20"/>
          <w:szCs w:val="20"/>
          <w:lang w:val="es-ES"/>
        </w:rPr>
        <w:lastRenderedPageBreak/>
        <w:t xml:space="preserve">media y posterior) cuando se compara con alturas las vértebras por encima o por debajo). Es de destacar que las fracturas pueden tener una combinación de estas deformidades. </w:t>
      </w:r>
    </w:p>
    <w:p w14:paraId="6F8D0155" w14:textId="00FFD414" w:rsidR="000A1C18" w:rsidRPr="00976671" w:rsidRDefault="000A1C18" w:rsidP="000A1C18">
      <w:pPr>
        <w:spacing w:line="276" w:lineRule="auto"/>
        <w:jc w:val="both"/>
        <w:rPr>
          <w:rFonts w:ascii="Arial" w:hAnsi="Arial" w:cs="Arial"/>
          <w:sz w:val="20"/>
          <w:szCs w:val="20"/>
          <w:lang w:val="es-ES"/>
        </w:rPr>
      </w:pPr>
      <w:r w:rsidRPr="00976671">
        <w:rPr>
          <w:rFonts w:ascii="Arial" w:hAnsi="Arial" w:cs="Arial"/>
          <w:sz w:val="20"/>
          <w:szCs w:val="20"/>
          <w:lang w:val="es-ES"/>
        </w:rPr>
        <w:t xml:space="preserve">La fractura se clasifica </w:t>
      </w:r>
      <w:r w:rsidR="004F7B8D" w:rsidRPr="00976671">
        <w:rPr>
          <w:rFonts w:ascii="Arial" w:hAnsi="Arial" w:cs="Arial"/>
          <w:sz w:val="20"/>
          <w:szCs w:val="20"/>
          <w:lang w:val="es-ES"/>
        </w:rPr>
        <w:t>según su</w:t>
      </w:r>
      <w:r w:rsidRPr="00976671">
        <w:rPr>
          <w:rFonts w:ascii="Arial" w:hAnsi="Arial" w:cs="Arial"/>
          <w:sz w:val="20"/>
          <w:szCs w:val="20"/>
          <w:lang w:val="es-ES"/>
        </w:rPr>
        <w:t xml:space="preserve"> severidad</w:t>
      </w:r>
      <w:r w:rsidR="004F7B8D" w:rsidRPr="00976671">
        <w:rPr>
          <w:rFonts w:ascii="Arial" w:hAnsi="Arial" w:cs="Arial"/>
          <w:sz w:val="20"/>
          <w:szCs w:val="20"/>
          <w:lang w:val="es-ES"/>
        </w:rPr>
        <w:t xml:space="preserve"> en</w:t>
      </w:r>
      <w:r w:rsidRPr="00976671">
        <w:rPr>
          <w:rFonts w:ascii="Arial" w:hAnsi="Arial" w:cs="Arial"/>
          <w:sz w:val="20"/>
          <w:szCs w:val="20"/>
          <w:lang w:val="es-ES"/>
        </w:rPr>
        <w:t xml:space="preserve">: </w:t>
      </w:r>
    </w:p>
    <w:p w14:paraId="0F790D6C" w14:textId="77777777" w:rsidR="000A1C18" w:rsidRPr="00976671" w:rsidRDefault="000A1C18" w:rsidP="00976671">
      <w:pPr>
        <w:pStyle w:val="Prrafodelista"/>
        <w:numPr>
          <w:ilvl w:val="0"/>
          <w:numId w:val="43"/>
        </w:numPr>
        <w:spacing w:line="276" w:lineRule="auto"/>
        <w:jc w:val="both"/>
        <w:rPr>
          <w:rFonts w:ascii="Arial" w:hAnsi="Arial" w:cs="Arial"/>
          <w:sz w:val="20"/>
          <w:szCs w:val="20"/>
          <w:lang w:val="es-ES"/>
        </w:rPr>
      </w:pPr>
      <w:r w:rsidRPr="00976671">
        <w:rPr>
          <w:rFonts w:ascii="Arial" w:hAnsi="Arial" w:cs="Arial"/>
          <w:sz w:val="20"/>
          <w:szCs w:val="20"/>
          <w:lang w:val="es-ES"/>
        </w:rPr>
        <w:t xml:space="preserve">Grado 1 o fractura leve, definida como una reducción en la altura vertebral anterior, media y / o posterior de 20 a 25%, </w:t>
      </w:r>
    </w:p>
    <w:p w14:paraId="32049F4F" w14:textId="77777777" w:rsidR="000A1C18" w:rsidRPr="00976671" w:rsidRDefault="000A1C18" w:rsidP="00976671">
      <w:pPr>
        <w:pStyle w:val="Prrafodelista"/>
        <w:numPr>
          <w:ilvl w:val="0"/>
          <w:numId w:val="43"/>
        </w:numPr>
        <w:spacing w:line="276" w:lineRule="auto"/>
        <w:jc w:val="both"/>
        <w:rPr>
          <w:rFonts w:ascii="Arial" w:hAnsi="Arial" w:cs="Arial"/>
          <w:sz w:val="20"/>
          <w:szCs w:val="20"/>
          <w:lang w:val="es-ES"/>
        </w:rPr>
      </w:pPr>
      <w:r w:rsidRPr="00976671">
        <w:rPr>
          <w:rFonts w:ascii="Arial" w:hAnsi="Arial" w:cs="Arial"/>
          <w:sz w:val="20"/>
          <w:szCs w:val="20"/>
          <w:lang w:val="es-ES"/>
        </w:rPr>
        <w:t xml:space="preserve">Grado 2 o fractura moderada, con una reducción en altura de 25 a 40% </w:t>
      </w:r>
    </w:p>
    <w:p w14:paraId="76606094" w14:textId="77777777" w:rsidR="000A1C18" w:rsidRPr="00976671" w:rsidRDefault="000A1C18" w:rsidP="00976671">
      <w:pPr>
        <w:pStyle w:val="Prrafodelista"/>
        <w:numPr>
          <w:ilvl w:val="0"/>
          <w:numId w:val="43"/>
        </w:numPr>
        <w:spacing w:line="276" w:lineRule="auto"/>
        <w:jc w:val="both"/>
        <w:rPr>
          <w:rFonts w:ascii="Arial" w:hAnsi="Arial" w:cs="Arial"/>
          <w:sz w:val="20"/>
          <w:szCs w:val="20"/>
          <w:lang w:val="es-ES"/>
        </w:rPr>
      </w:pPr>
      <w:r w:rsidRPr="00976671">
        <w:rPr>
          <w:rFonts w:ascii="Arial" w:hAnsi="Arial" w:cs="Arial"/>
          <w:sz w:val="20"/>
          <w:szCs w:val="20"/>
          <w:lang w:val="es-ES"/>
        </w:rPr>
        <w:t xml:space="preserve">Grado 3 o severo, donde la pérdida de altura vertebral es ≥40%. </w:t>
      </w:r>
    </w:p>
    <w:p w14:paraId="518874B6" w14:textId="06139ECA" w:rsidR="000A1C18" w:rsidRPr="00976671" w:rsidRDefault="00556E8E" w:rsidP="000A1C18">
      <w:pPr>
        <w:spacing w:line="276" w:lineRule="auto"/>
        <w:jc w:val="both"/>
        <w:rPr>
          <w:rFonts w:ascii="Arial" w:hAnsi="Arial" w:cs="Arial"/>
          <w:i/>
          <w:sz w:val="16"/>
          <w:szCs w:val="20"/>
        </w:rPr>
      </w:pPr>
      <w:r w:rsidRPr="00976671">
        <w:rPr>
          <w:rFonts w:ascii="Arial" w:hAnsi="Arial" w:cs="Arial"/>
          <w:i/>
          <w:sz w:val="20"/>
          <w:szCs w:val="20"/>
          <w:lang w:val="es-ES"/>
        </w:rPr>
        <w:t xml:space="preserve">Figura </w:t>
      </w:r>
      <w:r w:rsidR="00653A6E" w:rsidRPr="00976671">
        <w:rPr>
          <w:rFonts w:ascii="Arial" w:hAnsi="Arial" w:cs="Arial"/>
          <w:i/>
          <w:sz w:val="20"/>
          <w:szCs w:val="20"/>
          <w:lang w:val="es-ES"/>
        </w:rPr>
        <w:t xml:space="preserve">No </w:t>
      </w:r>
      <w:r w:rsidRPr="00976671">
        <w:rPr>
          <w:rFonts w:ascii="Arial" w:hAnsi="Arial" w:cs="Arial"/>
          <w:i/>
          <w:sz w:val="20"/>
          <w:szCs w:val="20"/>
          <w:lang w:val="es-ES"/>
        </w:rPr>
        <w:t>1</w:t>
      </w:r>
      <w:r w:rsidR="00653A6E" w:rsidRPr="00976671">
        <w:rPr>
          <w:rFonts w:ascii="Arial" w:hAnsi="Arial" w:cs="Arial"/>
          <w:i/>
          <w:sz w:val="20"/>
          <w:szCs w:val="20"/>
          <w:lang w:val="es-ES"/>
        </w:rPr>
        <w:t>.</w:t>
      </w:r>
      <w:r w:rsidR="000A1C18" w:rsidRPr="00976671">
        <w:rPr>
          <w:rFonts w:ascii="Arial" w:hAnsi="Arial" w:cs="Arial"/>
          <w:i/>
          <w:sz w:val="20"/>
          <w:szCs w:val="20"/>
          <w:lang w:val="es-ES"/>
        </w:rPr>
        <w:t xml:space="preserve"> Método </w:t>
      </w:r>
      <w:proofErr w:type="spellStart"/>
      <w:r w:rsidR="000A1C18" w:rsidRPr="00976671">
        <w:rPr>
          <w:rFonts w:ascii="Arial" w:hAnsi="Arial" w:cs="Arial"/>
          <w:i/>
          <w:sz w:val="20"/>
          <w:szCs w:val="20"/>
          <w:lang w:val="es-ES"/>
        </w:rPr>
        <w:t>semi</w:t>
      </w:r>
      <w:proofErr w:type="spellEnd"/>
      <w:r w:rsidR="000A1C18" w:rsidRPr="00976671">
        <w:rPr>
          <w:rFonts w:ascii="Arial" w:hAnsi="Arial" w:cs="Arial"/>
          <w:i/>
          <w:sz w:val="20"/>
          <w:szCs w:val="20"/>
          <w:lang w:val="es-ES"/>
        </w:rPr>
        <w:t xml:space="preserve"> cuantitativo de </w:t>
      </w:r>
      <w:proofErr w:type="spellStart"/>
      <w:r w:rsidR="000A1C18" w:rsidRPr="00976671">
        <w:rPr>
          <w:rFonts w:ascii="Arial" w:hAnsi="Arial" w:cs="Arial"/>
          <w:i/>
          <w:sz w:val="20"/>
          <w:szCs w:val="20"/>
          <w:lang w:val="es-ES"/>
        </w:rPr>
        <w:t>Genant</w:t>
      </w:r>
      <w:proofErr w:type="spellEnd"/>
      <w:r w:rsidR="000A1C18" w:rsidRPr="00976671">
        <w:rPr>
          <w:rFonts w:ascii="Arial" w:hAnsi="Arial" w:cs="Arial"/>
          <w:i/>
          <w:sz w:val="20"/>
          <w:szCs w:val="20"/>
          <w:lang w:val="es-ES"/>
        </w:rPr>
        <w:t xml:space="preserve"> </w:t>
      </w:r>
      <w:r w:rsidR="00382C92" w:rsidRPr="00976671">
        <w:rPr>
          <w:rFonts w:ascii="Arial" w:hAnsi="Arial" w:cs="Arial"/>
          <w:i/>
          <w:sz w:val="20"/>
          <w:szCs w:val="20"/>
          <w:lang w:val="es-ES"/>
        </w:rPr>
        <w:t xml:space="preserve">(adaptado de </w:t>
      </w:r>
      <w:proofErr w:type="spellStart"/>
      <w:r w:rsidR="00446387" w:rsidRPr="00976671">
        <w:rPr>
          <w:rFonts w:ascii="Arial" w:hAnsi="Arial" w:cs="Arial"/>
          <w:i/>
          <w:sz w:val="20"/>
          <w:szCs w:val="20"/>
          <w:lang w:val="es-ES"/>
        </w:rPr>
        <w:t>Genant</w:t>
      </w:r>
      <w:proofErr w:type="spellEnd"/>
      <w:r w:rsidR="00446387" w:rsidRPr="00976671">
        <w:rPr>
          <w:rFonts w:ascii="Arial" w:hAnsi="Arial" w:cs="Arial"/>
          <w:i/>
          <w:sz w:val="20"/>
          <w:szCs w:val="20"/>
          <w:lang w:val="es-ES"/>
        </w:rPr>
        <w:t xml:space="preserve">, </w:t>
      </w:r>
      <w:proofErr w:type="spellStart"/>
      <w:r w:rsidR="00446387" w:rsidRPr="00976671">
        <w:rPr>
          <w:rFonts w:ascii="Arial" w:hAnsi="Arial" w:cs="Arial"/>
          <w:i/>
          <w:sz w:val="20"/>
          <w:szCs w:val="20"/>
          <w:lang w:val="es-ES"/>
        </w:rPr>
        <w:t>H.K</w:t>
      </w:r>
      <w:proofErr w:type="spellEnd"/>
      <w:r w:rsidR="00446387" w:rsidRPr="00976671">
        <w:rPr>
          <w:rFonts w:ascii="Arial" w:hAnsi="Arial" w:cs="Arial"/>
          <w:i/>
          <w:sz w:val="20"/>
          <w:szCs w:val="20"/>
          <w:lang w:val="es-ES"/>
        </w:rPr>
        <w:t>., et al, 1993)</w:t>
      </w:r>
    </w:p>
    <w:p w14:paraId="7AF240E2" w14:textId="77777777" w:rsidR="000A1C18" w:rsidRPr="00976671" w:rsidRDefault="000A1C18" w:rsidP="000A1C18">
      <w:pPr>
        <w:spacing w:line="276" w:lineRule="auto"/>
        <w:jc w:val="center"/>
        <w:rPr>
          <w:rFonts w:ascii="Arial" w:hAnsi="Arial" w:cs="Arial"/>
          <w:sz w:val="20"/>
          <w:szCs w:val="20"/>
          <w:lang w:val="es-ES"/>
        </w:rPr>
      </w:pPr>
      <w:r w:rsidRPr="00976671">
        <w:rPr>
          <w:rFonts w:ascii="Arial" w:hAnsi="Arial" w:cs="Arial"/>
          <w:noProof/>
          <w:sz w:val="20"/>
          <w:szCs w:val="20"/>
          <w:lang w:eastAsia="es-CO"/>
        </w:rPr>
        <w:drawing>
          <wp:inline distT="0" distB="0" distL="0" distR="0" wp14:anchorId="06D6456A" wp14:editId="1DB1BE9A">
            <wp:extent cx="2178701" cy="1737732"/>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2820" cy="1748993"/>
                    </a:xfrm>
                    <a:prstGeom prst="rect">
                      <a:avLst/>
                    </a:prstGeom>
                    <a:noFill/>
                    <a:ln>
                      <a:noFill/>
                    </a:ln>
                  </pic:spPr>
                </pic:pic>
              </a:graphicData>
            </a:graphic>
          </wp:inline>
        </w:drawing>
      </w:r>
    </w:p>
    <w:p w14:paraId="2030F73F" w14:textId="0A8B653F" w:rsidR="00C44AB3" w:rsidRPr="00976671" w:rsidRDefault="00653A6E" w:rsidP="00653A6E">
      <w:pPr>
        <w:pStyle w:val="Prrafodelista"/>
        <w:numPr>
          <w:ilvl w:val="0"/>
          <w:numId w:val="41"/>
        </w:numPr>
        <w:spacing w:line="276" w:lineRule="auto"/>
        <w:jc w:val="both"/>
        <w:rPr>
          <w:rFonts w:ascii="Arial" w:eastAsia="Times New Roman" w:hAnsi="Arial" w:cs="Arial"/>
          <w:b/>
          <w:color w:val="000000" w:themeColor="text1"/>
          <w:sz w:val="20"/>
          <w:szCs w:val="20"/>
        </w:rPr>
      </w:pPr>
      <w:r w:rsidRPr="00976671">
        <w:rPr>
          <w:rFonts w:ascii="Arial" w:eastAsia="Times New Roman" w:hAnsi="Arial" w:cs="Arial"/>
          <w:b/>
          <w:color w:val="000000" w:themeColor="text1"/>
          <w:sz w:val="20"/>
          <w:szCs w:val="20"/>
        </w:rPr>
        <w:t>¿Cómo se realiza el diagnóstico de Osteoporosis? S</w:t>
      </w:r>
      <w:r w:rsidR="00C44AB3" w:rsidRPr="00976671">
        <w:rPr>
          <w:rFonts w:ascii="Arial" w:eastAsia="Times New Roman" w:hAnsi="Arial" w:cs="Arial"/>
          <w:b/>
          <w:color w:val="000000" w:themeColor="text1"/>
          <w:sz w:val="20"/>
          <w:szCs w:val="20"/>
        </w:rPr>
        <w:t>olicitud e interpretación de densitometría ósea.</w:t>
      </w:r>
    </w:p>
    <w:p w14:paraId="7A3DD99E" w14:textId="77777777" w:rsidR="004F7B8D" w:rsidRPr="00976671" w:rsidRDefault="004F7B8D" w:rsidP="00C44AB3">
      <w:pPr>
        <w:shd w:val="clear" w:color="auto" w:fill="FFFFFF"/>
        <w:spacing w:after="0" w:line="276" w:lineRule="auto"/>
        <w:jc w:val="both"/>
        <w:rPr>
          <w:rFonts w:ascii="Arial" w:eastAsia="Times New Roman" w:hAnsi="Arial" w:cs="Arial"/>
          <w:color w:val="000000"/>
          <w:sz w:val="20"/>
          <w:szCs w:val="20"/>
        </w:rPr>
      </w:pPr>
    </w:p>
    <w:p w14:paraId="21139658" w14:textId="15AD30F8" w:rsidR="00B02657" w:rsidRPr="00976671" w:rsidRDefault="0089763C" w:rsidP="00B02657">
      <w:pPr>
        <w:spacing w:line="276" w:lineRule="auto"/>
        <w:jc w:val="both"/>
        <w:rPr>
          <w:rFonts w:ascii="Arial" w:hAnsi="Arial" w:cs="Arial"/>
          <w:sz w:val="20"/>
          <w:szCs w:val="20"/>
          <w:lang w:val="es-ES"/>
        </w:rPr>
      </w:pPr>
      <w:r w:rsidRPr="00976671">
        <w:rPr>
          <w:rFonts w:ascii="Arial" w:hAnsi="Arial" w:cs="Arial"/>
          <w:iCs/>
          <w:sz w:val="20"/>
          <w:szCs w:val="20"/>
          <w:lang w:val="es-ES"/>
        </w:rPr>
        <w:t xml:space="preserve">El termino DMO hace mención a la </w:t>
      </w:r>
      <w:r w:rsidR="00653A6E" w:rsidRPr="00976671">
        <w:rPr>
          <w:rFonts w:ascii="Arial" w:hAnsi="Arial" w:cs="Arial"/>
          <w:iCs/>
          <w:sz w:val="20"/>
          <w:szCs w:val="20"/>
          <w:lang w:val="es-ES"/>
        </w:rPr>
        <w:t>Densitometría</w:t>
      </w:r>
      <w:r w:rsidRPr="00976671">
        <w:rPr>
          <w:rFonts w:ascii="Arial" w:hAnsi="Arial" w:cs="Arial"/>
          <w:iCs/>
          <w:sz w:val="20"/>
          <w:szCs w:val="20"/>
          <w:lang w:val="es-ES"/>
        </w:rPr>
        <w:t xml:space="preserve"> </w:t>
      </w:r>
      <w:r w:rsidR="00653A6E" w:rsidRPr="00976671">
        <w:rPr>
          <w:rFonts w:ascii="Arial" w:hAnsi="Arial" w:cs="Arial"/>
          <w:iCs/>
          <w:sz w:val="20"/>
          <w:szCs w:val="20"/>
          <w:lang w:val="es-ES"/>
        </w:rPr>
        <w:t>Ósea</w:t>
      </w:r>
      <w:r w:rsidRPr="00976671">
        <w:rPr>
          <w:rFonts w:ascii="Arial" w:hAnsi="Arial" w:cs="Arial"/>
          <w:iCs/>
          <w:sz w:val="20"/>
          <w:szCs w:val="20"/>
          <w:lang w:val="es-ES"/>
        </w:rPr>
        <w:t xml:space="preserve"> y/o la Densidad Mineral </w:t>
      </w:r>
      <w:r w:rsidR="00653A6E" w:rsidRPr="00976671">
        <w:rPr>
          <w:rFonts w:ascii="Arial" w:hAnsi="Arial" w:cs="Arial"/>
          <w:iCs/>
          <w:sz w:val="20"/>
          <w:szCs w:val="20"/>
          <w:lang w:val="es-ES"/>
        </w:rPr>
        <w:t>ósea</w:t>
      </w:r>
      <w:r w:rsidRPr="00976671">
        <w:rPr>
          <w:rFonts w:ascii="Arial" w:hAnsi="Arial" w:cs="Arial"/>
          <w:iCs/>
          <w:sz w:val="20"/>
          <w:szCs w:val="20"/>
          <w:lang w:val="es-ES"/>
        </w:rPr>
        <w:t>.</w:t>
      </w:r>
    </w:p>
    <w:p w14:paraId="077B698A" w14:textId="3FEE0B50" w:rsidR="00B02657" w:rsidRPr="00976671" w:rsidRDefault="00B02657" w:rsidP="00B02657">
      <w:pPr>
        <w:spacing w:line="276" w:lineRule="auto"/>
        <w:jc w:val="both"/>
        <w:rPr>
          <w:rFonts w:ascii="Arial" w:hAnsi="Arial" w:cs="Arial"/>
          <w:sz w:val="20"/>
          <w:szCs w:val="20"/>
          <w:lang w:val="es-ES"/>
        </w:rPr>
      </w:pPr>
      <w:r w:rsidRPr="00976671">
        <w:rPr>
          <w:rFonts w:ascii="Arial" w:hAnsi="Arial" w:cs="Arial"/>
          <w:iCs/>
          <w:sz w:val="20"/>
          <w:szCs w:val="20"/>
          <w:lang w:val="es-ES"/>
        </w:rPr>
        <w:t xml:space="preserve">Según </w:t>
      </w:r>
      <w:r w:rsidR="00375B21" w:rsidRPr="00976671">
        <w:rPr>
          <w:rFonts w:ascii="Arial" w:hAnsi="Arial" w:cs="Arial"/>
          <w:iCs/>
          <w:sz w:val="20"/>
          <w:szCs w:val="20"/>
          <w:lang w:val="es-ES"/>
        </w:rPr>
        <w:t>OMS</w:t>
      </w:r>
      <w:r w:rsidR="00E91277" w:rsidRPr="00976671">
        <w:rPr>
          <w:rFonts w:ascii="Arial" w:hAnsi="Arial" w:cs="Arial"/>
          <w:iCs/>
          <w:sz w:val="20"/>
          <w:szCs w:val="20"/>
          <w:lang w:val="es-ES"/>
        </w:rPr>
        <w:t xml:space="preserve">, </w:t>
      </w:r>
      <w:r w:rsidRPr="00976671">
        <w:rPr>
          <w:rFonts w:ascii="Arial" w:hAnsi="Arial" w:cs="Arial"/>
          <w:iCs/>
          <w:sz w:val="20"/>
          <w:szCs w:val="20"/>
          <w:lang w:val="es-ES"/>
        </w:rPr>
        <w:t xml:space="preserve">la única técnica aceptada y reconocida para el diagnóstico, es la </w:t>
      </w:r>
      <w:proofErr w:type="spellStart"/>
      <w:r w:rsidR="00653A6E" w:rsidRPr="00976671">
        <w:rPr>
          <w:rFonts w:ascii="Arial" w:hAnsi="Arial" w:cs="Arial"/>
          <w:iCs/>
          <w:sz w:val="20"/>
          <w:szCs w:val="20"/>
          <w:lang w:val="es-ES"/>
        </w:rPr>
        <w:t>Absorciometrí</w:t>
      </w:r>
      <w:r w:rsidR="00E91277" w:rsidRPr="00976671">
        <w:rPr>
          <w:rFonts w:ascii="Arial" w:hAnsi="Arial" w:cs="Arial"/>
          <w:iCs/>
          <w:sz w:val="20"/>
          <w:szCs w:val="20"/>
          <w:lang w:val="es-ES"/>
        </w:rPr>
        <w:t>a</w:t>
      </w:r>
      <w:proofErr w:type="spellEnd"/>
      <w:r w:rsidR="00E91277" w:rsidRPr="00976671">
        <w:rPr>
          <w:rFonts w:ascii="Arial" w:hAnsi="Arial" w:cs="Arial"/>
          <w:iCs/>
          <w:sz w:val="20"/>
          <w:szCs w:val="20"/>
          <w:lang w:val="es-ES"/>
        </w:rPr>
        <w:t xml:space="preserve"> Dual de R</w:t>
      </w:r>
      <w:r w:rsidR="0089763C" w:rsidRPr="00976671">
        <w:rPr>
          <w:rFonts w:ascii="Arial" w:hAnsi="Arial" w:cs="Arial"/>
          <w:iCs/>
          <w:sz w:val="20"/>
          <w:szCs w:val="20"/>
          <w:lang w:val="es-ES"/>
        </w:rPr>
        <w:t>ayos X (</w:t>
      </w:r>
      <w:r w:rsidRPr="00976671">
        <w:rPr>
          <w:rFonts w:ascii="Arial" w:hAnsi="Arial" w:cs="Arial"/>
          <w:iCs/>
          <w:sz w:val="20"/>
          <w:szCs w:val="20"/>
          <w:lang w:val="es-ES"/>
        </w:rPr>
        <w:t>DXA</w:t>
      </w:r>
      <w:r w:rsidR="0089763C" w:rsidRPr="00976671">
        <w:rPr>
          <w:rFonts w:ascii="Arial" w:hAnsi="Arial" w:cs="Arial"/>
          <w:iCs/>
          <w:sz w:val="20"/>
          <w:szCs w:val="20"/>
          <w:lang w:val="es-ES"/>
        </w:rPr>
        <w:t>)</w:t>
      </w:r>
      <w:r w:rsidRPr="00976671">
        <w:rPr>
          <w:rFonts w:ascii="Arial" w:hAnsi="Arial" w:cs="Arial"/>
          <w:iCs/>
          <w:sz w:val="20"/>
          <w:szCs w:val="20"/>
          <w:lang w:val="es-ES"/>
        </w:rPr>
        <w:t>, en que se utiliza radiación ionizante en bajas dosis</w:t>
      </w:r>
      <w:r w:rsidR="00E91277" w:rsidRPr="00976671">
        <w:rPr>
          <w:rFonts w:ascii="Arial" w:hAnsi="Arial" w:cs="Arial"/>
          <w:iCs/>
          <w:sz w:val="20"/>
          <w:szCs w:val="20"/>
          <w:lang w:val="es-ES"/>
        </w:rPr>
        <w:t>, generando dos haces de rayos X</w:t>
      </w:r>
      <w:r w:rsidRPr="00976671">
        <w:rPr>
          <w:rFonts w:ascii="Arial" w:hAnsi="Arial" w:cs="Arial"/>
          <w:iCs/>
          <w:sz w:val="20"/>
          <w:szCs w:val="20"/>
          <w:lang w:val="es-ES"/>
        </w:rPr>
        <w:t>, absorbidos por las partes blandas y el hueso</w:t>
      </w:r>
      <w:r w:rsidR="0089763C" w:rsidRPr="00976671">
        <w:rPr>
          <w:rFonts w:ascii="Arial" w:hAnsi="Arial" w:cs="Arial"/>
          <w:iCs/>
          <w:sz w:val="20"/>
          <w:szCs w:val="20"/>
          <w:lang w:val="es-ES"/>
        </w:rPr>
        <w:t xml:space="preserve"> con lo que se calcula</w:t>
      </w:r>
      <w:r w:rsidRPr="00976671">
        <w:rPr>
          <w:rFonts w:ascii="Arial" w:hAnsi="Arial" w:cs="Arial"/>
          <w:iCs/>
          <w:sz w:val="20"/>
          <w:szCs w:val="20"/>
          <w:lang w:val="es-ES"/>
        </w:rPr>
        <w:t xml:space="preserve"> la DMO del hueso explorado en columna lumbar y cadera. </w:t>
      </w:r>
    </w:p>
    <w:p w14:paraId="4067E593" w14:textId="55415518" w:rsidR="00B02657" w:rsidRPr="00976671" w:rsidRDefault="00B02657" w:rsidP="00B02657">
      <w:pPr>
        <w:spacing w:line="276" w:lineRule="auto"/>
        <w:jc w:val="both"/>
        <w:rPr>
          <w:rFonts w:ascii="Arial" w:hAnsi="Arial" w:cs="Arial"/>
          <w:sz w:val="20"/>
          <w:szCs w:val="20"/>
          <w:lang w:val="es-ES"/>
        </w:rPr>
      </w:pPr>
      <w:r w:rsidRPr="00976671">
        <w:rPr>
          <w:rFonts w:ascii="Arial" w:hAnsi="Arial" w:cs="Arial"/>
          <w:iCs/>
          <w:sz w:val="20"/>
          <w:szCs w:val="20"/>
          <w:lang w:val="es-ES"/>
        </w:rPr>
        <w:t>Una vez obtenida la DMO de un determinado paciente, ésta debe ser considerada en función de los valores de su población control, bien respecto al pico de masa ósea de la población joven sana (T-score), o bien respecto a su grupo de edad y sexo</w:t>
      </w:r>
      <w:r w:rsidR="00E91277" w:rsidRPr="00976671">
        <w:rPr>
          <w:rFonts w:ascii="Arial" w:hAnsi="Arial" w:cs="Arial"/>
          <w:iCs/>
          <w:sz w:val="20"/>
          <w:szCs w:val="20"/>
          <w:lang w:val="es-ES"/>
        </w:rPr>
        <w:t xml:space="preserve"> comparables</w:t>
      </w:r>
      <w:r w:rsidRPr="00976671">
        <w:rPr>
          <w:rFonts w:ascii="Arial" w:hAnsi="Arial" w:cs="Arial"/>
          <w:iCs/>
          <w:sz w:val="20"/>
          <w:szCs w:val="20"/>
          <w:lang w:val="es-ES"/>
        </w:rPr>
        <w:t xml:space="preserve"> (Z-score). En ambos casos se transforma el valor de la DMO en desviaciones estándar (DE) respecto al valor medio poblacional. Este estudio permite así valorar el riesgo relativo de presentar fractura antes de que se produzcan e iniciar medidas preventivas, confirmar el diagnóstico de fragilidad ósea ante la presencia de fractura o bien monitorizar respuesta a tratamientos de osteoporosis. </w:t>
      </w:r>
    </w:p>
    <w:p w14:paraId="35FA7F7D" w14:textId="7C0EC1F4" w:rsidR="00B02657" w:rsidRPr="00976671" w:rsidRDefault="00B02657" w:rsidP="00B02657">
      <w:pPr>
        <w:widowControl w:val="0"/>
        <w:autoSpaceDE w:val="0"/>
        <w:autoSpaceDN w:val="0"/>
        <w:adjustRightInd w:val="0"/>
        <w:spacing w:after="240" w:line="276" w:lineRule="auto"/>
        <w:jc w:val="both"/>
        <w:rPr>
          <w:rFonts w:ascii="Arial" w:eastAsiaTheme="minorEastAsia" w:hAnsi="Arial" w:cs="Arial"/>
          <w:sz w:val="20"/>
          <w:szCs w:val="20"/>
          <w:lang w:val="es-ES" w:eastAsia="es-ES"/>
        </w:rPr>
      </w:pPr>
      <w:r w:rsidRPr="00976671">
        <w:rPr>
          <w:rFonts w:ascii="Arial" w:eastAsiaTheme="minorEastAsia" w:hAnsi="Arial" w:cs="Arial"/>
          <w:sz w:val="20"/>
          <w:szCs w:val="20"/>
          <w:lang w:val="es-ES" w:eastAsia="es-ES"/>
        </w:rPr>
        <w:t>Las principales modalidades de la DXA en la práctica clínica son la densitometría ósea axial con mesa estable, técnica de ele</w:t>
      </w:r>
      <w:r w:rsidR="00E91277" w:rsidRPr="00976671">
        <w:rPr>
          <w:rFonts w:ascii="Arial" w:eastAsiaTheme="minorEastAsia" w:hAnsi="Arial" w:cs="Arial"/>
          <w:sz w:val="20"/>
          <w:szCs w:val="20"/>
          <w:lang w:val="es-ES" w:eastAsia="es-ES"/>
        </w:rPr>
        <w:t xml:space="preserve">cción para cuantificar la DMO, </w:t>
      </w:r>
      <w:r w:rsidRPr="00976671">
        <w:rPr>
          <w:rFonts w:ascii="Arial" w:eastAsiaTheme="minorEastAsia" w:hAnsi="Arial" w:cs="Arial"/>
          <w:sz w:val="20"/>
          <w:szCs w:val="20"/>
          <w:lang w:val="es-ES" w:eastAsia="es-ES"/>
        </w:rPr>
        <w:t>la densitometría de cuerpo entero, utilizada para establecer la composición corporal</w:t>
      </w:r>
      <w:r w:rsidR="00E91277" w:rsidRPr="00976671">
        <w:rPr>
          <w:rFonts w:ascii="Arial" w:eastAsiaTheme="minorEastAsia" w:hAnsi="Arial" w:cs="Arial"/>
          <w:sz w:val="20"/>
          <w:szCs w:val="20"/>
          <w:lang w:val="es-ES" w:eastAsia="es-ES"/>
        </w:rPr>
        <w:t xml:space="preserve"> y la DMO </w:t>
      </w:r>
      <w:r w:rsidR="00653A6E" w:rsidRPr="00976671">
        <w:rPr>
          <w:rFonts w:ascii="Arial" w:eastAsiaTheme="minorEastAsia" w:hAnsi="Arial" w:cs="Arial"/>
          <w:sz w:val="20"/>
          <w:szCs w:val="20"/>
          <w:lang w:val="es-ES" w:eastAsia="es-ES"/>
        </w:rPr>
        <w:t>periférica</w:t>
      </w:r>
      <w:r w:rsidRPr="00976671">
        <w:rPr>
          <w:rFonts w:ascii="Arial" w:eastAsiaTheme="minorEastAsia" w:hAnsi="Arial" w:cs="Arial"/>
          <w:sz w:val="20"/>
          <w:szCs w:val="20"/>
          <w:lang w:val="es-ES" w:eastAsia="es-ES"/>
        </w:rPr>
        <w:t xml:space="preserve">. </w:t>
      </w:r>
    </w:p>
    <w:p w14:paraId="3D7B5FFF" w14:textId="6AF2E0BE" w:rsidR="00B02657" w:rsidRPr="00976671" w:rsidRDefault="00B02657" w:rsidP="00E91277">
      <w:pPr>
        <w:spacing w:line="276" w:lineRule="auto"/>
        <w:jc w:val="both"/>
        <w:rPr>
          <w:rFonts w:ascii="Arial" w:hAnsi="Arial" w:cs="Arial"/>
          <w:sz w:val="20"/>
          <w:szCs w:val="20"/>
        </w:rPr>
      </w:pPr>
      <w:r w:rsidRPr="00976671">
        <w:rPr>
          <w:rFonts w:ascii="Arial" w:hAnsi="Arial" w:cs="Arial"/>
          <w:sz w:val="20"/>
          <w:szCs w:val="20"/>
        </w:rPr>
        <w:t>La DMO es la cantidad de masa ósea por unidad de volumen (densidad volumétrica) o por unidad de área (densidad de área), y ambas pueden medirse in vivo mediante técnicas densitométricas.</w:t>
      </w:r>
      <w:r w:rsidR="00E91277" w:rsidRPr="00976671">
        <w:rPr>
          <w:rFonts w:ascii="Arial" w:hAnsi="Arial" w:cs="Arial"/>
          <w:sz w:val="20"/>
          <w:szCs w:val="20"/>
        </w:rPr>
        <w:t xml:space="preserve"> </w:t>
      </w:r>
      <w:r w:rsidRPr="00976671">
        <w:rPr>
          <w:rFonts w:ascii="Arial" w:hAnsi="Arial" w:cs="Arial"/>
          <w:sz w:val="20"/>
          <w:szCs w:val="20"/>
        </w:rPr>
        <w:t>La densidad de área (g / cm</w:t>
      </w:r>
      <w:r w:rsidRPr="00976671">
        <w:rPr>
          <w:rFonts w:ascii="Arial" w:hAnsi="Arial" w:cs="Arial"/>
          <w:sz w:val="20"/>
          <w:szCs w:val="20"/>
          <w:vertAlign w:val="superscript"/>
        </w:rPr>
        <w:t>2</w:t>
      </w:r>
      <w:r w:rsidRPr="00976671">
        <w:rPr>
          <w:rFonts w:ascii="Arial" w:hAnsi="Arial" w:cs="Arial"/>
          <w:sz w:val="20"/>
          <w:szCs w:val="20"/>
        </w:rPr>
        <w:t>) en lugar de una densidad volumétrica verdadera (g / cm</w:t>
      </w:r>
      <w:r w:rsidRPr="00976671">
        <w:rPr>
          <w:rFonts w:ascii="Arial" w:hAnsi="Arial" w:cs="Arial"/>
          <w:sz w:val="20"/>
          <w:szCs w:val="20"/>
          <w:vertAlign w:val="superscript"/>
        </w:rPr>
        <w:t>3</w:t>
      </w:r>
      <w:r w:rsidRPr="00976671">
        <w:rPr>
          <w:rFonts w:ascii="Arial" w:hAnsi="Arial" w:cs="Arial"/>
          <w:sz w:val="20"/>
          <w:szCs w:val="20"/>
        </w:rPr>
        <w:t>) se mide ya que la exploración es bidimensional</w:t>
      </w:r>
      <w:r w:rsidRPr="00976671">
        <w:rPr>
          <w:rFonts w:ascii="Arial" w:hAnsi="Arial" w:cs="Arial"/>
          <w:sz w:val="20"/>
          <w:szCs w:val="20"/>
          <w:lang w:val="es-ES"/>
        </w:rPr>
        <w:t xml:space="preserve">. </w:t>
      </w:r>
      <w:r w:rsidR="00373CE8" w:rsidRPr="00976671">
        <w:rPr>
          <w:rFonts w:ascii="Arial" w:hAnsi="Arial" w:cs="Arial"/>
          <w:sz w:val="20"/>
          <w:szCs w:val="20"/>
          <w:lang w:val="es-ES"/>
        </w:rPr>
        <w:t>(</w:t>
      </w:r>
      <w:r w:rsidR="00373CE8" w:rsidRPr="00976671">
        <w:rPr>
          <w:rFonts w:ascii="Arial" w:hAnsi="Arial" w:cs="Arial"/>
          <w:iCs/>
          <w:sz w:val="20"/>
          <w:szCs w:val="20"/>
          <w:lang w:val="es-ES"/>
        </w:rPr>
        <w:t>Miranda, E.,</w:t>
      </w:r>
      <w:r w:rsidR="007C58BF" w:rsidRPr="00976671">
        <w:rPr>
          <w:rFonts w:ascii="Arial" w:hAnsi="Arial" w:cs="Arial"/>
          <w:iCs/>
          <w:sz w:val="20"/>
          <w:szCs w:val="20"/>
          <w:lang w:val="es-ES"/>
        </w:rPr>
        <w:t xml:space="preserve"> et al, 2013)</w:t>
      </w:r>
    </w:p>
    <w:p w14:paraId="6881FE96" w14:textId="31EAE127" w:rsidR="00B02657" w:rsidRPr="00976671" w:rsidRDefault="00B02657" w:rsidP="00B02657">
      <w:pPr>
        <w:spacing w:line="276" w:lineRule="auto"/>
        <w:jc w:val="both"/>
        <w:rPr>
          <w:rFonts w:ascii="Arial" w:hAnsi="Arial" w:cs="Arial"/>
          <w:sz w:val="20"/>
          <w:szCs w:val="20"/>
        </w:rPr>
      </w:pPr>
      <w:r w:rsidRPr="00976671">
        <w:rPr>
          <w:rFonts w:ascii="Arial" w:hAnsi="Arial" w:cs="Arial"/>
          <w:sz w:val="20"/>
          <w:szCs w:val="20"/>
        </w:rPr>
        <w:lastRenderedPageBreak/>
        <w:t>Muchos estudios de población de corte transversal y prospectivo indican que el riesgo de fractura aumenta en un factor de 1,5 a 3,0 por cada disminución de DE en la DMO. La medicion de cada sitio anatomico, resulta ser el mejor predictivo de la fractura de ese sitio</w:t>
      </w:r>
      <w:r w:rsidR="00D2008B" w:rsidRPr="00976671">
        <w:rPr>
          <w:rFonts w:ascii="Arial" w:hAnsi="Arial" w:cs="Arial"/>
          <w:sz w:val="20"/>
          <w:szCs w:val="20"/>
        </w:rPr>
        <w:t>.</w:t>
      </w:r>
      <w:r w:rsidR="00E91277" w:rsidRPr="00976671">
        <w:rPr>
          <w:rFonts w:ascii="Arial" w:hAnsi="Arial" w:cs="Arial"/>
          <w:sz w:val="20"/>
          <w:szCs w:val="20"/>
        </w:rPr>
        <w:t xml:space="preserve"> </w:t>
      </w:r>
      <w:r w:rsidRPr="00976671">
        <w:rPr>
          <w:rFonts w:ascii="Arial" w:hAnsi="Arial" w:cs="Arial"/>
          <w:sz w:val="20"/>
          <w:szCs w:val="20"/>
        </w:rPr>
        <w:t xml:space="preserve">Cuando la intención es predecir cualquier fractura osteoporótica, las técnicas de uso común son comparables: el riesgo de fractura aumenta aproximadamente 1.5 veces por cada disminución de la DE, de modo que un individuo con una medida de 3 </w:t>
      </w:r>
      <w:r w:rsidR="00E91277" w:rsidRPr="00976671">
        <w:rPr>
          <w:rFonts w:ascii="Arial" w:hAnsi="Arial" w:cs="Arial"/>
          <w:sz w:val="20"/>
          <w:szCs w:val="20"/>
        </w:rPr>
        <w:t>DE</w:t>
      </w:r>
      <w:r w:rsidRPr="00976671">
        <w:rPr>
          <w:rFonts w:ascii="Arial" w:hAnsi="Arial" w:cs="Arial"/>
          <w:sz w:val="20"/>
          <w:szCs w:val="20"/>
        </w:rPr>
        <w:t xml:space="preserve"> por debajo del valor promedio para la edad tendría un 1.5 elevado a la 3 </w:t>
      </w:r>
      <w:r w:rsidR="00E91277" w:rsidRPr="00976671">
        <w:rPr>
          <w:rFonts w:ascii="Arial" w:hAnsi="Arial" w:cs="Arial"/>
          <w:sz w:val="20"/>
          <w:szCs w:val="20"/>
        </w:rPr>
        <w:t>(3</w:t>
      </w:r>
      <w:r w:rsidR="00E91277" w:rsidRPr="00976671">
        <w:rPr>
          <w:rFonts w:ascii="Arial" w:hAnsi="Arial" w:cs="Arial"/>
          <w:sz w:val="20"/>
          <w:szCs w:val="20"/>
          <w:vertAlign w:val="superscript"/>
        </w:rPr>
        <w:t>3</w:t>
      </w:r>
      <w:r w:rsidR="00E91277" w:rsidRPr="00976671">
        <w:rPr>
          <w:rFonts w:ascii="Arial" w:hAnsi="Arial" w:cs="Arial"/>
          <w:sz w:val="20"/>
          <w:szCs w:val="20"/>
        </w:rPr>
        <w:t xml:space="preserve">) </w:t>
      </w:r>
      <w:r w:rsidRPr="00976671">
        <w:rPr>
          <w:rFonts w:ascii="Arial" w:hAnsi="Arial" w:cs="Arial"/>
          <w:sz w:val="20"/>
          <w:szCs w:val="20"/>
        </w:rPr>
        <w:t>o más de 3.3 veces el riesgo que un individuo con una DMO promedio.</w:t>
      </w:r>
    </w:p>
    <w:p w14:paraId="421F50F6" w14:textId="701BDCDA" w:rsidR="00B02657" w:rsidRPr="00976671" w:rsidRDefault="00F940B2" w:rsidP="00B02657">
      <w:pPr>
        <w:widowControl w:val="0"/>
        <w:autoSpaceDE w:val="0"/>
        <w:autoSpaceDN w:val="0"/>
        <w:adjustRightInd w:val="0"/>
        <w:spacing w:after="240" w:line="240" w:lineRule="auto"/>
        <w:rPr>
          <w:rFonts w:ascii="Arial" w:eastAsiaTheme="minorEastAsia" w:hAnsi="Arial" w:cs="Arial"/>
          <w:b/>
          <w:sz w:val="20"/>
          <w:szCs w:val="20"/>
          <w:lang w:val="es-ES" w:eastAsia="es-ES"/>
        </w:rPr>
      </w:pPr>
      <w:r w:rsidRPr="00976671">
        <w:rPr>
          <w:rFonts w:ascii="Arial" w:eastAsiaTheme="minorEastAsia" w:hAnsi="Arial" w:cs="Arial"/>
          <w:b/>
          <w:color w:val="101010"/>
          <w:sz w:val="20"/>
          <w:szCs w:val="20"/>
          <w:lang w:val="es-ES" w:eastAsia="es-ES"/>
        </w:rPr>
        <w:t>Diagnó</w:t>
      </w:r>
      <w:r w:rsidR="00B02657" w:rsidRPr="00976671">
        <w:rPr>
          <w:rFonts w:ascii="Arial" w:eastAsiaTheme="minorEastAsia" w:hAnsi="Arial" w:cs="Arial"/>
          <w:b/>
          <w:color w:val="101010"/>
          <w:sz w:val="20"/>
          <w:szCs w:val="20"/>
          <w:lang w:val="es-ES" w:eastAsia="es-ES"/>
        </w:rPr>
        <w:t>stico de osteoporosis</w:t>
      </w:r>
      <w:r w:rsidR="00653A6E" w:rsidRPr="00976671">
        <w:rPr>
          <w:rFonts w:ascii="Arial" w:eastAsiaTheme="minorEastAsia" w:hAnsi="Arial" w:cs="Arial"/>
          <w:b/>
          <w:color w:val="101010"/>
          <w:sz w:val="20"/>
          <w:szCs w:val="20"/>
          <w:lang w:val="es-ES" w:eastAsia="es-ES"/>
        </w:rPr>
        <w:t>.</w:t>
      </w:r>
      <w:r w:rsidR="00B02657" w:rsidRPr="00976671">
        <w:rPr>
          <w:rFonts w:ascii="Arial" w:eastAsiaTheme="minorEastAsia" w:hAnsi="Arial" w:cs="Arial"/>
          <w:b/>
          <w:color w:val="101010"/>
          <w:sz w:val="20"/>
          <w:szCs w:val="20"/>
          <w:lang w:val="es-ES" w:eastAsia="es-ES"/>
        </w:rPr>
        <w:t xml:space="preserve"> </w:t>
      </w:r>
    </w:p>
    <w:p w14:paraId="12D4F1E2" w14:textId="64ED010F" w:rsidR="00B02657" w:rsidRPr="00976671" w:rsidRDefault="00B02657" w:rsidP="00B02657">
      <w:pPr>
        <w:spacing w:line="276" w:lineRule="auto"/>
        <w:jc w:val="both"/>
        <w:rPr>
          <w:rFonts w:ascii="Arial" w:hAnsi="Arial" w:cs="Arial"/>
          <w:sz w:val="20"/>
          <w:szCs w:val="20"/>
        </w:rPr>
      </w:pPr>
      <w:r w:rsidRPr="00976671">
        <w:rPr>
          <w:rFonts w:ascii="Arial" w:hAnsi="Arial" w:cs="Arial"/>
          <w:sz w:val="20"/>
          <w:szCs w:val="20"/>
        </w:rPr>
        <w:t xml:space="preserve">La definición operativa de osteoporosis se basa en la puntuación T para DMO evaluada en el cuello femoral y se define como un valor para DMO </w:t>
      </w:r>
      <w:r w:rsidR="00BF1BE5" w:rsidRPr="00976671">
        <w:rPr>
          <w:rFonts w:ascii="Arial" w:hAnsi="Arial" w:cs="Arial"/>
          <w:sz w:val="20"/>
          <w:szCs w:val="20"/>
        </w:rPr>
        <w:t>-</w:t>
      </w:r>
      <w:r w:rsidRPr="00976671">
        <w:rPr>
          <w:rFonts w:ascii="Arial" w:hAnsi="Arial" w:cs="Arial"/>
          <w:sz w:val="20"/>
          <w:szCs w:val="20"/>
        </w:rPr>
        <w:t xml:space="preserve">2.5 SD o </w:t>
      </w:r>
      <w:r w:rsidR="00E91277" w:rsidRPr="00976671">
        <w:rPr>
          <w:rFonts w:ascii="Arial" w:hAnsi="Arial" w:cs="Arial"/>
          <w:sz w:val="20"/>
          <w:szCs w:val="20"/>
        </w:rPr>
        <w:t>menos</w:t>
      </w:r>
      <w:r w:rsidRPr="00976671">
        <w:rPr>
          <w:rFonts w:ascii="Arial" w:hAnsi="Arial" w:cs="Arial"/>
          <w:sz w:val="20"/>
          <w:szCs w:val="20"/>
        </w:rPr>
        <w:t xml:space="preserve"> por debajo de la media de las </w:t>
      </w:r>
      <w:r w:rsidR="00E91277" w:rsidRPr="00976671">
        <w:rPr>
          <w:rFonts w:ascii="Arial" w:hAnsi="Arial" w:cs="Arial"/>
          <w:sz w:val="20"/>
          <w:szCs w:val="20"/>
        </w:rPr>
        <w:t>mu</w:t>
      </w:r>
      <w:r w:rsidRPr="00976671">
        <w:rPr>
          <w:rFonts w:ascii="Arial" w:hAnsi="Arial" w:cs="Arial"/>
          <w:sz w:val="20"/>
          <w:szCs w:val="20"/>
        </w:rPr>
        <w:t>j</w:t>
      </w:r>
      <w:r w:rsidR="00E91277" w:rsidRPr="00976671">
        <w:rPr>
          <w:rFonts w:ascii="Arial" w:hAnsi="Arial" w:cs="Arial"/>
          <w:sz w:val="20"/>
          <w:szCs w:val="20"/>
        </w:rPr>
        <w:t>e</w:t>
      </w:r>
      <w:r w:rsidRPr="00976671">
        <w:rPr>
          <w:rFonts w:ascii="Arial" w:hAnsi="Arial" w:cs="Arial"/>
          <w:sz w:val="20"/>
          <w:szCs w:val="20"/>
        </w:rPr>
        <w:t>res adultas jóvenes (puntuación T</w:t>
      </w:r>
      <w:r w:rsidR="00F178E9" w:rsidRPr="00976671">
        <w:rPr>
          <w:rFonts w:ascii="Arial" w:hAnsi="Arial" w:cs="Arial"/>
          <w:sz w:val="20"/>
          <w:szCs w:val="20"/>
        </w:rPr>
        <w:t xml:space="preserve"> menor o igual a - 2.5 SD)</w:t>
      </w:r>
      <w:r w:rsidRPr="00976671">
        <w:rPr>
          <w:rFonts w:ascii="Arial" w:hAnsi="Arial" w:cs="Arial"/>
          <w:sz w:val="20"/>
          <w:szCs w:val="20"/>
        </w:rPr>
        <w:t>. Con base al mismo criterio, se considera osteopen</w:t>
      </w:r>
      <w:r w:rsidR="00E91277" w:rsidRPr="00976671">
        <w:rPr>
          <w:rFonts w:ascii="Arial" w:hAnsi="Arial" w:cs="Arial"/>
          <w:sz w:val="20"/>
          <w:szCs w:val="20"/>
        </w:rPr>
        <w:t>ia un T score entre -1 DE y -2.4</w:t>
      </w:r>
      <w:r w:rsidRPr="00976671">
        <w:rPr>
          <w:rFonts w:ascii="Arial" w:hAnsi="Arial" w:cs="Arial"/>
          <w:sz w:val="20"/>
          <w:szCs w:val="20"/>
        </w:rPr>
        <w:t xml:space="preserve"> DE. </w:t>
      </w:r>
      <w:r w:rsidR="00373CE8" w:rsidRPr="00976671">
        <w:rPr>
          <w:rFonts w:ascii="Arial" w:hAnsi="Arial" w:cs="Arial"/>
          <w:sz w:val="20"/>
          <w:szCs w:val="20"/>
        </w:rPr>
        <w:t>(</w:t>
      </w:r>
      <w:r w:rsidR="007C58BF" w:rsidRPr="00976671">
        <w:rPr>
          <w:rFonts w:ascii="Arial" w:hAnsi="Arial" w:cs="Arial"/>
          <w:sz w:val="20"/>
          <w:szCs w:val="20"/>
        </w:rPr>
        <w:t>Medina</w:t>
      </w:r>
      <w:r w:rsidR="00373CE8" w:rsidRPr="00976671">
        <w:rPr>
          <w:rFonts w:ascii="Arial" w:hAnsi="Arial" w:cs="Arial"/>
          <w:sz w:val="20"/>
          <w:szCs w:val="20"/>
        </w:rPr>
        <w:t xml:space="preserve"> O. A.,</w:t>
      </w:r>
      <w:r w:rsidR="007C58BF" w:rsidRPr="00976671">
        <w:rPr>
          <w:rFonts w:ascii="Arial" w:hAnsi="Arial" w:cs="Arial"/>
          <w:sz w:val="20"/>
          <w:szCs w:val="20"/>
        </w:rPr>
        <w:t xml:space="preserve"> et al, 2018)</w:t>
      </w:r>
    </w:p>
    <w:p w14:paraId="0E5018E3" w14:textId="13607E02" w:rsidR="00B02657" w:rsidRPr="00976671" w:rsidRDefault="00B02657" w:rsidP="00B02657">
      <w:pPr>
        <w:spacing w:line="276" w:lineRule="auto"/>
        <w:jc w:val="both"/>
        <w:rPr>
          <w:rFonts w:ascii="Arial" w:hAnsi="Arial" w:cs="Arial"/>
          <w:sz w:val="20"/>
          <w:szCs w:val="20"/>
        </w:rPr>
      </w:pPr>
      <w:r w:rsidRPr="00976671">
        <w:rPr>
          <w:rFonts w:ascii="Arial" w:hAnsi="Arial" w:cs="Arial"/>
          <w:sz w:val="20"/>
          <w:szCs w:val="20"/>
        </w:rPr>
        <w:t>El puntaje Z describe la cantidad de DE por las cuales la DMO en un individuo difiere del valor medio esperado para la misma edad y sexo. Se utiliza principa</w:t>
      </w:r>
      <w:r w:rsidR="00F178E9" w:rsidRPr="00976671">
        <w:rPr>
          <w:rFonts w:ascii="Arial" w:hAnsi="Arial" w:cs="Arial"/>
          <w:sz w:val="20"/>
          <w:szCs w:val="20"/>
        </w:rPr>
        <w:t>lmente en niños y adolescentes</w:t>
      </w:r>
      <w:r w:rsidRPr="00976671">
        <w:rPr>
          <w:rFonts w:ascii="Arial" w:hAnsi="Arial" w:cs="Arial"/>
          <w:sz w:val="20"/>
          <w:szCs w:val="20"/>
        </w:rPr>
        <w:t>.</w:t>
      </w:r>
    </w:p>
    <w:p w14:paraId="31D76F44" w14:textId="20937EB2" w:rsidR="00B02657" w:rsidRPr="00976671" w:rsidRDefault="00B02657" w:rsidP="00B02657">
      <w:pPr>
        <w:spacing w:line="276" w:lineRule="auto"/>
        <w:jc w:val="both"/>
        <w:rPr>
          <w:rFonts w:ascii="Arial" w:hAnsi="Arial" w:cs="Arial"/>
          <w:sz w:val="20"/>
          <w:szCs w:val="20"/>
          <w:lang w:val="es-ES"/>
        </w:rPr>
      </w:pPr>
      <w:r w:rsidRPr="00976671">
        <w:rPr>
          <w:rFonts w:ascii="Arial" w:hAnsi="Arial" w:cs="Arial"/>
          <w:sz w:val="20"/>
          <w:szCs w:val="20"/>
          <w:lang w:val="es-ES"/>
        </w:rPr>
        <w:t xml:space="preserve">El radio solo debe considerarse cuando la columna o el cuello femoral o la cadera no son interpretables, por lo que el radio no se debe medir de rutina. </w:t>
      </w:r>
    </w:p>
    <w:p w14:paraId="30D46363" w14:textId="77777777" w:rsidR="00B02657" w:rsidRPr="00976671" w:rsidRDefault="00B02657" w:rsidP="00B02657">
      <w:pPr>
        <w:spacing w:line="276" w:lineRule="auto"/>
        <w:jc w:val="center"/>
        <w:rPr>
          <w:rFonts w:ascii="Arial" w:hAnsi="Arial" w:cs="Arial"/>
          <w:sz w:val="20"/>
          <w:szCs w:val="20"/>
          <w:lang w:val="es-ES"/>
        </w:rPr>
      </w:pPr>
      <w:r w:rsidRPr="00976671">
        <w:rPr>
          <w:rFonts w:ascii="Arial" w:hAnsi="Arial" w:cs="Arial"/>
          <w:noProof/>
          <w:sz w:val="20"/>
          <w:szCs w:val="20"/>
          <w:lang w:eastAsia="es-CO"/>
        </w:rPr>
        <w:drawing>
          <wp:inline distT="0" distB="0" distL="0" distR="0" wp14:anchorId="0F11C912" wp14:editId="10FB6AF4">
            <wp:extent cx="4524375" cy="1077826"/>
            <wp:effectExtent l="0" t="0" r="0" b="82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8837" cy="1086036"/>
                    </a:xfrm>
                    <a:prstGeom prst="rect">
                      <a:avLst/>
                    </a:prstGeom>
                    <a:noFill/>
                    <a:ln>
                      <a:noFill/>
                    </a:ln>
                  </pic:spPr>
                </pic:pic>
              </a:graphicData>
            </a:graphic>
          </wp:inline>
        </w:drawing>
      </w:r>
    </w:p>
    <w:p w14:paraId="5EF5A514" w14:textId="1C04CBE9" w:rsidR="00B02657" w:rsidRPr="00976671" w:rsidRDefault="00B02657" w:rsidP="00B02657">
      <w:pPr>
        <w:spacing w:line="276" w:lineRule="auto"/>
        <w:jc w:val="both"/>
        <w:rPr>
          <w:rFonts w:ascii="Arial" w:hAnsi="Arial" w:cs="Arial"/>
          <w:sz w:val="20"/>
          <w:szCs w:val="20"/>
        </w:rPr>
      </w:pPr>
      <w:r w:rsidRPr="00976671">
        <w:rPr>
          <w:rFonts w:ascii="Arial" w:hAnsi="Arial" w:cs="Arial"/>
          <w:sz w:val="20"/>
          <w:szCs w:val="20"/>
        </w:rPr>
        <w:t>Hay que tener en cuenta que los criterios diagnósticos para los hombres utilizan el mismo rango de referencia femenino que para las mujeres. Esto ocurre fortuitamente porque, para cualquier edad y DMO en el cuello femoral, el riesgo de fractura de cadera o una fractura osteoporótica mayor, es aproximadame</w:t>
      </w:r>
      <w:r w:rsidR="00F178E9" w:rsidRPr="00976671">
        <w:rPr>
          <w:rFonts w:ascii="Arial" w:hAnsi="Arial" w:cs="Arial"/>
          <w:sz w:val="20"/>
          <w:szCs w:val="20"/>
        </w:rPr>
        <w:t>nte igual en hombres y mujeres</w:t>
      </w:r>
      <w:r w:rsidRPr="00976671">
        <w:rPr>
          <w:rFonts w:ascii="Arial" w:hAnsi="Arial" w:cs="Arial"/>
          <w:sz w:val="20"/>
          <w:szCs w:val="20"/>
        </w:rPr>
        <w:t xml:space="preserve">. </w:t>
      </w:r>
    </w:p>
    <w:p w14:paraId="18D24086" w14:textId="19438CF0" w:rsidR="00B02657" w:rsidRPr="00976671" w:rsidRDefault="00B02657" w:rsidP="00B02657">
      <w:pPr>
        <w:spacing w:line="276" w:lineRule="auto"/>
        <w:jc w:val="both"/>
        <w:rPr>
          <w:rFonts w:ascii="Arial" w:hAnsi="Arial" w:cs="Arial"/>
          <w:sz w:val="20"/>
          <w:szCs w:val="20"/>
          <w:lang w:val="es-ES"/>
        </w:rPr>
      </w:pPr>
      <w:r w:rsidRPr="00976671">
        <w:rPr>
          <w:rFonts w:ascii="Arial" w:hAnsi="Arial" w:cs="Arial"/>
          <w:sz w:val="20"/>
          <w:szCs w:val="20"/>
          <w:lang w:val="es-ES"/>
        </w:rPr>
        <w:t xml:space="preserve">Según las recomendaciones de la OMS, </w:t>
      </w:r>
      <w:r w:rsidR="00653A6E" w:rsidRPr="00976671">
        <w:rPr>
          <w:rFonts w:ascii="Arial" w:hAnsi="Arial" w:cs="Arial"/>
          <w:sz w:val="20"/>
          <w:szCs w:val="20"/>
          <w:lang w:val="es-ES"/>
        </w:rPr>
        <w:t xml:space="preserve">se debe solicitar DMO en mujeres en los siguientes casos: </w:t>
      </w:r>
    </w:p>
    <w:p w14:paraId="55020887" w14:textId="5896F1F4" w:rsidR="00B02657" w:rsidRPr="00976671" w:rsidRDefault="00B02657" w:rsidP="00B02657">
      <w:pPr>
        <w:pStyle w:val="Prrafodelista"/>
        <w:numPr>
          <w:ilvl w:val="0"/>
          <w:numId w:val="13"/>
        </w:numPr>
        <w:spacing w:line="276" w:lineRule="auto"/>
        <w:jc w:val="both"/>
        <w:rPr>
          <w:rFonts w:ascii="Arial" w:hAnsi="Arial" w:cs="Arial"/>
          <w:sz w:val="20"/>
          <w:szCs w:val="20"/>
          <w:lang w:val="es-ES"/>
        </w:rPr>
      </w:pPr>
      <w:r w:rsidRPr="00976671">
        <w:rPr>
          <w:rFonts w:ascii="Arial" w:hAnsi="Arial" w:cs="Arial"/>
          <w:sz w:val="20"/>
          <w:szCs w:val="20"/>
          <w:lang w:val="es-ES"/>
        </w:rPr>
        <w:t>Mujeres co</w:t>
      </w:r>
      <w:r w:rsidR="00373CE8" w:rsidRPr="00976671">
        <w:rPr>
          <w:rFonts w:ascii="Arial" w:hAnsi="Arial" w:cs="Arial"/>
          <w:sz w:val="20"/>
          <w:szCs w:val="20"/>
          <w:lang w:val="es-ES"/>
        </w:rPr>
        <w:t>n edad mayor o igual a 65 años.</w:t>
      </w:r>
    </w:p>
    <w:p w14:paraId="4A0E178E" w14:textId="7D60F5CC" w:rsidR="00B02657" w:rsidRPr="00976671" w:rsidRDefault="00B02657" w:rsidP="00B02657">
      <w:pPr>
        <w:pStyle w:val="Prrafodelista"/>
        <w:numPr>
          <w:ilvl w:val="0"/>
          <w:numId w:val="13"/>
        </w:numPr>
        <w:spacing w:line="276" w:lineRule="auto"/>
        <w:jc w:val="both"/>
        <w:rPr>
          <w:rFonts w:ascii="Arial" w:hAnsi="Arial" w:cs="Arial"/>
          <w:sz w:val="20"/>
          <w:szCs w:val="20"/>
          <w:lang w:val="es-ES"/>
        </w:rPr>
      </w:pPr>
      <w:r w:rsidRPr="00976671">
        <w:rPr>
          <w:rFonts w:ascii="Arial" w:hAnsi="Arial" w:cs="Arial"/>
          <w:sz w:val="20"/>
          <w:szCs w:val="20"/>
          <w:lang w:val="es-ES"/>
        </w:rPr>
        <w:t xml:space="preserve">Mujeres menores de 65 años si tienen un factor de riesgo de baja masa ósea, como: </w:t>
      </w:r>
    </w:p>
    <w:p w14:paraId="19AA8DBC" w14:textId="7FDDB676" w:rsidR="00B02657" w:rsidRPr="00976671" w:rsidRDefault="00B02657" w:rsidP="00B02657">
      <w:pPr>
        <w:pStyle w:val="Prrafodelista"/>
        <w:numPr>
          <w:ilvl w:val="0"/>
          <w:numId w:val="10"/>
        </w:numPr>
        <w:spacing w:line="276" w:lineRule="auto"/>
        <w:jc w:val="both"/>
        <w:rPr>
          <w:rFonts w:ascii="Arial" w:hAnsi="Arial" w:cs="Arial"/>
          <w:sz w:val="20"/>
          <w:szCs w:val="20"/>
          <w:lang w:val="es-ES"/>
        </w:rPr>
      </w:pPr>
      <w:r w:rsidRPr="00976671">
        <w:rPr>
          <w:rFonts w:ascii="Arial" w:hAnsi="Arial" w:cs="Arial"/>
          <w:sz w:val="20"/>
          <w:szCs w:val="20"/>
          <w:lang w:val="es-ES"/>
        </w:rPr>
        <w:t>Bajo p</w:t>
      </w:r>
      <w:r w:rsidR="00373CE8" w:rsidRPr="00976671">
        <w:rPr>
          <w:rFonts w:ascii="Arial" w:hAnsi="Arial" w:cs="Arial"/>
          <w:sz w:val="20"/>
          <w:szCs w:val="20"/>
          <w:lang w:val="es-ES"/>
        </w:rPr>
        <w:t>eso corporal (IMC &lt; 19 kg/m2).</w:t>
      </w:r>
    </w:p>
    <w:p w14:paraId="3F0C3565" w14:textId="34DF9180" w:rsidR="00B02657" w:rsidRPr="00976671" w:rsidRDefault="00373CE8" w:rsidP="00B02657">
      <w:pPr>
        <w:pStyle w:val="Prrafodelista"/>
        <w:numPr>
          <w:ilvl w:val="0"/>
          <w:numId w:val="10"/>
        </w:numPr>
        <w:spacing w:line="276" w:lineRule="auto"/>
        <w:jc w:val="both"/>
        <w:rPr>
          <w:rFonts w:ascii="Arial" w:hAnsi="Arial" w:cs="Arial"/>
          <w:sz w:val="20"/>
          <w:szCs w:val="20"/>
          <w:lang w:val="es-ES"/>
        </w:rPr>
      </w:pPr>
      <w:r w:rsidRPr="00976671">
        <w:rPr>
          <w:rFonts w:ascii="Arial" w:hAnsi="Arial" w:cs="Arial"/>
          <w:sz w:val="20"/>
          <w:szCs w:val="20"/>
          <w:lang w:val="es-ES"/>
        </w:rPr>
        <w:t>Fractura previa por fragilidad.</w:t>
      </w:r>
    </w:p>
    <w:p w14:paraId="52694433" w14:textId="5ED25D9E" w:rsidR="00B02657" w:rsidRPr="00976671" w:rsidRDefault="00B02657" w:rsidP="00B02657">
      <w:pPr>
        <w:pStyle w:val="Prrafodelista"/>
        <w:numPr>
          <w:ilvl w:val="0"/>
          <w:numId w:val="10"/>
        </w:numPr>
        <w:spacing w:line="276" w:lineRule="auto"/>
        <w:jc w:val="both"/>
        <w:rPr>
          <w:rFonts w:ascii="Arial" w:hAnsi="Arial" w:cs="Arial"/>
          <w:sz w:val="20"/>
          <w:szCs w:val="20"/>
          <w:lang w:val="es-ES"/>
        </w:rPr>
      </w:pPr>
      <w:r w:rsidRPr="00976671">
        <w:rPr>
          <w:rFonts w:ascii="Arial" w:hAnsi="Arial" w:cs="Arial"/>
          <w:sz w:val="20"/>
          <w:szCs w:val="20"/>
          <w:lang w:val="es-ES"/>
        </w:rPr>
        <w:t xml:space="preserve">Uso </w:t>
      </w:r>
      <w:r w:rsidR="00373CE8" w:rsidRPr="00976671">
        <w:rPr>
          <w:rFonts w:ascii="Arial" w:hAnsi="Arial" w:cs="Arial"/>
          <w:sz w:val="20"/>
          <w:szCs w:val="20"/>
          <w:lang w:val="es-ES"/>
        </w:rPr>
        <w:t>de medicamentos de alto riesgo.</w:t>
      </w:r>
    </w:p>
    <w:p w14:paraId="2B6A3092" w14:textId="08614406" w:rsidR="00B02657" w:rsidRPr="00976671" w:rsidRDefault="00B02657" w:rsidP="00B02657">
      <w:pPr>
        <w:pStyle w:val="Prrafodelista"/>
        <w:numPr>
          <w:ilvl w:val="0"/>
          <w:numId w:val="10"/>
        </w:numPr>
        <w:spacing w:line="276" w:lineRule="auto"/>
        <w:jc w:val="both"/>
        <w:rPr>
          <w:rFonts w:ascii="Arial" w:hAnsi="Arial" w:cs="Arial"/>
          <w:sz w:val="20"/>
          <w:szCs w:val="20"/>
          <w:lang w:val="es-ES"/>
        </w:rPr>
      </w:pPr>
      <w:r w:rsidRPr="00976671">
        <w:rPr>
          <w:rFonts w:ascii="Arial" w:hAnsi="Arial" w:cs="Arial"/>
          <w:sz w:val="20"/>
          <w:szCs w:val="20"/>
          <w:lang w:val="es-ES"/>
        </w:rPr>
        <w:t>Enfermedad o condición asociada con pérdida de hueso (p.ej., menopau</w:t>
      </w:r>
      <w:r w:rsidR="00373CE8" w:rsidRPr="00976671">
        <w:rPr>
          <w:rFonts w:ascii="Arial" w:hAnsi="Arial" w:cs="Arial"/>
          <w:sz w:val="20"/>
          <w:szCs w:val="20"/>
          <w:lang w:val="es-ES"/>
        </w:rPr>
        <w:t>sia precoz, infección por VIH).</w:t>
      </w:r>
    </w:p>
    <w:p w14:paraId="23D614ED" w14:textId="5F96AEA8" w:rsidR="00B02657" w:rsidRPr="00976671" w:rsidRDefault="00B02657" w:rsidP="00B02657">
      <w:pPr>
        <w:spacing w:line="276" w:lineRule="auto"/>
        <w:ind w:left="360"/>
        <w:jc w:val="both"/>
        <w:rPr>
          <w:rFonts w:ascii="Arial" w:hAnsi="Arial" w:cs="Arial"/>
          <w:sz w:val="20"/>
          <w:szCs w:val="20"/>
          <w:lang w:val="es-ES"/>
        </w:rPr>
      </w:pPr>
      <w:r w:rsidRPr="00976671">
        <w:rPr>
          <w:rFonts w:ascii="Arial" w:hAnsi="Arial" w:cs="Arial"/>
          <w:sz w:val="20"/>
          <w:szCs w:val="20"/>
          <w:lang w:val="es-ES"/>
        </w:rPr>
        <w:t>3</w:t>
      </w:r>
      <w:r w:rsidR="00E91277" w:rsidRPr="00976671">
        <w:rPr>
          <w:rFonts w:ascii="Arial" w:hAnsi="Arial" w:cs="Arial"/>
          <w:sz w:val="20"/>
          <w:szCs w:val="20"/>
          <w:lang w:val="es-ES"/>
        </w:rPr>
        <w:t>.</w:t>
      </w:r>
      <w:r w:rsidRPr="00976671">
        <w:rPr>
          <w:rFonts w:ascii="Arial" w:hAnsi="Arial" w:cs="Arial"/>
          <w:sz w:val="20"/>
          <w:szCs w:val="20"/>
          <w:lang w:val="es-ES"/>
        </w:rPr>
        <w:t xml:space="preserve"> Cualquier persona que esté en tratamiento con el interés de monitorear el efecto del tratamiento para la osteoporosis. </w:t>
      </w:r>
    </w:p>
    <w:p w14:paraId="77683191" w14:textId="77777777" w:rsidR="00B02657" w:rsidRPr="00976671" w:rsidRDefault="00B02657" w:rsidP="00B02657">
      <w:pPr>
        <w:spacing w:line="276" w:lineRule="auto"/>
        <w:jc w:val="both"/>
        <w:rPr>
          <w:rFonts w:ascii="Arial" w:hAnsi="Arial" w:cs="Arial"/>
          <w:sz w:val="20"/>
          <w:szCs w:val="20"/>
          <w:lang w:val="es-ES"/>
        </w:rPr>
      </w:pPr>
      <w:r w:rsidRPr="00976671">
        <w:rPr>
          <w:rFonts w:ascii="Arial" w:hAnsi="Arial" w:cs="Arial"/>
          <w:sz w:val="20"/>
          <w:szCs w:val="20"/>
          <w:lang w:val="es-ES"/>
        </w:rPr>
        <w:t>El estudio de cadera mide de manera predominante huso cortical; el paciente se coloca en decúbito supino con la pierna ligeramente en abducción para mantener recto el eje femoral, y en rotación interna (15-30 grados), de manera que en la imagen adquirida, el trocánter menor no sea visible.</w:t>
      </w:r>
    </w:p>
    <w:p w14:paraId="734283FB" w14:textId="77777777" w:rsidR="00B02657" w:rsidRPr="00976671" w:rsidRDefault="00B02657" w:rsidP="00B02657">
      <w:pPr>
        <w:spacing w:line="276" w:lineRule="auto"/>
        <w:jc w:val="both"/>
        <w:rPr>
          <w:rFonts w:ascii="Arial" w:hAnsi="Arial" w:cs="Arial"/>
          <w:sz w:val="20"/>
          <w:szCs w:val="20"/>
          <w:lang w:val="es-ES"/>
        </w:rPr>
      </w:pPr>
      <w:r w:rsidRPr="00976671">
        <w:rPr>
          <w:rFonts w:ascii="Arial" w:hAnsi="Arial" w:cs="Arial"/>
          <w:sz w:val="20"/>
          <w:szCs w:val="20"/>
          <w:lang w:val="es-ES"/>
        </w:rPr>
        <w:t xml:space="preserve">En el estudio de antebrazo el paciente se sienta al lado de la mesa con el antebrazo apoyado en ella, con la mano en pronación y sujeta con una banda. La adquisición de antebrazo se utiliza cuando </w:t>
      </w:r>
      <w:r w:rsidRPr="00976671">
        <w:rPr>
          <w:rFonts w:ascii="Arial" w:hAnsi="Arial" w:cs="Arial"/>
          <w:sz w:val="20"/>
          <w:szCs w:val="20"/>
          <w:lang w:val="es-ES"/>
        </w:rPr>
        <w:lastRenderedPageBreak/>
        <w:t xml:space="preserve">no se puede obtener un estimado confiable de la columna y de la cadera, ya que hay una correlación entre la medición del radio </w:t>
      </w:r>
      <w:proofErr w:type="spellStart"/>
      <w:r w:rsidRPr="00976671">
        <w:rPr>
          <w:rFonts w:ascii="Arial" w:hAnsi="Arial" w:cs="Arial"/>
          <w:sz w:val="20"/>
          <w:szCs w:val="20"/>
          <w:lang w:val="es-ES"/>
        </w:rPr>
        <w:t>ultradistal</w:t>
      </w:r>
      <w:proofErr w:type="spellEnd"/>
      <w:r w:rsidRPr="00976671">
        <w:rPr>
          <w:rFonts w:ascii="Arial" w:hAnsi="Arial" w:cs="Arial"/>
          <w:sz w:val="20"/>
          <w:szCs w:val="20"/>
          <w:lang w:val="es-ES"/>
        </w:rPr>
        <w:t xml:space="preserve"> y el hueso trabecular, y también una correlación entre radio 33% y hueso cortical. </w:t>
      </w:r>
    </w:p>
    <w:p w14:paraId="59CE1B35" w14:textId="5C7FC627" w:rsidR="00B02657" w:rsidRPr="00976671" w:rsidRDefault="00BF1BE5" w:rsidP="00B02657">
      <w:pPr>
        <w:spacing w:line="276" w:lineRule="auto"/>
        <w:jc w:val="both"/>
        <w:rPr>
          <w:rFonts w:ascii="Arial" w:hAnsi="Arial" w:cs="Arial"/>
          <w:sz w:val="20"/>
          <w:szCs w:val="20"/>
        </w:rPr>
      </w:pPr>
      <w:r w:rsidRPr="00976671">
        <w:rPr>
          <w:rFonts w:ascii="Arial" w:hAnsi="Arial" w:cs="Arial"/>
          <w:sz w:val="20"/>
          <w:szCs w:val="20"/>
        </w:rPr>
        <w:t>E</w:t>
      </w:r>
      <w:r w:rsidR="00B02657" w:rsidRPr="00976671">
        <w:rPr>
          <w:rFonts w:ascii="Arial" w:hAnsi="Arial" w:cs="Arial"/>
          <w:sz w:val="20"/>
          <w:szCs w:val="20"/>
        </w:rPr>
        <w:t>n pacientes premenopausicas y en hombre menores de 50 años se debe tener en cuenta el valor Z score; con un valor  Z menor a -2 DE, se debe interpretar como ‘’por debajo de lo esperado para el rango de edad‘’ (o Baja Masa Ósea para la edad), y no debe tenerse en cuenta el T score, y menos interpretarse como “osteoporosis”. Los criterios de la OMS se pueden aplicar para las mujeres durante la transicion a la menopausia (tener en cuenta el T score)</w:t>
      </w:r>
      <w:r w:rsidR="00D3499C" w:rsidRPr="00976671">
        <w:rPr>
          <w:rFonts w:ascii="Arial" w:hAnsi="Arial" w:cs="Arial"/>
          <w:sz w:val="20"/>
          <w:szCs w:val="20"/>
        </w:rPr>
        <w:t>. Ver figura No 2.</w:t>
      </w:r>
    </w:p>
    <w:p w14:paraId="1189549D" w14:textId="68930993" w:rsidR="00D3499C" w:rsidRPr="00976671" w:rsidRDefault="00D3499C" w:rsidP="00B02657">
      <w:pPr>
        <w:spacing w:line="276" w:lineRule="auto"/>
        <w:jc w:val="both"/>
        <w:rPr>
          <w:rFonts w:ascii="Arial" w:hAnsi="Arial" w:cs="Arial"/>
          <w:sz w:val="20"/>
          <w:szCs w:val="20"/>
        </w:rPr>
      </w:pPr>
      <w:r w:rsidRPr="00976671">
        <w:rPr>
          <w:rFonts w:ascii="Arial" w:hAnsi="Arial" w:cs="Arial"/>
          <w:sz w:val="20"/>
          <w:szCs w:val="20"/>
        </w:rPr>
        <w:t>Figura No 2. Representación de T score y Z score.</w:t>
      </w:r>
    </w:p>
    <w:p w14:paraId="52F6B72A" w14:textId="77777777" w:rsidR="00B02657" w:rsidRPr="00976671" w:rsidRDefault="00B02657" w:rsidP="00B02657">
      <w:pPr>
        <w:spacing w:line="276" w:lineRule="auto"/>
        <w:jc w:val="center"/>
        <w:rPr>
          <w:rFonts w:ascii="Arial" w:hAnsi="Arial" w:cs="Arial"/>
          <w:sz w:val="20"/>
          <w:szCs w:val="20"/>
        </w:rPr>
      </w:pPr>
      <w:r w:rsidRPr="00976671">
        <w:rPr>
          <w:rFonts w:ascii="Arial" w:hAnsi="Arial" w:cs="Arial"/>
          <w:noProof/>
          <w:sz w:val="20"/>
          <w:szCs w:val="20"/>
          <w:lang w:eastAsia="es-CO"/>
        </w:rPr>
        <w:drawing>
          <wp:inline distT="0" distB="0" distL="0" distR="0" wp14:anchorId="6488C395" wp14:editId="56948DAB">
            <wp:extent cx="2858643" cy="2143982"/>
            <wp:effectExtent l="0" t="0" r="12065"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9782" cy="2159836"/>
                    </a:xfrm>
                    <a:prstGeom prst="rect">
                      <a:avLst/>
                    </a:prstGeom>
                    <a:noFill/>
                    <a:ln>
                      <a:noFill/>
                    </a:ln>
                  </pic:spPr>
                </pic:pic>
              </a:graphicData>
            </a:graphic>
          </wp:inline>
        </w:drawing>
      </w:r>
    </w:p>
    <w:p w14:paraId="0ABF3D1E" w14:textId="77777777" w:rsidR="00F940B2" w:rsidRPr="00976671" w:rsidRDefault="007B038F" w:rsidP="00F940B2">
      <w:pPr>
        <w:spacing w:line="276" w:lineRule="auto"/>
        <w:jc w:val="center"/>
        <w:rPr>
          <w:rFonts w:ascii="Arial" w:hAnsi="Arial" w:cs="Arial"/>
          <w:sz w:val="13"/>
          <w:szCs w:val="20"/>
        </w:rPr>
      </w:pPr>
      <w:r w:rsidRPr="00976671">
        <w:rPr>
          <w:rFonts w:ascii="Arial" w:hAnsi="Arial" w:cs="Arial"/>
          <w:sz w:val="13"/>
          <w:szCs w:val="20"/>
        </w:rPr>
        <w:t>P</w:t>
      </w:r>
      <w:r w:rsidR="00B02657" w:rsidRPr="00976671">
        <w:rPr>
          <w:rFonts w:ascii="Arial" w:hAnsi="Arial" w:cs="Arial"/>
          <w:sz w:val="13"/>
          <w:szCs w:val="20"/>
        </w:rPr>
        <w:t>aciente de 70 años, tiene un T score de -3 DE, por lo que hace diagnostico de Osteoporosis; su Z score es de -1 DE,</w:t>
      </w:r>
    </w:p>
    <w:p w14:paraId="6BE340D7" w14:textId="77777777" w:rsidR="00D3499C" w:rsidRPr="00976671" w:rsidRDefault="00D3499C" w:rsidP="00F940B2">
      <w:pPr>
        <w:spacing w:line="276" w:lineRule="auto"/>
        <w:jc w:val="both"/>
        <w:rPr>
          <w:rFonts w:ascii="Arial" w:hAnsi="Arial" w:cs="Arial"/>
          <w:sz w:val="20"/>
          <w:szCs w:val="20"/>
        </w:rPr>
      </w:pPr>
    </w:p>
    <w:p w14:paraId="699FC3AA" w14:textId="3EB172A7" w:rsidR="00B02657" w:rsidRPr="00976671" w:rsidRDefault="00D3499C" w:rsidP="00F940B2">
      <w:pPr>
        <w:spacing w:line="276" w:lineRule="auto"/>
        <w:jc w:val="both"/>
        <w:rPr>
          <w:rFonts w:ascii="Arial" w:hAnsi="Arial" w:cs="Arial"/>
          <w:b/>
          <w:sz w:val="20"/>
          <w:szCs w:val="20"/>
        </w:rPr>
      </w:pPr>
      <w:r w:rsidRPr="00976671">
        <w:rPr>
          <w:rFonts w:ascii="Arial" w:hAnsi="Arial" w:cs="Arial"/>
          <w:b/>
          <w:sz w:val="20"/>
          <w:szCs w:val="20"/>
        </w:rPr>
        <w:t>Solicitud de Radiografía</w:t>
      </w:r>
      <w:r w:rsidR="007B038F" w:rsidRPr="00976671">
        <w:rPr>
          <w:rFonts w:ascii="Arial" w:hAnsi="Arial" w:cs="Arial"/>
          <w:b/>
          <w:sz w:val="20"/>
          <w:szCs w:val="20"/>
        </w:rPr>
        <w:t xml:space="preserve"> de columna dorso-lumbar</w:t>
      </w:r>
      <w:r w:rsidRPr="00976671">
        <w:rPr>
          <w:rFonts w:ascii="Arial" w:hAnsi="Arial" w:cs="Arial"/>
          <w:b/>
          <w:sz w:val="20"/>
          <w:szCs w:val="20"/>
        </w:rPr>
        <w:t>.</w:t>
      </w:r>
    </w:p>
    <w:p w14:paraId="096F62BD" w14:textId="0140B2BD" w:rsidR="00B02657" w:rsidRPr="00976671" w:rsidRDefault="00373CE8" w:rsidP="00373CE8">
      <w:pPr>
        <w:spacing w:line="276" w:lineRule="auto"/>
        <w:jc w:val="both"/>
        <w:rPr>
          <w:rFonts w:ascii="Arial" w:hAnsi="Arial" w:cs="Arial"/>
          <w:sz w:val="20"/>
          <w:szCs w:val="20"/>
          <w:lang w:val="es-ES"/>
        </w:rPr>
      </w:pPr>
      <w:r w:rsidRPr="00976671">
        <w:rPr>
          <w:rFonts w:ascii="Arial" w:hAnsi="Arial" w:cs="Arial"/>
          <w:sz w:val="20"/>
          <w:szCs w:val="20"/>
          <w:lang w:val="es-ES"/>
        </w:rPr>
        <w:t xml:space="preserve">Es un estudio </w:t>
      </w:r>
      <w:r w:rsidR="00B02657" w:rsidRPr="00976671">
        <w:rPr>
          <w:rFonts w:ascii="Arial" w:hAnsi="Arial" w:cs="Arial"/>
          <w:sz w:val="20"/>
          <w:szCs w:val="20"/>
          <w:lang w:val="es-ES"/>
        </w:rPr>
        <w:t>complementari</w:t>
      </w:r>
      <w:r w:rsidR="00D3499C" w:rsidRPr="00976671">
        <w:rPr>
          <w:rFonts w:ascii="Arial" w:hAnsi="Arial" w:cs="Arial"/>
          <w:sz w:val="20"/>
          <w:szCs w:val="20"/>
          <w:lang w:val="es-ES"/>
        </w:rPr>
        <w:t xml:space="preserve">o de la </w:t>
      </w:r>
      <w:proofErr w:type="spellStart"/>
      <w:r w:rsidR="00D3499C" w:rsidRPr="00976671">
        <w:rPr>
          <w:rFonts w:ascii="Arial" w:hAnsi="Arial" w:cs="Arial"/>
          <w:sz w:val="20"/>
          <w:szCs w:val="20"/>
          <w:lang w:val="es-ES"/>
        </w:rPr>
        <w:t>DMO</w:t>
      </w:r>
      <w:proofErr w:type="spellEnd"/>
      <w:r w:rsidR="00D3499C" w:rsidRPr="00976671">
        <w:rPr>
          <w:rFonts w:ascii="Arial" w:hAnsi="Arial" w:cs="Arial"/>
          <w:sz w:val="20"/>
          <w:szCs w:val="20"/>
          <w:lang w:val="es-ES"/>
        </w:rPr>
        <w:t xml:space="preserve"> y se debe realizar en los siguientes casos</w:t>
      </w:r>
      <w:r w:rsidR="002750F1" w:rsidRPr="00976671">
        <w:rPr>
          <w:rFonts w:ascii="Arial" w:hAnsi="Arial" w:cs="Arial"/>
          <w:sz w:val="20"/>
          <w:szCs w:val="20"/>
          <w:lang w:val="es-ES"/>
        </w:rPr>
        <w:t xml:space="preserve"> (</w:t>
      </w:r>
      <w:proofErr w:type="spellStart"/>
      <w:r w:rsidRPr="00976671">
        <w:rPr>
          <w:rFonts w:ascii="Arial" w:hAnsi="Arial" w:cs="Arial"/>
          <w:color w:val="333333"/>
          <w:sz w:val="20"/>
          <w:szCs w:val="20"/>
          <w:shd w:val="clear" w:color="auto" w:fill="FFFFFF"/>
        </w:rPr>
        <w:t>World</w:t>
      </w:r>
      <w:proofErr w:type="spellEnd"/>
      <w:r w:rsidRPr="00976671">
        <w:rPr>
          <w:rFonts w:ascii="Arial" w:hAnsi="Arial" w:cs="Arial"/>
          <w:color w:val="333333"/>
          <w:sz w:val="20"/>
          <w:szCs w:val="20"/>
          <w:shd w:val="clear" w:color="auto" w:fill="FFFFFF"/>
        </w:rPr>
        <w:t xml:space="preserve"> </w:t>
      </w:r>
      <w:proofErr w:type="spellStart"/>
      <w:r w:rsidRPr="00976671">
        <w:rPr>
          <w:rFonts w:ascii="Arial" w:hAnsi="Arial" w:cs="Arial"/>
          <w:color w:val="333333"/>
          <w:sz w:val="20"/>
          <w:szCs w:val="20"/>
          <w:shd w:val="clear" w:color="auto" w:fill="FFFFFF"/>
        </w:rPr>
        <w:t>Health</w:t>
      </w:r>
      <w:proofErr w:type="spellEnd"/>
      <w:r w:rsidRPr="00976671">
        <w:rPr>
          <w:rFonts w:ascii="Arial" w:hAnsi="Arial" w:cs="Arial"/>
          <w:color w:val="333333"/>
          <w:sz w:val="20"/>
          <w:szCs w:val="20"/>
          <w:shd w:val="clear" w:color="auto" w:fill="FFFFFF"/>
        </w:rPr>
        <w:t xml:space="preserve"> </w:t>
      </w:r>
      <w:proofErr w:type="spellStart"/>
      <w:r w:rsidRPr="00976671">
        <w:rPr>
          <w:rFonts w:ascii="Arial" w:hAnsi="Arial" w:cs="Arial"/>
          <w:color w:val="333333"/>
          <w:sz w:val="20"/>
          <w:szCs w:val="20"/>
          <w:shd w:val="clear" w:color="auto" w:fill="FFFFFF"/>
        </w:rPr>
        <w:t>Organization</w:t>
      </w:r>
      <w:proofErr w:type="spellEnd"/>
      <w:r w:rsidRPr="00976671">
        <w:rPr>
          <w:rFonts w:ascii="Arial" w:hAnsi="Arial" w:cs="Arial"/>
          <w:color w:val="333333"/>
          <w:sz w:val="20"/>
          <w:szCs w:val="20"/>
          <w:shd w:val="clear" w:color="auto" w:fill="FFFFFF"/>
        </w:rPr>
        <w:t>, 1994) ‎. </w:t>
      </w:r>
      <w:r w:rsidR="00B02657" w:rsidRPr="00976671">
        <w:rPr>
          <w:rFonts w:ascii="Arial" w:hAnsi="Arial" w:cs="Arial"/>
          <w:sz w:val="20"/>
          <w:szCs w:val="20"/>
          <w:lang w:val="es-ES"/>
        </w:rPr>
        <w:t>T</w:t>
      </w:r>
      <w:r w:rsidRPr="00976671">
        <w:rPr>
          <w:rFonts w:ascii="Arial" w:hAnsi="Arial" w:cs="Arial"/>
          <w:sz w:val="20"/>
          <w:szCs w:val="20"/>
          <w:lang w:val="es-ES"/>
        </w:rPr>
        <w:t xml:space="preserve">odo paciente con osteoporosis. </w:t>
      </w:r>
    </w:p>
    <w:p w14:paraId="112B9234" w14:textId="37DF0563" w:rsidR="00B02657" w:rsidRPr="00976671" w:rsidRDefault="00B02657" w:rsidP="00B02657">
      <w:pPr>
        <w:pStyle w:val="Prrafodelista"/>
        <w:numPr>
          <w:ilvl w:val="0"/>
          <w:numId w:val="16"/>
        </w:numPr>
        <w:spacing w:line="276" w:lineRule="auto"/>
        <w:jc w:val="both"/>
        <w:rPr>
          <w:rFonts w:ascii="Arial" w:hAnsi="Arial" w:cs="Arial"/>
          <w:sz w:val="20"/>
          <w:szCs w:val="20"/>
        </w:rPr>
      </w:pPr>
      <w:r w:rsidRPr="00976671">
        <w:rPr>
          <w:rFonts w:ascii="Arial" w:hAnsi="Arial" w:cs="Arial"/>
          <w:sz w:val="20"/>
          <w:szCs w:val="20"/>
          <w:lang w:val="es-ES"/>
        </w:rPr>
        <w:t>Pacientes con T-score &lt; −1 asociado con uno o más</w:t>
      </w:r>
      <w:r w:rsidR="00373CE8" w:rsidRPr="00976671">
        <w:rPr>
          <w:rFonts w:ascii="Arial" w:hAnsi="Arial" w:cs="Arial"/>
          <w:sz w:val="20"/>
          <w:szCs w:val="20"/>
          <w:lang w:val="es-ES"/>
        </w:rPr>
        <w:t xml:space="preserve"> de los siguientes parámetros: </w:t>
      </w:r>
    </w:p>
    <w:p w14:paraId="4F948871" w14:textId="2EA6B22B" w:rsidR="00B02657" w:rsidRPr="00976671" w:rsidRDefault="00373CE8" w:rsidP="00B02657">
      <w:pPr>
        <w:pStyle w:val="Prrafodelista"/>
        <w:numPr>
          <w:ilvl w:val="0"/>
          <w:numId w:val="11"/>
        </w:numPr>
        <w:spacing w:line="276" w:lineRule="auto"/>
        <w:jc w:val="both"/>
        <w:rPr>
          <w:rFonts w:ascii="Arial" w:hAnsi="Arial" w:cs="Arial"/>
          <w:sz w:val="20"/>
          <w:szCs w:val="20"/>
          <w:lang w:val="es-ES"/>
        </w:rPr>
      </w:pPr>
      <w:r w:rsidRPr="00976671">
        <w:rPr>
          <w:rFonts w:ascii="Arial" w:hAnsi="Arial" w:cs="Arial"/>
          <w:sz w:val="20"/>
          <w:szCs w:val="20"/>
          <w:lang w:val="es-ES"/>
        </w:rPr>
        <w:t>Mujeres ≥ 70 años de edad.</w:t>
      </w:r>
    </w:p>
    <w:p w14:paraId="10432FB2" w14:textId="4DCB0A55" w:rsidR="00B02657" w:rsidRPr="00976671" w:rsidRDefault="00B02657" w:rsidP="00B02657">
      <w:pPr>
        <w:pStyle w:val="Prrafodelista"/>
        <w:numPr>
          <w:ilvl w:val="0"/>
          <w:numId w:val="11"/>
        </w:numPr>
        <w:spacing w:line="276" w:lineRule="auto"/>
        <w:jc w:val="both"/>
        <w:rPr>
          <w:rFonts w:ascii="Arial" w:hAnsi="Arial" w:cs="Arial"/>
          <w:sz w:val="20"/>
          <w:szCs w:val="20"/>
          <w:lang w:val="es-ES"/>
        </w:rPr>
      </w:pPr>
      <w:r w:rsidRPr="00976671">
        <w:rPr>
          <w:rFonts w:ascii="Arial" w:hAnsi="Arial" w:cs="Arial"/>
          <w:sz w:val="20"/>
          <w:szCs w:val="20"/>
          <w:lang w:val="es-ES"/>
        </w:rPr>
        <w:t xml:space="preserve">Pérdida de talla mayor de 4 </w:t>
      </w:r>
      <w:r w:rsidR="00373CE8" w:rsidRPr="00976671">
        <w:rPr>
          <w:rFonts w:ascii="Arial" w:hAnsi="Arial" w:cs="Arial"/>
          <w:sz w:val="20"/>
          <w:szCs w:val="20"/>
          <w:lang w:val="es-ES"/>
        </w:rPr>
        <w:t>cm.</w:t>
      </w:r>
    </w:p>
    <w:p w14:paraId="7C896E91" w14:textId="3233E91E" w:rsidR="00B02657" w:rsidRPr="00976671" w:rsidRDefault="00B02657" w:rsidP="00B02657">
      <w:pPr>
        <w:pStyle w:val="Prrafodelista"/>
        <w:numPr>
          <w:ilvl w:val="0"/>
          <w:numId w:val="11"/>
        </w:numPr>
        <w:spacing w:line="276" w:lineRule="auto"/>
        <w:jc w:val="both"/>
        <w:rPr>
          <w:rFonts w:ascii="Arial" w:hAnsi="Arial" w:cs="Arial"/>
          <w:sz w:val="20"/>
          <w:szCs w:val="20"/>
          <w:lang w:val="es-ES"/>
        </w:rPr>
      </w:pPr>
      <w:r w:rsidRPr="00976671">
        <w:rPr>
          <w:rFonts w:ascii="Arial" w:hAnsi="Arial" w:cs="Arial"/>
          <w:sz w:val="20"/>
          <w:szCs w:val="20"/>
          <w:lang w:val="es-ES"/>
        </w:rPr>
        <w:t>Antecedentes de haber presentado fractura de columna por clínica, a</w:t>
      </w:r>
      <w:r w:rsidR="00373CE8" w:rsidRPr="00976671">
        <w:rPr>
          <w:rFonts w:ascii="Arial" w:hAnsi="Arial" w:cs="Arial"/>
          <w:sz w:val="20"/>
          <w:szCs w:val="20"/>
          <w:lang w:val="es-ES"/>
        </w:rPr>
        <w:t>unque no haya sido documentada.</w:t>
      </w:r>
    </w:p>
    <w:p w14:paraId="3F63A5A4" w14:textId="1795211D" w:rsidR="00B02657" w:rsidRPr="00976671" w:rsidRDefault="00B02657" w:rsidP="00B02657">
      <w:pPr>
        <w:pStyle w:val="Prrafodelista"/>
        <w:numPr>
          <w:ilvl w:val="0"/>
          <w:numId w:val="11"/>
        </w:numPr>
        <w:spacing w:line="276" w:lineRule="auto"/>
        <w:jc w:val="both"/>
        <w:rPr>
          <w:rFonts w:ascii="Arial" w:hAnsi="Arial" w:cs="Arial"/>
          <w:sz w:val="20"/>
          <w:szCs w:val="20"/>
          <w:lang w:val="es-ES"/>
        </w:rPr>
      </w:pPr>
      <w:r w:rsidRPr="00976671">
        <w:rPr>
          <w:rFonts w:ascii="Arial" w:hAnsi="Arial" w:cs="Arial"/>
          <w:sz w:val="20"/>
          <w:szCs w:val="20"/>
          <w:lang w:val="es-ES"/>
        </w:rPr>
        <w:t>Terapia con glucocorticoides (&gt;</w:t>
      </w:r>
      <w:r w:rsidR="00D3499C" w:rsidRPr="00976671">
        <w:rPr>
          <w:rFonts w:ascii="Arial" w:hAnsi="Arial" w:cs="Arial"/>
          <w:sz w:val="20"/>
          <w:szCs w:val="20"/>
          <w:lang w:val="es-ES"/>
        </w:rPr>
        <w:t xml:space="preserve"> </w:t>
      </w:r>
      <w:proofErr w:type="spellStart"/>
      <w:r w:rsidRPr="00976671">
        <w:rPr>
          <w:rFonts w:ascii="Arial" w:hAnsi="Arial" w:cs="Arial"/>
          <w:sz w:val="20"/>
          <w:szCs w:val="20"/>
          <w:lang w:val="es-ES"/>
        </w:rPr>
        <w:t>5mg</w:t>
      </w:r>
      <w:proofErr w:type="spellEnd"/>
      <w:r w:rsidRPr="00976671">
        <w:rPr>
          <w:rFonts w:ascii="Arial" w:hAnsi="Arial" w:cs="Arial"/>
          <w:sz w:val="20"/>
          <w:szCs w:val="20"/>
          <w:lang w:val="es-ES"/>
        </w:rPr>
        <w:t xml:space="preserve">/día de </w:t>
      </w:r>
      <w:proofErr w:type="spellStart"/>
      <w:r w:rsidRPr="00976671">
        <w:rPr>
          <w:rFonts w:ascii="Arial" w:hAnsi="Arial" w:cs="Arial"/>
          <w:sz w:val="20"/>
          <w:szCs w:val="20"/>
          <w:lang w:val="es-ES"/>
        </w:rPr>
        <w:t>prednisolona</w:t>
      </w:r>
      <w:proofErr w:type="spellEnd"/>
      <w:r w:rsidRPr="00976671">
        <w:rPr>
          <w:rFonts w:ascii="Arial" w:hAnsi="Arial" w:cs="Arial"/>
          <w:sz w:val="20"/>
          <w:szCs w:val="20"/>
          <w:lang w:val="es-ES"/>
        </w:rPr>
        <w:t xml:space="preserve"> o su equ</w:t>
      </w:r>
      <w:r w:rsidR="00373CE8" w:rsidRPr="00976671">
        <w:rPr>
          <w:rFonts w:ascii="Arial" w:hAnsi="Arial" w:cs="Arial"/>
          <w:sz w:val="20"/>
          <w:szCs w:val="20"/>
          <w:lang w:val="es-ES"/>
        </w:rPr>
        <w:t>ivalente) al menos por 3 meses.</w:t>
      </w:r>
    </w:p>
    <w:p w14:paraId="6CD64CE2" w14:textId="35E34988" w:rsidR="00B02657" w:rsidRPr="00976671" w:rsidRDefault="00373CE8" w:rsidP="00B02657">
      <w:pPr>
        <w:pStyle w:val="Prrafodelista"/>
        <w:numPr>
          <w:ilvl w:val="0"/>
          <w:numId w:val="11"/>
        </w:numPr>
        <w:spacing w:line="276" w:lineRule="auto"/>
        <w:jc w:val="both"/>
        <w:rPr>
          <w:rFonts w:ascii="Arial" w:hAnsi="Arial" w:cs="Arial"/>
          <w:sz w:val="20"/>
          <w:szCs w:val="20"/>
          <w:lang w:val="es-ES"/>
        </w:rPr>
      </w:pPr>
      <w:proofErr w:type="spellStart"/>
      <w:r w:rsidRPr="00976671">
        <w:rPr>
          <w:rFonts w:ascii="Arial" w:hAnsi="Arial" w:cs="Arial"/>
          <w:sz w:val="20"/>
          <w:szCs w:val="20"/>
          <w:lang w:val="es-ES"/>
        </w:rPr>
        <w:t>Hipercifosis</w:t>
      </w:r>
      <w:proofErr w:type="spellEnd"/>
      <w:r w:rsidRPr="00976671">
        <w:rPr>
          <w:rFonts w:ascii="Arial" w:hAnsi="Arial" w:cs="Arial"/>
          <w:sz w:val="20"/>
          <w:szCs w:val="20"/>
          <w:lang w:val="es-ES"/>
        </w:rPr>
        <w:t>.</w:t>
      </w:r>
    </w:p>
    <w:p w14:paraId="74505ECD" w14:textId="784CA22B" w:rsidR="00B02657" w:rsidRPr="00976671" w:rsidRDefault="00B02657" w:rsidP="00B02657">
      <w:pPr>
        <w:pStyle w:val="Prrafodelista"/>
        <w:numPr>
          <w:ilvl w:val="0"/>
          <w:numId w:val="11"/>
        </w:numPr>
        <w:spacing w:line="276" w:lineRule="auto"/>
        <w:jc w:val="both"/>
        <w:rPr>
          <w:rFonts w:ascii="Arial" w:hAnsi="Arial" w:cs="Arial"/>
          <w:sz w:val="20"/>
          <w:szCs w:val="20"/>
          <w:lang w:val="es-ES"/>
        </w:rPr>
      </w:pPr>
      <w:r w:rsidRPr="00976671">
        <w:rPr>
          <w:rFonts w:ascii="Arial" w:hAnsi="Arial" w:cs="Arial"/>
          <w:sz w:val="20"/>
          <w:szCs w:val="20"/>
          <w:lang w:val="es-ES"/>
        </w:rPr>
        <w:t xml:space="preserve">Dolor en columna torácica o lumbar de más de 15 días de </w:t>
      </w:r>
      <w:r w:rsidR="00373CE8" w:rsidRPr="00976671">
        <w:rPr>
          <w:rFonts w:ascii="Arial" w:hAnsi="Arial" w:cs="Arial"/>
          <w:sz w:val="20"/>
          <w:szCs w:val="20"/>
          <w:lang w:val="es-ES"/>
        </w:rPr>
        <w:t>evolución sin causa aparente.</w:t>
      </w:r>
    </w:p>
    <w:p w14:paraId="4A51E378" w14:textId="77777777" w:rsidR="00B02657" w:rsidRPr="00976671" w:rsidRDefault="00B02657" w:rsidP="00B02657">
      <w:pPr>
        <w:pStyle w:val="Prrafodelista"/>
        <w:numPr>
          <w:ilvl w:val="0"/>
          <w:numId w:val="11"/>
        </w:numPr>
        <w:spacing w:line="276" w:lineRule="auto"/>
        <w:jc w:val="both"/>
        <w:rPr>
          <w:rFonts w:ascii="Arial" w:hAnsi="Arial" w:cs="Arial"/>
          <w:sz w:val="20"/>
          <w:szCs w:val="20"/>
          <w:lang w:val="es-ES"/>
        </w:rPr>
      </w:pPr>
      <w:r w:rsidRPr="00976671">
        <w:rPr>
          <w:rFonts w:ascii="Arial" w:hAnsi="Arial" w:cs="Arial"/>
          <w:sz w:val="20"/>
          <w:szCs w:val="20"/>
          <w:lang w:val="es-ES"/>
        </w:rPr>
        <w:t xml:space="preserve">Antecedentes de fractura de cadera secundaria a trauma de baja intensidad. </w:t>
      </w:r>
    </w:p>
    <w:p w14:paraId="42905C51" w14:textId="77777777" w:rsidR="00B02657" w:rsidRPr="00976671" w:rsidRDefault="00B02657" w:rsidP="00B02657">
      <w:pPr>
        <w:spacing w:line="276" w:lineRule="auto"/>
        <w:jc w:val="both"/>
        <w:rPr>
          <w:rFonts w:ascii="Arial" w:hAnsi="Arial" w:cs="Arial"/>
          <w:sz w:val="20"/>
          <w:szCs w:val="20"/>
          <w:lang w:val="es-ES"/>
        </w:rPr>
      </w:pPr>
      <w:r w:rsidRPr="00976671">
        <w:rPr>
          <w:rFonts w:ascii="Arial" w:hAnsi="Arial" w:cs="Arial"/>
          <w:sz w:val="20"/>
          <w:szCs w:val="20"/>
          <w:lang w:val="es-ES"/>
        </w:rPr>
        <w:t xml:space="preserve">Las radiografías simples de columna </w:t>
      </w:r>
      <w:proofErr w:type="spellStart"/>
      <w:r w:rsidRPr="00976671">
        <w:rPr>
          <w:rFonts w:ascii="Arial" w:hAnsi="Arial" w:cs="Arial"/>
          <w:sz w:val="20"/>
          <w:szCs w:val="20"/>
          <w:lang w:val="es-ES"/>
        </w:rPr>
        <w:t>toraco</w:t>
      </w:r>
      <w:proofErr w:type="spellEnd"/>
      <w:r w:rsidRPr="00976671">
        <w:rPr>
          <w:rFonts w:ascii="Arial" w:hAnsi="Arial" w:cs="Arial"/>
          <w:sz w:val="20"/>
          <w:szCs w:val="20"/>
          <w:lang w:val="es-ES"/>
        </w:rPr>
        <w:t xml:space="preserve">-lumbar no deben ser utilizadas como diagnóstico de osteoporosis si no están asociadas con fracturas de la columna. </w:t>
      </w:r>
    </w:p>
    <w:p w14:paraId="4ACC7839" w14:textId="42BDD5FC" w:rsidR="00B02657" w:rsidRPr="00976671" w:rsidRDefault="00E91277" w:rsidP="00E91277">
      <w:pPr>
        <w:spacing w:line="276" w:lineRule="auto"/>
        <w:jc w:val="both"/>
        <w:rPr>
          <w:rFonts w:ascii="Arial" w:hAnsi="Arial" w:cs="Arial"/>
          <w:sz w:val="20"/>
          <w:szCs w:val="20"/>
          <w:lang w:val="es-ES"/>
        </w:rPr>
      </w:pPr>
      <w:r w:rsidRPr="00976671">
        <w:rPr>
          <w:rFonts w:ascii="Arial" w:eastAsiaTheme="minorEastAsia" w:hAnsi="Arial" w:cs="Arial"/>
          <w:b/>
          <w:color w:val="101010"/>
          <w:sz w:val="20"/>
          <w:szCs w:val="20"/>
          <w:lang w:val="es-ES" w:eastAsia="es-ES"/>
        </w:rPr>
        <w:t xml:space="preserve">El </w:t>
      </w:r>
      <w:r w:rsidR="00B02657" w:rsidRPr="00976671">
        <w:rPr>
          <w:rFonts w:ascii="Arial" w:eastAsiaTheme="minorEastAsia" w:hAnsi="Arial" w:cs="Arial"/>
          <w:b/>
          <w:color w:val="101010"/>
          <w:sz w:val="20"/>
          <w:szCs w:val="20"/>
          <w:lang w:val="es-ES" w:eastAsia="es-ES"/>
        </w:rPr>
        <w:t xml:space="preserve">Trabecular </w:t>
      </w:r>
      <w:proofErr w:type="spellStart"/>
      <w:r w:rsidR="00B02657" w:rsidRPr="00976671">
        <w:rPr>
          <w:rFonts w:ascii="Arial" w:eastAsiaTheme="minorEastAsia" w:hAnsi="Arial" w:cs="Arial"/>
          <w:b/>
          <w:color w:val="101010"/>
          <w:sz w:val="20"/>
          <w:szCs w:val="20"/>
          <w:lang w:val="es-ES" w:eastAsia="es-ES"/>
        </w:rPr>
        <w:t>Bone</w:t>
      </w:r>
      <w:proofErr w:type="spellEnd"/>
      <w:r w:rsidR="00B02657" w:rsidRPr="00976671">
        <w:rPr>
          <w:rFonts w:ascii="Arial" w:eastAsiaTheme="minorEastAsia" w:hAnsi="Arial" w:cs="Arial"/>
          <w:b/>
          <w:color w:val="101010"/>
          <w:sz w:val="20"/>
          <w:szCs w:val="20"/>
          <w:lang w:val="es-ES" w:eastAsia="es-ES"/>
        </w:rPr>
        <w:t xml:space="preserve"> Score (</w:t>
      </w:r>
      <w:proofErr w:type="spellStart"/>
      <w:r w:rsidR="00B02657" w:rsidRPr="00976671">
        <w:rPr>
          <w:rFonts w:ascii="Arial" w:eastAsiaTheme="minorEastAsia" w:hAnsi="Arial" w:cs="Arial"/>
          <w:b/>
          <w:color w:val="101010"/>
          <w:sz w:val="20"/>
          <w:szCs w:val="20"/>
          <w:lang w:val="es-ES" w:eastAsia="es-ES"/>
        </w:rPr>
        <w:t>TBS</w:t>
      </w:r>
      <w:proofErr w:type="spellEnd"/>
      <w:r w:rsidR="00B02657" w:rsidRPr="00976671">
        <w:rPr>
          <w:rFonts w:ascii="Arial" w:eastAsiaTheme="minorEastAsia" w:hAnsi="Arial" w:cs="Arial"/>
          <w:b/>
          <w:color w:val="101010"/>
          <w:sz w:val="20"/>
          <w:szCs w:val="20"/>
          <w:lang w:val="es-ES" w:eastAsia="es-ES"/>
        </w:rPr>
        <w:t>) Puntuación de Hueso trabecular</w:t>
      </w:r>
      <w:r w:rsidR="00D3499C" w:rsidRPr="00976671">
        <w:rPr>
          <w:rFonts w:ascii="Arial" w:eastAsiaTheme="minorEastAsia" w:hAnsi="Arial" w:cs="Arial"/>
          <w:b/>
          <w:color w:val="101010"/>
          <w:sz w:val="20"/>
          <w:szCs w:val="20"/>
          <w:lang w:val="es-ES" w:eastAsia="es-ES"/>
        </w:rPr>
        <w:t>:</w:t>
      </w:r>
      <w:r w:rsidRPr="00976671">
        <w:rPr>
          <w:rFonts w:ascii="Arial" w:hAnsi="Arial" w:cs="Arial"/>
          <w:sz w:val="20"/>
          <w:szCs w:val="20"/>
          <w:lang w:val="es-ES"/>
        </w:rPr>
        <w:t xml:space="preserve"> </w:t>
      </w:r>
      <w:r w:rsidR="00B02657" w:rsidRPr="00976671">
        <w:rPr>
          <w:rFonts w:ascii="Arial" w:eastAsiaTheme="minorEastAsia" w:hAnsi="Arial" w:cs="Arial"/>
          <w:sz w:val="20"/>
          <w:szCs w:val="20"/>
          <w:lang w:val="es-ES" w:eastAsia="es-ES"/>
        </w:rPr>
        <w:t>es un método no invasivo y no estandarizado en nuestra población que evalúa la micro-arquitectura ósea, en combinación con la DMO; aumenta la sensibilidad de det</w:t>
      </w:r>
      <w:r w:rsidRPr="00976671">
        <w:rPr>
          <w:rFonts w:ascii="Arial" w:eastAsiaTheme="minorEastAsia" w:hAnsi="Arial" w:cs="Arial"/>
          <w:sz w:val="20"/>
          <w:szCs w:val="20"/>
          <w:lang w:val="es-ES" w:eastAsia="es-ES"/>
        </w:rPr>
        <w:t>ección del riesgo de fractura</w:t>
      </w:r>
      <w:r w:rsidR="00B02657" w:rsidRPr="00976671">
        <w:rPr>
          <w:rFonts w:ascii="Arial" w:hAnsi="Arial" w:cs="Arial"/>
          <w:sz w:val="20"/>
          <w:szCs w:val="20"/>
        </w:rPr>
        <w:t>.</w:t>
      </w:r>
    </w:p>
    <w:p w14:paraId="267F2A6C" w14:textId="77777777" w:rsidR="004F7B8D" w:rsidRPr="00976671" w:rsidRDefault="004F7B8D" w:rsidP="00C44AB3">
      <w:pPr>
        <w:shd w:val="clear" w:color="auto" w:fill="FFFFFF"/>
        <w:spacing w:after="0" w:line="276" w:lineRule="auto"/>
        <w:jc w:val="both"/>
        <w:rPr>
          <w:rFonts w:ascii="Arial" w:eastAsia="Times New Roman" w:hAnsi="Arial" w:cs="Arial"/>
          <w:color w:val="000000"/>
          <w:sz w:val="20"/>
          <w:szCs w:val="20"/>
        </w:rPr>
      </w:pPr>
    </w:p>
    <w:p w14:paraId="1189E463" w14:textId="5593665D" w:rsidR="00C44AB3" w:rsidRPr="00976671" w:rsidRDefault="00D3499C" w:rsidP="00D3499C">
      <w:pPr>
        <w:pStyle w:val="Prrafodelista"/>
        <w:numPr>
          <w:ilvl w:val="0"/>
          <w:numId w:val="41"/>
        </w:numPr>
        <w:spacing w:line="276" w:lineRule="auto"/>
        <w:jc w:val="both"/>
        <w:rPr>
          <w:rFonts w:ascii="Arial" w:eastAsia="Times New Roman" w:hAnsi="Arial" w:cs="Arial"/>
          <w:b/>
          <w:color w:val="000000" w:themeColor="text1"/>
          <w:sz w:val="20"/>
          <w:szCs w:val="20"/>
        </w:rPr>
      </w:pPr>
      <w:r w:rsidRPr="00976671">
        <w:rPr>
          <w:rFonts w:ascii="Arial" w:eastAsia="Times New Roman" w:hAnsi="Arial" w:cs="Arial"/>
          <w:b/>
          <w:color w:val="000000" w:themeColor="text1"/>
          <w:sz w:val="20"/>
          <w:szCs w:val="20"/>
        </w:rPr>
        <w:t>¿Cuáles son los p</w:t>
      </w:r>
      <w:r w:rsidR="00C44AB3" w:rsidRPr="00976671">
        <w:rPr>
          <w:rFonts w:ascii="Arial" w:eastAsia="Times New Roman" w:hAnsi="Arial" w:cs="Arial"/>
          <w:b/>
          <w:color w:val="000000" w:themeColor="text1"/>
          <w:sz w:val="20"/>
          <w:szCs w:val="20"/>
        </w:rPr>
        <w:t>aracl</w:t>
      </w:r>
      <w:r w:rsidRPr="00976671">
        <w:rPr>
          <w:rFonts w:ascii="Arial" w:eastAsia="Times New Roman" w:hAnsi="Arial" w:cs="Arial"/>
          <w:b/>
          <w:color w:val="000000" w:themeColor="text1"/>
          <w:sz w:val="20"/>
          <w:szCs w:val="20"/>
        </w:rPr>
        <w:t>ínicos básicos en osteoporosis?</w:t>
      </w:r>
    </w:p>
    <w:p w14:paraId="0C99A6AE" w14:textId="77777777" w:rsidR="007B038F" w:rsidRPr="00976671" w:rsidRDefault="007B038F" w:rsidP="007B038F">
      <w:pPr>
        <w:spacing w:line="276" w:lineRule="auto"/>
        <w:jc w:val="both"/>
        <w:rPr>
          <w:rFonts w:ascii="Arial" w:hAnsi="Arial" w:cs="Arial"/>
          <w:sz w:val="20"/>
          <w:szCs w:val="20"/>
        </w:rPr>
      </w:pPr>
      <w:r w:rsidRPr="00976671">
        <w:rPr>
          <w:rFonts w:ascii="Arial" w:hAnsi="Arial" w:cs="Arial"/>
          <w:sz w:val="20"/>
          <w:szCs w:val="20"/>
        </w:rPr>
        <w:t>Las pruebas de laboratorio comúnmente incluidas en una evaluación de un diagnóstico diferencial de osteoporosis se clasifican en dos grupos:</w:t>
      </w:r>
    </w:p>
    <w:p w14:paraId="7D9C0D0A" w14:textId="77777777" w:rsidR="007B038F" w:rsidRPr="00976671" w:rsidRDefault="007B038F" w:rsidP="007B038F">
      <w:pPr>
        <w:spacing w:line="276" w:lineRule="auto"/>
        <w:jc w:val="both"/>
        <w:rPr>
          <w:rFonts w:ascii="Arial" w:hAnsi="Arial" w:cs="Arial"/>
          <w:sz w:val="20"/>
          <w:szCs w:val="20"/>
        </w:rPr>
      </w:pPr>
      <w:r w:rsidRPr="00976671">
        <w:rPr>
          <w:rFonts w:ascii="Arial" w:hAnsi="Arial" w:cs="Arial"/>
          <w:sz w:val="20"/>
          <w:szCs w:val="20"/>
        </w:rPr>
        <w:t xml:space="preserve">1. </w:t>
      </w:r>
      <w:r w:rsidRPr="00976671">
        <w:rPr>
          <w:rFonts w:ascii="Arial" w:hAnsi="Arial" w:cs="Arial"/>
          <w:sz w:val="20"/>
          <w:szCs w:val="20"/>
          <w:u w:val="single"/>
        </w:rPr>
        <w:t>Los exámenes de primer nivel incluyen:</w:t>
      </w:r>
    </w:p>
    <w:p w14:paraId="66AD42CC" w14:textId="1C9230D2" w:rsidR="007B038F" w:rsidRPr="00976671" w:rsidRDefault="007B038F" w:rsidP="007B038F">
      <w:pPr>
        <w:pStyle w:val="Prrafodelista"/>
        <w:numPr>
          <w:ilvl w:val="0"/>
          <w:numId w:val="18"/>
        </w:numPr>
        <w:spacing w:line="276" w:lineRule="auto"/>
        <w:jc w:val="both"/>
        <w:rPr>
          <w:rFonts w:ascii="Arial" w:hAnsi="Arial" w:cs="Arial"/>
          <w:sz w:val="20"/>
          <w:szCs w:val="20"/>
        </w:rPr>
      </w:pPr>
      <w:r w:rsidRPr="00976671">
        <w:rPr>
          <w:rFonts w:ascii="Arial" w:hAnsi="Arial" w:cs="Arial"/>
          <w:sz w:val="20"/>
          <w:szCs w:val="20"/>
        </w:rPr>
        <w:t>Recuento de células sanguíneas</w:t>
      </w:r>
      <w:r w:rsidR="00D3499C" w:rsidRPr="00976671">
        <w:rPr>
          <w:rFonts w:ascii="Arial" w:hAnsi="Arial" w:cs="Arial"/>
          <w:sz w:val="20"/>
          <w:szCs w:val="20"/>
        </w:rPr>
        <w:t>.</w:t>
      </w:r>
    </w:p>
    <w:p w14:paraId="1FE88A37" w14:textId="2F67B8B0" w:rsidR="007B038F" w:rsidRPr="00976671" w:rsidRDefault="007B038F" w:rsidP="007B038F">
      <w:pPr>
        <w:pStyle w:val="Prrafodelista"/>
        <w:numPr>
          <w:ilvl w:val="0"/>
          <w:numId w:val="18"/>
        </w:numPr>
        <w:spacing w:line="276" w:lineRule="auto"/>
        <w:jc w:val="both"/>
        <w:rPr>
          <w:rFonts w:ascii="Arial" w:hAnsi="Arial" w:cs="Arial"/>
          <w:sz w:val="20"/>
          <w:szCs w:val="20"/>
        </w:rPr>
      </w:pPr>
      <w:r w:rsidRPr="00976671">
        <w:rPr>
          <w:rFonts w:ascii="Arial" w:hAnsi="Arial" w:cs="Arial"/>
          <w:sz w:val="20"/>
          <w:szCs w:val="20"/>
        </w:rPr>
        <w:t>Velocidad de sedimentación globular</w:t>
      </w:r>
      <w:r w:rsidR="00D3499C" w:rsidRPr="00976671">
        <w:rPr>
          <w:rFonts w:ascii="Arial" w:hAnsi="Arial" w:cs="Arial"/>
          <w:sz w:val="20"/>
          <w:szCs w:val="20"/>
        </w:rPr>
        <w:t>.</w:t>
      </w:r>
    </w:p>
    <w:p w14:paraId="370B2E5B" w14:textId="5D95378F" w:rsidR="007B038F" w:rsidRPr="00976671" w:rsidRDefault="007B038F" w:rsidP="007B038F">
      <w:pPr>
        <w:pStyle w:val="Prrafodelista"/>
        <w:numPr>
          <w:ilvl w:val="0"/>
          <w:numId w:val="18"/>
        </w:numPr>
        <w:spacing w:line="276" w:lineRule="auto"/>
        <w:jc w:val="both"/>
        <w:rPr>
          <w:rFonts w:ascii="Arial" w:hAnsi="Arial" w:cs="Arial"/>
          <w:sz w:val="20"/>
          <w:szCs w:val="20"/>
        </w:rPr>
      </w:pPr>
      <w:r w:rsidRPr="00976671">
        <w:rPr>
          <w:rFonts w:ascii="Arial" w:hAnsi="Arial" w:cs="Arial"/>
          <w:sz w:val="20"/>
          <w:szCs w:val="20"/>
        </w:rPr>
        <w:t>Calcio sérico (corregido para la albúmina)</w:t>
      </w:r>
      <w:r w:rsidR="00D3499C" w:rsidRPr="00976671">
        <w:rPr>
          <w:rFonts w:ascii="Arial" w:hAnsi="Arial" w:cs="Arial"/>
          <w:sz w:val="20"/>
          <w:szCs w:val="20"/>
        </w:rPr>
        <w:t>.</w:t>
      </w:r>
    </w:p>
    <w:p w14:paraId="42FE32BF" w14:textId="39250DF5" w:rsidR="007B038F" w:rsidRPr="00976671" w:rsidRDefault="007B038F" w:rsidP="007B038F">
      <w:pPr>
        <w:pStyle w:val="Prrafodelista"/>
        <w:numPr>
          <w:ilvl w:val="0"/>
          <w:numId w:val="18"/>
        </w:numPr>
        <w:spacing w:line="276" w:lineRule="auto"/>
        <w:jc w:val="both"/>
        <w:rPr>
          <w:rFonts w:ascii="Arial" w:hAnsi="Arial" w:cs="Arial"/>
          <w:sz w:val="20"/>
          <w:szCs w:val="20"/>
        </w:rPr>
      </w:pPr>
      <w:r w:rsidRPr="00976671">
        <w:rPr>
          <w:rFonts w:ascii="Arial" w:hAnsi="Arial" w:cs="Arial"/>
          <w:sz w:val="20"/>
          <w:szCs w:val="20"/>
        </w:rPr>
        <w:t>Fosfato sérico</w:t>
      </w:r>
      <w:r w:rsidR="00D3499C" w:rsidRPr="00976671">
        <w:rPr>
          <w:rFonts w:ascii="Arial" w:hAnsi="Arial" w:cs="Arial"/>
          <w:sz w:val="20"/>
          <w:szCs w:val="20"/>
        </w:rPr>
        <w:t>.</w:t>
      </w:r>
    </w:p>
    <w:p w14:paraId="2CEDB37D" w14:textId="77777777" w:rsidR="007B038F" w:rsidRPr="00976671" w:rsidRDefault="007B038F" w:rsidP="007B038F">
      <w:pPr>
        <w:pStyle w:val="Prrafodelista"/>
        <w:numPr>
          <w:ilvl w:val="0"/>
          <w:numId w:val="18"/>
        </w:numPr>
        <w:spacing w:line="276" w:lineRule="auto"/>
        <w:jc w:val="both"/>
        <w:rPr>
          <w:rFonts w:ascii="Arial" w:hAnsi="Arial" w:cs="Arial"/>
          <w:sz w:val="20"/>
          <w:szCs w:val="20"/>
        </w:rPr>
      </w:pPr>
      <w:r w:rsidRPr="00976671">
        <w:rPr>
          <w:rFonts w:ascii="Arial" w:hAnsi="Arial" w:cs="Arial"/>
          <w:sz w:val="20"/>
          <w:szCs w:val="20"/>
        </w:rPr>
        <w:t>Electroforesis de proteínas séricas.</w:t>
      </w:r>
    </w:p>
    <w:p w14:paraId="360B7DAE" w14:textId="323D0E51" w:rsidR="007B038F" w:rsidRPr="00976671" w:rsidRDefault="007B038F" w:rsidP="007B038F">
      <w:pPr>
        <w:pStyle w:val="Prrafodelista"/>
        <w:numPr>
          <w:ilvl w:val="0"/>
          <w:numId w:val="18"/>
        </w:numPr>
        <w:spacing w:line="276" w:lineRule="auto"/>
        <w:jc w:val="both"/>
        <w:rPr>
          <w:rFonts w:ascii="Arial" w:hAnsi="Arial" w:cs="Arial"/>
          <w:sz w:val="20"/>
          <w:szCs w:val="20"/>
        </w:rPr>
      </w:pPr>
      <w:r w:rsidRPr="00976671">
        <w:rPr>
          <w:rFonts w:ascii="Arial" w:hAnsi="Arial" w:cs="Arial"/>
          <w:sz w:val="20"/>
          <w:szCs w:val="20"/>
        </w:rPr>
        <w:t xml:space="preserve">Creatinina </w:t>
      </w:r>
      <w:r w:rsidR="00D3499C" w:rsidRPr="00976671">
        <w:rPr>
          <w:rFonts w:ascii="Arial" w:hAnsi="Arial" w:cs="Arial"/>
          <w:sz w:val="20"/>
          <w:szCs w:val="20"/>
        </w:rPr>
        <w:t>sérica.</w:t>
      </w:r>
    </w:p>
    <w:p w14:paraId="71E149AF" w14:textId="6B5AFC69" w:rsidR="007B038F" w:rsidRPr="00976671" w:rsidRDefault="007B038F" w:rsidP="007B038F">
      <w:pPr>
        <w:pStyle w:val="Prrafodelista"/>
        <w:numPr>
          <w:ilvl w:val="0"/>
          <w:numId w:val="18"/>
        </w:numPr>
        <w:spacing w:line="276" w:lineRule="auto"/>
        <w:jc w:val="both"/>
        <w:rPr>
          <w:rFonts w:ascii="Arial" w:hAnsi="Arial" w:cs="Arial"/>
          <w:sz w:val="20"/>
          <w:szCs w:val="20"/>
        </w:rPr>
      </w:pPr>
      <w:r w:rsidRPr="00976671">
        <w:rPr>
          <w:rFonts w:ascii="Arial" w:hAnsi="Arial" w:cs="Arial"/>
          <w:sz w:val="20"/>
          <w:szCs w:val="20"/>
        </w:rPr>
        <w:t>Fosfatasa alcalina</w:t>
      </w:r>
      <w:r w:rsidR="00D3499C" w:rsidRPr="00976671">
        <w:rPr>
          <w:rFonts w:ascii="Arial" w:hAnsi="Arial" w:cs="Arial"/>
          <w:sz w:val="20"/>
          <w:szCs w:val="20"/>
        </w:rPr>
        <w:t>.</w:t>
      </w:r>
    </w:p>
    <w:p w14:paraId="6AD4B7BB" w14:textId="77777777" w:rsidR="007B038F" w:rsidRPr="00976671" w:rsidRDefault="007B038F" w:rsidP="007B038F">
      <w:pPr>
        <w:pStyle w:val="Prrafodelista"/>
        <w:numPr>
          <w:ilvl w:val="0"/>
          <w:numId w:val="18"/>
        </w:numPr>
        <w:spacing w:line="276" w:lineRule="auto"/>
        <w:jc w:val="both"/>
        <w:rPr>
          <w:rFonts w:ascii="Arial" w:hAnsi="Arial" w:cs="Arial"/>
          <w:sz w:val="20"/>
          <w:szCs w:val="20"/>
        </w:rPr>
      </w:pPr>
      <w:r w:rsidRPr="00976671">
        <w:rPr>
          <w:rFonts w:ascii="Arial" w:hAnsi="Arial" w:cs="Arial"/>
          <w:sz w:val="20"/>
          <w:szCs w:val="20"/>
        </w:rPr>
        <w:t>Calcio urinario (en orina de 24 h).</w:t>
      </w:r>
    </w:p>
    <w:p w14:paraId="7D997631" w14:textId="2413FB59" w:rsidR="007B038F" w:rsidRPr="00976671" w:rsidRDefault="007B038F" w:rsidP="007B038F">
      <w:pPr>
        <w:spacing w:line="276" w:lineRule="auto"/>
        <w:jc w:val="both"/>
        <w:rPr>
          <w:rFonts w:ascii="Arial" w:hAnsi="Arial" w:cs="Arial"/>
          <w:sz w:val="20"/>
          <w:szCs w:val="20"/>
        </w:rPr>
      </w:pPr>
      <w:r w:rsidRPr="00976671">
        <w:rPr>
          <w:rFonts w:ascii="Arial" w:hAnsi="Arial" w:cs="Arial"/>
          <w:sz w:val="20"/>
          <w:szCs w:val="20"/>
        </w:rPr>
        <w:t xml:space="preserve">En mujeres posmenopáusicas asintomáticas con osteoporosis, se ha demostrado que esta primera detección detecta más del 90% de las causas secundarias de pérdida </w:t>
      </w:r>
      <w:r w:rsidR="00D3499C" w:rsidRPr="00976671">
        <w:rPr>
          <w:rFonts w:ascii="Arial" w:hAnsi="Arial" w:cs="Arial"/>
          <w:sz w:val="20"/>
          <w:szCs w:val="20"/>
        </w:rPr>
        <w:t xml:space="preserve">ósea. </w:t>
      </w:r>
    </w:p>
    <w:p w14:paraId="03584059" w14:textId="77777777" w:rsidR="007B038F" w:rsidRPr="00976671" w:rsidRDefault="007B038F" w:rsidP="007B038F">
      <w:pPr>
        <w:spacing w:line="276" w:lineRule="auto"/>
        <w:jc w:val="both"/>
        <w:rPr>
          <w:rFonts w:ascii="Arial" w:hAnsi="Arial" w:cs="Arial"/>
          <w:sz w:val="20"/>
          <w:szCs w:val="20"/>
        </w:rPr>
      </w:pPr>
      <w:r w:rsidRPr="00976671">
        <w:rPr>
          <w:rFonts w:ascii="Arial" w:hAnsi="Arial" w:cs="Arial"/>
          <w:sz w:val="20"/>
          <w:szCs w:val="20"/>
        </w:rPr>
        <w:t xml:space="preserve">2. </w:t>
      </w:r>
      <w:r w:rsidRPr="00976671">
        <w:rPr>
          <w:rFonts w:ascii="Arial" w:hAnsi="Arial" w:cs="Arial"/>
          <w:sz w:val="20"/>
          <w:szCs w:val="20"/>
          <w:u w:val="single"/>
        </w:rPr>
        <w:t>Los exámenes de segundo nivel incluyen:</w:t>
      </w:r>
    </w:p>
    <w:p w14:paraId="6BA94443" w14:textId="5AC96E99" w:rsidR="007B038F" w:rsidRPr="00976671" w:rsidRDefault="007B038F" w:rsidP="007B038F">
      <w:pPr>
        <w:pStyle w:val="Prrafodelista"/>
        <w:numPr>
          <w:ilvl w:val="0"/>
          <w:numId w:val="19"/>
        </w:numPr>
        <w:spacing w:line="276" w:lineRule="auto"/>
        <w:jc w:val="both"/>
        <w:rPr>
          <w:rFonts w:ascii="Arial" w:hAnsi="Arial" w:cs="Arial"/>
          <w:sz w:val="20"/>
          <w:szCs w:val="20"/>
        </w:rPr>
      </w:pPr>
      <w:r w:rsidRPr="00976671">
        <w:rPr>
          <w:rFonts w:ascii="Arial" w:hAnsi="Arial" w:cs="Arial"/>
          <w:sz w:val="20"/>
          <w:szCs w:val="20"/>
        </w:rPr>
        <w:t>25-hidroxi-vitamina D</w:t>
      </w:r>
      <w:r w:rsidR="00D3499C" w:rsidRPr="00976671">
        <w:rPr>
          <w:rFonts w:ascii="Arial" w:hAnsi="Arial" w:cs="Arial"/>
          <w:sz w:val="20"/>
          <w:szCs w:val="20"/>
        </w:rPr>
        <w:t>.</w:t>
      </w:r>
    </w:p>
    <w:p w14:paraId="57ACA571" w14:textId="7CA4BF24" w:rsidR="007B038F" w:rsidRPr="00976671" w:rsidRDefault="007B038F" w:rsidP="007B038F">
      <w:pPr>
        <w:pStyle w:val="Prrafodelista"/>
        <w:numPr>
          <w:ilvl w:val="0"/>
          <w:numId w:val="19"/>
        </w:numPr>
        <w:spacing w:line="276" w:lineRule="auto"/>
        <w:jc w:val="both"/>
        <w:rPr>
          <w:rFonts w:ascii="Arial" w:hAnsi="Arial" w:cs="Arial"/>
          <w:sz w:val="20"/>
          <w:szCs w:val="20"/>
        </w:rPr>
      </w:pPr>
      <w:r w:rsidRPr="00976671">
        <w:rPr>
          <w:rFonts w:ascii="Arial" w:hAnsi="Arial" w:cs="Arial"/>
          <w:sz w:val="20"/>
          <w:szCs w:val="20"/>
        </w:rPr>
        <w:t>Hormona estimulante de la tiroides (TSH)</w:t>
      </w:r>
      <w:r w:rsidR="00D3499C" w:rsidRPr="00976671">
        <w:rPr>
          <w:rFonts w:ascii="Arial" w:hAnsi="Arial" w:cs="Arial"/>
          <w:sz w:val="20"/>
          <w:szCs w:val="20"/>
        </w:rPr>
        <w:t>.</w:t>
      </w:r>
    </w:p>
    <w:p w14:paraId="1553B77F" w14:textId="5745C6EE" w:rsidR="007B038F" w:rsidRPr="00976671" w:rsidRDefault="007B038F" w:rsidP="007B038F">
      <w:pPr>
        <w:pStyle w:val="Prrafodelista"/>
        <w:numPr>
          <w:ilvl w:val="0"/>
          <w:numId w:val="19"/>
        </w:numPr>
        <w:spacing w:line="276" w:lineRule="auto"/>
        <w:jc w:val="both"/>
        <w:rPr>
          <w:rFonts w:ascii="Arial" w:hAnsi="Arial" w:cs="Arial"/>
          <w:sz w:val="20"/>
          <w:szCs w:val="20"/>
        </w:rPr>
      </w:pPr>
      <w:r w:rsidRPr="00976671">
        <w:rPr>
          <w:rFonts w:ascii="Arial" w:hAnsi="Arial" w:cs="Arial"/>
          <w:sz w:val="20"/>
          <w:szCs w:val="20"/>
        </w:rPr>
        <w:t>Hormona paratiroidea (PTH)</w:t>
      </w:r>
      <w:r w:rsidR="00D3499C" w:rsidRPr="00976671">
        <w:rPr>
          <w:rFonts w:ascii="Arial" w:hAnsi="Arial" w:cs="Arial"/>
          <w:sz w:val="20"/>
          <w:szCs w:val="20"/>
        </w:rPr>
        <w:t>.</w:t>
      </w:r>
    </w:p>
    <w:p w14:paraId="47B335A3" w14:textId="2AED863C" w:rsidR="007B038F" w:rsidRPr="00976671" w:rsidRDefault="007B038F" w:rsidP="007B038F">
      <w:pPr>
        <w:pStyle w:val="Prrafodelista"/>
        <w:numPr>
          <w:ilvl w:val="0"/>
          <w:numId w:val="19"/>
        </w:numPr>
        <w:spacing w:line="276" w:lineRule="auto"/>
        <w:jc w:val="both"/>
        <w:rPr>
          <w:rFonts w:ascii="Arial" w:hAnsi="Arial" w:cs="Arial"/>
          <w:sz w:val="20"/>
          <w:szCs w:val="20"/>
        </w:rPr>
      </w:pPr>
      <w:r w:rsidRPr="00976671">
        <w:rPr>
          <w:rFonts w:ascii="Arial" w:hAnsi="Arial" w:cs="Arial"/>
          <w:sz w:val="20"/>
          <w:szCs w:val="20"/>
        </w:rPr>
        <w:t>Calcio ionizado</w:t>
      </w:r>
      <w:r w:rsidR="00D3499C" w:rsidRPr="00976671">
        <w:rPr>
          <w:rFonts w:ascii="Arial" w:hAnsi="Arial" w:cs="Arial"/>
          <w:sz w:val="20"/>
          <w:szCs w:val="20"/>
        </w:rPr>
        <w:t>.</w:t>
      </w:r>
    </w:p>
    <w:p w14:paraId="411D9863" w14:textId="7543633E" w:rsidR="007B038F" w:rsidRPr="00976671" w:rsidRDefault="007B038F" w:rsidP="007B038F">
      <w:pPr>
        <w:pStyle w:val="Prrafodelista"/>
        <w:numPr>
          <w:ilvl w:val="0"/>
          <w:numId w:val="19"/>
        </w:numPr>
        <w:spacing w:line="276" w:lineRule="auto"/>
        <w:jc w:val="both"/>
        <w:rPr>
          <w:rFonts w:ascii="Arial" w:hAnsi="Arial" w:cs="Arial"/>
          <w:sz w:val="20"/>
          <w:szCs w:val="20"/>
        </w:rPr>
      </w:pPr>
      <w:r w:rsidRPr="00976671">
        <w:rPr>
          <w:rFonts w:ascii="Arial" w:hAnsi="Arial" w:cs="Arial"/>
          <w:sz w:val="20"/>
          <w:szCs w:val="20"/>
        </w:rPr>
        <w:t xml:space="preserve">Anticuerpos anti-tejido </w:t>
      </w:r>
      <w:proofErr w:type="spellStart"/>
      <w:r w:rsidRPr="00976671">
        <w:rPr>
          <w:rFonts w:ascii="Arial" w:hAnsi="Arial" w:cs="Arial"/>
          <w:sz w:val="20"/>
          <w:szCs w:val="20"/>
        </w:rPr>
        <w:t>transglutaminasa</w:t>
      </w:r>
      <w:proofErr w:type="spellEnd"/>
      <w:r w:rsidR="00D3499C" w:rsidRPr="00976671">
        <w:rPr>
          <w:rFonts w:ascii="Arial" w:hAnsi="Arial" w:cs="Arial"/>
          <w:sz w:val="20"/>
          <w:szCs w:val="20"/>
        </w:rPr>
        <w:t>.</w:t>
      </w:r>
    </w:p>
    <w:p w14:paraId="276BF691" w14:textId="35432B40" w:rsidR="007B038F" w:rsidRPr="00976671" w:rsidRDefault="007B038F" w:rsidP="007B038F">
      <w:pPr>
        <w:pStyle w:val="Prrafodelista"/>
        <w:numPr>
          <w:ilvl w:val="0"/>
          <w:numId w:val="19"/>
        </w:numPr>
        <w:spacing w:line="276" w:lineRule="auto"/>
        <w:jc w:val="both"/>
        <w:rPr>
          <w:rFonts w:ascii="Arial" w:hAnsi="Arial" w:cs="Arial"/>
          <w:sz w:val="20"/>
          <w:szCs w:val="20"/>
        </w:rPr>
      </w:pPr>
      <w:r w:rsidRPr="00976671">
        <w:rPr>
          <w:rFonts w:ascii="Arial" w:hAnsi="Arial" w:cs="Arial"/>
          <w:sz w:val="20"/>
          <w:szCs w:val="20"/>
        </w:rPr>
        <w:t xml:space="preserve">Cortisol libre en orina, supresión de cortisol sérico después de 1 mg de </w:t>
      </w:r>
      <w:proofErr w:type="spellStart"/>
      <w:r w:rsidRPr="00976671">
        <w:rPr>
          <w:rFonts w:ascii="Arial" w:hAnsi="Arial" w:cs="Arial"/>
          <w:sz w:val="20"/>
          <w:szCs w:val="20"/>
        </w:rPr>
        <w:t>dexametasona</w:t>
      </w:r>
      <w:proofErr w:type="spellEnd"/>
      <w:r w:rsidR="00D3499C" w:rsidRPr="00976671">
        <w:rPr>
          <w:rFonts w:ascii="Arial" w:hAnsi="Arial" w:cs="Arial"/>
          <w:sz w:val="20"/>
          <w:szCs w:val="20"/>
        </w:rPr>
        <w:t>.</w:t>
      </w:r>
      <w:r w:rsidRPr="00976671">
        <w:rPr>
          <w:rFonts w:ascii="Arial" w:hAnsi="Arial" w:cs="Arial"/>
          <w:sz w:val="20"/>
          <w:szCs w:val="20"/>
        </w:rPr>
        <w:t xml:space="preserve"> </w:t>
      </w:r>
    </w:p>
    <w:p w14:paraId="73DEE207" w14:textId="6CDEF51D" w:rsidR="007B038F" w:rsidRPr="00976671" w:rsidRDefault="007B038F" w:rsidP="007B038F">
      <w:pPr>
        <w:pStyle w:val="Prrafodelista"/>
        <w:numPr>
          <w:ilvl w:val="0"/>
          <w:numId w:val="19"/>
        </w:numPr>
        <w:spacing w:line="276" w:lineRule="auto"/>
        <w:jc w:val="both"/>
        <w:rPr>
          <w:rFonts w:ascii="Arial" w:hAnsi="Arial" w:cs="Arial"/>
          <w:sz w:val="20"/>
          <w:szCs w:val="20"/>
        </w:rPr>
      </w:pPr>
      <w:r w:rsidRPr="00976671">
        <w:rPr>
          <w:rFonts w:ascii="Arial" w:hAnsi="Arial" w:cs="Arial"/>
          <w:sz w:val="20"/>
          <w:szCs w:val="20"/>
        </w:rPr>
        <w:t>Testosterona sérica y SHBG (en hombres)</w:t>
      </w:r>
      <w:r w:rsidR="00D3499C" w:rsidRPr="00976671">
        <w:rPr>
          <w:rFonts w:ascii="Arial" w:hAnsi="Arial" w:cs="Arial"/>
          <w:sz w:val="20"/>
          <w:szCs w:val="20"/>
        </w:rPr>
        <w:t>.</w:t>
      </w:r>
    </w:p>
    <w:p w14:paraId="48922014" w14:textId="406E4296" w:rsidR="007B038F" w:rsidRPr="00976671" w:rsidRDefault="007B038F" w:rsidP="007B038F">
      <w:pPr>
        <w:pStyle w:val="Prrafodelista"/>
        <w:numPr>
          <w:ilvl w:val="0"/>
          <w:numId w:val="19"/>
        </w:numPr>
        <w:spacing w:line="276" w:lineRule="auto"/>
        <w:jc w:val="both"/>
        <w:rPr>
          <w:rFonts w:ascii="Arial" w:hAnsi="Arial" w:cs="Arial"/>
          <w:sz w:val="20"/>
          <w:szCs w:val="20"/>
        </w:rPr>
      </w:pPr>
      <w:r w:rsidRPr="00976671">
        <w:rPr>
          <w:rFonts w:ascii="Arial" w:hAnsi="Arial" w:cs="Arial"/>
          <w:sz w:val="20"/>
          <w:szCs w:val="20"/>
        </w:rPr>
        <w:t>Cadenas ligeras libres</w:t>
      </w:r>
      <w:r w:rsidR="00D3499C" w:rsidRPr="00976671">
        <w:rPr>
          <w:rFonts w:ascii="Arial" w:hAnsi="Arial" w:cs="Arial"/>
          <w:sz w:val="20"/>
          <w:szCs w:val="20"/>
        </w:rPr>
        <w:t>.</w:t>
      </w:r>
    </w:p>
    <w:p w14:paraId="28E56AB8" w14:textId="77777777" w:rsidR="007B038F" w:rsidRPr="00976671" w:rsidRDefault="007B038F" w:rsidP="007B038F">
      <w:pPr>
        <w:pStyle w:val="Prrafodelista"/>
        <w:numPr>
          <w:ilvl w:val="0"/>
          <w:numId w:val="19"/>
        </w:numPr>
        <w:spacing w:line="276" w:lineRule="auto"/>
        <w:jc w:val="both"/>
        <w:rPr>
          <w:rFonts w:ascii="Arial" w:hAnsi="Arial" w:cs="Arial"/>
          <w:sz w:val="20"/>
          <w:szCs w:val="20"/>
        </w:rPr>
      </w:pPr>
      <w:r w:rsidRPr="00976671">
        <w:rPr>
          <w:rFonts w:ascii="Arial" w:hAnsi="Arial" w:cs="Arial"/>
          <w:sz w:val="20"/>
          <w:szCs w:val="20"/>
        </w:rPr>
        <w:t>Cadenas ligeras kappa y lambda libres.</w:t>
      </w:r>
    </w:p>
    <w:p w14:paraId="043BEB51" w14:textId="77777777" w:rsidR="007B038F" w:rsidRPr="00976671" w:rsidRDefault="007B038F" w:rsidP="007B038F">
      <w:pPr>
        <w:pStyle w:val="Prrafodelista"/>
        <w:numPr>
          <w:ilvl w:val="0"/>
          <w:numId w:val="19"/>
        </w:numPr>
        <w:spacing w:line="276" w:lineRule="auto"/>
        <w:jc w:val="both"/>
        <w:rPr>
          <w:rFonts w:ascii="Arial" w:hAnsi="Arial" w:cs="Arial"/>
          <w:sz w:val="20"/>
          <w:szCs w:val="20"/>
        </w:rPr>
      </w:pPr>
      <w:r w:rsidRPr="00976671">
        <w:rPr>
          <w:rFonts w:ascii="Arial" w:hAnsi="Arial" w:cs="Arial"/>
          <w:sz w:val="20"/>
          <w:szCs w:val="20"/>
        </w:rPr>
        <w:t>Aspiración y biopsia de médula ósea.</w:t>
      </w:r>
    </w:p>
    <w:p w14:paraId="09BF2712" w14:textId="0633E44D" w:rsidR="007B038F" w:rsidRPr="00976671" w:rsidRDefault="007B038F" w:rsidP="007B038F">
      <w:pPr>
        <w:spacing w:line="276" w:lineRule="auto"/>
        <w:jc w:val="both"/>
        <w:rPr>
          <w:rFonts w:ascii="Arial" w:hAnsi="Arial" w:cs="Arial"/>
          <w:sz w:val="20"/>
          <w:szCs w:val="20"/>
        </w:rPr>
      </w:pPr>
      <w:r w:rsidRPr="00976671">
        <w:rPr>
          <w:rFonts w:ascii="Arial" w:hAnsi="Arial" w:cs="Arial"/>
          <w:sz w:val="20"/>
          <w:szCs w:val="20"/>
        </w:rPr>
        <w:t xml:space="preserve">El examen de segundo nivel incluye análisis / exámenes que pueden </w:t>
      </w:r>
      <w:r w:rsidR="00D3499C" w:rsidRPr="00976671">
        <w:rPr>
          <w:rFonts w:ascii="Arial" w:hAnsi="Arial" w:cs="Arial"/>
          <w:sz w:val="20"/>
          <w:szCs w:val="20"/>
        </w:rPr>
        <w:t xml:space="preserve">realizarse en pacientes con </w:t>
      </w:r>
      <w:r w:rsidRPr="00976671">
        <w:rPr>
          <w:rFonts w:ascii="Arial" w:hAnsi="Arial" w:cs="Arial"/>
          <w:sz w:val="20"/>
          <w:szCs w:val="20"/>
        </w:rPr>
        <w:t>sospecha extremadamente alta de causas secundarias de osteoporosis</w:t>
      </w:r>
      <w:r w:rsidR="0020783B" w:rsidRPr="00976671">
        <w:rPr>
          <w:rFonts w:ascii="Arial" w:hAnsi="Arial" w:cs="Arial"/>
          <w:sz w:val="20"/>
          <w:szCs w:val="20"/>
        </w:rPr>
        <w:t>. (</w:t>
      </w:r>
      <w:r w:rsidR="00D3499C" w:rsidRPr="00976671">
        <w:rPr>
          <w:rFonts w:ascii="Arial" w:hAnsi="Arial" w:cs="Arial"/>
          <w:sz w:val="20"/>
          <w:szCs w:val="20"/>
        </w:rPr>
        <w:t>ver t</w:t>
      </w:r>
      <w:r w:rsidR="0020783B" w:rsidRPr="00976671">
        <w:rPr>
          <w:rFonts w:ascii="Arial" w:hAnsi="Arial" w:cs="Arial"/>
          <w:sz w:val="20"/>
          <w:szCs w:val="20"/>
        </w:rPr>
        <w:t xml:space="preserve">abla </w:t>
      </w:r>
      <w:r w:rsidR="00D3499C" w:rsidRPr="00976671">
        <w:rPr>
          <w:rFonts w:ascii="Arial" w:hAnsi="Arial" w:cs="Arial"/>
          <w:sz w:val="20"/>
          <w:szCs w:val="20"/>
        </w:rPr>
        <w:t xml:space="preserve">No </w:t>
      </w:r>
      <w:r w:rsidR="0020783B" w:rsidRPr="00976671">
        <w:rPr>
          <w:rFonts w:ascii="Arial" w:hAnsi="Arial" w:cs="Arial"/>
          <w:sz w:val="20"/>
          <w:szCs w:val="20"/>
        </w:rPr>
        <w:t>1</w:t>
      </w:r>
      <w:r w:rsidRPr="00976671">
        <w:rPr>
          <w:rFonts w:ascii="Arial" w:hAnsi="Arial" w:cs="Arial"/>
          <w:sz w:val="20"/>
          <w:szCs w:val="20"/>
        </w:rPr>
        <w:t>).</w:t>
      </w:r>
    </w:p>
    <w:p w14:paraId="17A483E5" w14:textId="1EBF4D1F" w:rsidR="007B038F" w:rsidRPr="00976671" w:rsidRDefault="007B038F" w:rsidP="007B038F">
      <w:pPr>
        <w:spacing w:line="276" w:lineRule="auto"/>
        <w:jc w:val="both"/>
        <w:rPr>
          <w:rFonts w:ascii="Arial" w:hAnsi="Arial" w:cs="Arial"/>
          <w:i/>
          <w:sz w:val="20"/>
          <w:szCs w:val="20"/>
        </w:rPr>
      </w:pPr>
      <w:r w:rsidRPr="00976671">
        <w:rPr>
          <w:rFonts w:ascii="Arial" w:hAnsi="Arial" w:cs="Arial"/>
          <w:i/>
          <w:sz w:val="20"/>
          <w:szCs w:val="20"/>
        </w:rPr>
        <w:t>Tabla</w:t>
      </w:r>
      <w:r w:rsidR="00A81F1E" w:rsidRPr="00976671">
        <w:rPr>
          <w:rFonts w:ascii="Arial" w:hAnsi="Arial" w:cs="Arial"/>
          <w:i/>
          <w:sz w:val="20"/>
          <w:szCs w:val="20"/>
        </w:rPr>
        <w:t xml:space="preserve"> </w:t>
      </w:r>
      <w:r w:rsidR="00D3499C" w:rsidRPr="00976671">
        <w:rPr>
          <w:rFonts w:ascii="Arial" w:hAnsi="Arial" w:cs="Arial"/>
          <w:i/>
          <w:sz w:val="20"/>
          <w:szCs w:val="20"/>
        </w:rPr>
        <w:t xml:space="preserve">No </w:t>
      </w:r>
      <w:r w:rsidR="0020783B" w:rsidRPr="00976671">
        <w:rPr>
          <w:rFonts w:ascii="Arial" w:hAnsi="Arial" w:cs="Arial"/>
          <w:i/>
          <w:sz w:val="20"/>
          <w:szCs w:val="20"/>
        </w:rPr>
        <w:t>1</w:t>
      </w:r>
      <w:r w:rsidR="00D3499C" w:rsidRPr="00976671">
        <w:rPr>
          <w:rFonts w:ascii="Arial" w:hAnsi="Arial" w:cs="Arial"/>
          <w:i/>
          <w:sz w:val="20"/>
          <w:szCs w:val="20"/>
        </w:rPr>
        <w:t>.</w:t>
      </w:r>
      <w:r w:rsidRPr="00976671">
        <w:rPr>
          <w:rFonts w:ascii="Arial" w:hAnsi="Arial" w:cs="Arial"/>
          <w:i/>
          <w:sz w:val="20"/>
          <w:szCs w:val="20"/>
        </w:rPr>
        <w:t xml:space="preserve"> Test </w:t>
      </w:r>
      <w:proofErr w:type="spellStart"/>
      <w:r w:rsidRPr="00976671">
        <w:rPr>
          <w:rFonts w:ascii="Arial" w:hAnsi="Arial" w:cs="Arial"/>
          <w:i/>
          <w:sz w:val="20"/>
          <w:szCs w:val="20"/>
        </w:rPr>
        <w:t>bioq</w:t>
      </w:r>
      <w:r w:rsidR="00373CE8" w:rsidRPr="00976671">
        <w:rPr>
          <w:rFonts w:ascii="Arial" w:hAnsi="Arial" w:cs="Arial"/>
          <w:i/>
          <w:sz w:val="20"/>
          <w:szCs w:val="20"/>
        </w:rPr>
        <w:t>uimico</w:t>
      </w:r>
      <w:proofErr w:type="spellEnd"/>
      <w:r w:rsidR="00373CE8" w:rsidRPr="00976671">
        <w:rPr>
          <w:rFonts w:ascii="Arial" w:hAnsi="Arial" w:cs="Arial"/>
          <w:i/>
          <w:sz w:val="20"/>
          <w:szCs w:val="20"/>
        </w:rPr>
        <w:t xml:space="preserve"> y diagnostico asociado (</w:t>
      </w:r>
      <w:r w:rsidRPr="00976671">
        <w:rPr>
          <w:rFonts w:ascii="Arial" w:hAnsi="Arial" w:cs="Arial"/>
          <w:i/>
          <w:sz w:val="20"/>
          <w:szCs w:val="20"/>
        </w:rPr>
        <w:t>flecha arriba=incrementa; flecha abajo=disminuye)</w:t>
      </w:r>
    </w:p>
    <w:tbl>
      <w:tblPr>
        <w:tblStyle w:val="Tablaconcuadrcula"/>
        <w:tblpPr w:leftFromText="141" w:rightFromText="141" w:vertAnchor="text" w:horzAnchor="page" w:tblpX="1630" w:tblpY="85"/>
        <w:tblW w:w="0" w:type="auto"/>
        <w:tblLook w:val="04A0" w:firstRow="1" w:lastRow="0" w:firstColumn="1" w:lastColumn="0" w:noHBand="0" w:noVBand="1"/>
      </w:tblPr>
      <w:tblGrid>
        <w:gridCol w:w="4400"/>
        <w:gridCol w:w="4428"/>
      </w:tblGrid>
      <w:tr w:rsidR="007B038F" w:rsidRPr="00976671" w14:paraId="1B26E1F2" w14:textId="77777777" w:rsidTr="00556E8E">
        <w:tc>
          <w:tcPr>
            <w:tcW w:w="4489" w:type="dxa"/>
          </w:tcPr>
          <w:p w14:paraId="4FE49469" w14:textId="77777777" w:rsidR="007B038F" w:rsidRPr="00976671" w:rsidRDefault="007B038F" w:rsidP="00556E8E">
            <w:pPr>
              <w:spacing w:line="276" w:lineRule="auto"/>
              <w:jc w:val="center"/>
              <w:rPr>
                <w:rFonts w:ascii="Arial" w:hAnsi="Arial" w:cs="Arial"/>
                <w:b/>
                <w:sz w:val="20"/>
                <w:szCs w:val="20"/>
              </w:rPr>
            </w:pPr>
            <w:r w:rsidRPr="00976671">
              <w:rPr>
                <w:rFonts w:ascii="Arial" w:hAnsi="Arial" w:cs="Arial"/>
                <w:b/>
                <w:sz w:val="20"/>
                <w:szCs w:val="20"/>
              </w:rPr>
              <w:t>Parametro</w:t>
            </w:r>
          </w:p>
        </w:tc>
        <w:tc>
          <w:tcPr>
            <w:tcW w:w="4489" w:type="dxa"/>
          </w:tcPr>
          <w:p w14:paraId="0F1E5EC8" w14:textId="77777777" w:rsidR="007B038F" w:rsidRPr="00976671" w:rsidRDefault="007B038F" w:rsidP="00556E8E">
            <w:pPr>
              <w:spacing w:line="276" w:lineRule="auto"/>
              <w:jc w:val="center"/>
              <w:rPr>
                <w:rFonts w:ascii="Arial" w:hAnsi="Arial" w:cs="Arial"/>
                <w:b/>
                <w:sz w:val="20"/>
                <w:szCs w:val="20"/>
              </w:rPr>
            </w:pPr>
            <w:r w:rsidRPr="00976671">
              <w:rPr>
                <w:rFonts w:ascii="Arial" w:hAnsi="Arial" w:cs="Arial"/>
                <w:b/>
                <w:sz w:val="20"/>
                <w:szCs w:val="20"/>
              </w:rPr>
              <w:t>Condicion Asociada</w:t>
            </w:r>
          </w:p>
        </w:tc>
      </w:tr>
      <w:tr w:rsidR="007B038F" w:rsidRPr="00976671" w14:paraId="3406010D" w14:textId="77777777" w:rsidTr="00556E8E">
        <w:tc>
          <w:tcPr>
            <w:tcW w:w="4489" w:type="dxa"/>
          </w:tcPr>
          <w:p w14:paraId="3DB6B8BC"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Cuadro Hematico</w:t>
            </w:r>
          </w:p>
        </w:tc>
        <w:tc>
          <w:tcPr>
            <w:tcW w:w="4489" w:type="dxa"/>
          </w:tcPr>
          <w:p w14:paraId="25D9EA80"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Enfermedades inflamatorias y malignas</w:t>
            </w:r>
          </w:p>
        </w:tc>
      </w:tr>
      <w:tr w:rsidR="007B038F" w:rsidRPr="00976671" w14:paraId="131D8E29" w14:textId="77777777" w:rsidTr="00556E8E">
        <w:tc>
          <w:tcPr>
            <w:tcW w:w="4489" w:type="dxa"/>
          </w:tcPr>
          <w:p w14:paraId="65630D50" w14:textId="20AFC7D8"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El</w:t>
            </w:r>
            <w:r w:rsidR="0020783B" w:rsidRPr="00976671">
              <w:rPr>
                <w:rFonts w:ascii="Arial" w:hAnsi="Arial" w:cs="Arial"/>
                <w:sz w:val="20"/>
                <w:szCs w:val="20"/>
              </w:rPr>
              <w:t>e</w:t>
            </w:r>
            <w:r w:rsidRPr="00976671">
              <w:rPr>
                <w:rFonts w:ascii="Arial" w:hAnsi="Arial" w:cs="Arial"/>
                <w:sz w:val="20"/>
                <w:szCs w:val="20"/>
              </w:rPr>
              <w:t>ctroforesis de proteínas</w:t>
            </w:r>
          </w:p>
        </w:tc>
        <w:tc>
          <w:tcPr>
            <w:tcW w:w="4489" w:type="dxa"/>
          </w:tcPr>
          <w:p w14:paraId="24029BBE" w14:textId="42CBD4CE"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Mieloma Múltiple</w:t>
            </w:r>
          </w:p>
        </w:tc>
      </w:tr>
      <w:tr w:rsidR="007B038F" w:rsidRPr="00976671" w14:paraId="3DF6A7BD" w14:textId="77777777" w:rsidTr="00556E8E">
        <w:tc>
          <w:tcPr>
            <w:tcW w:w="4489" w:type="dxa"/>
          </w:tcPr>
          <w:p w14:paraId="6FE36EF8"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Velocidad de sedimentacion globular</w:t>
            </w:r>
          </w:p>
        </w:tc>
        <w:tc>
          <w:tcPr>
            <w:tcW w:w="4489" w:type="dxa"/>
          </w:tcPr>
          <w:p w14:paraId="03250327" w14:textId="77777777" w:rsidR="007B038F" w:rsidRPr="00976671" w:rsidRDefault="007B038F" w:rsidP="00556E8E">
            <w:pPr>
              <w:pStyle w:val="Prrafodelista"/>
              <w:numPr>
                <w:ilvl w:val="0"/>
                <w:numId w:val="20"/>
              </w:numPr>
              <w:spacing w:line="276" w:lineRule="auto"/>
              <w:rPr>
                <w:rFonts w:ascii="Arial" w:hAnsi="Arial" w:cs="Arial"/>
                <w:sz w:val="20"/>
                <w:szCs w:val="20"/>
              </w:rPr>
            </w:pPr>
            <w:r w:rsidRPr="00976671">
              <w:rPr>
                <w:rFonts w:ascii="Arial" w:hAnsi="Arial" w:cs="Arial"/>
                <w:sz w:val="20"/>
                <w:szCs w:val="20"/>
              </w:rPr>
              <w:t>Diagnostico diferencial de inflamación</w:t>
            </w:r>
          </w:p>
        </w:tc>
      </w:tr>
      <w:tr w:rsidR="007B038F" w:rsidRPr="00976671" w14:paraId="7AF88783" w14:textId="77777777" w:rsidTr="00556E8E">
        <w:tc>
          <w:tcPr>
            <w:tcW w:w="4489" w:type="dxa"/>
          </w:tcPr>
          <w:p w14:paraId="3A8DDCD2"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Calcio sérico</w:t>
            </w:r>
          </w:p>
        </w:tc>
        <w:tc>
          <w:tcPr>
            <w:tcW w:w="4489" w:type="dxa"/>
          </w:tcPr>
          <w:p w14:paraId="6F5D48FD" w14:textId="77777777" w:rsidR="007B038F" w:rsidRPr="00976671" w:rsidRDefault="007B038F" w:rsidP="00556E8E">
            <w:pPr>
              <w:pStyle w:val="Prrafodelista"/>
              <w:numPr>
                <w:ilvl w:val="0"/>
                <w:numId w:val="20"/>
              </w:numPr>
              <w:spacing w:line="276" w:lineRule="auto"/>
              <w:rPr>
                <w:rFonts w:ascii="Arial" w:hAnsi="Arial" w:cs="Arial"/>
                <w:sz w:val="20"/>
                <w:szCs w:val="20"/>
              </w:rPr>
            </w:pPr>
            <w:r w:rsidRPr="00976671">
              <w:rPr>
                <w:rFonts w:ascii="Arial" w:hAnsi="Arial" w:cs="Arial"/>
                <w:sz w:val="20"/>
                <w:szCs w:val="20"/>
              </w:rPr>
              <w:t>Hiperparatiroidismo pirmario</w:t>
            </w:r>
          </w:p>
          <w:p w14:paraId="68C616E8" w14:textId="77777777" w:rsidR="007B038F" w:rsidRPr="00976671" w:rsidRDefault="007B038F" w:rsidP="00556E8E">
            <w:pPr>
              <w:pStyle w:val="Prrafodelista"/>
              <w:numPr>
                <w:ilvl w:val="0"/>
                <w:numId w:val="20"/>
              </w:numPr>
              <w:spacing w:line="276" w:lineRule="auto"/>
              <w:rPr>
                <w:rFonts w:ascii="Arial" w:hAnsi="Arial" w:cs="Arial"/>
                <w:sz w:val="20"/>
                <w:szCs w:val="20"/>
              </w:rPr>
            </w:pPr>
            <w:r w:rsidRPr="00976671">
              <w:rPr>
                <w:rFonts w:ascii="Arial" w:hAnsi="Arial" w:cs="Arial"/>
                <w:sz w:val="20"/>
                <w:szCs w:val="20"/>
              </w:rPr>
              <w:t>Mieloma multiple</w:t>
            </w:r>
          </w:p>
          <w:p w14:paraId="1269AC02" w14:textId="77777777" w:rsidR="007B038F" w:rsidRPr="00976671" w:rsidRDefault="007B038F" w:rsidP="00556E8E">
            <w:pPr>
              <w:pStyle w:val="Prrafodelista"/>
              <w:numPr>
                <w:ilvl w:val="0"/>
                <w:numId w:val="21"/>
              </w:numPr>
              <w:spacing w:line="276" w:lineRule="auto"/>
              <w:rPr>
                <w:rFonts w:ascii="Arial" w:hAnsi="Arial" w:cs="Arial"/>
                <w:sz w:val="20"/>
                <w:szCs w:val="20"/>
              </w:rPr>
            </w:pPr>
            <w:r w:rsidRPr="00976671">
              <w:rPr>
                <w:rFonts w:ascii="Arial" w:hAnsi="Arial" w:cs="Arial"/>
                <w:sz w:val="20"/>
                <w:szCs w:val="20"/>
              </w:rPr>
              <w:t>Hipoparatiriodismo secundario, malabsorcion</w:t>
            </w:r>
          </w:p>
        </w:tc>
      </w:tr>
      <w:tr w:rsidR="007B038F" w:rsidRPr="00976671" w14:paraId="0792E839" w14:textId="77777777" w:rsidTr="00556E8E">
        <w:tc>
          <w:tcPr>
            <w:tcW w:w="4489" w:type="dxa"/>
          </w:tcPr>
          <w:p w14:paraId="2B73B509"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lastRenderedPageBreak/>
              <w:t>Fosforo serico</w:t>
            </w:r>
          </w:p>
        </w:tc>
        <w:tc>
          <w:tcPr>
            <w:tcW w:w="4489" w:type="dxa"/>
          </w:tcPr>
          <w:p w14:paraId="10F4EB45" w14:textId="77777777" w:rsidR="007B038F" w:rsidRPr="00976671" w:rsidRDefault="007B038F" w:rsidP="00556E8E">
            <w:pPr>
              <w:pStyle w:val="Prrafodelista"/>
              <w:numPr>
                <w:ilvl w:val="0"/>
                <w:numId w:val="20"/>
              </w:numPr>
              <w:spacing w:line="276" w:lineRule="auto"/>
              <w:rPr>
                <w:rFonts w:ascii="Arial" w:hAnsi="Arial" w:cs="Arial"/>
                <w:sz w:val="20"/>
                <w:szCs w:val="20"/>
              </w:rPr>
            </w:pPr>
            <w:r w:rsidRPr="00976671">
              <w:rPr>
                <w:rFonts w:ascii="Arial" w:hAnsi="Arial" w:cs="Arial"/>
                <w:sz w:val="20"/>
                <w:szCs w:val="20"/>
              </w:rPr>
              <w:t>Insuficiencia renal grado IV</w:t>
            </w:r>
          </w:p>
          <w:p w14:paraId="1EF2771B" w14:textId="77777777" w:rsidR="007B038F" w:rsidRPr="00976671" w:rsidRDefault="007B038F" w:rsidP="00556E8E">
            <w:pPr>
              <w:pStyle w:val="Prrafodelista"/>
              <w:numPr>
                <w:ilvl w:val="0"/>
                <w:numId w:val="20"/>
              </w:numPr>
              <w:spacing w:line="276" w:lineRule="auto"/>
              <w:rPr>
                <w:rFonts w:ascii="Arial" w:hAnsi="Arial" w:cs="Arial"/>
                <w:sz w:val="20"/>
                <w:szCs w:val="20"/>
              </w:rPr>
            </w:pPr>
            <w:r w:rsidRPr="00976671">
              <w:rPr>
                <w:rFonts w:ascii="Arial" w:hAnsi="Arial" w:cs="Arial"/>
                <w:sz w:val="20"/>
                <w:szCs w:val="20"/>
              </w:rPr>
              <w:t>Hiperpatiriodismo secundario renal</w:t>
            </w:r>
          </w:p>
          <w:p w14:paraId="56D013C2" w14:textId="77777777" w:rsidR="007B038F" w:rsidRPr="00976671" w:rsidRDefault="007B038F" w:rsidP="00556E8E">
            <w:pPr>
              <w:pStyle w:val="Prrafodelista"/>
              <w:numPr>
                <w:ilvl w:val="0"/>
                <w:numId w:val="21"/>
              </w:numPr>
              <w:spacing w:line="276" w:lineRule="auto"/>
              <w:rPr>
                <w:rFonts w:ascii="Arial" w:hAnsi="Arial" w:cs="Arial"/>
                <w:sz w:val="20"/>
                <w:szCs w:val="20"/>
              </w:rPr>
            </w:pPr>
            <w:r w:rsidRPr="00976671">
              <w:rPr>
                <w:rFonts w:ascii="Arial" w:hAnsi="Arial" w:cs="Arial"/>
                <w:sz w:val="20"/>
                <w:szCs w:val="20"/>
              </w:rPr>
              <w:t>Malabsorcion</w:t>
            </w:r>
          </w:p>
        </w:tc>
      </w:tr>
      <w:tr w:rsidR="007B038F" w:rsidRPr="00976671" w14:paraId="41110CC1" w14:textId="77777777" w:rsidTr="00556E8E">
        <w:tc>
          <w:tcPr>
            <w:tcW w:w="4489" w:type="dxa"/>
          </w:tcPr>
          <w:p w14:paraId="29E39804"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Fosfatasa alcalina</w:t>
            </w:r>
          </w:p>
        </w:tc>
        <w:tc>
          <w:tcPr>
            <w:tcW w:w="4489" w:type="dxa"/>
          </w:tcPr>
          <w:p w14:paraId="1B4BABF8" w14:textId="77777777" w:rsidR="007B038F" w:rsidRPr="00976671" w:rsidRDefault="007B038F" w:rsidP="00556E8E">
            <w:pPr>
              <w:pStyle w:val="Prrafodelista"/>
              <w:numPr>
                <w:ilvl w:val="0"/>
                <w:numId w:val="22"/>
              </w:numPr>
              <w:spacing w:line="276" w:lineRule="auto"/>
              <w:rPr>
                <w:rFonts w:ascii="Arial" w:hAnsi="Arial" w:cs="Arial"/>
                <w:sz w:val="20"/>
                <w:szCs w:val="20"/>
              </w:rPr>
            </w:pPr>
            <w:r w:rsidRPr="00976671">
              <w:rPr>
                <w:rFonts w:ascii="Arial" w:hAnsi="Arial" w:cs="Arial"/>
                <w:sz w:val="20"/>
                <w:szCs w:val="20"/>
              </w:rPr>
              <w:t>Osteomalacia, enfermedad de Paget</w:t>
            </w:r>
          </w:p>
        </w:tc>
      </w:tr>
      <w:tr w:rsidR="007B038F" w:rsidRPr="00976671" w14:paraId="2D8DE640" w14:textId="77777777" w:rsidTr="00556E8E">
        <w:tc>
          <w:tcPr>
            <w:tcW w:w="4489" w:type="dxa"/>
          </w:tcPr>
          <w:p w14:paraId="462322C7" w14:textId="371A0A77" w:rsidR="007B038F" w:rsidRPr="00976671" w:rsidRDefault="0020783B" w:rsidP="00556E8E">
            <w:pPr>
              <w:spacing w:line="276" w:lineRule="auto"/>
              <w:rPr>
                <w:rFonts w:ascii="Arial" w:hAnsi="Arial" w:cs="Arial"/>
                <w:sz w:val="20"/>
                <w:szCs w:val="20"/>
              </w:rPr>
            </w:pPr>
            <w:r w:rsidRPr="00976671">
              <w:rPr>
                <w:rFonts w:ascii="Arial" w:hAnsi="Arial" w:cs="Arial"/>
                <w:sz w:val="20"/>
                <w:szCs w:val="20"/>
              </w:rPr>
              <w:t>PTH sé</w:t>
            </w:r>
            <w:r w:rsidR="007B038F" w:rsidRPr="00976671">
              <w:rPr>
                <w:rFonts w:ascii="Arial" w:hAnsi="Arial" w:cs="Arial"/>
                <w:sz w:val="20"/>
                <w:szCs w:val="20"/>
              </w:rPr>
              <w:t>rica</w:t>
            </w:r>
          </w:p>
        </w:tc>
        <w:tc>
          <w:tcPr>
            <w:tcW w:w="4489" w:type="dxa"/>
          </w:tcPr>
          <w:p w14:paraId="4CF9FDE4" w14:textId="77777777" w:rsidR="007B038F" w:rsidRPr="00976671" w:rsidRDefault="007B038F" w:rsidP="00556E8E">
            <w:pPr>
              <w:pStyle w:val="Prrafodelista"/>
              <w:numPr>
                <w:ilvl w:val="0"/>
                <w:numId w:val="22"/>
              </w:numPr>
              <w:spacing w:line="276" w:lineRule="auto"/>
              <w:rPr>
                <w:rFonts w:ascii="Arial" w:hAnsi="Arial" w:cs="Arial"/>
                <w:sz w:val="20"/>
                <w:szCs w:val="20"/>
              </w:rPr>
            </w:pPr>
            <w:r w:rsidRPr="00976671">
              <w:rPr>
                <w:rFonts w:ascii="Arial" w:hAnsi="Arial" w:cs="Arial"/>
                <w:sz w:val="20"/>
                <w:szCs w:val="20"/>
              </w:rPr>
              <w:t>Hiperparatiroidismo</w:t>
            </w:r>
          </w:p>
        </w:tc>
      </w:tr>
      <w:tr w:rsidR="007B038F" w:rsidRPr="00976671" w14:paraId="3D0E73DE" w14:textId="77777777" w:rsidTr="00556E8E">
        <w:tc>
          <w:tcPr>
            <w:tcW w:w="4489" w:type="dxa"/>
          </w:tcPr>
          <w:p w14:paraId="37C6F799"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Creatinina</w:t>
            </w:r>
          </w:p>
        </w:tc>
        <w:tc>
          <w:tcPr>
            <w:tcW w:w="4489" w:type="dxa"/>
          </w:tcPr>
          <w:p w14:paraId="671573F5" w14:textId="7D103BF0" w:rsidR="007B038F" w:rsidRPr="00976671" w:rsidRDefault="007B038F" w:rsidP="00556E8E">
            <w:pPr>
              <w:pStyle w:val="Prrafodelista"/>
              <w:numPr>
                <w:ilvl w:val="0"/>
                <w:numId w:val="21"/>
              </w:numPr>
              <w:spacing w:line="276" w:lineRule="auto"/>
              <w:rPr>
                <w:rFonts w:ascii="Arial" w:hAnsi="Arial" w:cs="Arial"/>
                <w:sz w:val="20"/>
                <w:szCs w:val="20"/>
              </w:rPr>
            </w:pPr>
            <w:r w:rsidRPr="00976671">
              <w:rPr>
                <w:rFonts w:ascii="Arial" w:hAnsi="Arial" w:cs="Arial"/>
                <w:sz w:val="20"/>
                <w:szCs w:val="20"/>
              </w:rPr>
              <w:t>Osteodi</w:t>
            </w:r>
            <w:r w:rsidR="0020783B" w:rsidRPr="00976671">
              <w:rPr>
                <w:rFonts w:ascii="Arial" w:hAnsi="Arial" w:cs="Arial"/>
                <w:sz w:val="20"/>
                <w:szCs w:val="20"/>
              </w:rPr>
              <w:t>s</w:t>
            </w:r>
            <w:r w:rsidRPr="00976671">
              <w:rPr>
                <w:rFonts w:ascii="Arial" w:hAnsi="Arial" w:cs="Arial"/>
                <w:sz w:val="20"/>
                <w:szCs w:val="20"/>
              </w:rPr>
              <w:t>trofia renal</w:t>
            </w:r>
          </w:p>
        </w:tc>
      </w:tr>
      <w:tr w:rsidR="007B038F" w:rsidRPr="00976671" w14:paraId="145F71EB" w14:textId="77777777" w:rsidTr="00556E8E">
        <w:tc>
          <w:tcPr>
            <w:tcW w:w="4489" w:type="dxa"/>
          </w:tcPr>
          <w:p w14:paraId="6E7FDAC5"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25 OH vitamina D</w:t>
            </w:r>
          </w:p>
        </w:tc>
        <w:tc>
          <w:tcPr>
            <w:tcW w:w="4489" w:type="dxa"/>
          </w:tcPr>
          <w:p w14:paraId="39F8B094" w14:textId="77777777" w:rsidR="007B038F" w:rsidRPr="00976671" w:rsidRDefault="007B038F" w:rsidP="00556E8E">
            <w:pPr>
              <w:pStyle w:val="Prrafodelista"/>
              <w:numPr>
                <w:ilvl w:val="0"/>
                <w:numId w:val="22"/>
              </w:numPr>
              <w:spacing w:line="276" w:lineRule="auto"/>
              <w:rPr>
                <w:rFonts w:ascii="Arial" w:hAnsi="Arial" w:cs="Arial"/>
                <w:sz w:val="20"/>
                <w:szCs w:val="20"/>
              </w:rPr>
            </w:pPr>
            <w:r w:rsidRPr="00976671">
              <w:rPr>
                <w:rFonts w:ascii="Arial" w:hAnsi="Arial" w:cs="Arial"/>
                <w:sz w:val="20"/>
                <w:szCs w:val="20"/>
              </w:rPr>
              <w:t>Intoxicacion por vitamina D</w:t>
            </w:r>
          </w:p>
          <w:p w14:paraId="149ADEBB" w14:textId="77777777" w:rsidR="007B038F" w:rsidRPr="00976671" w:rsidRDefault="007B038F" w:rsidP="00556E8E">
            <w:pPr>
              <w:pStyle w:val="Prrafodelista"/>
              <w:numPr>
                <w:ilvl w:val="0"/>
                <w:numId w:val="21"/>
              </w:numPr>
              <w:spacing w:line="276" w:lineRule="auto"/>
              <w:rPr>
                <w:rFonts w:ascii="Arial" w:hAnsi="Arial" w:cs="Arial"/>
                <w:sz w:val="20"/>
                <w:szCs w:val="20"/>
              </w:rPr>
            </w:pPr>
            <w:r w:rsidRPr="00976671">
              <w:rPr>
                <w:rFonts w:ascii="Arial" w:hAnsi="Arial" w:cs="Arial"/>
                <w:sz w:val="20"/>
                <w:szCs w:val="20"/>
              </w:rPr>
              <w:t>Deficit de Vitamina D, osteomalacis</w:t>
            </w:r>
          </w:p>
        </w:tc>
      </w:tr>
      <w:tr w:rsidR="007B038F" w:rsidRPr="00976671" w14:paraId="00643E91" w14:textId="77777777" w:rsidTr="00556E8E">
        <w:tc>
          <w:tcPr>
            <w:tcW w:w="4489" w:type="dxa"/>
          </w:tcPr>
          <w:p w14:paraId="2CA210E0"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Calcio Urinario de 24 horas</w:t>
            </w:r>
          </w:p>
        </w:tc>
        <w:tc>
          <w:tcPr>
            <w:tcW w:w="4489" w:type="dxa"/>
          </w:tcPr>
          <w:p w14:paraId="606E264F" w14:textId="77777777" w:rsidR="007B038F" w:rsidRPr="00976671" w:rsidRDefault="007B038F" w:rsidP="00556E8E">
            <w:pPr>
              <w:pStyle w:val="Prrafodelista"/>
              <w:numPr>
                <w:ilvl w:val="0"/>
                <w:numId w:val="21"/>
              </w:numPr>
              <w:spacing w:line="276" w:lineRule="auto"/>
              <w:rPr>
                <w:rFonts w:ascii="Arial" w:hAnsi="Arial" w:cs="Arial"/>
                <w:sz w:val="20"/>
                <w:szCs w:val="20"/>
              </w:rPr>
            </w:pPr>
            <w:r w:rsidRPr="00976671">
              <w:rPr>
                <w:rFonts w:ascii="Arial" w:hAnsi="Arial" w:cs="Arial"/>
                <w:sz w:val="20"/>
                <w:szCs w:val="20"/>
              </w:rPr>
              <w:t>Malabsorcion intestinal</w:t>
            </w:r>
          </w:p>
          <w:p w14:paraId="7CC082BB" w14:textId="77777777" w:rsidR="007B038F" w:rsidRPr="00976671" w:rsidRDefault="007B038F" w:rsidP="00556E8E">
            <w:pPr>
              <w:pStyle w:val="Prrafodelista"/>
              <w:numPr>
                <w:ilvl w:val="0"/>
                <w:numId w:val="22"/>
              </w:numPr>
              <w:spacing w:line="276" w:lineRule="auto"/>
              <w:rPr>
                <w:rFonts w:ascii="Arial" w:hAnsi="Arial" w:cs="Arial"/>
                <w:sz w:val="20"/>
                <w:szCs w:val="20"/>
              </w:rPr>
            </w:pPr>
            <w:r w:rsidRPr="00976671">
              <w:rPr>
                <w:rFonts w:ascii="Arial" w:hAnsi="Arial" w:cs="Arial"/>
                <w:sz w:val="20"/>
                <w:szCs w:val="20"/>
              </w:rPr>
              <w:t>Calculos renales</w:t>
            </w:r>
          </w:p>
        </w:tc>
      </w:tr>
      <w:tr w:rsidR="007B038F" w:rsidRPr="00976671" w14:paraId="42612232" w14:textId="77777777" w:rsidTr="00556E8E">
        <w:tc>
          <w:tcPr>
            <w:tcW w:w="4489" w:type="dxa"/>
          </w:tcPr>
          <w:p w14:paraId="20C0F341"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TSH</w:t>
            </w:r>
          </w:p>
        </w:tc>
        <w:tc>
          <w:tcPr>
            <w:tcW w:w="4489" w:type="dxa"/>
          </w:tcPr>
          <w:p w14:paraId="2540CF65"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 0.3 factor de riesgo</w:t>
            </w:r>
          </w:p>
        </w:tc>
      </w:tr>
      <w:tr w:rsidR="007B038F" w:rsidRPr="00976671" w14:paraId="513DA52A" w14:textId="77777777" w:rsidTr="00556E8E">
        <w:tc>
          <w:tcPr>
            <w:tcW w:w="4489" w:type="dxa"/>
          </w:tcPr>
          <w:p w14:paraId="23699D1A"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Testosterona (hombres)</w:t>
            </w:r>
          </w:p>
        </w:tc>
        <w:tc>
          <w:tcPr>
            <w:tcW w:w="4489" w:type="dxa"/>
          </w:tcPr>
          <w:p w14:paraId="25BCA61E"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Hipogonadismo</w:t>
            </w:r>
          </w:p>
        </w:tc>
      </w:tr>
      <w:tr w:rsidR="007B038F" w:rsidRPr="00976671" w14:paraId="1B299109" w14:textId="77777777" w:rsidTr="00556E8E">
        <w:tc>
          <w:tcPr>
            <w:tcW w:w="4489" w:type="dxa"/>
          </w:tcPr>
          <w:p w14:paraId="44F6150C"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Ac anti transaglutaminasa tisular</w:t>
            </w:r>
          </w:p>
        </w:tc>
        <w:tc>
          <w:tcPr>
            <w:tcW w:w="4489" w:type="dxa"/>
          </w:tcPr>
          <w:p w14:paraId="2F925091"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Enfermedad Celiaca</w:t>
            </w:r>
          </w:p>
        </w:tc>
      </w:tr>
      <w:tr w:rsidR="007B038F" w:rsidRPr="00976671" w14:paraId="55CF1D75" w14:textId="77777777" w:rsidTr="00556E8E">
        <w:tc>
          <w:tcPr>
            <w:tcW w:w="4489" w:type="dxa"/>
          </w:tcPr>
          <w:p w14:paraId="24ADCF40"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Cortisol libre urinario</w:t>
            </w:r>
          </w:p>
        </w:tc>
        <w:tc>
          <w:tcPr>
            <w:tcW w:w="4489" w:type="dxa"/>
          </w:tcPr>
          <w:p w14:paraId="3AF4A0F1" w14:textId="77777777" w:rsidR="007B038F" w:rsidRPr="00976671" w:rsidRDefault="007B038F" w:rsidP="00556E8E">
            <w:pPr>
              <w:pStyle w:val="Prrafodelista"/>
              <w:numPr>
                <w:ilvl w:val="0"/>
                <w:numId w:val="22"/>
              </w:numPr>
              <w:spacing w:line="276" w:lineRule="auto"/>
              <w:rPr>
                <w:rFonts w:ascii="Arial" w:hAnsi="Arial" w:cs="Arial"/>
                <w:sz w:val="20"/>
                <w:szCs w:val="20"/>
              </w:rPr>
            </w:pPr>
            <w:r w:rsidRPr="00976671">
              <w:rPr>
                <w:rFonts w:ascii="Arial" w:hAnsi="Arial" w:cs="Arial"/>
                <w:sz w:val="20"/>
                <w:szCs w:val="20"/>
              </w:rPr>
              <w:t>Hipersecrecion Adrenal</w:t>
            </w:r>
          </w:p>
        </w:tc>
      </w:tr>
      <w:tr w:rsidR="007B038F" w:rsidRPr="00976671" w14:paraId="501030FA" w14:textId="77777777" w:rsidTr="00556E8E">
        <w:tc>
          <w:tcPr>
            <w:tcW w:w="4489" w:type="dxa"/>
          </w:tcPr>
          <w:p w14:paraId="05A9FE87"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Triptasa serica o Metilhistamina urinaria</w:t>
            </w:r>
          </w:p>
        </w:tc>
        <w:tc>
          <w:tcPr>
            <w:tcW w:w="4489" w:type="dxa"/>
          </w:tcPr>
          <w:p w14:paraId="65963F88" w14:textId="77777777" w:rsidR="007B038F" w:rsidRPr="00976671" w:rsidRDefault="007B038F" w:rsidP="00556E8E">
            <w:pPr>
              <w:pStyle w:val="Prrafodelista"/>
              <w:numPr>
                <w:ilvl w:val="0"/>
                <w:numId w:val="22"/>
              </w:numPr>
              <w:spacing w:line="276" w:lineRule="auto"/>
              <w:rPr>
                <w:rFonts w:ascii="Arial" w:hAnsi="Arial" w:cs="Arial"/>
                <w:sz w:val="20"/>
                <w:szCs w:val="20"/>
              </w:rPr>
            </w:pPr>
            <w:r w:rsidRPr="00976671">
              <w:rPr>
                <w:rFonts w:ascii="Arial" w:hAnsi="Arial" w:cs="Arial"/>
                <w:sz w:val="20"/>
                <w:szCs w:val="20"/>
              </w:rPr>
              <w:t>Mastocitosis</w:t>
            </w:r>
          </w:p>
        </w:tc>
      </w:tr>
      <w:tr w:rsidR="007B038F" w:rsidRPr="00976671" w14:paraId="18925D86" w14:textId="77777777" w:rsidTr="00556E8E">
        <w:tc>
          <w:tcPr>
            <w:tcW w:w="4489" w:type="dxa"/>
          </w:tcPr>
          <w:p w14:paraId="1833C83B"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Aspiracion de medula ósea</w:t>
            </w:r>
          </w:p>
        </w:tc>
        <w:tc>
          <w:tcPr>
            <w:tcW w:w="4489" w:type="dxa"/>
          </w:tcPr>
          <w:p w14:paraId="15953802" w14:textId="77777777" w:rsidR="007B038F" w:rsidRPr="00976671" w:rsidRDefault="007B038F" w:rsidP="00556E8E">
            <w:pPr>
              <w:spacing w:line="276" w:lineRule="auto"/>
              <w:rPr>
                <w:rFonts w:ascii="Arial" w:hAnsi="Arial" w:cs="Arial"/>
                <w:sz w:val="20"/>
                <w:szCs w:val="20"/>
              </w:rPr>
            </w:pPr>
            <w:r w:rsidRPr="00976671">
              <w:rPr>
                <w:rFonts w:ascii="Arial" w:hAnsi="Arial" w:cs="Arial"/>
                <w:sz w:val="20"/>
                <w:szCs w:val="20"/>
              </w:rPr>
              <w:t>Falla renal, osteomalacia resistente a Vit D, mastocitosis</w:t>
            </w:r>
          </w:p>
        </w:tc>
      </w:tr>
    </w:tbl>
    <w:p w14:paraId="7D513D3A" w14:textId="77777777" w:rsidR="007B038F" w:rsidRPr="00976671" w:rsidRDefault="007B038F" w:rsidP="007B038F">
      <w:pPr>
        <w:spacing w:line="276" w:lineRule="auto"/>
        <w:jc w:val="center"/>
        <w:rPr>
          <w:rFonts w:ascii="Arial" w:hAnsi="Arial" w:cs="Arial"/>
          <w:sz w:val="20"/>
          <w:szCs w:val="20"/>
        </w:rPr>
      </w:pPr>
    </w:p>
    <w:p w14:paraId="0B10ACC4" w14:textId="7A8AC634" w:rsidR="007B038F" w:rsidRPr="00976671" w:rsidRDefault="007B038F" w:rsidP="007B038F">
      <w:pPr>
        <w:spacing w:line="276" w:lineRule="auto"/>
        <w:jc w:val="both"/>
        <w:rPr>
          <w:rFonts w:ascii="Arial" w:hAnsi="Arial" w:cs="Arial"/>
          <w:sz w:val="20"/>
          <w:szCs w:val="20"/>
        </w:rPr>
      </w:pPr>
      <w:r w:rsidRPr="00976671">
        <w:rPr>
          <w:rFonts w:ascii="Arial" w:hAnsi="Arial" w:cs="Arial"/>
          <w:sz w:val="20"/>
          <w:szCs w:val="20"/>
        </w:rPr>
        <w:lastRenderedPageBreak/>
        <w:t>Los marcadores de recambio óseo (BTM por sus siglas en ingles) se utilizan para cuantificar la remodelación ósea (reabsorción</w:t>
      </w:r>
      <w:r w:rsidR="0020783B" w:rsidRPr="00976671">
        <w:rPr>
          <w:rFonts w:ascii="Arial" w:hAnsi="Arial" w:cs="Arial"/>
          <w:sz w:val="20"/>
          <w:szCs w:val="20"/>
        </w:rPr>
        <w:t xml:space="preserve"> </w:t>
      </w:r>
      <w:r w:rsidRPr="00976671">
        <w:rPr>
          <w:rFonts w:ascii="Arial" w:hAnsi="Arial" w:cs="Arial"/>
          <w:sz w:val="20"/>
          <w:szCs w:val="20"/>
        </w:rPr>
        <w:t>/</w:t>
      </w:r>
      <w:r w:rsidR="0020783B" w:rsidRPr="00976671">
        <w:rPr>
          <w:rFonts w:ascii="Arial" w:hAnsi="Arial" w:cs="Arial"/>
          <w:sz w:val="20"/>
          <w:szCs w:val="20"/>
        </w:rPr>
        <w:t xml:space="preserve"> </w:t>
      </w:r>
      <w:r w:rsidRPr="00976671">
        <w:rPr>
          <w:rFonts w:ascii="Arial" w:hAnsi="Arial" w:cs="Arial"/>
          <w:sz w:val="20"/>
          <w:szCs w:val="20"/>
        </w:rPr>
        <w:t>nuevo ciclo de formación). Los aumentos en los marcadores de reabsorción se asocian con un mayor riesgo de fractura independiente de la DMO y pueden servir para controlar la respuesta antiosteoporótica a las terapias en los ensayos clínicos y en la práctica clínica diaria</w:t>
      </w:r>
      <w:r w:rsidR="00373CE8" w:rsidRPr="00976671">
        <w:rPr>
          <w:rFonts w:ascii="Arial" w:hAnsi="Arial" w:cs="Arial"/>
          <w:sz w:val="20"/>
          <w:szCs w:val="20"/>
        </w:rPr>
        <w:t>. (</w:t>
      </w:r>
      <w:proofErr w:type="spellStart"/>
      <w:r w:rsidR="00373CE8" w:rsidRPr="00976671">
        <w:rPr>
          <w:rFonts w:ascii="Arial" w:hAnsi="Arial" w:cs="Arial"/>
          <w:sz w:val="20"/>
          <w:szCs w:val="20"/>
          <w:shd w:val="clear" w:color="auto" w:fill="FFFFFF"/>
        </w:rPr>
        <w:t>Szulc</w:t>
      </w:r>
      <w:proofErr w:type="spellEnd"/>
      <w:r w:rsidR="00373CE8" w:rsidRPr="00976671">
        <w:rPr>
          <w:rFonts w:ascii="Arial" w:hAnsi="Arial" w:cs="Arial"/>
          <w:sz w:val="20"/>
          <w:szCs w:val="20"/>
          <w:shd w:val="clear" w:color="auto" w:fill="FFFFFF"/>
        </w:rPr>
        <w:t xml:space="preserve">, P., &amp; </w:t>
      </w:r>
      <w:proofErr w:type="spellStart"/>
      <w:r w:rsidR="00373CE8" w:rsidRPr="00976671">
        <w:rPr>
          <w:rFonts w:ascii="Arial" w:hAnsi="Arial" w:cs="Arial"/>
          <w:sz w:val="20"/>
          <w:szCs w:val="20"/>
          <w:shd w:val="clear" w:color="auto" w:fill="FFFFFF"/>
        </w:rPr>
        <w:t>Delmas</w:t>
      </w:r>
      <w:proofErr w:type="spellEnd"/>
      <w:r w:rsidR="00373CE8" w:rsidRPr="00976671">
        <w:rPr>
          <w:rFonts w:ascii="Arial" w:hAnsi="Arial" w:cs="Arial"/>
          <w:sz w:val="20"/>
          <w:szCs w:val="20"/>
          <w:shd w:val="clear" w:color="auto" w:fill="FFFFFF"/>
        </w:rPr>
        <w:t>, P. D., 2008). </w:t>
      </w:r>
    </w:p>
    <w:p w14:paraId="19C08B4F" w14:textId="77777777" w:rsidR="007B038F" w:rsidRPr="00976671" w:rsidRDefault="007B038F" w:rsidP="007B038F">
      <w:pPr>
        <w:spacing w:line="276" w:lineRule="auto"/>
        <w:jc w:val="both"/>
        <w:rPr>
          <w:rFonts w:ascii="Arial" w:hAnsi="Arial" w:cs="Arial"/>
          <w:sz w:val="20"/>
          <w:szCs w:val="20"/>
        </w:rPr>
      </w:pPr>
      <w:r w:rsidRPr="00976671">
        <w:rPr>
          <w:rFonts w:ascii="Arial" w:hAnsi="Arial" w:cs="Arial"/>
          <w:sz w:val="20"/>
          <w:szCs w:val="20"/>
        </w:rPr>
        <w:t>Los marcadores de formación ósea se miden preferentemente en el suero, mientras que los marcadores de resorción ósea se miden tanto en suero como en orina (Ur). Incluyen:</w:t>
      </w:r>
    </w:p>
    <w:p w14:paraId="0AAD20B5" w14:textId="77777777" w:rsidR="007B038F" w:rsidRPr="00976671" w:rsidRDefault="007B038F" w:rsidP="007B038F">
      <w:pPr>
        <w:pStyle w:val="Prrafodelista"/>
        <w:numPr>
          <w:ilvl w:val="0"/>
          <w:numId w:val="17"/>
        </w:numPr>
        <w:spacing w:line="276" w:lineRule="auto"/>
        <w:jc w:val="both"/>
        <w:rPr>
          <w:rFonts w:ascii="Arial" w:hAnsi="Arial" w:cs="Arial"/>
          <w:sz w:val="20"/>
          <w:szCs w:val="20"/>
        </w:rPr>
      </w:pPr>
      <w:r w:rsidRPr="00976671">
        <w:rPr>
          <w:rFonts w:ascii="Arial" w:hAnsi="Arial" w:cs="Arial"/>
          <w:sz w:val="20"/>
          <w:szCs w:val="20"/>
        </w:rPr>
        <w:t>Marcadores de formación ósea (fosfatasa alcalina ósea, osteocalcina, propéptidos de procolágeno tipo I (P1NP))</w:t>
      </w:r>
    </w:p>
    <w:p w14:paraId="2ECC6C6A" w14:textId="2FABC7FB" w:rsidR="007B038F" w:rsidRPr="00976671" w:rsidRDefault="007B038F" w:rsidP="007B038F">
      <w:pPr>
        <w:pStyle w:val="Prrafodelista"/>
        <w:numPr>
          <w:ilvl w:val="0"/>
          <w:numId w:val="17"/>
        </w:numPr>
        <w:spacing w:line="276" w:lineRule="auto"/>
        <w:jc w:val="both"/>
        <w:rPr>
          <w:rFonts w:ascii="Arial" w:hAnsi="Arial" w:cs="Arial"/>
          <w:sz w:val="20"/>
          <w:szCs w:val="20"/>
        </w:rPr>
      </w:pPr>
      <w:r w:rsidRPr="00976671">
        <w:rPr>
          <w:rFonts w:ascii="Arial" w:hAnsi="Arial" w:cs="Arial"/>
          <w:sz w:val="20"/>
          <w:szCs w:val="20"/>
        </w:rPr>
        <w:t>Marcadores de la resorción ósea (C</w:t>
      </w:r>
      <w:r w:rsidR="0020783B" w:rsidRPr="00976671">
        <w:rPr>
          <w:rFonts w:ascii="Arial" w:hAnsi="Arial" w:cs="Arial"/>
          <w:sz w:val="20"/>
          <w:szCs w:val="20"/>
        </w:rPr>
        <w:t xml:space="preserve">TX, NTX, </w:t>
      </w:r>
      <w:r w:rsidRPr="00976671">
        <w:rPr>
          <w:rFonts w:ascii="Arial" w:hAnsi="Arial" w:cs="Arial"/>
          <w:sz w:val="20"/>
          <w:szCs w:val="20"/>
        </w:rPr>
        <w:t xml:space="preserve"> piridinolina</w:t>
      </w:r>
      <w:r w:rsidR="0020783B" w:rsidRPr="00976671">
        <w:rPr>
          <w:rFonts w:ascii="Arial" w:hAnsi="Arial" w:cs="Arial"/>
          <w:sz w:val="20"/>
          <w:szCs w:val="20"/>
        </w:rPr>
        <w:t xml:space="preserve"> urinaria</w:t>
      </w:r>
      <w:r w:rsidRPr="00976671">
        <w:rPr>
          <w:rFonts w:ascii="Arial" w:hAnsi="Arial" w:cs="Arial"/>
          <w:sz w:val="20"/>
          <w:szCs w:val="20"/>
        </w:rPr>
        <w:t>, desoxipiridinolina</w:t>
      </w:r>
      <w:r w:rsidR="0020783B" w:rsidRPr="00976671">
        <w:rPr>
          <w:rFonts w:ascii="Arial" w:hAnsi="Arial" w:cs="Arial"/>
          <w:sz w:val="20"/>
          <w:szCs w:val="20"/>
        </w:rPr>
        <w:t xml:space="preserve"> uri</w:t>
      </w:r>
      <w:r w:rsidRPr="00976671">
        <w:rPr>
          <w:rFonts w:ascii="Arial" w:hAnsi="Arial" w:cs="Arial"/>
          <w:sz w:val="20"/>
          <w:szCs w:val="20"/>
        </w:rPr>
        <w:t>n</w:t>
      </w:r>
      <w:r w:rsidR="0020783B" w:rsidRPr="00976671">
        <w:rPr>
          <w:rFonts w:ascii="Arial" w:hAnsi="Arial" w:cs="Arial"/>
          <w:sz w:val="20"/>
          <w:szCs w:val="20"/>
        </w:rPr>
        <w:t>a</w:t>
      </w:r>
      <w:r w:rsidRPr="00976671">
        <w:rPr>
          <w:rFonts w:ascii="Arial" w:hAnsi="Arial" w:cs="Arial"/>
          <w:sz w:val="20"/>
          <w:szCs w:val="20"/>
        </w:rPr>
        <w:t>rio, CTX urianrio).</w:t>
      </w:r>
    </w:p>
    <w:p w14:paraId="7367DBDF" w14:textId="77777777" w:rsidR="007B038F" w:rsidRPr="00976671" w:rsidRDefault="007B038F" w:rsidP="007B038F">
      <w:pPr>
        <w:spacing w:line="276" w:lineRule="auto"/>
        <w:jc w:val="both"/>
        <w:rPr>
          <w:rFonts w:ascii="Arial" w:hAnsi="Arial" w:cs="Arial"/>
          <w:sz w:val="20"/>
          <w:szCs w:val="20"/>
        </w:rPr>
      </w:pPr>
      <w:r w:rsidRPr="00976671">
        <w:rPr>
          <w:rFonts w:ascii="Arial" w:hAnsi="Arial" w:cs="Arial"/>
          <w:sz w:val="20"/>
          <w:szCs w:val="20"/>
        </w:rPr>
        <w:t>Entre estos marcadores, el P1NP (un marcador de formación ósea) y el CTX sérico (un marcador de resorción ósea) son los más confiables, tanto en la evaluación inicial como en el seguimiento.</w:t>
      </w:r>
    </w:p>
    <w:p w14:paraId="726AF125" w14:textId="3FB8157E" w:rsidR="007B038F" w:rsidRPr="00976671" w:rsidRDefault="007B038F" w:rsidP="007B038F">
      <w:pPr>
        <w:spacing w:line="276" w:lineRule="auto"/>
        <w:jc w:val="both"/>
        <w:rPr>
          <w:rFonts w:ascii="Arial" w:hAnsi="Arial" w:cs="Arial"/>
          <w:sz w:val="20"/>
          <w:szCs w:val="20"/>
        </w:rPr>
      </w:pPr>
      <w:r w:rsidRPr="00976671">
        <w:rPr>
          <w:rFonts w:ascii="Arial" w:hAnsi="Arial" w:cs="Arial"/>
          <w:sz w:val="20"/>
          <w:szCs w:val="20"/>
        </w:rPr>
        <w:t xml:space="preserve">Aunque se ha demostrado que los niveles elevados de BTM predicen tasas rápidas de pérdida ósea en mujeres ancianas, estas pruebas de laboratorio no se pueden usar para diagnosticar osteoporosis y / o en la rutina clínica. No obstante, los BTM han demostrado ser útiles para medir la respuesta al tratamiento farmacológico y mejorar el cumplimiento del tratamiento del </w:t>
      </w:r>
      <w:r w:rsidR="00D21AB7" w:rsidRPr="00976671">
        <w:rPr>
          <w:rFonts w:ascii="Arial" w:hAnsi="Arial" w:cs="Arial"/>
          <w:sz w:val="20"/>
          <w:szCs w:val="20"/>
        </w:rPr>
        <w:t>paciente.</w:t>
      </w:r>
    </w:p>
    <w:p w14:paraId="4A897FCF" w14:textId="77777777" w:rsidR="007B038F" w:rsidRPr="00976671" w:rsidRDefault="007B038F" w:rsidP="00C44AB3">
      <w:pPr>
        <w:shd w:val="clear" w:color="auto" w:fill="FFFFFF"/>
        <w:spacing w:after="0" w:line="276" w:lineRule="auto"/>
        <w:jc w:val="both"/>
        <w:rPr>
          <w:rFonts w:ascii="Arial" w:eastAsia="Times New Roman" w:hAnsi="Arial" w:cs="Arial"/>
          <w:color w:val="000000"/>
          <w:sz w:val="20"/>
          <w:szCs w:val="20"/>
        </w:rPr>
      </w:pPr>
    </w:p>
    <w:p w14:paraId="720B72CB" w14:textId="4CFE9189" w:rsidR="00C44AB3" w:rsidRPr="00976671" w:rsidRDefault="001A4573" w:rsidP="00D3499C">
      <w:pPr>
        <w:pStyle w:val="Prrafodelista"/>
        <w:numPr>
          <w:ilvl w:val="0"/>
          <w:numId w:val="41"/>
        </w:numPr>
        <w:spacing w:line="276" w:lineRule="auto"/>
        <w:jc w:val="both"/>
        <w:rPr>
          <w:rFonts w:ascii="Arial" w:eastAsia="Times New Roman" w:hAnsi="Arial" w:cs="Arial"/>
          <w:b/>
          <w:sz w:val="20"/>
          <w:szCs w:val="20"/>
        </w:rPr>
      </w:pPr>
      <w:r w:rsidRPr="00976671">
        <w:rPr>
          <w:rFonts w:ascii="Arial" w:eastAsia="Times New Roman" w:hAnsi="Arial" w:cs="Arial"/>
          <w:b/>
          <w:sz w:val="20"/>
          <w:szCs w:val="20"/>
        </w:rPr>
        <w:t>¿Cómo se clasifica la osteoporosis?</w:t>
      </w:r>
    </w:p>
    <w:p w14:paraId="5B1621A6" w14:textId="77777777" w:rsidR="002E35D0" w:rsidRPr="00976671" w:rsidRDefault="002E35D0" w:rsidP="002E35D0">
      <w:pPr>
        <w:spacing w:line="276" w:lineRule="auto"/>
        <w:jc w:val="both"/>
        <w:rPr>
          <w:rFonts w:ascii="Arial" w:hAnsi="Arial" w:cs="Arial"/>
          <w:sz w:val="20"/>
          <w:szCs w:val="20"/>
          <w:lang w:val="es-ES"/>
        </w:rPr>
      </w:pPr>
      <w:r w:rsidRPr="00976671">
        <w:rPr>
          <w:rFonts w:ascii="Arial" w:hAnsi="Arial" w:cs="Arial"/>
          <w:sz w:val="20"/>
          <w:szCs w:val="20"/>
          <w:lang w:val="es-ES"/>
        </w:rPr>
        <w:lastRenderedPageBreak/>
        <w:t>La mejor forma de abordar la osteoporosis es entendiendo su mecanismo fisiopatológico, por lo tanto dado que ésta es una enfermedad relacionada con el envejecimiento, debería ser considerada como idiopática, excepto en los casos en los que se puede establecer un mecanismo causal y que debe ser entendida como osteoporosis secundaria</w:t>
      </w:r>
    </w:p>
    <w:p w14:paraId="7B15BBDC" w14:textId="78C663A0" w:rsidR="002E35D0" w:rsidRPr="00976671" w:rsidRDefault="002E35D0" w:rsidP="002E35D0">
      <w:pPr>
        <w:spacing w:line="276" w:lineRule="auto"/>
        <w:jc w:val="both"/>
        <w:rPr>
          <w:rFonts w:ascii="Arial" w:hAnsi="Arial" w:cs="Arial"/>
          <w:sz w:val="20"/>
          <w:szCs w:val="20"/>
          <w:lang w:val="es-ES"/>
        </w:rPr>
      </w:pPr>
      <w:r w:rsidRPr="00976671">
        <w:rPr>
          <w:rFonts w:ascii="Arial" w:hAnsi="Arial" w:cs="Arial"/>
          <w:sz w:val="20"/>
          <w:szCs w:val="20"/>
          <w:lang w:val="es-ES"/>
        </w:rPr>
        <w:t xml:space="preserve">Dentro de la osteoporosis primaria o idiopática, se incluye la osteoporosis juvenil, posmenopáusica y senil. </w:t>
      </w:r>
    </w:p>
    <w:p w14:paraId="33F853F8" w14:textId="6DE8E8A2" w:rsidR="002E35D0" w:rsidRPr="00976671" w:rsidRDefault="002E35D0" w:rsidP="0020783B">
      <w:pPr>
        <w:pStyle w:val="Prrafodelista"/>
        <w:numPr>
          <w:ilvl w:val="0"/>
          <w:numId w:val="36"/>
        </w:numPr>
        <w:spacing w:line="276" w:lineRule="auto"/>
        <w:jc w:val="both"/>
        <w:rPr>
          <w:rFonts w:ascii="Arial" w:hAnsi="Arial" w:cs="Arial"/>
          <w:b/>
          <w:sz w:val="20"/>
          <w:szCs w:val="20"/>
        </w:rPr>
      </w:pPr>
      <w:r w:rsidRPr="00976671">
        <w:rPr>
          <w:rFonts w:ascii="Arial" w:hAnsi="Arial" w:cs="Arial"/>
          <w:b/>
          <w:sz w:val="20"/>
          <w:szCs w:val="20"/>
        </w:rPr>
        <w:t>Osteoporosis primaria</w:t>
      </w:r>
      <w:r w:rsidR="00F940B2" w:rsidRPr="00976671">
        <w:rPr>
          <w:rFonts w:ascii="Arial" w:hAnsi="Arial" w:cs="Arial"/>
          <w:b/>
          <w:sz w:val="20"/>
          <w:szCs w:val="20"/>
        </w:rPr>
        <w:t>:</w:t>
      </w:r>
    </w:p>
    <w:p w14:paraId="77928C91" w14:textId="171C555A" w:rsidR="002E35D0" w:rsidRPr="00976671" w:rsidRDefault="002E35D0" w:rsidP="002E35D0">
      <w:pPr>
        <w:spacing w:line="276" w:lineRule="auto"/>
        <w:jc w:val="both"/>
        <w:rPr>
          <w:rFonts w:ascii="Arial" w:hAnsi="Arial" w:cs="Arial"/>
          <w:sz w:val="20"/>
          <w:szCs w:val="20"/>
          <w:lang w:val="es-ES"/>
        </w:rPr>
      </w:pPr>
      <w:r w:rsidRPr="00976671">
        <w:rPr>
          <w:rFonts w:ascii="Arial" w:hAnsi="Arial" w:cs="Arial"/>
          <w:sz w:val="20"/>
          <w:szCs w:val="20"/>
          <w:u w:val="single"/>
          <w:lang w:val="es-ES"/>
        </w:rPr>
        <w:t xml:space="preserve">Osteoporosis juvenil </w:t>
      </w:r>
      <w:proofErr w:type="spellStart"/>
      <w:r w:rsidRPr="00976671">
        <w:rPr>
          <w:rFonts w:ascii="Arial" w:hAnsi="Arial" w:cs="Arial"/>
          <w:sz w:val="20"/>
          <w:szCs w:val="20"/>
          <w:u w:val="single"/>
          <w:lang w:val="es-ES"/>
        </w:rPr>
        <w:t>idiopatica</w:t>
      </w:r>
      <w:proofErr w:type="spellEnd"/>
      <w:r w:rsidRPr="00976671">
        <w:rPr>
          <w:rFonts w:ascii="Arial" w:hAnsi="Arial" w:cs="Arial"/>
          <w:sz w:val="20"/>
          <w:szCs w:val="20"/>
          <w:u w:val="single"/>
          <w:lang w:val="es-ES"/>
        </w:rPr>
        <w:t>:</w:t>
      </w:r>
      <w:r w:rsidRPr="00976671">
        <w:rPr>
          <w:rFonts w:ascii="Arial" w:hAnsi="Arial" w:cs="Arial"/>
          <w:sz w:val="20"/>
          <w:szCs w:val="20"/>
          <w:lang w:val="es-ES"/>
        </w:rPr>
        <w:t xml:space="preserve"> (</w:t>
      </w:r>
      <w:proofErr w:type="spellStart"/>
      <w:r w:rsidRPr="00976671">
        <w:rPr>
          <w:rFonts w:ascii="Arial" w:hAnsi="Arial" w:cs="Arial"/>
          <w:sz w:val="20"/>
          <w:szCs w:val="20"/>
          <w:lang w:val="es-ES"/>
        </w:rPr>
        <w:t>IJO</w:t>
      </w:r>
      <w:proofErr w:type="spellEnd"/>
      <w:r w:rsidRPr="00976671">
        <w:rPr>
          <w:rFonts w:ascii="Arial" w:hAnsi="Arial" w:cs="Arial"/>
          <w:sz w:val="20"/>
          <w:szCs w:val="20"/>
          <w:lang w:val="es-ES"/>
        </w:rPr>
        <w:t>), se usa para indicar osteoporosis en niños y adolescentes, y generalmente no se refiere a ningún tipo específico de osteoporosis en estos grupos de edad.</w:t>
      </w:r>
    </w:p>
    <w:p w14:paraId="4C279441" w14:textId="355427DD" w:rsidR="002E35D0" w:rsidRPr="00976671" w:rsidRDefault="002E35D0" w:rsidP="002E35D0">
      <w:pPr>
        <w:spacing w:line="276" w:lineRule="auto"/>
        <w:jc w:val="both"/>
        <w:rPr>
          <w:rFonts w:ascii="Arial" w:hAnsi="Arial" w:cs="Arial"/>
          <w:sz w:val="20"/>
          <w:szCs w:val="20"/>
          <w:lang w:val="es-ES"/>
        </w:rPr>
      </w:pPr>
      <w:r w:rsidRPr="00976671">
        <w:rPr>
          <w:rFonts w:ascii="Arial" w:hAnsi="Arial" w:cs="Arial"/>
          <w:sz w:val="20"/>
          <w:szCs w:val="20"/>
          <w:lang w:val="es-ES"/>
        </w:rPr>
        <w:t>Las posiciones pediátricas oficiales de la Sociedad Internacional para Densitometría Clínica (ISCD) definieron la osteoporosis en niños sobre la base de una historia de una o múltiples fracturas de fragilidad vertebral o la presencia de una historia de fractura clínicamente significativa, definida como la ocurrencia de al menos dos fracturas óseas de huesos largos a</w:t>
      </w:r>
      <w:r w:rsidR="0020783B" w:rsidRPr="00976671">
        <w:rPr>
          <w:rFonts w:ascii="Arial" w:hAnsi="Arial" w:cs="Arial"/>
          <w:sz w:val="20"/>
          <w:szCs w:val="20"/>
          <w:lang w:val="es-ES"/>
        </w:rPr>
        <w:t>ntes de</w:t>
      </w:r>
      <w:r w:rsidRPr="00976671">
        <w:rPr>
          <w:rFonts w:ascii="Arial" w:hAnsi="Arial" w:cs="Arial"/>
          <w:sz w:val="20"/>
          <w:szCs w:val="20"/>
          <w:lang w:val="es-ES"/>
        </w:rPr>
        <w:t xml:space="preserve"> los 10 años de edad o tres o más fracturas de huesos largos hasta los 19 años, en ausencia de enfermedad local o trauma de alta energía, así como una puntuación Z de la DMO ≤ - 2.0 (DE) en la columna lumbar y / o en el cuerpo sin cabeza ajustado por edad, género y tamaño corporal. La cadera total y el cuello femoral no son los sitios de medición preferidos para los niños en crecimiento debido a la variabilidad inherente en el desarrollo del esqueleto.</w:t>
      </w:r>
    </w:p>
    <w:p w14:paraId="256F6BF0" w14:textId="6292A0EA" w:rsidR="002E35D0" w:rsidRPr="00976671" w:rsidRDefault="002E35D0" w:rsidP="002E35D0">
      <w:pPr>
        <w:spacing w:line="276" w:lineRule="auto"/>
        <w:jc w:val="both"/>
        <w:rPr>
          <w:rFonts w:ascii="Arial" w:hAnsi="Arial" w:cs="Arial"/>
          <w:sz w:val="20"/>
          <w:szCs w:val="20"/>
          <w:lang w:val="es-ES"/>
        </w:rPr>
      </w:pPr>
      <w:r w:rsidRPr="00976671">
        <w:rPr>
          <w:rFonts w:ascii="Arial" w:hAnsi="Arial" w:cs="Arial"/>
          <w:sz w:val="20"/>
          <w:szCs w:val="20"/>
          <w:lang w:val="es-ES"/>
        </w:rPr>
        <w:t xml:space="preserve">En bebés y niños, se debe informar un diagnóstico de “baja masa ósea” cuando la puntuación Z de la DMO es menor </w:t>
      </w:r>
      <w:r w:rsidR="0020783B" w:rsidRPr="00976671">
        <w:rPr>
          <w:rFonts w:ascii="Arial" w:hAnsi="Arial" w:cs="Arial"/>
          <w:sz w:val="20"/>
          <w:szCs w:val="20"/>
          <w:lang w:val="es-ES"/>
        </w:rPr>
        <w:t>a</w:t>
      </w:r>
      <w:r w:rsidRPr="00976671">
        <w:rPr>
          <w:rFonts w:ascii="Arial" w:hAnsi="Arial" w:cs="Arial"/>
          <w:sz w:val="20"/>
          <w:szCs w:val="20"/>
          <w:lang w:val="es-ES"/>
        </w:rPr>
        <w:t xml:space="preserve"> - 2.0 DE y no hay antecedentes de fractura. Sin embargo, en niños menores de 5 años, la interpretación de los resultados de DEXA puede no ser apropiada porque el impacto del retraso en el crecimiento no es cuantificable.</w:t>
      </w:r>
    </w:p>
    <w:p w14:paraId="3D989E6A" w14:textId="77777777" w:rsidR="002E35D0" w:rsidRPr="00976671" w:rsidRDefault="002E35D0" w:rsidP="002E35D0">
      <w:pPr>
        <w:spacing w:line="276" w:lineRule="auto"/>
        <w:jc w:val="both"/>
        <w:rPr>
          <w:rFonts w:ascii="Arial" w:hAnsi="Arial" w:cs="Arial"/>
          <w:sz w:val="20"/>
          <w:szCs w:val="20"/>
          <w:lang w:val="es-ES"/>
        </w:rPr>
      </w:pPr>
      <w:r w:rsidRPr="00976671">
        <w:rPr>
          <w:rFonts w:ascii="Arial" w:hAnsi="Arial" w:cs="Arial"/>
          <w:sz w:val="20"/>
          <w:szCs w:val="20"/>
          <w:u w:val="single"/>
          <w:lang w:val="es-ES"/>
        </w:rPr>
        <w:t>Osteoporosis posmenopáusica:</w:t>
      </w:r>
      <w:r w:rsidRPr="00976671">
        <w:rPr>
          <w:rFonts w:ascii="Arial" w:hAnsi="Arial" w:cs="Arial"/>
          <w:sz w:val="20"/>
          <w:szCs w:val="20"/>
          <w:lang w:val="es-ES"/>
        </w:rPr>
        <w:t xml:space="preserve"> Se asocia con el agotamiento de los estrógenos, lo que aumenta la pérdida ósea que se produce con el envejecimiento. </w:t>
      </w:r>
    </w:p>
    <w:p w14:paraId="21564ED0" w14:textId="00A59836" w:rsidR="002E35D0" w:rsidRPr="00976671" w:rsidRDefault="002E35D0" w:rsidP="002E35D0">
      <w:pPr>
        <w:spacing w:line="276" w:lineRule="auto"/>
        <w:jc w:val="both"/>
        <w:rPr>
          <w:rFonts w:ascii="Arial" w:hAnsi="Arial" w:cs="Arial"/>
          <w:sz w:val="20"/>
          <w:szCs w:val="20"/>
          <w:lang w:val="es-ES"/>
        </w:rPr>
      </w:pPr>
      <w:r w:rsidRPr="00976671">
        <w:rPr>
          <w:rFonts w:ascii="Arial" w:hAnsi="Arial" w:cs="Arial"/>
          <w:sz w:val="20"/>
          <w:szCs w:val="20"/>
          <w:u w:val="single"/>
          <w:lang w:val="es-ES"/>
        </w:rPr>
        <w:t>La osteoporosis en los hombres:</w:t>
      </w:r>
      <w:r w:rsidRPr="00976671">
        <w:rPr>
          <w:rFonts w:ascii="Arial" w:hAnsi="Arial" w:cs="Arial"/>
          <w:sz w:val="20"/>
          <w:szCs w:val="20"/>
          <w:lang w:val="es-ES"/>
        </w:rPr>
        <w:t xml:space="preserve"> S</w:t>
      </w:r>
      <w:r w:rsidR="0020783B" w:rsidRPr="00976671">
        <w:rPr>
          <w:rFonts w:ascii="Arial" w:hAnsi="Arial" w:cs="Arial"/>
          <w:sz w:val="20"/>
          <w:szCs w:val="20"/>
          <w:lang w:val="es-ES"/>
        </w:rPr>
        <w:t xml:space="preserve">igue siendo subestimada. </w:t>
      </w:r>
      <w:r w:rsidRPr="00976671">
        <w:rPr>
          <w:rFonts w:ascii="Arial" w:hAnsi="Arial" w:cs="Arial"/>
          <w:sz w:val="20"/>
          <w:szCs w:val="20"/>
          <w:lang w:val="es-ES"/>
        </w:rPr>
        <w:t>Alrededor del 20% de todas las fracturas de cadera se producen en hombres, y la incidencia de fracturas vertebrales es aproximadamente</w:t>
      </w:r>
      <w:r w:rsidR="0020783B" w:rsidRPr="00976671">
        <w:rPr>
          <w:rFonts w:ascii="Arial" w:hAnsi="Arial" w:cs="Arial"/>
          <w:sz w:val="20"/>
          <w:szCs w:val="20"/>
          <w:lang w:val="es-ES"/>
        </w:rPr>
        <w:t xml:space="preserve"> la mitad que para las mujeres</w:t>
      </w:r>
      <w:r w:rsidRPr="00976671">
        <w:rPr>
          <w:rFonts w:ascii="Arial" w:hAnsi="Arial" w:cs="Arial"/>
          <w:sz w:val="20"/>
          <w:szCs w:val="20"/>
          <w:lang w:val="es-ES"/>
        </w:rPr>
        <w:t xml:space="preserve">. Sin embargo, la mortalidad y la morbilidad por fracturas </w:t>
      </w:r>
      <w:proofErr w:type="spellStart"/>
      <w:r w:rsidRPr="00976671">
        <w:rPr>
          <w:rFonts w:ascii="Arial" w:hAnsi="Arial" w:cs="Arial"/>
          <w:sz w:val="20"/>
          <w:szCs w:val="20"/>
          <w:lang w:val="es-ES"/>
        </w:rPr>
        <w:t>osteoporóticas</w:t>
      </w:r>
      <w:proofErr w:type="spellEnd"/>
      <w:r w:rsidRPr="00976671">
        <w:rPr>
          <w:rFonts w:ascii="Arial" w:hAnsi="Arial" w:cs="Arial"/>
          <w:sz w:val="20"/>
          <w:szCs w:val="20"/>
          <w:lang w:val="es-ES"/>
        </w:rPr>
        <w:t xml:space="preserve"> en hombres son más altas que en mujeres. </w:t>
      </w:r>
    </w:p>
    <w:p w14:paraId="18C41502" w14:textId="345759AF" w:rsidR="002E35D0" w:rsidRPr="00976671" w:rsidRDefault="002E35D0" w:rsidP="002E35D0">
      <w:pPr>
        <w:spacing w:line="276" w:lineRule="auto"/>
        <w:jc w:val="both"/>
        <w:rPr>
          <w:rFonts w:ascii="Arial" w:hAnsi="Arial" w:cs="Arial"/>
          <w:sz w:val="20"/>
          <w:szCs w:val="20"/>
          <w:lang w:val="es-ES"/>
        </w:rPr>
      </w:pPr>
      <w:r w:rsidRPr="00976671">
        <w:rPr>
          <w:rFonts w:ascii="Arial" w:hAnsi="Arial" w:cs="Arial"/>
          <w:sz w:val="20"/>
          <w:szCs w:val="20"/>
          <w:lang w:val="es-ES"/>
        </w:rPr>
        <w:t>La exclusión de las condiciones patológicas subyacentes en la osteoporosis masculina es obligatoria.</w:t>
      </w:r>
    </w:p>
    <w:p w14:paraId="53B648EA" w14:textId="383A1F5F" w:rsidR="002E35D0" w:rsidRPr="00976671" w:rsidRDefault="001A4573" w:rsidP="002E35D0">
      <w:pPr>
        <w:spacing w:line="276" w:lineRule="auto"/>
        <w:jc w:val="both"/>
        <w:rPr>
          <w:rFonts w:ascii="Arial" w:hAnsi="Arial" w:cs="Arial"/>
          <w:sz w:val="20"/>
          <w:szCs w:val="20"/>
          <w:lang w:val="es-ES"/>
        </w:rPr>
      </w:pPr>
      <w:r w:rsidRPr="00976671">
        <w:rPr>
          <w:rFonts w:ascii="Arial" w:hAnsi="Arial" w:cs="Arial"/>
          <w:sz w:val="20"/>
          <w:szCs w:val="20"/>
          <w:lang w:val="es-ES"/>
        </w:rPr>
        <w:t>De acuerdo con las p</w:t>
      </w:r>
      <w:r w:rsidR="002E35D0" w:rsidRPr="00976671">
        <w:rPr>
          <w:rFonts w:ascii="Arial" w:hAnsi="Arial" w:cs="Arial"/>
          <w:sz w:val="20"/>
          <w:szCs w:val="20"/>
          <w:lang w:val="es-ES"/>
        </w:rPr>
        <w:t>osiciones</w:t>
      </w:r>
      <w:r w:rsidRPr="00976671">
        <w:rPr>
          <w:rFonts w:ascii="Arial" w:hAnsi="Arial" w:cs="Arial"/>
          <w:sz w:val="20"/>
          <w:szCs w:val="20"/>
          <w:lang w:val="es-ES"/>
        </w:rPr>
        <w:t xml:space="preserve"> de</w:t>
      </w:r>
      <w:r w:rsidR="002E35D0" w:rsidRPr="00976671">
        <w:rPr>
          <w:rFonts w:ascii="Arial" w:hAnsi="Arial" w:cs="Arial"/>
          <w:sz w:val="20"/>
          <w:szCs w:val="20"/>
          <w:lang w:val="es-ES"/>
        </w:rPr>
        <w:t xml:space="preserve"> </w:t>
      </w:r>
      <w:proofErr w:type="spellStart"/>
      <w:r w:rsidR="002E35D0" w:rsidRPr="00976671">
        <w:rPr>
          <w:rFonts w:ascii="Arial" w:hAnsi="Arial" w:cs="Arial"/>
          <w:sz w:val="20"/>
          <w:szCs w:val="20"/>
          <w:lang w:val="es-ES"/>
        </w:rPr>
        <w:t>ISCD</w:t>
      </w:r>
      <w:proofErr w:type="spellEnd"/>
      <w:r w:rsidRPr="00976671">
        <w:rPr>
          <w:rFonts w:ascii="Arial" w:hAnsi="Arial" w:cs="Arial"/>
          <w:sz w:val="20"/>
          <w:szCs w:val="20"/>
          <w:lang w:val="es-ES"/>
        </w:rPr>
        <w:t xml:space="preserve"> (</w:t>
      </w:r>
      <w:proofErr w:type="spellStart"/>
      <w:r w:rsidRPr="00976671">
        <w:rPr>
          <w:rFonts w:ascii="Arial" w:hAnsi="Arial" w:cs="Arial"/>
          <w:sz w:val="20"/>
          <w:szCs w:val="20"/>
          <w:lang w:val="es-ES"/>
        </w:rPr>
        <w:t>The</w:t>
      </w:r>
      <w:proofErr w:type="spellEnd"/>
      <w:r w:rsidRPr="00976671">
        <w:rPr>
          <w:rFonts w:ascii="Arial" w:hAnsi="Arial" w:cs="Arial"/>
          <w:sz w:val="20"/>
          <w:szCs w:val="20"/>
          <w:lang w:val="es-ES"/>
        </w:rPr>
        <w:t xml:space="preserve"> International </w:t>
      </w:r>
      <w:proofErr w:type="spellStart"/>
      <w:r w:rsidRPr="00976671">
        <w:rPr>
          <w:rFonts w:ascii="Arial" w:hAnsi="Arial" w:cs="Arial"/>
          <w:sz w:val="20"/>
          <w:szCs w:val="20"/>
          <w:lang w:val="es-ES"/>
        </w:rPr>
        <w:t>Society</w:t>
      </w:r>
      <w:proofErr w:type="spellEnd"/>
      <w:r w:rsidRPr="00976671">
        <w:rPr>
          <w:rFonts w:ascii="Arial" w:hAnsi="Arial" w:cs="Arial"/>
          <w:sz w:val="20"/>
          <w:szCs w:val="20"/>
          <w:lang w:val="es-ES"/>
        </w:rPr>
        <w:t xml:space="preserve"> </w:t>
      </w:r>
      <w:proofErr w:type="spellStart"/>
      <w:r w:rsidRPr="00976671">
        <w:rPr>
          <w:rFonts w:ascii="Arial" w:hAnsi="Arial" w:cs="Arial"/>
          <w:sz w:val="20"/>
          <w:szCs w:val="20"/>
          <w:lang w:val="es-ES"/>
        </w:rPr>
        <w:t>For</w:t>
      </w:r>
      <w:proofErr w:type="spellEnd"/>
      <w:r w:rsidRPr="00976671">
        <w:rPr>
          <w:rFonts w:ascii="Arial" w:hAnsi="Arial" w:cs="Arial"/>
          <w:sz w:val="20"/>
          <w:szCs w:val="20"/>
          <w:lang w:val="es-ES"/>
        </w:rPr>
        <w:t xml:space="preserve"> </w:t>
      </w:r>
      <w:proofErr w:type="spellStart"/>
      <w:r w:rsidRPr="00976671">
        <w:rPr>
          <w:rFonts w:ascii="Arial" w:hAnsi="Arial" w:cs="Arial"/>
          <w:sz w:val="20"/>
          <w:szCs w:val="20"/>
          <w:lang w:val="es-ES"/>
        </w:rPr>
        <w:t>Clinical</w:t>
      </w:r>
      <w:proofErr w:type="spellEnd"/>
      <w:r w:rsidRPr="00976671">
        <w:rPr>
          <w:rFonts w:ascii="Arial" w:hAnsi="Arial" w:cs="Arial"/>
          <w:sz w:val="20"/>
          <w:szCs w:val="20"/>
          <w:lang w:val="es-ES"/>
        </w:rPr>
        <w:t xml:space="preserve"> </w:t>
      </w:r>
      <w:proofErr w:type="spellStart"/>
      <w:r w:rsidRPr="00976671">
        <w:rPr>
          <w:rFonts w:ascii="Arial" w:hAnsi="Arial" w:cs="Arial"/>
          <w:sz w:val="20"/>
          <w:szCs w:val="20"/>
          <w:lang w:val="es-ES"/>
        </w:rPr>
        <w:t>Densitometry</w:t>
      </w:r>
      <w:proofErr w:type="spellEnd"/>
      <w:r w:rsidRPr="00976671">
        <w:rPr>
          <w:rFonts w:ascii="Arial" w:hAnsi="Arial" w:cs="Arial"/>
          <w:sz w:val="20"/>
          <w:szCs w:val="20"/>
          <w:lang w:val="es-ES"/>
        </w:rPr>
        <w:t>)</w:t>
      </w:r>
      <w:r w:rsidR="002E35D0" w:rsidRPr="00976671">
        <w:rPr>
          <w:rFonts w:ascii="Arial" w:hAnsi="Arial" w:cs="Arial"/>
          <w:sz w:val="20"/>
          <w:szCs w:val="20"/>
          <w:lang w:val="es-ES"/>
        </w:rPr>
        <w:t xml:space="preserve">, la densitometría ósea es necesaria para confirmar un diagnóstico de osteoporosis en hombres mayores de 70 años o en aquellos con antecedentes de fracturas por fragilidad. Además, la medición de la DMO con DEXA se justifica para los sujetos masculinos de cualquier edad en presencia de un factor de riesgo para la masa ósea baja, como el bajo peso corporal, el uso de medicamentos de alto riesgo o una enfermedad o afección asociada con la pérdida ósea. </w:t>
      </w:r>
    </w:p>
    <w:p w14:paraId="7D82D73A" w14:textId="77777777" w:rsidR="001A4573" w:rsidRPr="00976671" w:rsidRDefault="001A4573" w:rsidP="002E35D0">
      <w:pPr>
        <w:spacing w:line="276" w:lineRule="auto"/>
        <w:jc w:val="both"/>
        <w:rPr>
          <w:rFonts w:ascii="Arial" w:hAnsi="Arial" w:cs="Arial"/>
          <w:sz w:val="20"/>
          <w:szCs w:val="20"/>
          <w:lang w:val="es-ES"/>
        </w:rPr>
      </w:pPr>
    </w:p>
    <w:p w14:paraId="44C20BE2" w14:textId="290311DF" w:rsidR="002E35D0" w:rsidRPr="00976671" w:rsidRDefault="002E35D0" w:rsidP="0020783B">
      <w:pPr>
        <w:pStyle w:val="Prrafodelista"/>
        <w:numPr>
          <w:ilvl w:val="0"/>
          <w:numId w:val="36"/>
        </w:numPr>
        <w:spacing w:line="276" w:lineRule="auto"/>
        <w:jc w:val="both"/>
        <w:rPr>
          <w:rFonts w:ascii="Arial" w:hAnsi="Arial" w:cs="Arial"/>
          <w:b/>
          <w:sz w:val="20"/>
          <w:szCs w:val="20"/>
          <w:lang w:val="es-ES"/>
        </w:rPr>
      </w:pPr>
      <w:r w:rsidRPr="00976671">
        <w:rPr>
          <w:rFonts w:ascii="Arial" w:hAnsi="Arial" w:cs="Arial"/>
          <w:b/>
          <w:sz w:val="20"/>
          <w:szCs w:val="20"/>
          <w:lang w:val="es-ES"/>
        </w:rPr>
        <w:t>Osteoporosis secundaria</w:t>
      </w:r>
      <w:r w:rsidR="003648DE" w:rsidRPr="00976671">
        <w:rPr>
          <w:rFonts w:ascii="Arial" w:hAnsi="Arial" w:cs="Arial"/>
          <w:b/>
          <w:sz w:val="20"/>
          <w:szCs w:val="20"/>
          <w:lang w:val="es-ES"/>
        </w:rPr>
        <w:t xml:space="preserve"> </w:t>
      </w:r>
    </w:p>
    <w:p w14:paraId="5FBE56D9" w14:textId="339CAA29" w:rsidR="002E35D0" w:rsidRPr="00976671" w:rsidRDefault="002E35D0" w:rsidP="002E35D0">
      <w:pPr>
        <w:spacing w:line="276" w:lineRule="auto"/>
        <w:jc w:val="both"/>
        <w:rPr>
          <w:rFonts w:ascii="Arial" w:hAnsi="Arial" w:cs="Arial"/>
          <w:sz w:val="20"/>
          <w:szCs w:val="20"/>
          <w:lang w:val="es-ES"/>
        </w:rPr>
      </w:pPr>
      <w:r w:rsidRPr="00976671">
        <w:rPr>
          <w:rFonts w:ascii="Arial" w:hAnsi="Arial" w:cs="Arial"/>
          <w:sz w:val="20"/>
          <w:szCs w:val="20"/>
          <w:lang w:val="es-ES"/>
        </w:rPr>
        <w:t>La osteoporosis secundaria es un término general para todas las condiciones clínicas donde la afectación ósea no es el principal hallazgo patológico</w:t>
      </w:r>
      <w:r w:rsidR="00F13CD7" w:rsidRPr="00976671">
        <w:rPr>
          <w:rFonts w:ascii="Arial" w:hAnsi="Arial" w:cs="Arial"/>
          <w:sz w:val="20"/>
          <w:szCs w:val="20"/>
          <w:lang w:val="es-ES"/>
        </w:rPr>
        <w:t>, ver tabla No 2.</w:t>
      </w:r>
    </w:p>
    <w:p w14:paraId="14D84964" w14:textId="6CA01B57" w:rsidR="002E35D0" w:rsidRPr="00976671" w:rsidRDefault="00F13CD7" w:rsidP="002E35D0">
      <w:pPr>
        <w:widowControl w:val="0"/>
        <w:autoSpaceDE w:val="0"/>
        <w:autoSpaceDN w:val="0"/>
        <w:adjustRightInd w:val="0"/>
        <w:spacing w:after="240" w:line="240" w:lineRule="auto"/>
        <w:rPr>
          <w:rFonts w:ascii="Arial" w:hAnsi="Arial" w:cs="Arial"/>
          <w:i/>
          <w:sz w:val="20"/>
          <w:szCs w:val="20"/>
          <w:lang w:val="es-ES"/>
        </w:rPr>
      </w:pPr>
      <w:r w:rsidRPr="00976671">
        <w:rPr>
          <w:rFonts w:ascii="Arial" w:hAnsi="Arial" w:cs="Arial"/>
          <w:i/>
          <w:sz w:val="20"/>
          <w:szCs w:val="20"/>
          <w:lang w:val="es-ES"/>
        </w:rPr>
        <w:t xml:space="preserve">Tabla No 2. </w:t>
      </w:r>
      <w:r w:rsidR="002E35D0" w:rsidRPr="00976671">
        <w:rPr>
          <w:rFonts w:ascii="Arial" w:hAnsi="Arial" w:cs="Arial"/>
          <w:i/>
          <w:sz w:val="20"/>
          <w:szCs w:val="20"/>
          <w:lang w:val="es-ES"/>
        </w:rPr>
        <w:t>Casusa</w:t>
      </w:r>
      <w:r w:rsidR="00F940B2" w:rsidRPr="00976671">
        <w:rPr>
          <w:rFonts w:ascii="Arial" w:hAnsi="Arial" w:cs="Arial"/>
          <w:i/>
          <w:sz w:val="20"/>
          <w:szCs w:val="20"/>
          <w:lang w:val="es-ES"/>
        </w:rPr>
        <w:t>s</w:t>
      </w:r>
      <w:r w:rsidR="002E35D0" w:rsidRPr="00976671">
        <w:rPr>
          <w:rFonts w:ascii="Arial" w:hAnsi="Arial" w:cs="Arial"/>
          <w:i/>
          <w:sz w:val="20"/>
          <w:szCs w:val="20"/>
          <w:lang w:val="es-ES"/>
        </w:rPr>
        <w:t xml:space="preserve"> secundarias de osteoporosis</w:t>
      </w:r>
      <w:r w:rsidRPr="00976671">
        <w:rPr>
          <w:rFonts w:ascii="Arial" w:hAnsi="Arial" w:cs="Arial"/>
          <w:i/>
          <w:sz w:val="20"/>
          <w:szCs w:val="20"/>
          <w:lang w:val="es-ES"/>
        </w:rPr>
        <w:t xml:space="preserve">. </w:t>
      </w:r>
      <w:r w:rsidRPr="00976671">
        <w:rPr>
          <w:rFonts w:ascii="Arial" w:hAnsi="Arial" w:cs="Arial"/>
          <w:sz w:val="20"/>
          <w:szCs w:val="20"/>
          <w:lang w:val="es-ES"/>
        </w:rPr>
        <w:t>(</w:t>
      </w:r>
      <w:proofErr w:type="spellStart"/>
      <w:r w:rsidRPr="00976671">
        <w:rPr>
          <w:rFonts w:ascii="Arial" w:eastAsiaTheme="minorEastAsia" w:hAnsi="Arial" w:cs="Arial"/>
          <w:bCs/>
          <w:sz w:val="20"/>
          <w:szCs w:val="20"/>
          <w:lang w:val="es-ES" w:eastAsia="es-ES"/>
        </w:rPr>
        <w:t>Painter</w:t>
      </w:r>
      <w:proofErr w:type="spellEnd"/>
      <w:r w:rsidR="00976671">
        <w:rPr>
          <w:rFonts w:ascii="Arial" w:eastAsiaTheme="minorEastAsia" w:hAnsi="Arial" w:cs="Arial"/>
          <w:bCs/>
          <w:sz w:val="20"/>
          <w:szCs w:val="20"/>
          <w:lang w:val="es-ES" w:eastAsia="es-ES"/>
        </w:rPr>
        <w:t>,</w:t>
      </w:r>
      <w:r w:rsidRPr="00976671">
        <w:rPr>
          <w:rFonts w:ascii="Arial" w:eastAsiaTheme="minorEastAsia" w:hAnsi="Arial" w:cs="Arial"/>
          <w:bCs/>
          <w:sz w:val="20"/>
          <w:szCs w:val="20"/>
          <w:lang w:val="es-ES" w:eastAsia="es-ES"/>
        </w:rPr>
        <w:t xml:space="preserve"> SE et al, 2006)</w:t>
      </w:r>
    </w:p>
    <w:tbl>
      <w:tblPr>
        <w:tblStyle w:val="Tablaconcuadrcula"/>
        <w:tblW w:w="0" w:type="auto"/>
        <w:tblLook w:val="04A0" w:firstRow="1" w:lastRow="0" w:firstColumn="1" w:lastColumn="0" w:noHBand="0" w:noVBand="1"/>
      </w:tblPr>
      <w:tblGrid>
        <w:gridCol w:w="2634"/>
        <w:gridCol w:w="6194"/>
      </w:tblGrid>
      <w:tr w:rsidR="001A4573" w:rsidRPr="00976671" w14:paraId="6668C70B" w14:textId="77777777" w:rsidTr="001A4573">
        <w:tc>
          <w:tcPr>
            <w:tcW w:w="2660" w:type="dxa"/>
          </w:tcPr>
          <w:p w14:paraId="6E701112" w14:textId="331CAE34" w:rsidR="001A4573" w:rsidRPr="00976671" w:rsidRDefault="001A4573" w:rsidP="001A4573">
            <w:pPr>
              <w:widowControl w:val="0"/>
              <w:autoSpaceDE w:val="0"/>
              <w:autoSpaceDN w:val="0"/>
              <w:adjustRightInd w:val="0"/>
              <w:spacing w:after="240" w:line="240" w:lineRule="auto"/>
              <w:jc w:val="center"/>
              <w:rPr>
                <w:rFonts w:ascii="Arial" w:hAnsi="Arial" w:cs="Arial"/>
                <w:b/>
                <w:sz w:val="20"/>
                <w:szCs w:val="20"/>
                <w:lang w:val="es-ES"/>
              </w:rPr>
            </w:pPr>
            <w:r w:rsidRPr="00976671">
              <w:rPr>
                <w:rFonts w:ascii="Arial" w:hAnsi="Arial" w:cs="Arial"/>
                <w:b/>
                <w:sz w:val="20"/>
                <w:szCs w:val="20"/>
                <w:lang w:val="es-ES"/>
              </w:rPr>
              <w:lastRenderedPageBreak/>
              <w:t>GRUPO</w:t>
            </w:r>
          </w:p>
        </w:tc>
        <w:tc>
          <w:tcPr>
            <w:tcW w:w="6318" w:type="dxa"/>
          </w:tcPr>
          <w:p w14:paraId="5C4BE3A3" w14:textId="6E53CCCA" w:rsidR="001A4573" w:rsidRPr="00976671" w:rsidRDefault="001A4573" w:rsidP="001A4573">
            <w:pPr>
              <w:widowControl w:val="0"/>
              <w:autoSpaceDE w:val="0"/>
              <w:autoSpaceDN w:val="0"/>
              <w:adjustRightInd w:val="0"/>
              <w:spacing w:after="240" w:line="240" w:lineRule="auto"/>
              <w:jc w:val="center"/>
              <w:rPr>
                <w:rFonts w:ascii="Arial" w:hAnsi="Arial" w:cs="Arial"/>
                <w:b/>
                <w:sz w:val="20"/>
                <w:szCs w:val="20"/>
                <w:lang w:val="es-ES"/>
              </w:rPr>
            </w:pPr>
            <w:r w:rsidRPr="00976671">
              <w:rPr>
                <w:rFonts w:ascii="Arial" w:hAnsi="Arial" w:cs="Arial"/>
                <w:b/>
                <w:sz w:val="20"/>
                <w:szCs w:val="20"/>
                <w:lang w:val="es-ES"/>
              </w:rPr>
              <w:t>CAUSAS</w:t>
            </w:r>
          </w:p>
        </w:tc>
      </w:tr>
      <w:tr w:rsidR="001A4573" w:rsidRPr="00976671" w14:paraId="04037A36" w14:textId="77777777" w:rsidTr="001A4573">
        <w:trPr>
          <w:trHeight w:val="610"/>
        </w:trPr>
        <w:tc>
          <w:tcPr>
            <w:tcW w:w="2660" w:type="dxa"/>
          </w:tcPr>
          <w:p w14:paraId="5CA8E13D" w14:textId="4B076BC4" w:rsidR="001A4573" w:rsidRPr="00976671" w:rsidRDefault="001A4573" w:rsidP="00F13CD7">
            <w:pPr>
              <w:spacing w:line="240" w:lineRule="auto"/>
              <w:jc w:val="both"/>
              <w:rPr>
                <w:rFonts w:ascii="Arial" w:hAnsi="Arial" w:cs="Arial"/>
                <w:sz w:val="20"/>
                <w:szCs w:val="20"/>
                <w:lang w:val="es-ES"/>
              </w:rPr>
            </w:pPr>
            <w:proofErr w:type="spellStart"/>
            <w:r w:rsidRPr="00976671">
              <w:rPr>
                <w:rFonts w:ascii="Arial" w:hAnsi="Arial" w:cs="Arial"/>
                <w:sz w:val="20"/>
                <w:szCs w:val="20"/>
                <w:lang w:val="es-ES"/>
              </w:rPr>
              <w:t>Endocrinopatias</w:t>
            </w:r>
            <w:proofErr w:type="spellEnd"/>
          </w:p>
        </w:tc>
        <w:tc>
          <w:tcPr>
            <w:tcW w:w="6318" w:type="dxa"/>
          </w:tcPr>
          <w:p w14:paraId="55D5BEBF" w14:textId="38ECC750" w:rsidR="001A4573" w:rsidRPr="00976671" w:rsidRDefault="001A4573" w:rsidP="001A4573">
            <w:pPr>
              <w:spacing w:line="240" w:lineRule="auto"/>
              <w:jc w:val="both"/>
              <w:rPr>
                <w:rFonts w:ascii="Arial" w:hAnsi="Arial" w:cs="Arial"/>
                <w:sz w:val="20"/>
                <w:szCs w:val="20"/>
                <w:lang w:val="es-ES"/>
              </w:rPr>
            </w:pPr>
            <w:proofErr w:type="spellStart"/>
            <w:r w:rsidRPr="00976671">
              <w:rPr>
                <w:rFonts w:ascii="Arial" w:hAnsi="Arial" w:cs="Arial"/>
                <w:sz w:val="20"/>
                <w:szCs w:val="20"/>
                <w:lang w:val="es-ES"/>
              </w:rPr>
              <w:t>Hipogonadismo</w:t>
            </w:r>
            <w:proofErr w:type="spellEnd"/>
            <w:r w:rsidRPr="00976671">
              <w:rPr>
                <w:rFonts w:ascii="Arial" w:hAnsi="Arial" w:cs="Arial"/>
                <w:sz w:val="20"/>
                <w:szCs w:val="20"/>
                <w:lang w:val="es-ES"/>
              </w:rPr>
              <w:t xml:space="preserve">, </w:t>
            </w:r>
            <w:proofErr w:type="spellStart"/>
            <w:r w:rsidRPr="00976671">
              <w:rPr>
                <w:rFonts w:ascii="Arial" w:hAnsi="Arial" w:cs="Arial"/>
                <w:sz w:val="20"/>
                <w:szCs w:val="20"/>
                <w:lang w:val="es-ES"/>
              </w:rPr>
              <w:t>Hipercortisolismo</w:t>
            </w:r>
            <w:proofErr w:type="spellEnd"/>
            <w:r w:rsidRPr="00976671">
              <w:rPr>
                <w:rFonts w:ascii="Arial" w:hAnsi="Arial" w:cs="Arial"/>
                <w:sz w:val="20"/>
                <w:szCs w:val="20"/>
                <w:lang w:val="es-ES"/>
              </w:rPr>
              <w:t xml:space="preserve">, Hiperparatiroidismo, </w:t>
            </w:r>
            <w:proofErr w:type="spellStart"/>
            <w:r w:rsidRPr="00976671">
              <w:rPr>
                <w:rFonts w:ascii="Arial" w:hAnsi="Arial" w:cs="Arial"/>
                <w:sz w:val="20"/>
                <w:szCs w:val="20"/>
                <w:lang w:val="es-ES"/>
              </w:rPr>
              <w:t>Hiperprolactinemia</w:t>
            </w:r>
            <w:proofErr w:type="spellEnd"/>
            <w:r w:rsidRPr="00976671">
              <w:rPr>
                <w:rFonts w:ascii="Arial" w:hAnsi="Arial" w:cs="Arial"/>
                <w:sz w:val="20"/>
                <w:szCs w:val="20"/>
                <w:lang w:val="es-ES"/>
              </w:rPr>
              <w:t>, Diabetes Mellitus tipo 1, Acromegalia, Deficiencia de Hormona de crecimiento.</w:t>
            </w:r>
          </w:p>
        </w:tc>
      </w:tr>
      <w:tr w:rsidR="001A4573" w:rsidRPr="00976671" w14:paraId="5D790A25" w14:textId="77777777" w:rsidTr="001A4573">
        <w:tc>
          <w:tcPr>
            <w:tcW w:w="2660" w:type="dxa"/>
          </w:tcPr>
          <w:p w14:paraId="14740E69" w14:textId="2ABEFBCB" w:rsidR="001A4573" w:rsidRPr="00976671" w:rsidRDefault="001A4573" w:rsidP="001A4573">
            <w:pPr>
              <w:spacing w:line="240" w:lineRule="auto"/>
              <w:jc w:val="both"/>
              <w:rPr>
                <w:rFonts w:ascii="Arial" w:hAnsi="Arial" w:cs="Arial"/>
                <w:sz w:val="20"/>
                <w:szCs w:val="20"/>
                <w:lang w:val="es-ES"/>
              </w:rPr>
            </w:pPr>
            <w:r w:rsidRPr="00976671">
              <w:rPr>
                <w:rFonts w:ascii="Arial" w:hAnsi="Arial" w:cs="Arial"/>
                <w:sz w:val="20"/>
                <w:szCs w:val="20"/>
                <w:lang w:val="es-ES"/>
              </w:rPr>
              <w:t>Enfermedades Hematológicas</w:t>
            </w:r>
          </w:p>
        </w:tc>
        <w:tc>
          <w:tcPr>
            <w:tcW w:w="6318" w:type="dxa"/>
          </w:tcPr>
          <w:p w14:paraId="43598CBD" w14:textId="14C37DD4" w:rsidR="001A4573" w:rsidRPr="00976671" w:rsidRDefault="001A4573" w:rsidP="001A4573">
            <w:pPr>
              <w:spacing w:line="240" w:lineRule="auto"/>
              <w:jc w:val="both"/>
              <w:rPr>
                <w:rFonts w:ascii="Arial" w:hAnsi="Arial" w:cs="Arial"/>
                <w:sz w:val="20"/>
                <w:szCs w:val="20"/>
                <w:lang w:val="es-ES"/>
              </w:rPr>
            </w:pPr>
            <w:r w:rsidRPr="00976671">
              <w:rPr>
                <w:rFonts w:ascii="Arial" w:hAnsi="Arial" w:cs="Arial"/>
                <w:sz w:val="20"/>
                <w:szCs w:val="20"/>
                <w:lang w:val="es-ES"/>
              </w:rPr>
              <w:t xml:space="preserve">Mieloma Múltiple, Enfermedades mielo o </w:t>
            </w:r>
            <w:proofErr w:type="spellStart"/>
            <w:r w:rsidRPr="00976671">
              <w:rPr>
                <w:rFonts w:ascii="Arial" w:hAnsi="Arial" w:cs="Arial"/>
                <w:sz w:val="20"/>
                <w:szCs w:val="20"/>
                <w:lang w:val="es-ES"/>
              </w:rPr>
              <w:t>linfoproliferativas</w:t>
            </w:r>
            <w:proofErr w:type="spellEnd"/>
            <w:r w:rsidRPr="00976671">
              <w:rPr>
                <w:rFonts w:ascii="Arial" w:hAnsi="Arial" w:cs="Arial"/>
                <w:sz w:val="20"/>
                <w:szCs w:val="20"/>
                <w:lang w:val="es-ES"/>
              </w:rPr>
              <w:t xml:space="preserve">, </w:t>
            </w:r>
            <w:proofErr w:type="spellStart"/>
            <w:r w:rsidRPr="00976671">
              <w:rPr>
                <w:rFonts w:ascii="Arial" w:hAnsi="Arial" w:cs="Arial"/>
                <w:sz w:val="20"/>
                <w:szCs w:val="20"/>
                <w:lang w:val="es-ES"/>
              </w:rPr>
              <w:t>Mastocitosis</w:t>
            </w:r>
            <w:proofErr w:type="spellEnd"/>
            <w:r w:rsidRPr="00976671">
              <w:rPr>
                <w:rFonts w:ascii="Arial" w:hAnsi="Arial" w:cs="Arial"/>
                <w:sz w:val="20"/>
                <w:szCs w:val="20"/>
                <w:lang w:val="es-ES"/>
              </w:rPr>
              <w:t xml:space="preserve"> sistémica, Talasemia</w:t>
            </w:r>
          </w:p>
        </w:tc>
      </w:tr>
      <w:tr w:rsidR="001A4573" w:rsidRPr="00976671" w14:paraId="023D4A91" w14:textId="77777777" w:rsidTr="001A4573">
        <w:tc>
          <w:tcPr>
            <w:tcW w:w="2660" w:type="dxa"/>
          </w:tcPr>
          <w:p w14:paraId="07872555" w14:textId="2FBB04AE" w:rsidR="001A4573" w:rsidRPr="00976671" w:rsidRDefault="001A4573" w:rsidP="001A4573">
            <w:pPr>
              <w:spacing w:line="240" w:lineRule="auto"/>
              <w:jc w:val="both"/>
              <w:rPr>
                <w:rFonts w:ascii="Arial" w:hAnsi="Arial" w:cs="Arial"/>
                <w:sz w:val="20"/>
                <w:szCs w:val="20"/>
                <w:lang w:val="es-ES"/>
              </w:rPr>
            </w:pPr>
            <w:r w:rsidRPr="00976671">
              <w:rPr>
                <w:rFonts w:ascii="Arial" w:hAnsi="Arial" w:cs="Arial"/>
                <w:sz w:val="20"/>
                <w:szCs w:val="20"/>
                <w:lang w:val="es-ES"/>
              </w:rPr>
              <w:t>Enfermedades gastrointestinales</w:t>
            </w:r>
          </w:p>
        </w:tc>
        <w:tc>
          <w:tcPr>
            <w:tcW w:w="6318" w:type="dxa"/>
          </w:tcPr>
          <w:p w14:paraId="66AFD2F7" w14:textId="7F371E8D" w:rsidR="001A4573" w:rsidRPr="00976671" w:rsidRDefault="001A4573" w:rsidP="001A4573">
            <w:pPr>
              <w:spacing w:line="240" w:lineRule="auto"/>
              <w:jc w:val="both"/>
              <w:rPr>
                <w:rFonts w:ascii="Arial" w:hAnsi="Arial" w:cs="Arial"/>
                <w:sz w:val="20"/>
                <w:szCs w:val="20"/>
                <w:lang w:val="es-ES"/>
              </w:rPr>
            </w:pPr>
            <w:r w:rsidRPr="00976671">
              <w:rPr>
                <w:rFonts w:ascii="Arial" w:hAnsi="Arial" w:cs="Arial"/>
                <w:sz w:val="20"/>
                <w:szCs w:val="20"/>
                <w:lang w:val="es-ES"/>
              </w:rPr>
              <w:t>Enfermedad hepática crónica, Enfermedad Celiaca, Enfermedad inflamatoria intestinal, Mala absorción intestinal, Insuficiencia pancreática</w:t>
            </w:r>
          </w:p>
        </w:tc>
      </w:tr>
      <w:tr w:rsidR="001A4573" w:rsidRPr="00976671" w14:paraId="21D57724" w14:textId="77777777" w:rsidTr="001A4573">
        <w:tc>
          <w:tcPr>
            <w:tcW w:w="2660" w:type="dxa"/>
          </w:tcPr>
          <w:p w14:paraId="04624152" w14:textId="11E7DC45" w:rsidR="001A4573" w:rsidRPr="00976671" w:rsidRDefault="001A4573" w:rsidP="00F13CD7">
            <w:pPr>
              <w:spacing w:line="240" w:lineRule="auto"/>
              <w:jc w:val="both"/>
              <w:rPr>
                <w:rFonts w:ascii="Arial" w:hAnsi="Arial" w:cs="Arial"/>
                <w:sz w:val="20"/>
                <w:szCs w:val="20"/>
                <w:lang w:val="es-ES"/>
              </w:rPr>
            </w:pPr>
            <w:r w:rsidRPr="00976671">
              <w:rPr>
                <w:rFonts w:ascii="Arial" w:hAnsi="Arial" w:cs="Arial"/>
                <w:sz w:val="20"/>
                <w:szCs w:val="20"/>
                <w:lang w:val="es-ES"/>
              </w:rPr>
              <w:t>Enfermedades reumáticas</w:t>
            </w:r>
          </w:p>
        </w:tc>
        <w:tc>
          <w:tcPr>
            <w:tcW w:w="6318" w:type="dxa"/>
          </w:tcPr>
          <w:p w14:paraId="48709373" w14:textId="06FA02FC" w:rsidR="001A4573" w:rsidRPr="00976671" w:rsidRDefault="001A4573" w:rsidP="00F13CD7">
            <w:pPr>
              <w:spacing w:line="240" w:lineRule="auto"/>
              <w:jc w:val="both"/>
              <w:rPr>
                <w:rFonts w:ascii="Arial" w:hAnsi="Arial" w:cs="Arial"/>
                <w:sz w:val="20"/>
                <w:szCs w:val="20"/>
                <w:lang w:val="es-ES"/>
              </w:rPr>
            </w:pPr>
            <w:r w:rsidRPr="00976671">
              <w:rPr>
                <w:rFonts w:ascii="Arial" w:hAnsi="Arial" w:cs="Arial"/>
                <w:sz w:val="20"/>
                <w:szCs w:val="20"/>
                <w:lang w:val="es-ES"/>
              </w:rPr>
              <w:t xml:space="preserve">Artritis </w:t>
            </w:r>
            <w:proofErr w:type="spellStart"/>
            <w:r w:rsidRPr="00976671">
              <w:rPr>
                <w:rFonts w:ascii="Arial" w:hAnsi="Arial" w:cs="Arial"/>
                <w:sz w:val="20"/>
                <w:szCs w:val="20"/>
                <w:lang w:val="es-ES"/>
              </w:rPr>
              <w:t>Reumatoidea</w:t>
            </w:r>
            <w:proofErr w:type="spellEnd"/>
            <w:r w:rsidRPr="00976671">
              <w:rPr>
                <w:rFonts w:ascii="Arial" w:hAnsi="Arial" w:cs="Arial"/>
                <w:sz w:val="20"/>
                <w:szCs w:val="20"/>
                <w:lang w:val="es-ES"/>
              </w:rPr>
              <w:t xml:space="preserve">, Lupus eritematosos Sistémico, Espondilitis Anquilosante, Artritis </w:t>
            </w:r>
            <w:proofErr w:type="spellStart"/>
            <w:r w:rsidRPr="00976671">
              <w:rPr>
                <w:rFonts w:ascii="Arial" w:hAnsi="Arial" w:cs="Arial"/>
                <w:sz w:val="20"/>
                <w:szCs w:val="20"/>
                <w:lang w:val="es-ES"/>
              </w:rPr>
              <w:t>Psoriasica</w:t>
            </w:r>
            <w:proofErr w:type="spellEnd"/>
            <w:r w:rsidRPr="00976671">
              <w:rPr>
                <w:rFonts w:ascii="Arial" w:hAnsi="Arial" w:cs="Arial"/>
                <w:sz w:val="20"/>
                <w:szCs w:val="20"/>
                <w:lang w:val="es-ES"/>
              </w:rPr>
              <w:t>, Escleroderma</w:t>
            </w:r>
          </w:p>
        </w:tc>
      </w:tr>
      <w:tr w:rsidR="001A4573" w:rsidRPr="00976671" w14:paraId="7C674A25" w14:textId="77777777" w:rsidTr="001A4573">
        <w:tc>
          <w:tcPr>
            <w:tcW w:w="2660" w:type="dxa"/>
          </w:tcPr>
          <w:p w14:paraId="15485881" w14:textId="7FFEBD5C" w:rsidR="001A4573" w:rsidRPr="00976671" w:rsidRDefault="001A4573" w:rsidP="001A4573">
            <w:pPr>
              <w:spacing w:line="240" w:lineRule="auto"/>
              <w:jc w:val="both"/>
              <w:rPr>
                <w:rFonts w:ascii="Arial" w:hAnsi="Arial" w:cs="Arial"/>
                <w:sz w:val="20"/>
                <w:szCs w:val="20"/>
                <w:lang w:val="es-ES"/>
              </w:rPr>
            </w:pPr>
            <w:r w:rsidRPr="00976671">
              <w:rPr>
                <w:rFonts w:ascii="Arial" w:hAnsi="Arial" w:cs="Arial"/>
                <w:sz w:val="20"/>
                <w:szCs w:val="20"/>
                <w:lang w:val="es-ES"/>
              </w:rPr>
              <w:t>Enfermedades renales</w:t>
            </w:r>
          </w:p>
        </w:tc>
        <w:tc>
          <w:tcPr>
            <w:tcW w:w="6318" w:type="dxa"/>
          </w:tcPr>
          <w:p w14:paraId="1377F7BA" w14:textId="131DB6C4" w:rsidR="001A4573" w:rsidRPr="00976671" w:rsidRDefault="001A4573" w:rsidP="001A4573">
            <w:pPr>
              <w:spacing w:line="240" w:lineRule="auto"/>
              <w:jc w:val="both"/>
              <w:rPr>
                <w:rFonts w:ascii="Arial" w:hAnsi="Arial" w:cs="Arial"/>
                <w:sz w:val="20"/>
                <w:szCs w:val="20"/>
                <w:lang w:val="es-ES"/>
              </w:rPr>
            </w:pPr>
            <w:proofErr w:type="spellStart"/>
            <w:r w:rsidRPr="00976671">
              <w:rPr>
                <w:rFonts w:ascii="Arial" w:hAnsi="Arial" w:cs="Arial"/>
                <w:sz w:val="20"/>
                <w:szCs w:val="20"/>
                <w:lang w:val="es-ES"/>
              </w:rPr>
              <w:t>Hipercalciuria</w:t>
            </w:r>
            <w:proofErr w:type="spellEnd"/>
            <w:r w:rsidRPr="00976671">
              <w:rPr>
                <w:rFonts w:ascii="Arial" w:hAnsi="Arial" w:cs="Arial"/>
                <w:sz w:val="20"/>
                <w:szCs w:val="20"/>
                <w:lang w:val="es-ES"/>
              </w:rPr>
              <w:t xml:space="preserve"> idiopática, Acidosis tubular renal, Enfermedad renal crónica</w:t>
            </w:r>
          </w:p>
        </w:tc>
      </w:tr>
      <w:tr w:rsidR="001A4573" w:rsidRPr="00976671" w14:paraId="31949709" w14:textId="77777777" w:rsidTr="001A4573">
        <w:tc>
          <w:tcPr>
            <w:tcW w:w="2660" w:type="dxa"/>
          </w:tcPr>
          <w:p w14:paraId="21947AC2" w14:textId="7C82B9D8" w:rsidR="001A4573" w:rsidRPr="00976671" w:rsidRDefault="001A4573" w:rsidP="001A4573">
            <w:pPr>
              <w:spacing w:line="240" w:lineRule="auto"/>
              <w:jc w:val="both"/>
              <w:rPr>
                <w:rFonts w:ascii="Arial" w:hAnsi="Arial" w:cs="Arial"/>
                <w:sz w:val="20"/>
                <w:szCs w:val="20"/>
                <w:lang w:val="es-ES"/>
              </w:rPr>
            </w:pPr>
            <w:r w:rsidRPr="00976671">
              <w:rPr>
                <w:rFonts w:ascii="Arial" w:hAnsi="Arial" w:cs="Arial"/>
                <w:sz w:val="20"/>
                <w:szCs w:val="20"/>
                <w:lang w:val="es-ES"/>
              </w:rPr>
              <w:t>Otras enfermedades</w:t>
            </w:r>
          </w:p>
        </w:tc>
        <w:tc>
          <w:tcPr>
            <w:tcW w:w="6318" w:type="dxa"/>
          </w:tcPr>
          <w:p w14:paraId="58362E21" w14:textId="57DA68EF" w:rsidR="001A4573" w:rsidRPr="00976671" w:rsidRDefault="001A4573" w:rsidP="001A4573">
            <w:pPr>
              <w:spacing w:line="240" w:lineRule="auto"/>
              <w:jc w:val="both"/>
              <w:rPr>
                <w:rFonts w:ascii="Arial" w:hAnsi="Arial" w:cs="Arial"/>
                <w:sz w:val="20"/>
                <w:szCs w:val="20"/>
                <w:lang w:val="es-ES"/>
              </w:rPr>
            </w:pPr>
            <w:r w:rsidRPr="00976671">
              <w:rPr>
                <w:rFonts w:ascii="Arial" w:hAnsi="Arial" w:cs="Arial"/>
                <w:sz w:val="20"/>
                <w:szCs w:val="20"/>
                <w:lang w:val="es-ES"/>
              </w:rPr>
              <w:t>Anorexia, Fibrosis quística, Hemocromatosis, EPOC</w:t>
            </w:r>
          </w:p>
        </w:tc>
      </w:tr>
      <w:tr w:rsidR="001A4573" w:rsidRPr="00976671" w14:paraId="6A9A0E1F" w14:textId="77777777" w:rsidTr="001A4573">
        <w:tc>
          <w:tcPr>
            <w:tcW w:w="2660" w:type="dxa"/>
          </w:tcPr>
          <w:p w14:paraId="2C72EF17" w14:textId="45FE3371" w:rsidR="001A4573" w:rsidRPr="00976671" w:rsidRDefault="001A4573" w:rsidP="001A4573">
            <w:pPr>
              <w:spacing w:line="240" w:lineRule="auto"/>
              <w:jc w:val="both"/>
              <w:rPr>
                <w:rFonts w:ascii="Arial" w:hAnsi="Arial" w:cs="Arial"/>
                <w:sz w:val="20"/>
                <w:szCs w:val="20"/>
                <w:lang w:val="es-ES"/>
              </w:rPr>
            </w:pPr>
            <w:proofErr w:type="spellStart"/>
            <w:r w:rsidRPr="00976671">
              <w:rPr>
                <w:rFonts w:ascii="Arial" w:hAnsi="Arial" w:cs="Arial"/>
                <w:sz w:val="20"/>
                <w:szCs w:val="20"/>
                <w:lang w:val="es-ES"/>
              </w:rPr>
              <w:t>Colagenopatias</w:t>
            </w:r>
            <w:proofErr w:type="spellEnd"/>
          </w:p>
        </w:tc>
        <w:tc>
          <w:tcPr>
            <w:tcW w:w="6318" w:type="dxa"/>
          </w:tcPr>
          <w:p w14:paraId="504B0F62" w14:textId="50E736BA" w:rsidR="001A4573" w:rsidRPr="00976671" w:rsidRDefault="001A4573" w:rsidP="001A4573">
            <w:pPr>
              <w:spacing w:line="240" w:lineRule="auto"/>
              <w:jc w:val="both"/>
              <w:rPr>
                <w:rFonts w:ascii="Arial" w:hAnsi="Arial" w:cs="Arial"/>
                <w:sz w:val="20"/>
                <w:szCs w:val="20"/>
                <w:lang w:val="es-ES"/>
              </w:rPr>
            </w:pPr>
            <w:proofErr w:type="spellStart"/>
            <w:r w:rsidRPr="00976671">
              <w:rPr>
                <w:rFonts w:ascii="Arial" w:hAnsi="Arial" w:cs="Arial"/>
                <w:sz w:val="20"/>
                <w:szCs w:val="20"/>
                <w:lang w:val="es-ES"/>
              </w:rPr>
              <w:t>Osteogénesis</w:t>
            </w:r>
            <w:proofErr w:type="spellEnd"/>
            <w:r w:rsidRPr="00976671">
              <w:rPr>
                <w:rFonts w:ascii="Arial" w:hAnsi="Arial" w:cs="Arial"/>
                <w:sz w:val="20"/>
                <w:szCs w:val="20"/>
                <w:lang w:val="es-ES"/>
              </w:rPr>
              <w:t xml:space="preserve"> imperfecta, </w:t>
            </w:r>
            <w:proofErr w:type="spellStart"/>
            <w:r w:rsidRPr="00976671">
              <w:rPr>
                <w:rFonts w:ascii="Arial" w:hAnsi="Arial" w:cs="Arial"/>
                <w:sz w:val="20"/>
                <w:szCs w:val="20"/>
                <w:lang w:val="es-ES"/>
              </w:rPr>
              <w:t>Sindome</w:t>
            </w:r>
            <w:proofErr w:type="spellEnd"/>
            <w:r w:rsidRPr="00976671">
              <w:rPr>
                <w:rFonts w:ascii="Arial" w:hAnsi="Arial" w:cs="Arial"/>
                <w:sz w:val="20"/>
                <w:szCs w:val="20"/>
                <w:lang w:val="es-ES"/>
              </w:rPr>
              <w:t xml:space="preserve"> de </w:t>
            </w:r>
            <w:proofErr w:type="spellStart"/>
            <w:r w:rsidRPr="00976671">
              <w:rPr>
                <w:rFonts w:ascii="Arial" w:hAnsi="Arial" w:cs="Arial"/>
                <w:sz w:val="20"/>
                <w:szCs w:val="20"/>
                <w:lang w:val="es-ES"/>
              </w:rPr>
              <w:t>Herles</w:t>
            </w:r>
            <w:proofErr w:type="spellEnd"/>
            <w:r w:rsidRPr="00976671">
              <w:rPr>
                <w:rFonts w:ascii="Arial" w:hAnsi="Arial" w:cs="Arial"/>
                <w:sz w:val="20"/>
                <w:szCs w:val="20"/>
                <w:lang w:val="es-ES"/>
              </w:rPr>
              <w:t xml:space="preserve"> </w:t>
            </w:r>
            <w:proofErr w:type="spellStart"/>
            <w:r w:rsidRPr="00976671">
              <w:rPr>
                <w:rFonts w:ascii="Arial" w:hAnsi="Arial" w:cs="Arial"/>
                <w:sz w:val="20"/>
                <w:szCs w:val="20"/>
                <w:lang w:val="es-ES"/>
              </w:rPr>
              <w:t>Danlos</w:t>
            </w:r>
            <w:proofErr w:type="spellEnd"/>
            <w:r w:rsidRPr="00976671">
              <w:rPr>
                <w:rFonts w:ascii="Arial" w:hAnsi="Arial" w:cs="Arial"/>
                <w:sz w:val="20"/>
                <w:szCs w:val="20"/>
                <w:lang w:val="es-ES"/>
              </w:rPr>
              <w:t xml:space="preserve">, </w:t>
            </w:r>
            <w:proofErr w:type="spellStart"/>
            <w:r w:rsidRPr="00976671">
              <w:rPr>
                <w:rFonts w:ascii="Arial" w:hAnsi="Arial" w:cs="Arial"/>
                <w:sz w:val="20"/>
                <w:szCs w:val="20"/>
                <w:lang w:val="es-ES"/>
              </w:rPr>
              <w:t>Sindrome</w:t>
            </w:r>
            <w:proofErr w:type="spellEnd"/>
            <w:r w:rsidRPr="00976671">
              <w:rPr>
                <w:rFonts w:ascii="Arial" w:hAnsi="Arial" w:cs="Arial"/>
                <w:sz w:val="20"/>
                <w:szCs w:val="20"/>
                <w:lang w:val="es-ES"/>
              </w:rPr>
              <w:t xml:space="preserve"> de </w:t>
            </w:r>
            <w:proofErr w:type="spellStart"/>
            <w:r w:rsidRPr="00976671">
              <w:rPr>
                <w:rFonts w:ascii="Arial" w:hAnsi="Arial" w:cs="Arial"/>
                <w:sz w:val="20"/>
                <w:szCs w:val="20"/>
                <w:lang w:val="es-ES"/>
              </w:rPr>
              <w:t>Marfan</w:t>
            </w:r>
            <w:proofErr w:type="spellEnd"/>
            <w:r w:rsidRPr="00976671">
              <w:rPr>
                <w:rFonts w:ascii="Arial" w:hAnsi="Arial" w:cs="Arial"/>
                <w:sz w:val="20"/>
                <w:szCs w:val="20"/>
                <w:lang w:val="es-ES"/>
              </w:rPr>
              <w:t xml:space="preserve">, </w:t>
            </w:r>
            <w:proofErr w:type="spellStart"/>
            <w:r w:rsidRPr="00976671">
              <w:rPr>
                <w:rFonts w:ascii="Arial" w:hAnsi="Arial" w:cs="Arial"/>
                <w:sz w:val="20"/>
                <w:szCs w:val="20"/>
                <w:lang w:val="es-ES"/>
              </w:rPr>
              <w:t>Homocistinuria</w:t>
            </w:r>
            <w:proofErr w:type="spellEnd"/>
          </w:p>
        </w:tc>
      </w:tr>
      <w:tr w:rsidR="001A4573" w:rsidRPr="00976671" w14:paraId="39BDCD83" w14:textId="77777777" w:rsidTr="001A4573">
        <w:tc>
          <w:tcPr>
            <w:tcW w:w="2660" w:type="dxa"/>
          </w:tcPr>
          <w:p w14:paraId="12007A54" w14:textId="104704EA" w:rsidR="001A4573" w:rsidRPr="00976671" w:rsidRDefault="001A4573" w:rsidP="001A4573">
            <w:pPr>
              <w:spacing w:line="240" w:lineRule="auto"/>
              <w:jc w:val="both"/>
              <w:rPr>
                <w:rFonts w:ascii="Arial" w:hAnsi="Arial" w:cs="Arial"/>
                <w:sz w:val="20"/>
                <w:szCs w:val="20"/>
                <w:lang w:val="es-ES"/>
              </w:rPr>
            </w:pPr>
            <w:r w:rsidRPr="00976671">
              <w:rPr>
                <w:rFonts w:ascii="Arial" w:hAnsi="Arial" w:cs="Arial"/>
                <w:sz w:val="20"/>
                <w:szCs w:val="20"/>
                <w:lang w:val="es-ES"/>
              </w:rPr>
              <w:t>Medicamentos</w:t>
            </w:r>
          </w:p>
        </w:tc>
        <w:tc>
          <w:tcPr>
            <w:tcW w:w="6318" w:type="dxa"/>
          </w:tcPr>
          <w:p w14:paraId="3761B086" w14:textId="26EED025" w:rsidR="001A4573" w:rsidRPr="00976671" w:rsidRDefault="001A4573" w:rsidP="001A4573">
            <w:pPr>
              <w:spacing w:line="240" w:lineRule="auto"/>
              <w:jc w:val="both"/>
              <w:rPr>
                <w:rFonts w:ascii="Arial" w:hAnsi="Arial" w:cs="Arial"/>
                <w:sz w:val="20"/>
                <w:szCs w:val="20"/>
                <w:lang w:val="es-ES"/>
              </w:rPr>
            </w:pPr>
            <w:r w:rsidRPr="00976671">
              <w:rPr>
                <w:rFonts w:ascii="Arial" w:hAnsi="Arial" w:cs="Arial"/>
                <w:sz w:val="20"/>
                <w:szCs w:val="20"/>
                <w:lang w:val="es-ES"/>
              </w:rPr>
              <w:t xml:space="preserve">Ciclosporina, hormona tiroidea en dosis </w:t>
            </w:r>
            <w:proofErr w:type="spellStart"/>
            <w:r w:rsidRPr="00976671">
              <w:rPr>
                <w:rFonts w:ascii="Arial" w:hAnsi="Arial" w:cs="Arial"/>
                <w:sz w:val="20"/>
                <w:szCs w:val="20"/>
                <w:lang w:val="es-ES"/>
              </w:rPr>
              <w:t>supresiva</w:t>
            </w:r>
            <w:proofErr w:type="spellEnd"/>
            <w:r w:rsidRPr="00976671">
              <w:rPr>
                <w:rFonts w:ascii="Arial" w:hAnsi="Arial" w:cs="Arial"/>
                <w:sz w:val="20"/>
                <w:szCs w:val="20"/>
                <w:lang w:val="es-ES"/>
              </w:rPr>
              <w:t xml:space="preserve">, anticonvulsivantes, drogas </w:t>
            </w:r>
            <w:proofErr w:type="spellStart"/>
            <w:r w:rsidRPr="00976671">
              <w:rPr>
                <w:rFonts w:ascii="Arial" w:hAnsi="Arial" w:cs="Arial"/>
                <w:sz w:val="20"/>
                <w:szCs w:val="20"/>
                <w:lang w:val="es-ES"/>
              </w:rPr>
              <w:t>anticancer</w:t>
            </w:r>
            <w:proofErr w:type="spellEnd"/>
            <w:r w:rsidRPr="00976671">
              <w:rPr>
                <w:rFonts w:ascii="Arial" w:hAnsi="Arial" w:cs="Arial"/>
                <w:sz w:val="20"/>
                <w:szCs w:val="20"/>
                <w:lang w:val="es-ES"/>
              </w:rPr>
              <w:t xml:space="preserve"> (inhibidores de la </w:t>
            </w:r>
            <w:proofErr w:type="spellStart"/>
            <w:r w:rsidRPr="00976671">
              <w:rPr>
                <w:rFonts w:ascii="Arial" w:hAnsi="Arial" w:cs="Arial"/>
                <w:sz w:val="20"/>
                <w:szCs w:val="20"/>
                <w:lang w:val="es-ES"/>
              </w:rPr>
              <w:t>aromatasa</w:t>
            </w:r>
            <w:proofErr w:type="spellEnd"/>
            <w:r w:rsidRPr="00976671">
              <w:rPr>
                <w:rFonts w:ascii="Arial" w:hAnsi="Arial" w:cs="Arial"/>
                <w:sz w:val="20"/>
                <w:szCs w:val="20"/>
                <w:lang w:val="es-ES"/>
              </w:rPr>
              <w:t xml:space="preserve">, agonistas antagonistas de la </w:t>
            </w:r>
            <w:proofErr w:type="spellStart"/>
            <w:r w:rsidRPr="00976671">
              <w:rPr>
                <w:rFonts w:ascii="Arial" w:hAnsi="Arial" w:cs="Arial"/>
                <w:sz w:val="20"/>
                <w:szCs w:val="20"/>
                <w:lang w:val="es-ES"/>
              </w:rPr>
              <w:t>GnRH</w:t>
            </w:r>
            <w:proofErr w:type="spellEnd"/>
            <w:r w:rsidRPr="00976671">
              <w:rPr>
                <w:rFonts w:ascii="Arial" w:hAnsi="Arial" w:cs="Arial"/>
                <w:sz w:val="20"/>
                <w:szCs w:val="20"/>
                <w:lang w:val="es-ES"/>
              </w:rPr>
              <w:t xml:space="preserve">), </w:t>
            </w:r>
            <w:proofErr w:type="spellStart"/>
            <w:r w:rsidRPr="00976671">
              <w:rPr>
                <w:rFonts w:ascii="Arial" w:hAnsi="Arial" w:cs="Arial"/>
                <w:sz w:val="20"/>
                <w:szCs w:val="20"/>
                <w:lang w:val="es-ES"/>
              </w:rPr>
              <w:t>metrotrexate</w:t>
            </w:r>
            <w:proofErr w:type="spellEnd"/>
            <w:r w:rsidRPr="00976671">
              <w:rPr>
                <w:rFonts w:ascii="Arial" w:hAnsi="Arial" w:cs="Arial"/>
                <w:sz w:val="20"/>
                <w:szCs w:val="20"/>
                <w:lang w:val="es-ES"/>
              </w:rPr>
              <w:t>, anticoagulantes, diuréticos de asa)</w:t>
            </w:r>
          </w:p>
        </w:tc>
      </w:tr>
      <w:tr w:rsidR="001A4573" w:rsidRPr="00976671" w14:paraId="2983D740" w14:textId="77777777" w:rsidTr="001A4573">
        <w:tc>
          <w:tcPr>
            <w:tcW w:w="2660" w:type="dxa"/>
          </w:tcPr>
          <w:p w14:paraId="46B95866" w14:textId="40CEDA6B" w:rsidR="001A4573" w:rsidRPr="00976671" w:rsidRDefault="001A4573" w:rsidP="001A4573">
            <w:pPr>
              <w:spacing w:line="240" w:lineRule="auto"/>
              <w:jc w:val="both"/>
              <w:rPr>
                <w:rFonts w:ascii="Arial" w:hAnsi="Arial" w:cs="Arial"/>
                <w:sz w:val="20"/>
                <w:szCs w:val="20"/>
                <w:lang w:val="es-ES"/>
              </w:rPr>
            </w:pPr>
            <w:r w:rsidRPr="00976671">
              <w:rPr>
                <w:rFonts w:ascii="Arial" w:hAnsi="Arial" w:cs="Arial"/>
                <w:sz w:val="20"/>
                <w:szCs w:val="20"/>
                <w:lang w:val="es-ES"/>
              </w:rPr>
              <w:t>Otros</w:t>
            </w:r>
          </w:p>
        </w:tc>
        <w:tc>
          <w:tcPr>
            <w:tcW w:w="6318" w:type="dxa"/>
          </w:tcPr>
          <w:p w14:paraId="4F812C0D" w14:textId="3A26A4FE" w:rsidR="001A4573" w:rsidRPr="00976671" w:rsidRDefault="00F13CD7" w:rsidP="001A4573">
            <w:pPr>
              <w:spacing w:line="240" w:lineRule="auto"/>
              <w:jc w:val="both"/>
              <w:rPr>
                <w:rFonts w:ascii="Arial" w:hAnsi="Arial" w:cs="Arial"/>
                <w:sz w:val="20"/>
                <w:szCs w:val="20"/>
                <w:lang w:val="es-ES"/>
              </w:rPr>
            </w:pPr>
            <w:r w:rsidRPr="00976671">
              <w:rPr>
                <w:rFonts w:ascii="Arial" w:hAnsi="Arial" w:cs="Arial"/>
                <w:sz w:val="20"/>
                <w:szCs w:val="20"/>
                <w:lang w:val="es-ES"/>
              </w:rPr>
              <w:t xml:space="preserve">Alcoholismo, Tabaquismo, Adicción a droga, </w:t>
            </w:r>
            <w:proofErr w:type="spellStart"/>
            <w:r w:rsidRPr="00976671">
              <w:rPr>
                <w:rFonts w:ascii="Arial" w:hAnsi="Arial" w:cs="Arial"/>
                <w:sz w:val="20"/>
                <w:szCs w:val="20"/>
                <w:lang w:val="es-ES"/>
              </w:rPr>
              <w:t>Inmobilización</w:t>
            </w:r>
            <w:proofErr w:type="spellEnd"/>
            <w:r w:rsidRPr="00976671">
              <w:rPr>
                <w:rFonts w:ascii="Arial" w:hAnsi="Arial" w:cs="Arial"/>
                <w:sz w:val="20"/>
                <w:szCs w:val="20"/>
                <w:lang w:val="es-ES"/>
              </w:rPr>
              <w:t xml:space="preserve">, Incapacidad severa  </w:t>
            </w:r>
          </w:p>
        </w:tc>
      </w:tr>
    </w:tbl>
    <w:p w14:paraId="051C3992" w14:textId="0F8C3C09" w:rsidR="007B038F" w:rsidRPr="00976671" w:rsidRDefault="007B038F" w:rsidP="00F13CD7">
      <w:pPr>
        <w:spacing w:line="240" w:lineRule="auto"/>
        <w:jc w:val="both"/>
        <w:rPr>
          <w:rFonts w:ascii="Arial" w:hAnsi="Arial" w:cs="Arial"/>
          <w:sz w:val="15"/>
          <w:szCs w:val="20"/>
          <w:lang w:val="es-ES"/>
        </w:rPr>
      </w:pPr>
    </w:p>
    <w:p w14:paraId="26D93E94" w14:textId="77777777" w:rsidR="007B038F" w:rsidRPr="00976671" w:rsidRDefault="007B038F" w:rsidP="00C44AB3">
      <w:pPr>
        <w:shd w:val="clear" w:color="auto" w:fill="FFFFFF"/>
        <w:spacing w:after="0" w:line="276" w:lineRule="auto"/>
        <w:jc w:val="both"/>
        <w:rPr>
          <w:rFonts w:ascii="Arial" w:eastAsia="Times New Roman" w:hAnsi="Arial" w:cs="Arial"/>
          <w:color w:val="000000"/>
          <w:sz w:val="20"/>
          <w:szCs w:val="20"/>
        </w:rPr>
      </w:pPr>
    </w:p>
    <w:p w14:paraId="1CD5F21F" w14:textId="06838A3C" w:rsidR="00C81E9E" w:rsidRPr="00976671" w:rsidRDefault="00F13CD7" w:rsidP="00964505">
      <w:pPr>
        <w:pStyle w:val="Prrafodelista"/>
        <w:numPr>
          <w:ilvl w:val="0"/>
          <w:numId w:val="41"/>
        </w:numPr>
        <w:shd w:val="clear" w:color="auto" w:fill="FFFFFF"/>
        <w:spacing w:after="0" w:line="276" w:lineRule="auto"/>
        <w:jc w:val="both"/>
        <w:rPr>
          <w:rFonts w:ascii="Arial" w:eastAsia="Times New Roman" w:hAnsi="Arial" w:cs="Arial"/>
          <w:color w:val="FF0000"/>
          <w:sz w:val="20"/>
          <w:szCs w:val="20"/>
        </w:rPr>
      </w:pPr>
      <w:r w:rsidRPr="00976671">
        <w:rPr>
          <w:rFonts w:ascii="Arial" w:eastAsia="Times New Roman" w:hAnsi="Arial" w:cs="Arial"/>
          <w:b/>
          <w:color w:val="000000" w:themeColor="text1"/>
          <w:sz w:val="20"/>
          <w:szCs w:val="20"/>
        </w:rPr>
        <w:t xml:space="preserve">¿Cuáles escalas de riesgo de fractura se recomienda utilizar? </w:t>
      </w:r>
    </w:p>
    <w:p w14:paraId="615B9D43" w14:textId="77777777" w:rsidR="00F13CD7" w:rsidRPr="00976671" w:rsidRDefault="00F13CD7" w:rsidP="00F13CD7">
      <w:pPr>
        <w:pStyle w:val="Prrafodelista"/>
        <w:shd w:val="clear" w:color="auto" w:fill="FFFFFF"/>
        <w:spacing w:after="0" w:line="276" w:lineRule="auto"/>
        <w:ind w:left="360"/>
        <w:jc w:val="both"/>
        <w:rPr>
          <w:rFonts w:ascii="Arial" w:eastAsia="Times New Roman" w:hAnsi="Arial" w:cs="Arial"/>
          <w:color w:val="FF0000"/>
          <w:sz w:val="20"/>
          <w:szCs w:val="20"/>
        </w:rPr>
      </w:pPr>
    </w:p>
    <w:p w14:paraId="1E4BF953" w14:textId="42D0A0E1" w:rsidR="00C81E9E" w:rsidRPr="00976671" w:rsidRDefault="00F13CD7" w:rsidP="00C81E9E">
      <w:pPr>
        <w:spacing w:line="276" w:lineRule="auto"/>
        <w:jc w:val="both"/>
        <w:rPr>
          <w:rFonts w:ascii="Arial" w:hAnsi="Arial" w:cs="Arial"/>
          <w:sz w:val="20"/>
          <w:szCs w:val="20"/>
          <w:lang w:val="es-ES"/>
        </w:rPr>
      </w:pPr>
      <w:r w:rsidRPr="00976671">
        <w:rPr>
          <w:rFonts w:ascii="Arial" w:hAnsi="Arial" w:cs="Arial"/>
          <w:sz w:val="20"/>
          <w:szCs w:val="20"/>
          <w:lang w:val="es-ES"/>
        </w:rPr>
        <w:t xml:space="preserve">A </w:t>
      </w:r>
      <w:r w:rsidR="00D21AB7" w:rsidRPr="00976671">
        <w:rPr>
          <w:rFonts w:ascii="Arial" w:hAnsi="Arial" w:cs="Arial"/>
          <w:sz w:val="20"/>
          <w:szCs w:val="20"/>
          <w:lang w:val="es-ES"/>
        </w:rPr>
        <w:t>continuación,</w:t>
      </w:r>
      <w:r w:rsidRPr="00976671">
        <w:rPr>
          <w:rFonts w:ascii="Arial" w:hAnsi="Arial" w:cs="Arial"/>
          <w:sz w:val="20"/>
          <w:szCs w:val="20"/>
          <w:lang w:val="es-ES"/>
        </w:rPr>
        <w:t xml:space="preserve"> se mencionan las escalas o calculadoras de riesgo de fractura más recomendadas: </w:t>
      </w:r>
    </w:p>
    <w:p w14:paraId="449F1D87" w14:textId="6E7A6045" w:rsidR="00C81E9E" w:rsidRPr="00976671" w:rsidRDefault="00F940B2" w:rsidP="00C81E9E">
      <w:pPr>
        <w:spacing w:line="276" w:lineRule="auto"/>
        <w:jc w:val="both"/>
        <w:rPr>
          <w:rFonts w:ascii="Arial" w:hAnsi="Arial" w:cs="Arial"/>
          <w:sz w:val="20"/>
          <w:szCs w:val="20"/>
          <w:lang w:val="es-ES"/>
        </w:rPr>
      </w:pPr>
      <w:r w:rsidRPr="00976671">
        <w:rPr>
          <w:rFonts w:ascii="Arial" w:hAnsi="Arial" w:cs="Arial"/>
          <w:b/>
          <w:sz w:val="20"/>
          <w:szCs w:val="20"/>
          <w:lang w:val="es-ES"/>
        </w:rPr>
        <w:t>1. FRAX:</w:t>
      </w:r>
      <w:r w:rsidRPr="00976671">
        <w:rPr>
          <w:rFonts w:ascii="Arial" w:hAnsi="Arial" w:cs="Arial"/>
          <w:sz w:val="20"/>
          <w:szCs w:val="20"/>
          <w:lang w:val="es-ES"/>
        </w:rPr>
        <w:t xml:space="preserve"> </w:t>
      </w:r>
      <w:r w:rsidR="00C81E9E" w:rsidRPr="00976671">
        <w:rPr>
          <w:rFonts w:ascii="Arial" w:hAnsi="Arial" w:cs="Arial"/>
          <w:sz w:val="20"/>
          <w:szCs w:val="20"/>
          <w:lang w:val="es-ES"/>
        </w:rPr>
        <w:t>es</w:t>
      </w:r>
      <w:r w:rsidR="00F13CD7" w:rsidRPr="00976671">
        <w:rPr>
          <w:rFonts w:ascii="Arial" w:hAnsi="Arial" w:cs="Arial"/>
          <w:sz w:val="20"/>
          <w:szCs w:val="20"/>
          <w:lang w:val="es-ES"/>
        </w:rPr>
        <w:t xml:space="preserve"> la más utilizada</w:t>
      </w:r>
      <w:r w:rsidR="00C81E9E" w:rsidRPr="00976671">
        <w:rPr>
          <w:rFonts w:ascii="Arial" w:hAnsi="Arial" w:cs="Arial"/>
          <w:sz w:val="20"/>
          <w:szCs w:val="20"/>
          <w:lang w:val="es-ES"/>
        </w:rPr>
        <w:t>. Desde su lanzamiento en 2008, se han puesto a disposición modelos para 64 países en 34 idiomas, que cubren el 80% de la población mundial. (</w:t>
      </w:r>
      <w:hyperlink r:id="rId8" w:history="1">
        <w:r w:rsidR="00C81E9E" w:rsidRPr="00976671">
          <w:rPr>
            <w:rStyle w:val="Hipervnculo"/>
            <w:rFonts w:ascii="Arial" w:hAnsi="Arial" w:cs="Arial"/>
            <w:sz w:val="20"/>
            <w:szCs w:val="20"/>
            <w:lang w:val="es-ES"/>
          </w:rPr>
          <w:t>http://www.shef.ac.uk/FRAX)</w:t>
        </w:r>
      </w:hyperlink>
      <w:r w:rsidR="00C81E9E" w:rsidRPr="00976671">
        <w:rPr>
          <w:rFonts w:ascii="Arial" w:hAnsi="Arial" w:cs="Arial"/>
          <w:sz w:val="20"/>
          <w:szCs w:val="20"/>
          <w:lang w:val="es-ES"/>
        </w:rPr>
        <w:t xml:space="preserve">. Es una herramienta que permite calcular el riesgo </w:t>
      </w:r>
      <w:r w:rsidR="0020783B" w:rsidRPr="00976671">
        <w:rPr>
          <w:rFonts w:ascii="Arial" w:hAnsi="Arial" w:cs="Arial"/>
          <w:sz w:val="20"/>
          <w:szCs w:val="20"/>
          <w:lang w:val="es-ES"/>
        </w:rPr>
        <w:t xml:space="preserve">absoluto de fractura </w:t>
      </w:r>
      <w:proofErr w:type="spellStart"/>
      <w:r w:rsidR="0020783B" w:rsidRPr="00976671">
        <w:rPr>
          <w:rFonts w:ascii="Arial" w:hAnsi="Arial" w:cs="Arial"/>
          <w:sz w:val="20"/>
          <w:szCs w:val="20"/>
          <w:lang w:val="es-ES"/>
        </w:rPr>
        <w:t>osteoporó</w:t>
      </w:r>
      <w:r w:rsidR="00C81E9E" w:rsidRPr="00976671">
        <w:rPr>
          <w:rFonts w:ascii="Arial" w:hAnsi="Arial" w:cs="Arial"/>
          <w:sz w:val="20"/>
          <w:szCs w:val="20"/>
          <w:lang w:val="es-ES"/>
        </w:rPr>
        <w:t>tica</w:t>
      </w:r>
      <w:proofErr w:type="spellEnd"/>
      <w:r w:rsidR="00C81E9E" w:rsidRPr="00976671">
        <w:rPr>
          <w:rFonts w:ascii="Arial" w:hAnsi="Arial" w:cs="Arial"/>
          <w:sz w:val="20"/>
          <w:szCs w:val="20"/>
          <w:lang w:val="es-ES"/>
        </w:rPr>
        <w:t xml:space="preserve"> global o mayor (</w:t>
      </w:r>
      <w:r w:rsidR="00C81E9E" w:rsidRPr="00976671">
        <w:rPr>
          <w:rFonts w:ascii="Arial" w:hAnsi="Arial" w:cs="Arial"/>
          <w:sz w:val="20"/>
          <w:szCs w:val="20"/>
        </w:rPr>
        <w:t>cadera, espina dorsal clínica, húmero o fractura de muñeca</w:t>
      </w:r>
      <w:r w:rsidR="00C81E9E" w:rsidRPr="00976671">
        <w:rPr>
          <w:rFonts w:ascii="Arial" w:hAnsi="Arial" w:cs="Arial"/>
          <w:sz w:val="20"/>
          <w:szCs w:val="20"/>
          <w:lang w:val="es-ES"/>
        </w:rPr>
        <w:t xml:space="preserve">) y el riesgo de fractura de cadera a 10 años a partir de una serie de factores de riesgo clínicos, con o sin datos de densitometría ósea. </w:t>
      </w:r>
      <w:r w:rsidR="003648DE" w:rsidRPr="00976671">
        <w:rPr>
          <w:rFonts w:ascii="Arial" w:hAnsi="Arial" w:cs="Arial"/>
          <w:sz w:val="20"/>
          <w:szCs w:val="20"/>
          <w:lang w:val="es-ES"/>
        </w:rPr>
        <w:t>(</w:t>
      </w:r>
      <w:proofErr w:type="spellStart"/>
      <w:r w:rsidR="003648DE" w:rsidRPr="00976671">
        <w:rPr>
          <w:rFonts w:ascii="Arial" w:eastAsiaTheme="minorEastAsia" w:hAnsi="Arial" w:cs="Arial"/>
          <w:color w:val="101010"/>
          <w:sz w:val="20"/>
          <w:szCs w:val="20"/>
          <w:lang w:val="es-ES" w:eastAsia="es-ES"/>
        </w:rPr>
        <w:t>Kanis</w:t>
      </w:r>
      <w:proofErr w:type="spellEnd"/>
      <w:r w:rsidR="003648DE" w:rsidRPr="00976671">
        <w:rPr>
          <w:rFonts w:ascii="Arial" w:eastAsiaTheme="minorEastAsia" w:hAnsi="Arial" w:cs="Arial"/>
          <w:color w:val="101010"/>
          <w:sz w:val="20"/>
          <w:szCs w:val="20"/>
          <w:lang w:val="es-ES" w:eastAsia="es-ES"/>
        </w:rPr>
        <w:t xml:space="preserve"> </w:t>
      </w:r>
      <w:proofErr w:type="spellStart"/>
      <w:r w:rsidR="003648DE" w:rsidRPr="00976671">
        <w:rPr>
          <w:rFonts w:ascii="Arial" w:eastAsiaTheme="minorEastAsia" w:hAnsi="Arial" w:cs="Arial"/>
          <w:color w:val="101010"/>
          <w:sz w:val="20"/>
          <w:szCs w:val="20"/>
          <w:lang w:val="es-ES" w:eastAsia="es-ES"/>
        </w:rPr>
        <w:t>JA</w:t>
      </w:r>
      <w:proofErr w:type="spellEnd"/>
      <w:r w:rsidR="00A050D1" w:rsidRPr="00976671">
        <w:rPr>
          <w:rFonts w:ascii="Arial" w:eastAsiaTheme="minorEastAsia" w:hAnsi="Arial" w:cs="Arial"/>
          <w:color w:val="101010"/>
          <w:sz w:val="20"/>
          <w:szCs w:val="20"/>
          <w:lang w:val="es-ES" w:eastAsia="es-ES"/>
        </w:rPr>
        <w:t xml:space="preserve">, </w:t>
      </w:r>
      <w:proofErr w:type="spellStart"/>
      <w:r w:rsidR="00A050D1" w:rsidRPr="00976671">
        <w:rPr>
          <w:rFonts w:ascii="Arial" w:eastAsiaTheme="minorEastAsia" w:hAnsi="Arial" w:cs="Arial"/>
          <w:color w:val="101010"/>
          <w:sz w:val="20"/>
          <w:szCs w:val="20"/>
          <w:lang w:val="es-ES" w:eastAsia="es-ES"/>
        </w:rPr>
        <w:t>WHO</w:t>
      </w:r>
      <w:proofErr w:type="spellEnd"/>
      <w:r w:rsidR="00A050D1" w:rsidRPr="00976671">
        <w:rPr>
          <w:rFonts w:ascii="Arial" w:eastAsiaTheme="minorEastAsia" w:hAnsi="Arial" w:cs="Arial"/>
          <w:color w:val="101010"/>
          <w:sz w:val="20"/>
          <w:szCs w:val="20"/>
          <w:lang w:val="es-ES" w:eastAsia="es-ES"/>
        </w:rPr>
        <w:t>,</w:t>
      </w:r>
      <w:r w:rsidR="003648DE" w:rsidRPr="00976671">
        <w:rPr>
          <w:rFonts w:ascii="Arial" w:eastAsiaTheme="minorEastAsia" w:hAnsi="Arial" w:cs="Arial"/>
          <w:color w:val="101010"/>
          <w:sz w:val="20"/>
          <w:szCs w:val="20"/>
          <w:lang w:val="es-ES" w:eastAsia="es-ES"/>
        </w:rPr>
        <w:t xml:space="preserve"> 2008)</w:t>
      </w:r>
    </w:p>
    <w:p w14:paraId="6B98F47A" w14:textId="7F3265DC" w:rsidR="00C81E9E" w:rsidRPr="00976671" w:rsidRDefault="00C81E9E" w:rsidP="00C81E9E">
      <w:pPr>
        <w:spacing w:line="276" w:lineRule="auto"/>
        <w:jc w:val="both"/>
        <w:rPr>
          <w:rFonts w:ascii="Arial" w:hAnsi="Arial" w:cs="Arial"/>
          <w:sz w:val="20"/>
          <w:szCs w:val="20"/>
        </w:rPr>
      </w:pPr>
      <w:r w:rsidRPr="00976671">
        <w:rPr>
          <w:rFonts w:ascii="Arial" w:hAnsi="Arial" w:cs="Arial"/>
          <w:sz w:val="20"/>
          <w:szCs w:val="20"/>
        </w:rPr>
        <w:t>La DMO del cuello femoral puede introducirse opcionalmente para mejorar la predicción del riesgo de fractura. La probabilidad de fractura se calcula teniendo en cuenta tanto el riesgo de fractura como el riesgo de muerte.</w:t>
      </w:r>
    </w:p>
    <w:p w14:paraId="0C612E54" w14:textId="0C3B88AE" w:rsidR="00C81E9E" w:rsidRPr="00976671" w:rsidRDefault="00C81E9E" w:rsidP="00C81E9E">
      <w:pPr>
        <w:spacing w:line="276" w:lineRule="auto"/>
        <w:jc w:val="both"/>
        <w:rPr>
          <w:rFonts w:ascii="Arial" w:hAnsi="Arial" w:cs="Arial"/>
          <w:sz w:val="20"/>
          <w:szCs w:val="20"/>
        </w:rPr>
      </w:pPr>
      <w:r w:rsidRPr="00976671">
        <w:rPr>
          <w:rFonts w:ascii="Arial" w:hAnsi="Arial" w:cs="Arial"/>
          <w:sz w:val="20"/>
          <w:szCs w:val="20"/>
        </w:rPr>
        <w:t>FRAX tiene algunas</w:t>
      </w:r>
      <w:r w:rsidR="007133FE" w:rsidRPr="00976671">
        <w:rPr>
          <w:rFonts w:ascii="Arial" w:hAnsi="Arial" w:cs="Arial"/>
          <w:sz w:val="20"/>
          <w:szCs w:val="20"/>
        </w:rPr>
        <w:t xml:space="preserve"> limitaciones</w:t>
      </w:r>
      <w:r w:rsidRPr="00976671">
        <w:rPr>
          <w:rFonts w:ascii="Arial" w:hAnsi="Arial" w:cs="Arial"/>
          <w:sz w:val="20"/>
          <w:szCs w:val="20"/>
        </w:rPr>
        <w:t xml:space="preserve">. La evaluación FRAX no tiene en cuenta la dosis-respuesta para varios factores de riesgo como por ejemplo, el historial de caídas que si bien es un factor de riesgo importante para la fractura, pero no está incorporado en el modelo FRAX. </w:t>
      </w:r>
    </w:p>
    <w:p w14:paraId="073B0205" w14:textId="77777777" w:rsidR="00C81E9E" w:rsidRPr="00976671" w:rsidRDefault="00C81E9E" w:rsidP="00C81E9E">
      <w:pPr>
        <w:spacing w:line="276" w:lineRule="auto"/>
        <w:jc w:val="both"/>
        <w:rPr>
          <w:rFonts w:ascii="Arial" w:hAnsi="Arial" w:cs="Arial"/>
          <w:sz w:val="20"/>
          <w:szCs w:val="20"/>
        </w:rPr>
      </w:pPr>
      <w:r w:rsidRPr="00976671">
        <w:rPr>
          <w:rFonts w:ascii="Arial" w:hAnsi="Arial" w:cs="Arial"/>
          <w:sz w:val="20"/>
          <w:szCs w:val="20"/>
        </w:rPr>
        <w:t>Aparte de estos problemas técnicos, las herramientas de evaluación de riesgos pretenden identificar un riesgo susceptible de intervención terapéutica.</w:t>
      </w:r>
    </w:p>
    <w:p w14:paraId="7DC92173" w14:textId="77777777" w:rsidR="00C81E9E" w:rsidRPr="00976671" w:rsidRDefault="00C81E9E" w:rsidP="00C81E9E">
      <w:pPr>
        <w:spacing w:line="276" w:lineRule="auto"/>
        <w:jc w:val="both"/>
        <w:rPr>
          <w:rFonts w:ascii="Arial" w:hAnsi="Arial" w:cs="Arial"/>
          <w:sz w:val="20"/>
          <w:szCs w:val="20"/>
        </w:rPr>
      </w:pPr>
      <w:r w:rsidRPr="00976671">
        <w:rPr>
          <w:rFonts w:ascii="Arial" w:hAnsi="Arial" w:cs="Arial"/>
          <w:sz w:val="20"/>
          <w:szCs w:val="20"/>
        </w:rPr>
        <w:t>FRAX no aplica para mujeres premenopausicas</w:t>
      </w:r>
    </w:p>
    <w:p w14:paraId="6D2326EC" w14:textId="3D57AFF1" w:rsidR="007133FE" w:rsidRPr="00976671" w:rsidRDefault="007133FE" w:rsidP="00F940B2">
      <w:pPr>
        <w:spacing w:line="276" w:lineRule="auto"/>
        <w:rPr>
          <w:rFonts w:ascii="Arial" w:hAnsi="Arial" w:cs="Arial"/>
          <w:sz w:val="20"/>
          <w:szCs w:val="20"/>
        </w:rPr>
      </w:pPr>
      <w:r w:rsidRPr="00976671">
        <w:rPr>
          <w:rFonts w:ascii="Arial" w:hAnsi="Arial" w:cs="Arial"/>
          <w:b/>
          <w:sz w:val="20"/>
          <w:szCs w:val="20"/>
        </w:rPr>
        <w:lastRenderedPageBreak/>
        <w:t xml:space="preserve">2. </w:t>
      </w:r>
      <w:proofErr w:type="spellStart"/>
      <w:r w:rsidRPr="00976671">
        <w:rPr>
          <w:rFonts w:ascii="Arial" w:hAnsi="Arial" w:cs="Arial"/>
          <w:b/>
          <w:sz w:val="20"/>
          <w:szCs w:val="20"/>
        </w:rPr>
        <w:t>Garvan</w:t>
      </w:r>
      <w:proofErr w:type="spellEnd"/>
      <w:r w:rsidR="00F13CD7" w:rsidRPr="00976671">
        <w:rPr>
          <w:rFonts w:ascii="Arial" w:hAnsi="Arial" w:cs="Arial"/>
          <w:sz w:val="20"/>
          <w:szCs w:val="20"/>
        </w:rPr>
        <w:t xml:space="preserve">: </w:t>
      </w:r>
      <w:r w:rsidR="00F13CD7" w:rsidRPr="00976671">
        <w:rPr>
          <w:rFonts w:ascii="Arial" w:hAnsi="Arial" w:cs="Arial"/>
          <w:sz w:val="20"/>
          <w:szCs w:val="20"/>
          <w:lang w:val="es-ES"/>
        </w:rPr>
        <w:t>u</w:t>
      </w:r>
      <w:r w:rsidRPr="00976671">
        <w:rPr>
          <w:rFonts w:ascii="Arial" w:hAnsi="Arial" w:cs="Arial"/>
          <w:sz w:val="20"/>
          <w:szCs w:val="20"/>
          <w:lang w:val="es-ES"/>
        </w:rPr>
        <w:t>na diferencia fundamental entre este modelo de riesgo y FRAX es que los parámetros de riesgo difieren (incidencia vs. probabilidades), por lo que los datos comparativos no</w:t>
      </w:r>
      <w:r w:rsidR="00565C98" w:rsidRPr="00976671">
        <w:rPr>
          <w:rFonts w:ascii="Arial" w:hAnsi="Arial" w:cs="Arial"/>
          <w:sz w:val="20"/>
          <w:szCs w:val="20"/>
          <w:lang w:val="es-ES"/>
        </w:rPr>
        <w:t xml:space="preserve"> se interpretan fácilmente. </w:t>
      </w:r>
      <w:r w:rsidRPr="00976671">
        <w:rPr>
          <w:rFonts w:ascii="Arial" w:hAnsi="Arial" w:cs="Arial"/>
          <w:sz w:val="20"/>
          <w:szCs w:val="20"/>
          <w:lang w:val="es-ES"/>
        </w:rPr>
        <w:t xml:space="preserve">En FRAX, la probabilidad de fractura se calcula teniendo en cuenta tanto el riesgo de fractura como el riesgo de muerte. </w:t>
      </w:r>
    </w:p>
    <w:p w14:paraId="55493CEE" w14:textId="572B0ED6" w:rsidR="007133FE" w:rsidRPr="00976671" w:rsidRDefault="00F13CD7" w:rsidP="00F940B2">
      <w:pPr>
        <w:spacing w:line="276" w:lineRule="auto"/>
        <w:jc w:val="both"/>
        <w:rPr>
          <w:rFonts w:ascii="Arial" w:eastAsiaTheme="minorEastAsia" w:hAnsi="Arial" w:cs="Arial"/>
          <w:sz w:val="20"/>
          <w:szCs w:val="20"/>
          <w:lang w:val="es-ES" w:eastAsia="es-ES"/>
        </w:rPr>
      </w:pPr>
      <w:r w:rsidRPr="00976671">
        <w:rPr>
          <w:rFonts w:ascii="Arial" w:hAnsi="Arial" w:cs="Arial"/>
          <w:b/>
          <w:sz w:val="20"/>
          <w:szCs w:val="20"/>
        </w:rPr>
        <w:t xml:space="preserve">3. </w:t>
      </w:r>
      <w:proofErr w:type="spellStart"/>
      <w:r w:rsidRPr="00976671">
        <w:rPr>
          <w:rFonts w:ascii="Arial" w:hAnsi="Arial" w:cs="Arial"/>
          <w:b/>
          <w:sz w:val="20"/>
          <w:szCs w:val="20"/>
        </w:rPr>
        <w:t>Qfracture</w:t>
      </w:r>
      <w:proofErr w:type="spellEnd"/>
      <w:r w:rsidRPr="00976671">
        <w:rPr>
          <w:rFonts w:ascii="Arial" w:hAnsi="Arial" w:cs="Arial"/>
          <w:b/>
          <w:sz w:val="20"/>
          <w:szCs w:val="20"/>
        </w:rPr>
        <w:t>:</w:t>
      </w:r>
      <w:r w:rsidR="00F940B2" w:rsidRPr="00976671">
        <w:rPr>
          <w:rFonts w:ascii="Arial" w:hAnsi="Arial" w:cs="Arial"/>
          <w:sz w:val="20"/>
          <w:szCs w:val="20"/>
        </w:rPr>
        <w:t xml:space="preserve"> </w:t>
      </w:r>
      <w:r w:rsidRPr="00976671">
        <w:rPr>
          <w:rFonts w:ascii="Arial" w:eastAsiaTheme="minorEastAsia" w:hAnsi="Arial" w:cs="Arial"/>
          <w:sz w:val="20"/>
          <w:szCs w:val="20"/>
          <w:lang w:val="es-ES" w:eastAsia="es-ES"/>
        </w:rPr>
        <w:t>e</w:t>
      </w:r>
      <w:r w:rsidR="007133FE" w:rsidRPr="00976671">
        <w:rPr>
          <w:rFonts w:ascii="Arial" w:eastAsiaTheme="minorEastAsia" w:hAnsi="Arial" w:cs="Arial"/>
          <w:sz w:val="20"/>
          <w:szCs w:val="20"/>
          <w:lang w:val="es-ES" w:eastAsia="es-ES"/>
        </w:rPr>
        <w:t xml:space="preserve">s otra herramienta para estimar el riesgo individual de fractura </w:t>
      </w:r>
      <w:proofErr w:type="spellStart"/>
      <w:r w:rsidR="007133FE" w:rsidRPr="00976671">
        <w:rPr>
          <w:rFonts w:ascii="Arial" w:eastAsiaTheme="minorEastAsia" w:hAnsi="Arial" w:cs="Arial"/>
          <w:sz w:val="20"/>
          <w:szCs w:val="20"/>
          <w:lang w:val="es-ES" w:eastAsia="es-ES"/>
        </w:rPr>
        <w:t>osteoporótica</w:t>
      </w:r>
      <w:proofErr w:type="spellEnd"/>
      <w:r w:rsidR="007133FE" w:rsidRPr="00976671">
        <w:rPr>
          <w:rFonts w:ascii="Arial" w:eastAsiaTheme="minorEastAsia" w:hAnsi="Arial" w:cs="Arial"/>
          <w:sz w:val="20"/>
          <w:szCs w:val="20"/>
          <w:lang w:val="es-ES" w:eastAsia="es-ES"/>
        </w:rPr>
        <w:t xml:space="preserve"> o fractura de cadera durante 10 años. Se examinaron variables las cuales se sabe o se piensa que afectan el riesgo de fractura y también es probable que se registren en los registros electrónicos de los pacientes como parte de la práctica clínica habitual</w:t>
      </w:r>
      <w:r w:rsidR="00976671" w:rsidRPr="00976671">
        <w:rPr>
          <w:rFonts w:ascii="Arial" w:eastAsiaTheme="minorEastAsia" w:hAnsi="Arial" w:cs="Arial"/>
          <w:sz w:val="20"/>
          <w:szCs w:val="20"/>
          <w:lang w:val="es-ES" w:eastAsia="es-ES"/>
        </w:rPr>
        <w:t>.</w:t>
      </w:r>
    </w:p>
    <w:p w14:paraId="29FEFD6C" w14:textId="77777777" w:rsidR="00F940B2" w:rsidRPr="00976671" w:rsidRDefault="00F940B2" w:rsidP="00F940B2">
      <w:pPr>
        <w:spacing w:line="276" w:lineRule="auto"/>
        <w:jc w:val="both"/>
        <w:rPr>
          <w:rFonts w:ascii="Arial" w:hAnsi="Arial" w:cs="Arial"/>
          <w:sz w:val="20"/>
          <w:szCs w:val="20"/>
        </w:rPr>
      </w:pPr>
    </w:p>
    <w:p w14:paraId="06DED689" w14:textId="6F3A41BB" w:rsidR="00565C98" w:rsidRPr="00976671" w:rsidRDefault="00F13CD7" w:rsidP="00F13CD7">
      <w:pPr>
        <w:pStyle w:val="Prrafodelista"/>
        <w:numPr>
          <w:ilvl w:val="0"/>
          <w:numId w:val="41"/>
        </w:numPr>
        <w:shd w:val="clear" w:color="auto" w:fill="FFFFFF"/>
        <w:spacing w:after="0" w:line="276" w:lineRule="auto"/>
        <w:jc w:val="both"/>
        <w:rPr>
          <w:rFonts w:ascii="Arial" w:eastAsia="Times New Roman" w:hAnsi="Arial" w:cs="Arial"/>
          <w:b/>
          <w:sz w:val="20"/>
          <w:szCs w:val="20"/>
        </w:rPr>
      </w:pPr>
      <w:r w:rsidRPr="00976671">
        <w:rPr>
          <w:rFonts w:ascii="Arial" w:eastAsia="Times New Roman" w:hAnsi="Arial" w:cs="Arial"/>
          <w:b/>
          <w:sz w:val="20"/>
          <w:szCs w:val="20"/>
        </w:rPr>
        <w:t>¿Cuáles son los u</w:t>
      </w:r>
      <w:r w:rsidR="00565C98" w:rsidRPr="00976671">
        <w:rPr>
          <w:rFonts w:ascii="Arial" w:eastAsia="Times New Roman" w:hAnsi="Arial" w:cs="Arial"/>
          <w:b/>
          <w:sz w:val="20"/>
          <w:szCs w:val="20"/>
        </w:rPr>
        <w:t>mbrales FRAX en Colombia y su uso en la prevención primaria de la fractura por fragilidad</w:t>
      </w:r>
      <w:r w:rsidRPr="00976671">
        <w:rPr>
          <w:rFonts w:ascii="Arial" w:eastAsia="Times New Roman" w:hAnsi="Arial" w:cs="Arial"/>
          <w:b/>
          <w:sz w:val="20"/>
          <w:szCs w:val="20"/>
        </w:rPr>
        <w:t xml:space="preserve">? </w:t>
      </w:r>
    </w:p>
    <w:p w14:paraId="60DA3E09" w14:textId="77777777" w:rsidR="00F13CD7" w:rsidRPr="00976671" w:rsidRDefault="00F13CD7" w:rsidP="00F13CD7">
      <w:pPr>
        <w:pStyle w:val="Prrafodelista"/>
        <w:shd w:val="clear" w:color="auto" w:fill="FFFFFF"/>
        <w:spacing w:after="0" w:line="276" w:lineRule="auto"/>
        <w:ind w:left="360"/>
        <w:jc w:val="both"/>
        <w:rPr>
          <w:rFonts w:ascii="Arial" w:eastAsia="Times New Roman" w:hAnsi="Arial" w:cs="Arial"/>
          <w:b/>
          <w:sz w:val="20"/>
          <w:szCs w:val="20"/>
        </w:rPr>
      </w:pPr>
    </w:p>
    <w:p w14:paraId="0B5ED659" w14:textId="23AB65B1" w:rsidR="00C81E9E" w:rsidRPr="00976671" w:rsidRDefault="00565C98" w:rsidP="00C81E9E">
      <w:pPr>
        <w:widowControl w:val="0"/>
        <w:autoSpaceDE w:val="0"/>
        <w:autoSpaceDN w:val="0"/>
        <w:adjustRightInd w:val="0"/>
        <w:spacing w:after="240" w:line="276" w:lineRule="auto"/>
        <w:jc w:val="both"/>
        <w:rPr>
          <w:rFonts w:ascii="Arial" w:eastAsiaTheme="minorEastAsia" w:hAnsi="Arial" w:cs="Arial"/>
          <w:sz w:val="20"/>
          <w:szCs w:val="20"/>
          <w:lang w:val="es-ES" w:eastAsia="es-ES"/>
        </w:rPr>
      </w:pPr>
      <w:r w:rsidRPr="00976671">
        <w:rPr>
          <w:rFonts w:ascii="Arial" w:eastAsiaTheme="minorEastAsia" w:hAnsi="Arial" w:cs="Arial"/>
          <w:sz w:val="20"/>
          <w:szCs w:val="20"/>
          <w:lang w:val="es-ES" w:eastAsia="es-ES"/>
        </w:rPr>
        <w:t>Desde 2011, el FRAX</w:t>
      </w:r>
      <w:r w:rsidRPr="00976671">
        <w:rPr>
          <w:rFonts w:ascii="Arial" w:eastAsiaTheme="minorEastAsia" w:hAnsi="Arial" w:cs="Arial"/>
          <w:position w:val="13"/>
          <w:sz w:val="20"/>
          <w:szCs w:val="20"/>
          <w:lang w:val="es-ES" w:eastAsia="es-ES"/>
        </w:rPr>
        <w:t xml:space="preserve"> </w:t>
      </w:r>
      <w:r w:rsidRPr="00976671">
        <w:rPr>
          <w:rFonts w:ascii="Arial" w:eastAsiaTheme="minorEastAsia" w:hAnsi="Arial" w:cs="Arial"/>
          <w:sz w:val="20"/>
          <w:szCs w:val="20"/>
          <w:lang w:val="es-ES" w:eastAsia="es-ES"/>
        </w:rPr>
        <w:t xml:space="preserve">colombiano ha sido calibrado con los datos epidemiológicos de fracturas y </w:t>
      </w:r>
      <w:r w:rsidR="00F940B2" w:rsidRPr="00976671">
        <w:rPr>
          <w:rFonts w:ascii="Arial" w:eastAsiaTheme="minorEastAsia" w:hAnsi="Arial" w:cs="Arial"/>
          <w:sz w:val="20"/>
          <w:szCs w:val="20"/>
          <w:lang w:val="es-ES" w:eastAsia="es-ES"/>
        </w:rPr>
        <w:t>mortalidad en el país</w:t>
      </w:r>
      <w:r w:rsidRPr="00976671">
        <w:rPr>
          <w:rFonts w:ascii="Arial" w:eastAsiaTheme="minorEastAsia" w:hAnsi="Arial" w:cs="Arial"/>
          <w:sz w:val="20"/>
          <w:szCs w:val="20"/>
          <w:lang w:val="es-ES" w:eastAsia="es-ES"/>
        </w:rPr>
        <w:t xml:space="preserve"> y a</w:t>
      </w:r>
      <w:r w:rsidR="00C81E9E" w:rsidRPr="00976671">
        <w:rPr>
          <w:rFonts w:ascii="Arial" w:eastAsiaTheme="minorEastAsia" w:hAnsi="Arial" w:cs="Arial"/>
          <w:sz w:val="20"/>
          <w:szCs w:val="20"/>
          <w:lang w:val="es-ES" w:eastAsia="es-ES"/>
        </w:rPr>
        <w:t xml:space="preserve"> partir de 2017 contamos en Colombia con los umbrales de evaluación e intervención para la población colombiana. </w:t>
      </w:r>
      <w:r w:rsidR="003648DE" w:rsidRPr="00976671">
        <w:rPr>
          <w:rFonts w:ascii="Arial" w:eastAsiaTheme="minorEastAsia" w:hAnsi="Arial" w:cs="Arial"/>
          <w:sz w:val="20"/>
          <w:szCs w:val="20"/>
          <w:lang w:val="es-ES" w:eastAsia="es-ES"/>
        </w:rPr>
        <w:t>(</w:t>
      </w:r>
      <w:r w:rsidR="003453E1" w:rsidRPr="00976671">
        <w:rPr>
          <w:rFonts w:ascii="Arial" w:hAnsi="Arial" w:cs="Arial"/>
          <w:sz w:val="20"/>
          <w:szCs w:val="20"/>
        </w:rPr>
        <w:t xml:space="preserve">Medina Orjuela, A., </w:t>
      </w:r>
      <w:r w:rsidR="003648DE" w:rsidRPr="00976671">
        <w:rPr>
          <w:rFonts w:ascii="Arial" w:hAnsi="Arial" w:cs="Arial"/>
          <w:sz w:val="20"/>
          <w:szCs w:val="20"/>
        </w:rPr>
        <w:t>et al, 2018)</w:t>
      </w:r>
    </w:p>
    <w:p w14:paraId="3FFA6BCF" w14:textId="7ACEF79B" w:rsidR="00C81E9E" w:rsidRPr="00976671" w:rsidRDefault="00C81E9E" w:rsidP="00C81E9E">
      <w:pPr>
        <w:widowControl w:val="0"/>
        <w:autoSpaceDE w:val="0"/>
        <w:autoSpaceDN w:val="0"/>
        <w:adjustRightInd w:val="0"/>
        <w:spacing w:after="240" w:line="276" w:lineRule="auto"/>
        <w:jc w:val="both"/>
        <w:rPr>
          <w:rFonts w:ascii="Arial" w:eastAsiaTheme="minorEastAsia" w:hAnsi="Arial" w:cs="Arial"/>
          <w:sz w:val="20"/>
          <w:szCs w:val="20"/>
          <w:lang w:val="es-ES" w:eastAsia="es-ES"/>
        </w:rPr>
      </w:pPr>
      <w:r w:rsidRPr="00976671">
        <w:rPr>
          <w:rFonts w:ascii="Arial" w:eastAsiaTheme="minorEastAsia" w:hAnsi="Arial" w:cs="Arial"/>
          <w:sz w:val="20"/>
          <w:szCs w:val="20"/>
          <w:lang w:val="es-ES" w:eastAsia="es-ES"/>
        </w:rPr>
        <w:t>A partir del año 2017, además se cuenta con umbrales de evaluación y de intervención en población colombiana, para lo cual se siguió la metodo</w:t>
      </w:r>
      <w:r w:rsidR="00F940B2" w:rsidRPr="00976671">
        <w:rPr>
          <w:rFonts w:ascii="Arial" w:eastAsiaTheme="minorEastAsia" w:hAnsi="Arial" w:cs="Arial"/>
          <w:sz w:val="20"/>
          <w:szCs w:val="20"/>
          <w:lang w:val="es-ES" w:eastAsia="es-ES"/>
        </w:rPr>
        <w:t xml:space="preserve">logía descrita por </w:t>
      </w:r>
      <w:proofErr w:type="spellStart"/>
      <w:r w:rsidR="00F940B2" w:rsidRPr="00976671">
        <w:rPr>
          <w:rFonts w:ascii="Arial" w:eastAsiaTheme="minorEastAsia" w:hAnsi="Arial" w:cs="Arial"/>
          <w:sz w:val="20"/>
          <w:szCs w:val="20"/>
          <w:lang w:val="es-ES" w:eastAsia="es-ES"/>
        </w:rPr>
        <w:t>Kanis</w:t>
      </w:r>
      <w:proofErr w:type="spellEnd"/>
      <w:r w:rsidRPr="00976671">
        <w:rPr>
          <w:rFonts w:ascii="Arial" w:eastAsiaTheme="minorEastAsia" w:hAnsi="Arial" w:cs="Arial"/>
          <w:sz w:val="20"/>
          <w:szCs w:val="20"/>
          <w:lang w:val="es-ES" w:eastAsia="es-ES"/>
        </w:rPr>
        <w:t xml:space="preserve"> y de la </w:t>
      </w:r>
      <w:proofErr w:type="spellStart"/>
      <w:r w:rsidRPr="00976671">
        <w:rPr>
          <w:rFonts w:ascii="Arial" w:eastAsiaTheme="minorEastAsia" w:hAnsi="Arial" w:cs="Arial"/>
          <w:sz w:val="20"/>
          <w:szCs w:val="20"/>
          <w:lang w:val="es-ES" w:eastAsia="es-ES"/>
        </w:rPr>
        <w:t>Dra</w:t>
      </w:r>
      <w:proofErr w:type="spellEnd"/>
      <w:r w:rsidRPr="00976671">
        <w:rPr>
          <w:rFonts w:ascii="Arial" w:eastAsiaTheme="minorEastAsia" w:hAnsi="Arial" w:cs="Arial"/>
          <w:sz w:val="20"/>
          <w:szCs w:val="20"/>
          <w:lang w:val="es-ES" w:eastAsia="es-ES"/>
        </w:rPr>
        <w:t xml:space="preserve"> Patricia Clark en </w:t>
      </w:r>
      <w:r w:rsidR="00F13CD7" w:rsidRPr="00976671">
        <w:rPr>
          <w:rFonts w:ascii="Arial" w:eastAsiaTheme="minorEastAsia" w:hAnsi="Arial" w:cs="Arial"/>
          <w:sz w:val="20"/>
          <w:szCs w:val="20"/>
          <w:lang w:val="es-ES" w:eastAsia="es-ES"/>
        </w:rPr>
        <w:t>México</w:t>
      </w:r>
      <w:r w:rsidRPr="00976671">
        <w:rPr>
          <w:rFonts w:ascii="Arial" w:eastAsiaTheme="minorEastAsia" w:hAnsi="Arial" w:cs="Arial"/>
          <w:sz w:val="20"/>
          <w:szCs w:val="20"/>
          <w:lang w:val="es-ES" w:eastAsia="es-ES"/>
        </w:rPr>
        <w:t>. Se estimaron dos umbrales, dependiendo de la disponibilidad o no de la medición de la DMO</w:t>
      </w:r>
    </w:p>
    <w:p w14:paraId="0506AC49" w14:textId="3A0DA835" w:rsidR="00C81E9E" w:rsidRPr="00976671" w:rsidRDefault="00C81E9E" w:rsidP="0020783B">
      <w:pPr>
        <w:pStyle w:val="Prrafodelista"/>
        <w:widowControl w:val="0"/>
        <w:numPr>
          <w:ilvl w:val="0"/>
          <w:numId w:val="29"/>
        </w:numPr>
        <w:autoSpaceDE w:val="0"/>
        <w:autoSpaceDN w:val="0"/>
        <w:adjustRightInd w:val="0"/>
        <w:spacing w:after="240" w:line="276" w:lineRule="auto"/>
        <w:jc w:val="both"/>
        <w:rPr>
          <w:rFonts w:ascii="Arial" w:eastAsiaTheme="minorEastAsia" w:hAnsi="Arial" w:cs="Arial"/>
          <w:sz w:val="20"/>
          <w:szCs w:val="20"/>
          <w:lang w:val="es-ES" w:eastAsia="es-ES"/>
        </w:rPr>
      </w:pPr>
      <w:r w:rsidRPr="00976671">
        <w:rPr>
          <w:rFonts w:ascii="Arial" w:eastAsiaTheme="minorEastAsia" w:hAnsi="Arial" w:cs="Arial"/>
          <w:sz w:val="20"/>
          <w:szCs w:val="20"/>
          <w:lang w:val="es-ES" w:eastAsia="es-ES"/>
        </w:rPr>
        <w:t xml:space="preserve">Umbral de evaluación: </w:t>
      </w:r>
      <w:r w:rsidR="00565C98" w:rsidRPr="00976671">
        <w:rPr>
          <w:rFonts w:ascii="Arial" w:eastAsiaTheme="minorEastAsia" w:hAnsi="Arial" w:cs="Arial"/>
          <w:sz w:val="20"/>
          <w:szCs w:val="20"/>
          <w:lang w:val="es-ES" w:eastAsia="es-ES"/>
        </w:rPr>
        <w:t>que no considera la DMO</w:t>
      </w:r>
      <w:r w:rsidRPr="00976671">
        <w:rPr>
          <w:rFonts w:ascii="Arial" w:eastAsiaTheme="minorEastAsia" w:hAnsi="Arial" w:cs="Arial"/>
          <w:sz w:val="20"/>
          <w:szCs w:val="20"/>
          <w:lang w:val="es-ES" w:eastAsia="es-ES"/>
        </w:rPr>
        <w:t xml:space="preserve"> y por lo tanto es el recomendado sin disponibilidad de equipos y sirve como cribado en el primer nivel de atención. </w:t>
      </w:r>
      <w:r w:rsidR="00F13CD7" w:rsidRPr="00976671">
        <w:rPr>
          <w:rFonts w:ascii="Arial" w:eastAsiaTheme="minorEastAsia" w:hAnsi="Arial" w:cs="Arial"/>
          <w:sz w:val="20"/>
          <w:szCs w:val="20"/>
          <w:lang w:val="es-ES" w:eastAsia="es-ES"/>
        </w:rPr>
        <w:t>(ver figura No 3)</w:t>
      </w:r>
    </w:p>
    <w:p w14:paraId="799FC373" w14:textId="3B792F03" w:rsidR="00C81E9E" w:rsidRPr="00976671" w:rsidRDefault="00F13CD7" w:rsidP="003453E1">
      <w:pPr>
        <w:widowControl w:val="0"/>
        <w:autoSpaceDE w:val="0"/>
        <w:autoSpaceDN w:val="0"/>
        <w:adjustRightInd w:val="0"/>
        <w:spacing w:after="240" w:line="276" w:lineRule="auto"/>
        <w:jc w:val="both"/>
        <w:rPr>
          <w:rFonts w:ascii="Arial" w:eastAsiaTheme="minorEastAsia" w:hAnsi="Arial" w:cs="Arial"/>
          <w:bCs/>
          <w:i/>
          <w:iCs/>
          <w:sz w:val="20"/>
          <w:szCs w:val="20"/>
          <w:lang w:val="es-ES" w:eastAsia="es-ES"/>
        </w:rPr>
      </w:pPr>
      <w:r w:rsidRPr="00976671">
        <w:rPr>
          <w:rFonts w:ascii="Arial" w:eastAsiaTheme="minorEastAsia" w:hAnsi="Arial" w:cs="Arial"/>
          <w:i/>
          <w:sz w:val="20"/>
          <w:lang w:val="es-ES" w:eastAsia="es-ES"/>
        </w:rPr>
        <w:t>Figura No 3.</w:t>
      </w:r>
      <w:r w:rsidR="00C81E9E" w:rsidRPr="00976671">
        <w:rPr>
          <w:rFonts w:ascii="Arial" w:eastAsiaTheme="minorEastAsia" w:hAnsi="Arial" w:cs="Arial"/>
          <w:i/>
          <w:sz w:val="20"/>
          <w:lang w:val="es-ES" w:eastAsia="es-ES"/>
        </w:rPr>
        <w:t xml:space="preserve"> </w:t>
      </w:r>
      <w:r w:rsidR="00C81E9E" w:rsidRPr="00976671">
        <w:rPr>
          <w:rFonts w:ascii="Arial" w:eastAsiaTheme="minorEastAsia" w:hAnsi="Arial" w:cs="Arial"/>
          <w:i/>
          <w:sz w:val="20"/>
          <w:szCs w:val="20"/>
          <w:lang w:val="es-ES" w:eastAsia="es-ES"/>
        </w:rPr>
        <w:t xml:space="preserve">Umbral de evaluación FRAX para la población colombiana </w:t>
      </w:r>
      <w:r w:rsidR="003453E1" w:rsidRPr="00976671">
        <w:rPr>
          <w:rFonts w:ascii="Arial" w:eastAsiaTheme="minorEastAsia" w:hAnsi="Arial" w:cs="Arial"/>
          <w:i/>
          <w:sz w:val="20"/>
          <w:szCs w:val="20"/>
          <w:lang w:val="es-ES" w:eastAsia="es-ES"/>
        </w:rPr>
        <w:t xml:space="preserve">(Adaptado de </w:t>
      </w:r>
      <w:r w:rsidR="003453E1" w:rsidRPr="00976671">
        <w:rPr>
          <w:rFonts w:ascii="Arial" w:hAnsi="Arial" w:cs="Arial"/>
          <w:i/>
          <w:sz w:val="20"/>
          <w:szCs w:val="20"/>
        </w:rPr>
        <w:t>Medina Orjuela, A., et al, 2018)</w:t>
      </w:r>
    </w:p>
    <w:p w14:paraId="1DDC010A" w14:textId="7DCFAEAC" w:rsidR="00F93005" w:rsidRPr="00976671" w:rsidRDefault="003453E1" w:rsidP="00F93005">
      <w:pPr>
        <w:spacing w:line="276" w:lineRule="auto"/>
        <w:jc w:val="center"/>
        <w:rPr>
          <w:rFonts w:ascii="Arial" w:hAnsi="Arial" w:cs="Arial"/>
          <w:sz w:val="20"/>
          <w:szCs w:val="20"/>
        </w:rPr>
      </w:pPr>
      <w:r w:rsidRPr="00976671">
        <w:rPr>
          <w:rFonts w:ascii="Arial" w:hAnsi="Arial" w:cs="Arial"/>
          <w:sz w:val="20"/>
          <w:szCs w:val="20"/>
          <w:lang w:val="es-ES"/>
        </w:rPr>
        <w:t>e</w:t>
      </w:r>
      <w:r w:rsidR="00C81E9E" w:rsidRPr="00976671">
        <w:rPr>
          <w:rFonts w:ascii="Arial" w:hAnsi="Arial" w:cs="Arial"/>
          <w:noProof/>
          <w:sz w:val="20"/>
          <w:szCs w:val="20"/>
          <w:lang w:eastAsia="es-CO"/>
        </w:rPr>
        <w:drawing>
          <wp:inline distT="0" distB="0" distL="0" distR="0" wp14:anchorId="1E29D54A" wp14:editId="41A950DE">
            <wp:extent cx="3769044" cy="1759789"/>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6123" cy="1763094"/>
                    </a:xfrm>
                    <a:prstGeom prst="rect">
                      <a:avLst/>
                    </a:prstGeom>
                    <a:noFill/>
                    <a:ln>
                      <a:noFill/>
                    </a:ln>
                  </pic:spPr>
                </pic:pic>
              </a:graphicData>
            </a:graphic>
          </wp:inline>
        </w:drawing>
      </w:r>
    </w:p>
    <w:p w14:paraId="1C2095E1" w14:textId="77777777" w:rsidR="00F93005" w:rsidRPr="00976671" w:rsidRDefault="00F93005" w:rsidP="00C81E9E">
      <w:pPr>
        <w:spacing w:line="276" w:lineRule="auto"/>
        <w:jc w:val="center"/>
        <w:rPr>
          <w:rFonts w:ascii="Arial" w:hAnsi="Arial" w:cs="Arial"/>
          <w:sz w:val="20"/>
          <w:szCs w:val="20"/>
        </w:rPr>
      </w:pPr>
    </w:p>
    <w:p w14:paraId="051F9E5F" w14:textId="63657E9F" w:rsidR="00F13CD7" w:rsidRDefault="00F940B2" w:rsidP="00F13CD7">
      <w:pPr>
        <w:pStyle w:val="Prrafodelista"/>
        <w:widowControl w:val="0"/>
        <w:numPr>
          <w:ilvl w:val="0"/>
          <w:numId w:val="29"/>
        </w:numPr>
        <w:autoSpaceDE w:val="0"/>
        <w:autoSpaceDN w:val="0"/>
        <w:adjustRightInd w:val="0"/>
        <w:spacing w:after="240" w:line="276" w:lineRule="auto"/>
        <w:jc w:val="both"/>
        <w:rPr>
          <w:rFonts w:ascii="Arial" w:eastAsiaTheme="minorEastAsia" w:hAnsi="Arial" w:cs="Arial"/>
          <w:sz w:val="20"/>
          <w:szCs w:val="20"/>
          <w:lang w:val="es-ES" w:eastAsia="es-ES"/>
        </w:rPr>
      </w:pPr>
      <w:r w:rsidRPr="00976671">
        <w:rPr>
          <w:rFonts w:ascii="Arial" w:eastAsiaTheme="minorEastAsia" w:hAnsi="Arial" w:cs="Arial"/>
          <w:sz w:val="20"/>
          <w:szCs w:val="20"/>
          <w:lang w:val="es-ES" w:eastAsia="es-ES"/>
        </w:rPr>
        <w:t>Umbral de intervención que debe usarse cuando hay disponibilidad de equipos y que aumenta la precisión de la medición</w:t>
      </w:r>
      <w:r w:rsidR="00F13CD7" w:rsidRPr="00976671">
        <w:rPr>
          <w:rFonts w:ascii="Arial" w:eastAsiaTheme="minorEastAsia" w:hAnsi="Arial" w:cs="Arial"/>
          <w:sz w:val="20"/>
          <w:szCs w:val="20"/>
          <w:lang w:val="es-ES" w:eastAsia="es-ES"/>
        </w:rPr>
        <w:t>. (ver figura No 4)</w:t>
      </w:r>
    </w:p>
    <w:p w14:paraId="47B77579" w14:textId="06B33626" w:rsidR="00D21AB7" w:rsidRDefault="00D21AB7" w:rsidP="00D21AB7">
      <w:pPr>
        <w:widowControl w:val="0"/>
        <w:autoSpaceDE w:val="0"/>
        <w:autoSpaceDN w:val="0"/>
        <w:adjustRightInd w:val="0"/>
        <w:spacing w:after="240" w:line="276" w:lineRule="auto"/>
        <w:jc w:val="both"/>
        <w:rPr>
          <w:rFonts w:ascii="Arial" w:eastAsiaTheme="minorEastAsia" w:hAnsi="Arial" w:cs="Arial"/>
          <w:sz w:val="20"/>
          <w:szCs w:val="20"/>
          <w:lang w:val="es-ES" w:eastAsia="es-ES"/>
        </w:rPr>
      </w:pPr>
    </w:p>
    <w:p w14:paraId="2431121E" w14:textId="0990D93A" w:rsidR="00D21AB7" w:rsidRDefault="00D21AB7" w:rsidP="00D21AB7">
      <w:pPr>
        <w:widowControl w:val="0"/>
        <w:autoSpaceDE w:val="0"/>
        <w:autoSpaceDN w:val="0"/>
        <w:adjustRightInd w:val="0"/>
        <w:spacing w:after="240" w:line="276" w:lineRule="auto"/>
        <w:jc w:val="both"/>
        <w:rPr>
          <w:rFonts w:ascii="Arial" w:eastAsiaTheme="minorEastAsia" w:hAnsi="Arial" w:cs="Arial"/>
          <w:sz w:val="20"/>
          <w:szCs w:val="20"/>
          <w:lang w:val="es-ES" w:eastAsia="es-ES"/>
        </w:rPr>
      </w:pPr>
    </w:p>
    <w:p w14:paraId="14EA2EC2" w14:textId="77777777" w:rsidR="00D21AB7" w:rsidRPr="00D21AB7" w:rsidRDefault="00D21AB7" w:rsidP="00D21AB7">
      <w:pPr>
        <w:widowControl w:val="0"/>
        <w:autoSpaceDE w:val="0"/>
        <w:autoSpaceDN w:val="0"/>
        <w:adjustRightInd w:val="0"/>
        <w:spacing w:after="240" w:line="276" w:lineRule="auto"/>
        <w:jc w:val="both"/>
        <w:rPr>
          <w:rFonts w:ascii="Arial" w:eastAsiaTheme="minorEastAsia" w:hAnsi="Arial" w:cs="Arial"/>
          <w:sz w:val="20"/>
          <w:szCs w:val="20"/>
          <w:lang w:val="es-ES" w:eastAsia="es-ES"/>
        </w:rPr>
      </w:pPr>
    </w:p>
    <w:p w14:paraId="5CB0C309" w14:textId="5EBAFEBD" w:rsidR="00C81E9E" w:rsidRPr="00976671" w:rsidRDefault="00F13CD7" w:rsidP="00C81E9E">
      <w:pPr>
        <w:widowControl w:val="0"/>
        <w:autoSpaceDE w:val="0"/>
        <w:autoSpaceDN w:val="0"/>
        <w:adjustRightInd w:val="0"/>
        <w:spacing w:after="240" w:line="276" w:lineRule="auto"/>
        <w:jc w:val="both"/>
        <w:rPr>
          <w:rFonts w:ascii="Arial" w:eastAsiaTheme="minorEastAsia" w:hAnsi="Arial" w:cs="Arial"/>
          <w:bCs/>
          <w:i/>
          <w:iCs/>
          <w:sz w:val="20"/>
          <w:szCs w:val="20"/>
          <w:lang w:eastAsia="es-ES"/>
        </w:rPr>
      </w:pPr>
      <w:r w:rsidRPr="00976671">
        <w:rPr>
          <w:rFonts w:ascii="Arial" w:eastAsiaTheme="minorEastAsia" w:hAnsi="Arial" w:cs="Arial"/>
          <w:i/>
          <w:sz w:val="20"/>
          <w:szCs w:val="20"/>
          <w:lang w:val="es-ES" w:eastAsia="es-ES"/>
        </w:rPr>
        <w:lastRenderedPageBreak/>
        <w:t>Figura No 4.</w:t>
      </w:r>
      <w:r w:rsidR="00C81E9E" w:rsidRPr="00976671">
        <w:rPr>
          <w:rFonts w:ascii="Arial" w:eastAsiaTheme="minorEastAsia" w:hAnsi="Arial" w:cs="Arial"/>
          <w:i/>
          <w:sz w:val="20"/>
          <w:szCs w:val="20"/>
          <w:lang w:val="es-ES" w:eastAsia="es-ES"/>
        </w:rPr>
        <w:t xml:space="preserve"> Umbral de intervención FRA</w:t>
      </w:r>
      <w:r w:rsidR="003453E1" w:rsidRPr="00976671">
        <w:rPr>
          <w:rFonts w:ascii="Arial" w:eastAsiaTheme="minorEastAsia" w:hAnsi="Arial" w:cs="Arial"/>
          <w:i/>
          <w:sz w:val="20"/>
          <w:szCs w:val="20"/>
          <w:lang w:val="es-ES" w:eastAsia="es-ES"/>
        </w:rPr>
        <w:t xml:space="preserve">X para la población colombiana (Adaptado de </w:t>
      </w:r>
      <w:r w:rsidR="003453E1" w:rsidRPr="00976671">
        <w:rPr>
          <w:rFonts w:ascii="Arial" w:hAnsi="Arial" w:cs="Arial"/>
          <w:i/>
          <w:sz w:val="20"/>
          <w:szCs w:val="20"/>
        </w:rPr>
        <w:t>Medina Orjuela, A., et al, 2018)</w:t>
      </w:r>
    </w:p>
    <w:p w14:paraId="16CC2040" w14:textId="77777777" w:rsidR="00F93005" w:rsidRPr="00976671" w:rsidRDefault="00F93005" w:rsidP="00C81E9E">
      <w:pPr>
        <w:spacing w:line="276" w:lineRule="auto"/>
        <w:jc w:val="center"/>
        <w:rPr>
          <w:rFonts w:ascii="Arial" w:hAnsi="Arial" w:cs="Arial"/>
          <w:sz w:val="20"/>
          <w:szCs w:val="20"/>
        </w:rPr>
      </w:pPr>
    </w:p>
    <w:p w14:paraId="7B98B224" w14:textId="5F2C9E36" w:rsidR="00F93005" w:rsidRPr="00976671" w:rsidRDefault="00C81E9E" w:rsidP="00D21AB7">
      <w:pPr>
        <w:spacing w:line="276" w:lineRule="auto"/>
        <w:jc w:val="center"/>
        <w:rPr>
          <w:rFonts w:ascii="Arial" w:hAnsi="Arial" w:cs="Arial"/>
          <w:sz w:val="20"/>
          <w:szCs w:val="20"/>
        </w:rPr>
      </w:pPr>
      <w:r w:rsidRPr="00976671">
        <w:rPr>
          <w:rFonts w:ascii="Arial" w:hAnsi="Arial" w:cs="Arial"/>
          <w:noProof/>
          <w:sz w:val="20"/>
          <w:szCs w:val="20"/>
          <w:lang w:eastAsia="es-CO"/>
        </w:rPr>
        <w:drawing>
          <wp:inline distT="0" distB="0" distL="0" distR="0" wp14:anchorId="7B2F87E9" wp14:editId="67D8A530">
            <wp:extent cx="4545965" cy="2390775"/>
            <wp:effectExtent l="0" t="0" r="6985"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8658"/>
                    <a:stretch/>
                  </pic:blipFill>
                  <pic:spPr bwMode="auto">
                    <a:xfrm>
                      <a:off x="0" y="0"/>
                      <a:ext cx="4607532" cy="2423154"/>
                    </a:xfrm>
                    <a:prstGeom prst="rect">
                      <a:avLst/>
                    </a:prstGeom>
                    <a:noFill/>
                    <a:ln>
                      <a:noFill/>
                    </a:ln>
                    <a:extLst>
                      <a:ext uri="{53640926-AAD7-44D8-BBD7-CCE9431645EC}">
                        <a14:shadowObscured xmlns:a14="http://schemas.microsoft.com/office/drawing/2010/main"/>
                      </a:ext>
                    </a:extLst>
                  </pic:spPr>
                </pic:pic>
              </a:graphicData>
            </a:graphic>
          </wp:inline>
        </w:drawing>
      </w:r>
    </w:p>
    <w:p w14:paraId="6D818077" w14:textId="45D165AC" w:rsidR="00C44AB3" w:rsidRPr="00976671" w:rsidRDefault="00F93005" w:rsidP="00F93005">
      <w:pPr>
        <w:pStyle w:val="Prrafodelista"/>
        <w:numPr>
          <w:ilvl w:val="0"/>
          <w:numId w:val="41"/>
        </w:numPr>
        <w:shd w:val="clear" w:color="auto" w:fill="FFFFFF"/>
        <w:spacing w:after="0" w:line="276" w:lineRule="auto"/>
        <w:jc w:val="both"/>
        <w:rPr>
          <w:rFonts w:ascii="Arial" w:eastAsia="Times New Roman" w:hAnsi="Arial" w:cs="Arial"/>
          <w:b/>
          <w:color w:val="000000" w:themeColor="text1"/>
          <w:sz w:val="20"/>
          <w:szCs w:val="20"/>
        </w:rPr>
      </w:pPr>
      <w:r w:rsidRPr="00976671">
        <w:rPr>
          <w:rFonts w:ascii="Arial" w:eastAsia="Times New Roman" w:hAnsi="Arial" w:cs="Arial"/>
          <w:b/>
          <w:color w:val="000000" w:themeColor="text1"/>
          <w:sz w:val="20"/>
          <w:szCs w:val="20"/>
        </w:rPr>
        <w:t>¿Cuál es la importancia del alto riesgo/r</w:t>
      </w:r>
      <w:r w:rsidR="00C44AB3" w:rsidRPr="00976671">
        <w:rPr>
          <w:rFonts w:ascii="Arial" w:eastAsia="Times New Roman" w:hAnsi="Arial" w:cs="Arial"/>
          <w:b/>
          <w:color w:val="000000" w:themeColor="text1"/>
          <w:sz w:val="20"/>
          <w:szCs w:val="20"/>
        </w:rPr>
        <w:t xml:space="preserve">iesgo </w:t>
      </w:r>
      <w:r w:rsidRPr="00976671">
        <w:rPr>
          <w:rFonts w:ascii="Arial" w:eastAsia="Times New Roman" w:hAnsi="Arial" w:cs="Arial"/>
          <w:b/>
          <w:color w:val="000000" w:themeColor="text1"/>
          <w:sz w:val="20"/>
          <w:szCs w:val="20"/>
        </w:rPr>
        <w:t>inminente de fractura?</w:t>
      </w:r>
    </w:p>
    <w:p w14:paraId="0D363F6B" w14:textId="77777777" w:rsidR="00F93005" w:rsidRPr="00976671" w:rsidRDefault="00F93005" w:rsidP="00F93005">
      <w:pPr>
        <w:pStyle w:val="Prrafodelista"/>
        <w:shd w:val="clear" w:color="auto" w:fill="FFFFFF"/>
        <w:spacing w:after="0" w:line="276" w:lineRule="auto"/>
        <w:ind w:left="360"/>
        <w:jc w:val="both"/>
        <w:rPr>
          <w:rFonts w:ascii="Arial" w:eastAsia="Times New Roman" w:hAnsi="Arial" w:cs="Arial"/>
          <w:b/>
          <w:color w:val="000000" w:themeColor="text1"/>
          <w:sz w:val="20"/>
          <w:szCs w:val="20"/>
        </w:rPr>
      </w:pPr>
    </w:p>
    <w:p w14:paraId="632C5836" w14:textId="56D2787F" w:rsidR="00E505E3" w:rsidRPr="00976671" w:rsidRDefault="00E505E3" w:rsidP="00E505E3">
      <w:pPr>
        <w:spacing w:line="276" w:lineRule="auto"/>
        <w:jc w:val="both"/>
        <w:rPr>
          <w:rFonts w:ascii="Arial" w:hAnsi="Arial" w:cs="Arial"/>
          <w:sz w:val="20"/>
          <w:szCs w:val="20"/>
        </w:rPr>
      </w:pPr>
      <w:r w:rsidRPr="00976671">
        <w:rPr>
          <w:rFonts w:ascii="Arial" w:hAnsi="Arial" w:cs="Arial"/>
          <w:sz w:val="20"/>
          <w:szCs w:val="20"/>
        </w:rPr>
        <w:t xml:space="preserve">La importancia clínica de la osteoporosis radica en la aparición de fracturas y re-fracturas. El principal factor de riesgo de sufrir una fractura es una fractura anterior, pero una fractura reciente es un mayor factor de riesgo que una fractura antigua, </w:t>
      </w:r>
      <w:r w:rsidR="00D21AB7">
        <w:rPr>
          <w:rFonts w:ascii="Arial" w:hAnsi="Arial" w:cs="Arial"/>
          <w:sz w:val="20"/>
          <w:szCs w:val="20"/>
        </w:rPr>
        <w:t>lo cual aplica tanto para</w:t>
      </w:r>
      <w:r w:rsidRPr="00976671">
        <w:rPr>
          <w:rFonts w:ascii="Arial" w:hAnsi="Arial" w:cs="Arial"/>
          <w:sz w:val="20"/>
          <w:szCs w:val="20"/>
        </w:rPr>
        <w:t xml:space="preserve"> fracturas vertebrales como no vertebrales. </w:t>
      </w:r>
    </w:p>
    <w:p w14:paraId="3B6DDEC9" w14:textId="56315FD5" w:rsidR="003453E1" w:rsidRPr="00D21AB7" w:rsidRDefault="00E505E3" w:rsidP="00E505E3">
      <w:pPr>
        <w:spacing w:line="276" w:lineRule="auto"/>
        <w:jc w:val="both"/>
        <w:rPr>
          <w:rFonts w:ascii="Arial" w:hAnsi="Arial" w:cs="Arial"/>
          <w:sz w:val="20"/>
          <w:szCs w:val="20"/>
          <w:shd w:val="clear" w:color="auto" w:fill="FFFFFF"/>
        </w:rPr>
      </w:pPr>
      <w:r w:rsidRPr="00976671">
        <w:rPr>
          <w:rFonts w:ascii="Arial" w:hAnsi="Arial" w:cs="Arial"/>
          <w:sz w:val="20"/>
          <w:szCs w:val="20"/>
        </w:rPr>
        <w:t>Este riesgo inminente se explica tanto por los factores relacionados con las propiedades de los huesos (osteoporosis subyacente), así como para los factores relacionados con las caídas</w:t>
      </w:r>
      <w:r w:rsidRPr="00D21AB7">
        <w:rPr>
          <w:rFonts w:ascii="Arial" w:hAnsi="Arial" w:cs="Arial"/>
          <w:sz w:val="20"/>
          <w:szCs w:val="20"/>
        </w:rPr>
        <w:t>.</w:t>
      </w:r>
      <w:r w:rsidR="005A5CE0" w:rsidRPr="00D21AB7">
        <w:rPr>
          <w:rFonts w:ascii="Arial" w:hAnsi="Arial" w:cs="Arial"/>
          <w:sz w:val="20"/>
          <w:szCs w:val="20"/>
        </w:rPr>
        <w:t xml:space="preserve"> </w:t>
      </w:r>
      <w:r w:rsidR="003453E1" w:rsidRPr="00D21AB7">
        <w:rPr>
          <w:rFonts w:ascii="Arial" w:hAnsi="Arial" w:cs="Arial"/>
          <w:sz w:val="20"/>
          <w:szCs w:val="20"/>
        </w:rPr>
        <w:t>(</w:t>
      </w:r>
      <w:proofErr w:type="spellStart"/>
      <w:r w:rsidR="003453E1" w:rsidRPr="00D21AB7">
        <w:rPr>
          <w:rFonts w:ascii="Arial" w:hAnsi="Arial" w:cs="Arial"/>
          <w:sz w:val="20"/>
          <w:szCs w:val="20"/>
          <w:shd w:val="clear" w:color="auto" w:fill="FFFFFF"/>
        </w:rPr>
        <w:t>Bliuc</w:t>
      </w:r>
      <w:proofErr w:type="spellEnd"/>
      <w:r w:rsidR="003453E1" w:rsidRPr="00D21AB7">
        <w:rPr>
          <w:rFonts w:ascii="Arial" w:hAnsi="Arial" w:cs="Arial"/>
          <w:sz w:val="20"/>
          <w:szCs w:val="20"/>
          <w:shd w:val="clear" w:color="auto" w:fill="FFFFFF"/>
        </w:rPr>
        <w:t>, D., 2009). </w:t>
      </w:r>
    </w:p>
    <w:p w14:paraId="53D133A8" w14:textId="40C3DB60" w:rsidR="00E505E3" w:rsidRPr="00976671" w:rsidRDefault="00E505E3" w:rsidP="00E505E3">
      <w:pPr>
        <w:spacing w:line="276" w:lineRule="auto"/>
        <w:jc w:val="both"/>
        <w:rPr>
          <w:rFonts w:ascii="Arial" w:hAnsi="Arial" w:cs="Arial"/>
          <w:sz w:val="20"/>
          <w:szCs w:val="20"/>
        </w:rPr>
      </w:pPr>
      <w:r w:rsidRPr="00976671">
        <w:rPr>
          <w:rFonts w:ascii="Arial" w:hAnsi="Arial" w:cs="Arial"/>
          <w:sz w:val="20"/>
          <w:szCs w:val="20"/>
        </w:rPr>
        <w:t xml:space="preserve">Este aumento del riesgo a corto plazo también se ha demostrado en pacientes que inician corticosteroides y en sujetos osteoporóticos frágiles con enfermedades del sistema nervioso central (SNC) o fármacos dirigidos al SNC, y por lo tanto un alto riesgo de caídas. Por lo </w:t>
      </w:r>
      <w:r w:rsidR="00D21AB7" w:rsidRPr="00976671">
        <w:rPr>
          <w:rFonts w:ascii="Arial" w:hAnsi="Arial" w:cs="Arial"/>
          <w:sz w:val="20"/>
          <w:szCs w:val="20"/>
        </w:rPr>
        <w:t>tanto,</w:t>
      </w:r>
      <w:r w:rsidRPr="00976671">
        <w:rPr>
          <w:rFonts w:ascii="Arial" w:hAnsi="Arial" w:cs="Arial"/>
          <w:sz w:val="20"/>
          <w:szCs w:val="20"/>
        </w:rPr>
        <w:t xml:space="preserve"> los pacientes con un riesgo inminente de fractura o refractura deben identificarse con prioridad para recibir un tratamiento inmediato y un programa de prevención de caídas. </w:t>
      </w:r>
    </w:p>
    <w:p w14:paraId="431A3446" w14:textId="18A4AD92" w:rsidR="00E505E3" w:rsidRPr="00976671" w:rsidRDefault="00E505E3" w:rsidP="0087135E">
      <w:pPr>
        <w:spacing w:line="276" w:lineRule="auto"/>
        <w:jc w:val="both"/>
        <w:rPr>
          <w:rFonts w:ascii="Arial" w:hAnsi="Arial" w:cs="Arial"/>
          <w:sz w:val="20"/>
          <w:szCs w:val="20"/>
          <w:lang w:val="es-ES"/>
        </w:rPr>
      </w:pPr>
      <w:r w:rsidRPr="00976671">
        <w:rPr>
          <w:rFonts w:ascii="Arial" w:hAnsi="Arial" w:cs="Arial"/>
          <w:sz w:val="20"/>
          <w:szCs w:val="20"/>
        </w:rPr>
        <w:t xml:space="preserve">En promedio, el riesgo se duplica en presencia de una fractura previa. </w:t>
      </w:r>
      <w:r w:rsidRPr="00976671">
        <w:rPr>
          <w:rFonts w:ascii="Arial" w:hAnsi="Arial" w:cs="Arial"/>
          <w:sz w:val="20"/>
          <w:szCs w:val="20"/>
          <w:lang w:val="es-ES"/>
        </w:rPr>
        <w:t xml:space="preserve">El nivel más alto de evidencia sobre el papel de una fractura reciente se ha demostrado para las fracturas vertebrales (FV). </w:t>
      </w:r>
      <w:r w:rsidR="0087135E" w:rsidRPr="00976671">
        <w:rPr>
          <w:rFonts w:ascii="Arial" w:hAnsi="Arial" w:cs="Arial"/>
          <w:sz w:val="20"/>
          <w:szCs w:val="20"/>
          <w:lang w:val="es-ES"/>
        </w:rPr>
        <w:t xml:space="preserve">Aunque también se ha demostrado para las </w:t>
      </w:r>
      <w:r w:rsidRPr="00976671">
        <w:rPr>
          <w:rFonts w:ascii="Arial" w:hAnsi="Arial" w:cs="Arial"/>
          <w:sz w:val="20"/>
          <w:szCs w:val="20"/>
          <w:lang w:val="es-ES"/>
        </w:rPr>
        <w:t xml:space="preserve">fracturas no vertebrales. </w:t>
      </w:r>
    </w:p>
    <w:p w14:paraId="6EF3FB22" w14:textId="00A3845F" w:rsidR="00E505E3" w:rsidRPr="00976671" w:rsidRDefault="00E505E3" w:rsidP="00E505E3">
      <w:pPr>
        <w:spacing w:line="276" w:lineRule="auto"/>
        <w:jc w:val="both"/>
        <w:rPr>
          <w:rFonts w:ascii="Arial" w:hAnsi="Arial" w:cs="Arial"/>
          <w:sz w:val="20"/>
          <w:szCs w:val="20"/>
          <w:lang w:val="es-ES"/>
        </w:rPr>
      </w:pPr>
      <w:r w:rsidRPr="00976671">
        <w:rPr>
          <w:rFonts w:ascii="Arial" w:hAnsi="Arial" w:cs="Arial"/>
          <w:sz w:val="20"/>
          <w:szCs w:val="20"/>
          <w:lang w:val="es-ES"/>
        </w:rPr>
        <w:t xml:space="preserve">El riesgo inminente de </w:t>
      </w:r>
      <w:proofErr w:type="spellStart"/>
      <w:r w:rsidRPr="00976671">
        <w:rPr>
          <w:rFonts w:ascii="Arial" w:hAnsi="Arial" w:cs="Arial"/>
          <w:sz w:val="20"/>
          <w:szCs w:val="20"/>
          <w:lang w:val="es-ES"/>
        </w:rPr>
        <w:t>refractura</w:t>
      </w:r>
      <w:proofErr w:type="spellEnd"/>
      <w:r w:rsidRPr="00976671">
        <w:rPr>
          <w:rFonts w:ascii="Arial" w:hAnsi="Arial" w:cs="Arial"/>
          <w:sz w:val="20"/>
          <w:szCs w:val="20"/>
          <w:lang w:val="es-ES"/>
        </w:rPr>
        <w:t xml:space="preserve"> puede estar relacionado con diferentes factores. El tratamiento de la fractura y la atención posterior a la fractura puede, paradójicamente, aumentar el riesgo, a través del aumento del riesgo de caídas durante la rehabilitación, debido a las ayudas para caminar y la coordinación deficiente. La inmovilidad puede aumentar la pérdida de hueso cortical y trabecular. El período </w:t>
      </w:r>
      <w:proofErr w:type="spellStart"/>
      <w:r w:rsidRPr="00976671">
        <w:rPr>
          <w:rFonts w:ascii="Arial" w:hAnsi="Arial" w:cs="Arial"/>
          <w:sz w:val="20"/>
          <w:szCs w:val="20"/>
          <w:lang w:val="es-ES"/>
        </w:rPr>
        <w:t>perioperatorio</w:t>
      </w:r>
      <w:proofErr w:type="spellEnd"/>
      <w:r w:rsidRPr="00976671">
        <w:rPr>
          <w:rFonts w:ascii="Arial" w:hAnsi="Arial" w:cs="Arial"/>
          <w:sz w:val="20"/>
          <w:szCs w:val="20"/>
          <w:lang w:val="es-ES"/>
        </w:rPr>
        <w:t xml:space="preserve"> puede aumentar la fragilidad de algunos pacientes, con cambios agudos de las funciones cognitivas. </w:t>
      </w:r>
    </w:p>
    <w:p w14:paraId="56522A2E" w14:textId="5913FE01" w:rsidR="00E505E3" w:rsidRPr="00976671" w:rsidRDefault="00E505E3" w:rsidP="00955828">
      <w:pPr>
        <w:spacing w:line="276" w:lineRule="auto"/>
        <w:jc w:val="both"/>
        <w:rPr>
          <w:rFonts w:ascii="Arial" w:hAnsi="Arial" w:cs="Arial"/>
          <w:sz w:val="20"/>
          <w:szCs w:val="20"/>
          <w:lang w:val="es-ES"/>
        </w:rPr>
      </w:pPr>
      <w:r w:rsidRPr="00976671">
        <w:rPr>
          <w:rFonts w:ascii="Arial" w:hAnsi="Arial" w:cs="Arial"/>
          <w:sz w:val="20"/>
          <w:szCs w:val="20"/>
          <w:lang w:val="es-ES"/>
        </w:rPr>
        <w:t xml:space="preserve">El riesgo inminente de una fractura posterior después de la primera fractura crea una ventana de oportunidad para prevenir nuevas fracturas, y esta es la razón para los servicios de enlace de fracturas (FLS - Fracture Liaison </w:t>
      </w:r>
      <w:proofErr w:type="spellStart"/>
      <w:r w:rsidRPr="00976671">
        <w:rPr>
          <w:rFonts w:ascii="Arial" w:hAnsi="Arial" w:cs="Arial"/>
          <w:sz w:val="20"/>
          <w:szCs w:val="20"/>
          <w:lang w:val="es-ES"/>
        </w:rPr>
        <w:t>S</w:t>
      </w:r>
      <w:r w:rsidR="0087135E" w:rsidRPr="00976671">
        <w:rPr>
          <w:rFonts w:ascii="Arial" w:hAnsi="Arial" w:cs="Arial"/>
          <w:sz w:val="20"/>
          <w:szCs w:val="20"/>
          <w:lang w:val="es-ES"/>
        </w:rPr>
        <w:t>ervices</w:t>
      </w:r>
      <w:proofErr w:type="spellEnd"/>
      <w:r w:rsidR="0087135E" w:rsidRPr="00976671">
        <w:rPr>
          <w:rFonts w:ascii="Arial" w:hAnsi="Arial" w:cs="Arial"/>
          <w:sz w:val="20"/>
          <w:szCs w:val="20"/>
          <w:lang w:val="es-ES"/>
        </w:rPr>
        <w:t>).</w:t>
      </w:r>
      <w:r w:rsidR="005A5CE0" w:rsidRPr="00976671">
        <w:rPr>
          <w:rFonts w:ascii="Arial" w:hAnsi="Arial" w:cs="Arial"/>
          <w:sz w:val="20"/>
          <w:szCs w:val="20"/>
          <w:lang w:val="es-ES"/>
        </w:rPr>
        <w:t xml:space="preserve"> (</w:t>
      </w:r>
      <w:proofErr w:type="spellStart"/>
      <w:r w:rsidR="00976671" w:rsidRPr="00976671">
        <w:rPr>
          <w:rFonts w:ascii="Arial" w:hAnsi="Arial" w:cs="Arial"/>
          <w:sz w:val="20"/>
          <w:szCs w:val="20"/>
          <w:lang w:val="es-ES"/>
        </w:rPr>
        <w:t>Huntjens</w:t>
      </w:r>
      <w:proofErr w:type="spellEnd"/>
      <w:r w:rsidR="00976671" w:rsidRPr="00976671">
        <w:rPr>
          <w:rFonts w:ascii="Arial" w:hAnsi="Arial" w:cs="Arial"/>
          <w:sz w:val="20"/>
          <w:szCs w:val="20"/>
          <w:lang w:val="es-ES"/>
        </w:rPr>
        <w:t xml:space="preserve"> KM.,</w:t>
      </w:r>
      <w:r w:rsidR="005A5CE0" w:rsidRPr="00976671">
        <w:rPr>
          <w:rFonts w:ascii="Arial" w:hAnsi="Arial" w:cs="Arial"/>
          <w:sz w:val="20"/>
          <w:szCs w:val="20"/>
          <w:lang w:val="es-ES"/>
        </w:rPr>
        <w:t xml:space="preserve"> et al, 2014)</w:t>
      </w:r>
    </w:p>
    <w:p w14:paraId="27CFD2D3" w14:textId="77777777" w:rsidR="00E505E3" w:rsidRPr="00976671" w:rsidRDefault="00E505E3" w:rsidP="00E505E3">
      <w:pPr>
        <w:spacing w:line="276" w:lineRule="auto"/>
        <w:jc w:val="both"/>
        <w:rPr>
          <w:rFonts w:ascii="Arial" w:hAnsi="Arial" w:cs="Arial"/>
          <w:sz w:val="20"/>
          <w:szCs w:val="20"/>
          <w:lang w:val="es-ES"/>
        </w:rPr>
      </w:pPr>
      <w:r w:rsidRPr="00976671">
        <w:rPr>
          <w:rFonts w:ascii="Arial" w:hAnsi="Arial" w:cs="Arial"/>
          <w:sz w:val="20"/>
          <w:szCs w:val="20"/>
          <w:lang w:val="es-ES"/>
        </w:rPr>
        <w:lastRenderedPageBreak/>
        <w:t>La prevención de caídas es obligatoria en pacientes frágiles, y los datos sugieren que algunos programas estructurados de actividad física y rehabilitación pueden ayudar en este asunto.</w:t>
      </w:r>
    </w:p>
    <w:p w14:paraId="6E8D18A3" w14:textId="3544D844" w:rsidR="00E505E3" w:rsidRPr="00976671" w:rsidRDefault="00E505E3" w:rsidP="00E505E3">
      <w:pPr>
        <w:spacing w:line="276" w:lineRule="auto"/>
        <w:jc w:val="both"/>
        <w:rPr>
          <w:rFonts w:ascii="Arial" w:hAnsi="Arial" w:cs="Arial"/>
          <w:sz w:val="20"/>
          <w:szCs w:val="20"/>
          <w:lang w:val="es-ES"/>
        </w:rPr>
      </w:pPr>
      <w:r w:rsidRPr="00976671">
        <w:rPr>
          <w:rFonts w:ascii="Arial" w:hAnsi="Arial" w:cs="Arial"/>
          <w:sz w:val="20"/>
          <w:szCs w:val="20"/>
          <w:lang w:val="es-ES"/>
        </w:rPr>
        <w:t xml:space="preserve">Sin embargo, la contribución de los factores de riesgo es diferente para cada sitio de fractura; las caídas pasadas son importantes para todas las fracturas, excepto la columna vertebral, mientras que las fracturas vertebrales representan el paradigma de la eficacia de los fármacos </w:t>
      </w:r>
      <w:proofErr w:type="spellStart"/>
      <w:r w:rsidRPr="00976671">
        <w:rPr>
          <w:rFonts w:ascii="Arial" w:hAnsi="Arial" w:cs="Arial"/>
          <w:sz w:val="20"/>
          <w:szCs w:val="20"/>
          <w:lang w:val="es-ES"/>
        </w:rPr>
        <w:t>antiosteoporóticos</w:t>
      </w:r>
      <w:proofErr w:type="spellEnd"/>
      <w:r w:rsidR="00E634CD" w:rsidRPr="00976671">
        <w:rPr>
          <w:rFonts w:ascii="Arial" w:hAnsi="Arial" w:cs="Arial"/>
          <w:sz w:val="20"/>
          <w:szCs w:val="20"/>
          <w:lang w:val="es-ES"/>
        </w:rPr>
        <w:t>.</w:t>
      </w:r>
    </w:p>
    <w:p w14:paraId="59733F00" w14:textId="77777777" w:rsidR="00E634CD" w:rsidRPr="00976671" w:rsidRDefault="00E634CD" w:rsidP="00E505E3">
      <w:pPr>
        <w:spacing w:line="276" w:lineRule="auto"/>
        <w:jc w:val="both"/>
        <w:rPr>
          <w:rFonts w:ascii="Arial" w:hAnsi="Arial" w:cs="Arial"/>
          <w:sz w:val="20"/>
          <w:szCs w:val="20"/>
          <w:lang w:val="es-ES"/>
        </w:rPr>
      </w:pPr>
    </w:p>
    <w:p w14:paraId="35031478" w14:textId="10889010" w:rsidR="002E35D0" w:rsidRPr="00976671" w:rsidRDefault="00234C39" w:rsidP="00F93005">
      <w:pPr>
        <w:pStyle w:val="Prrafodelista"/>
        <w:numPr>
          <w:ilvl w:val="0"/>
          <w:numId w:val="41"/>
        </w:numPr>
        <w:shd w:val="clear" w:color="auto" w:fill="FFFFFF"/>
        <w:spacing w:after="0" w:line="276" w:lineRule="auto"/>
        <w:jc w:val="both"/>
        <w:rPr>
          <w:rFonts w:ascii="Arial" w:eastAsiaTheme="minorEastAsia" w:hAnsi="Arial" w:cs="Arial"/>
          <w:b/>
          <w:color w:val="101010"/>
          <w:sz w:val="24"/>
          <w:szCs w:val="20"/>
          <w:lang w:val="es-ES" w:eastAsia="es-ES"/>
        </w:rPr>
      </w:pPr>
      <w:r w:rsidRPr="00976671">
        <w:rPr>
          <w:rFonts w:ascii="Arial" w:eastAsiaTheme="minorEastAsia" w:hAnsi="Arial" w:cs="Arial"/>
          <w:b/>
          <w:color w:val="101010"/>
          <w:sz w:val="24"/>
          <w:szCs w:val="20"/>
          <w:lang w:val="es-ES" w:eastAsia="es-ES"/>
        </w:rPr>
        <w:t>Recomendaciones claves</w:t>
      </w:r>
      <w:r w:rsidR="00F93005" w:rsidRPr="00976671">
        <w:rPr>
          <w:rFonts w:ascii="Arial" w:eastAsiaTheme="minorEastAsia" w:hAnsi="Arial" w:cs="Arial"/>
          <w:b/>
          <w:color w:val="101010"/>
          <w:sz w:val="24"/>
          <w:szCs w:val="20"/>
          <w:lang w:val="es-ES" w:eastAsia="es-ES"/>
        </w:rPr>
        <w:t>.</w:t>
      </w:r>
    </w:p>
    <w:p w14:paraId="50DD1E2D" w14:textId="620B66BD" w:rsidR="00F93005" w:rsidRPr="00976671" w:rsidRDefault="00976671" w:rsidP="00F93005">
      <w:pPr>
        <w:pStyle w:val="Prrafodelista"/>
        <w:shd w:val="clear" w:color="auto" w:fill="FFFFFF"/>
        <w:spacing w:after="0" w:line="276" w:lineRule="auto"/>
        <w:ind w:left="360"/>
        <w:jc w:val="both"/>
        <w:rPr>
          <w:rFonts w:ascii="Arial" w:eastAsiaTheme="minorEastAsia" w:hAnsi="Arial" w:cs="Arial"/>
          <w:b/>
          <w:color w:val="101010"/>
          <w:sz w:val="24"/>
          <w:szCs w:val="20"/>
          <w:lang w:val="es-ES" w:eastAsia="es-ES"/>
        </w:rPr>
      </w:pPr>
      <w:r w:rsidRPr="00976671">
        <w:rPr>
          <w:rFonts w:ascii="Arial" w:eastAsiaTheme="minorEastAsia" w:hAnsi="Arial" w:cs="Arial"/>
          <w:noProof/>
          <w:color w:val="101010"/>
          <w:sz w:val="20"/>
          <w:szCs w:val="20"/>
          <w:lang w:eastAsia="es-CO"/>
        </w:rPr>
        <mc:AlternateContent>
          <mc:Choice Requires="wps">
            <w:drawing>
              <wp:anchor distT="0" distB="0" distL="114300" distR="114300" simplePos="0" relativeHeight="251658240" behindDoc="0" locked="0" layoutInCell="1" allowOverlap="1" wp14:anchorId="0303A326" wp14:editId="6A7151F3">
                <wp:simplePos x="0" y="0"/>
                <wp:positionH relativeFrom="margin">
                  <wp:align>right</wp:align>
                </wp:positionH>
                <wp:positionV relativeFrom="paragraph">
                  <wp:posOffset>85725</wp:posOffset>
                </wp:positionV>
                <wp:extent cx="5591175" cy="2725420"/>
                <wp:effectExtent l="0" t="0" r="28575" b="1778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2725420"/>
                        </a:xfrm>
                        <a:prstGeom prst="rect">
                          <a:avLst/>
                        </a:prstGeom>
                        <a:solidFill>
                          <a:srgbClr val="5B9BD5">
                            <a:lumMod val="40000"/>
                            <a:lumOff val="60000"/>
                          </a:srgbClr>
                        </a:solidFill>
                        <a:ln w="15875">
                          <a:solidFill>
                            <a:srgbClr val="000000"/>
                          </a:solidFill>
                          <a:miter lim="800000"/>
                          <a:headEnd/>
                          <a:tailEnd/>
                        </a:ln>
                      </wps:spPr>
                      <wps:txbx>
                        <w:txbxContent>
                          <w:p w14:paraId="3ABB9F56" w14:textId="77777777" w:rsidR="00F93005" w:rsidRDefault="00F93005" w:rsidP="00F93005">
                            <w:pPr>
                              <w:jc w:val="center"/>
                              <w:rPr>
                                <w:rFonts w:ascii="Arial" w:hAnsi="Arial" w:cs="Arial"/>
                                <w:color w:val="222222"/>
                                <w:sz w:val="19"/>
                                <w:szCs w:val="19"/>
                                <w:lang w:eastAsia="es-CO"/>
                              </w:rPr>
                            </w:pPr>
                          </w:p>
                          <w:p w14:paraId="6E5FDB9D" w14:textId="77777777" w:rsidR="00F93005" w:rsidRPr="00F93005" w:rsidRDefault="00F93005" w:rsidP="00F93005">
                            <w:pPr>
                              <w:spacing w:line="276" w:lineRule="auto"/>
                              <w:jc w:val="both"/>
                              <w:rPr>
                                <w:rFonts w:ascii="Arial" w:eastAsiaTheme="minorEastAsia" w:hAnsi="Arial" w:cs="Arial"/>
                                <w:b/>
                                <w:color w:val="101010"/>
                                <w:sz w:val="20"/>
                                <w:szCs w:val="20"/>
                                <w:lang w:val="es-ES" w:eastAsia="es-ES"/>
                              </w:rPr>
                            </w:pPr>
                            <w:r w:rsidRPr="00F93005">
                              <w:rPr>
                                <w:rFonts w:ascii="Arial" w:eastAsiaTheme="minorEastAsia" w:hAnsi="Arial" w:cs="Arial"/>
                                <w:b/>
                                <w:color w:val="101010"/>
                                <w:sz w:val="20"/>
                                <w:szCs w:val="20"/>
                                <w:lang w:val="es-ES" w:eastAsia="es-ES"/>
                              </w:rPr>
                              <w:t>La predicción de una fractura no se debe dejar al azar, existe herramientas, como el FRAX, que aun sin contar con una DMO nos dan pautas para iniciar una intervención terapéutica; algunos pacientes por su carga genética, pueden cursar con osteoporosis a pesar de no tener ningún factor de riesgo, por lo que en este grupo la DMO cobra mayor importancia; una vez se presente la fractura, debe descartarse patologías asociadas, para lo cual contamos con paraclínicos de primer nivel y en un porcentaje menor se requerirá exámenes especiales.</w:t>
                            </w:r>
                          </w:p>
                          <w:p w14:paraId="6E7916D6" w14:textId="77777777" w:rsidR="00F93005" w:rsidRPr="00F93005" w:rsidRDefault="00F93005" w:rsidP="00F93005">
                            <w:pPr>
                              <w:spacing w:line="276" w:lineRule="auto"/>
                              <w:jc w:val="both"/>
                              <w:rPr>
                                <w:rFonts w:ascii="Arial" w:eastAsiaTheme="minorEastAsia" w:hAnsi="Arial" w:cs="Arial"/>
                                <w:b/>
                                <w:color w:val="101010"/>
                                <w:sz w:val="20"/>
                                <w:szCs w:val="20"/>
                                <w:lang w:val="es-ES" w:eastAsia="es-ES"/>
                              </w:rPr>
                            </w:pPr>
                            <w:r w:rsidRPr="00F93005">
                              <w:rPr>
                                <w:rFonts w:ascii="Arial" w:eastAsiaTheme="minorEastAsia" w:hAnsi="Arial" w:cs="Arial"/>
                                <w:b/>
                                <w:color w:val="101010"/>
                                <w:sz w:val="20"/>
                                <w:szCs w:val="20"/>
                                <w:lang w:val="es-ES" w:eastAsia="es-ES"/>
                              </w:rPr>
                              <w:t xml:space="preserve">Las medidas terapéuticas, incluyen medicamentos </w:t>
                            </w:r>
                            <w:proofErr w:type="spellStart"/>
                            <w:r w:rsidRPr="00F93005">
                              <w:rPr>
                                <w:rFonts w:ascii="Arial" w:eastAsiaTheme="minorEastAsia" w:hAnsi="Arial" w:cs="Arial"/>
                                <w:b/>
                                <w:color w:val="101010"/>
                                <w:sz w:val="20"/>
                                <w:szCs w:val="20"/>
                                <w:lang w:val="es-ES" w:eastAsia="es-ES"/>
                              </w:rPr>
                              <w:t>antiosteoporoticos</w:t>
                            </w:r>
                            <w:proofErr w:type="spellEnd"/>
                            <w:r w:rsidRPr="00F93005">
                              <w:rPr>
                                <w:rFonts w:ascii="Arial" w:eastAsiaTheme="minorEastAsia" w:hAnsi="Arial" w:cs="Arial"/>
                                <w:b/>
                                <w:color w:val="101010"/>
                                <w:sz w:val="20"/>
                                <w:szCs w:val="20"/>
                                <w:lang w:val="es-ES" w:eastAsia="es-ES"/>
                              </w:rPr>
                              <w:t xml:space="preserve"> y la rehabilitación </w:t>
                            </w:r>
                            <w:proofErr w:type="spellStart"/>
                            <w:r w:rsidRPr="00F93005">
                              <w:rPr>
                                <w:rFonts w:ascii="Arial" w:eastAsiaTheme="minorEastAsia" w:hAnsi="Arial" w:cs="Arial"/>
                                <w:b/>
                                <w:color w:val="101010"/>
                                <w:sz w:val="20"/>
                                <w:szCs w:val="20"/>
                                <w:lang w:val="es-ES" w:eastAsia="es-ES"/>
                              </w:rPr>
                              <w:t>osteo</w:t>
                            </w:r>
                            <w:proofErr w:type="spellEnd"/>
                            <w:r w:rsidRPr="00F93005">
                              <w:rPr>
                                <w:rFonts w:ascii="Arial" w:eastAsiaTheme="minorEastAsia" w:hAnsi="Arial" w:cs="Arial"/>
                                <w:b/>
                                <w:color w:val="101010"/>
                                <w:sz w:val="20"/>
                                <w:szCs w:val="20"/>
                                <w:lang w:val="es-ES" w:eastAsia="es-ES"/>
                              </w:rPr>
                              <w:t>-muscular; sin embargo en un grupo de pacientes de muy alto riesgo, la búsqueda de fracturas, especialmente las vertebrales, debe hacerse de manera activa, con los rayos X de columna lateral; este grupo de pacientes son los que mayor riesgo tienen de presentar una nueva fractura.</w:t>
                            </w:r>
                          </w:p>
                          <w:p w14:paraId="0575B679" w14:textId="77777777" w:rsidR="00F93005" w:rsidRPr="00362AAC" w:rsidRDefault="00F93005" w:rsidP="00F93005">
                            <w:pPr>
                              <w:spacing w:line="276" w:lineRule="auto"/>
                              <w:ind w:left="432"/>
                              <w:jc w:val="both"/>
                              <w:rPr>
                                <w:rFonts w:ascii="Arial" w:hAnsi="Arial" w:cs="Arial"/>
                                <w:color w:val="222222"/>
                                <w:sz w:val="19"/>
                                <w:szCs w:val="19"/>
                                <w:lang w:eastAsia="es-C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0303A326" id="_x0000_t202" coordsize="21600,21600" o:spt="202" path="m,l,21600r21600,l21600,xe">
                <v:stroke joinstyle="miter"/>
                <v:path gradientshapeok="t" o:connecttype="rect"/>
              </v:shapetype>
              <v:shape id="Cuadro de texto 1" o:spid="_x0000_s1026" type="#_x0000_t202" style="position:absolute;left:0;text-align:left;margin-left:389.05pt;margin-top:6.75pt;width:440.25pt;height:214.6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" fillcolor="#bdd7ee" strokeweight="1.25pt">
                <v:textbox>
                  <w:txbxContent>
                    <w:p w14:paraId="3ABB9F56" w14:textId="77777777" w:rsidR="00F93005" w:rsidRDefault="00F93005" w:rsidP="00F93005">
                      <w:pPr>
                        <w:jc w:val="center"/>
                        <w:rPr>
                          <w:rFonts w:ascii="Arial" w:hAnsi="Arial" w:cs="Arial"/>
                          <w:color w:val="222222"/>
                          <w:sz w:val="19"/>
                          <w:szCs w:val="19"/>
                          <w:lang w:eastAsia="es-CO"/>
                        </w:rPr>
                      </w:pPr>
                    </w:p>
                    <w:p w14:paraId="6E5FDB9D" w14:textId="77777777" w:rsidR="00F93005" w:rsidRPr="00F93005" w:rsidRDefault="00F93005" w:rsidP="00F93005">
                      <w:pPr>
                        <w:spacing w:line="276" w:lineRule="auto"/>
                        <w:jc w:val="both"/>
                        <w:rPr>
                          <w:rFonts w:ascii="Arial" w:eastAsiaTheme="minorEastAsia" w:hAnsi="Arial" w:cs="Arial"/>
                          <w:b/>
                          <w:color w:val="101010"/>
                          <w:sz w:val="20"/>
                          <w:szCs w:val="20"/>
                          <w:lang w:val="es-ES" w:eastAsia="es-ES"/>
                        </w:rPr>
                      </w:pPr>
                      <w:r w:rsidRPr="00F93005">
                        <w:rPr>
                          <w:rFonts w:ascii="Arial" w:eastAsiaTheme="minorEastAsia" w:hAnsi="Arial" w:cs="Arial"/>
                          <w:b/>
                          <w:color w:val="101010"/>
                          <w:sz w:val="20"/>
                          <w:szCs w:val="20"/>
                          <w:lang w:val="es-ES" w:eastAsia="es-ES"/>
                        </w:rPr>
                        <w:t>La predicción de una fractura no se debe dejar al azar, existe herramientas, como el FRAX, que aun sin contar con una DMO nos dan pautas para iniciar una intervención terapéutica; algunos pacientes por su carga genética, pueden cursar con osteoporosis a pesar de no tener ningún factor de riesgo, por lo que en este grupo la DMO cobra mayor importancia; una vez se presente la fractura, debe descartarse patologías asociadas, para lo cual contamos con paraclínicos de primer nivel y en un porcentaje menor se requerirá exámenes especiales.</w:t>
                      </w:r>
                    </w:p>
                    <w:p w14:paraId="6E7916D6" w14:textId="77777777" w:rsidR="00F93005" w:rsidRPr="00F93005" w:rsidRDefault="00F93005" w:rsidP="00F93005">
                      <w:pPr>
                        <w:spacing w:line="276" w:lineRule="auto"/>
                        <w:jc w:val="both"/>
                        <w:rPr>
                          <w:rFonts w:ascii="Arial" w:eastAsiaTheme="minorEastAsia" w:hAnsi="Arial" w:cs="Arial"/>
                          <w:b/>
                          <w:color w:val="101010"/>
                          <w:sz w:val="20"/>
                          <w:szCs w:val="20"/>
                          <w:lang w:val="es-ES" w:eastAsia="es-ES"/>
                        </w:rPr>
                      </w:pPr>
                      <w:r w:rsidRPr="00F93005">
                        <w:rPr>
                          <w:rFonts w:ascii="Arial" w:eastAsiaTheme="minorEastAsia" w:hAnsi="Arial" w:cs="Arial"/>
                          <w:b/>
                          <w:color w:val="101010"/>
                          <w:sz w:val="20"/>
                          <w:szCs w:val="20"/>
                          <w:lang w:val="es-ES" w:eastAsia="es-ES"/>
                        </w:rPr>
                        <w:t xml:space="preserve">Las medidas terapéuticas, incluyen medicamentos </w:t>
                      </w:r>
                      <w:proofErr w:type="spellStart"/>
                      <w:r w:rsidRPr="00F93005">
                        <w:rPr>
                          <w:rFonts w:ascii="Arial" w:eastAsiaTheme="minorEastAsia" w:hAnsi="Arial" w:cs="Arial"/>
                          <w:b/>
                          <w:color w:val="101010"/>
                          <w:sz w:val="20"/>
                          <w:szCs w:val="20"/>
                          <w:lang w:val="es-ES" w:eastAsia="es-ES"/>
                        </w:rPr>
                        <w:t>antiosteoporoticos</w:t>
                      </w:r>
                      <w:proofErr w:type="spellEnd"/>
                      <w:r w:rsidRPr="00F93005">
                        <w:rPr>
                          <w:rFonts w:ascii="Arial" w:eastAsiaTheme="minorEastAsia" w:hAnsi="Arial" w:cs="Arial"/>
                          <w:b/>
                          <w:color w:val="101010"/>
                          <w:sz w:val="20"/>
                          <w:szCs w:val="20"/>
                          <w:lang w:val="es-ES" w:eastAsia="es-ES"/>
                        </w:rPr>
                        <w:t xml:space="preserve"> y la rehabilitación </w:t>
                      </w:r>
                      <w:proofErr w:type="spellStart"/>
                      <w:r w:rsidRPr="00F93005">
                        <w:rPr>
                          <w:rFonts w:ascii="Arial" w:eastAsiaTheme="minorEastAsia" w:hAnsi="Arial" w:cs="Arial"/>
                          <w:b/>
                          <w:color w:val="101010"/>
                          <w:sz w:val="20"/>
                          <w:szCs w:val="20"/>
                          <w:lang w:val="es-ES" w:eastAsia="es-ES"/>
                        </w:rPr>
                        <w:t>osteo</w:t>
                      </w:r>
                      <w:proofErr w:type="spellEnd"/>
                      <w:r w:rsidRPr="00F93005">
                        <w:rPr>
                          <w:rFonts w:ascii="Arial" w:eastAsiaTheme="minorEastAsia" w:hAnsi="Arial" w:cs="Arial"/>
                          <w:b/>
                          <w:color w:val="101010"/>
                          <w:sz w:val="20"/>
                          <w:szCs w:val="20"/>
                          <w:lang w:val="es-ES" w:eastAsia="es-ES"/>
                        </w:rPr>
                        <w:t>-muscular; sin embargo en un grupo de pacientes de muy alto riesgo, la búsqueda de fracturas, especialmente las vertebrales, debe hacerse de manera activa, con los rayos X de columna lateral; este grupo de pacientes son los que mayor riesgo tienen de presentar una nueva fractura.</w:t>
                      </w:r>
                    </w:p>
                    <w:p w14:paraId="0575B679" w14:textId="77777777" w:rsidR="00F93005" w:rsidRPr="00362AAC" w:rsidRDefault="00F93005" w:rsidP="00F93005">
                      <w:pPr>
                        <w:spacing w:line="276" w:lineRule="auto"/>
                        <w:ind w:left="432"/>
                        <w:jc w:val="both"/>
                        <w:rPr>
                          <w:rFonts w:ascii="Arial" w:hAnsi="Arial" w:cs="Arial"/>
                          <w:color w:val="222222"/>
                          <w:sz w:val="19"/>
                          <w:szCs w:val="19"/>
                          <w:lang w:eastAsia="es-CO"/>
                        </w:rPr>
                      </w:pPr>
                    </w:p>
                  </w:txbxContent>
                </v:textbox>
                <w10:wrap anchorx="margin"/>
              </v:shape>
            </w:pict>
          </mc:Fallback>
        </mc:AlternateContent>
      </w:r>
    </w:p>
    <w:p w14:paraId="2055E1C6" w14:textId="1C51EFE3" w:rsidR="005C6DC0" w:rsidRPr="00976671" w:rsidRDefault="005C6DC0" w:rsidP="00234C39">
      <w:pPr>
        <w:spacing w:line="276" w:lineRule="auto"/>
        <w:jc w:val="both"/>
        <w:rPr>
          <w:rFonts w:ascii="Arial" w:eastAsiaTheme="minorEastAsia" w:hAnsi="Arial" w:cs="Arial"/>
          <w:color w:val="101010"/>
          <w:sz w:val="20"/>
          <w:szCs w:val="20"/>
          <w:lang w:val="es-ES" w:eastAsia="es-ES"/>
        </w:rPr>
      </w:pPr>
    </w:p>
    <w:p w14:paraId="1B6BDCCF" w14:textId="77777777" w:rsidR="00F93005" w:rsidRPr="00976671" w:rsidRDefault="00F93005" w:rsidP="00234C39">
      <w:pPr>
        <w:spacing w:line="276" w:lineRule="auto"/>
        <w:jc w:val="both"/>
        <w:rPr>
          <w:rFonts w:ascii="Arial" w:eastAsiaTheme="minorEastAsia" w:hAnsi="Arial" w:cs="Arial"/>
          <w:color w:val="101010"/>
          <w:sz w:val="20"/>
          <w:szCs w:val="20"/>
          <w:lang w:val="es-ES" w:eastAsia="es-ES"/>
        </w:rPr>
      </w:pPr>
    </w:p>
    <w:p w14:paraId="1402B5E9" w14:textId="77777777" w:rsidR="00F93005" w:rsidRPr="00976671" w:rsidRDefault="00F93005" w:rsidP="00234C39">
      <w:pPr>
        <w:spacing w:line="276" w:lineRule="auto"/>
        <w:jc w:val="both"/>
        <w:rPr>
          <w:rFonts w:ascii="Arial" w:eastAsiaTheme="minorEastAsia" w:hAnsi="Arial" w:cs="Arial"/>
          <w:color w:val="101010"/>
          <w:sz w:val="20"/>
          <w:szCs w:val="20"/>
          <w:lang w:val="es-ES" w:eastAsia="es-ES"/>
        </w:rPr>
      </w:pPr>
    </w:p>
    <w:p w14:paraId="68616982" w14:textId="77777777" w:rsidR="00F93005" w:rsidRPr="00976671" w:rsidRDefault="00F93005" w:rsidP="00234C39">
      <w:pPr>
        <w:spacing w:line="276" w:lineRule="auto"/>
        <w:jc w:val="both"/>
        <w:rPr>
          <w:rFonts w:ascii="Arial" w:eastAsiaTheme="minorEastAsia" w:hAnsi="Arial" w:cs="Arial"/>
          <w:color w:val="101010"/>
          <w:sz w:val="20"/>
          <w:szCs w:val="20"/>
          <w:lang w:val="es-ES" w:eastAsia="es-ES"/>
        </w:rPr>
      </w:pPr>
    </w:p>
    <w:p w14:paraId="52C06A52" w14:textId="77777777" w:rsidR="00F93005" w:rsidRPr="00976671" w:rsidRDefault="00F93005" w:rsidP="00234C39">
      <w:pPr>
        <w:spacing w:line="276" w:lineRule="auto"/>
        <w:jc w:val="both"/>
        <w:rPr>
          <w:rFonts w:ascii="Arial" w:eastAsiaTheme="minorEastAsia" w:hAnsi="Arial" w:cs="Arial"/>
          <w:color w:val="101010"/>
          <w:sz w:val="20"/>
          <w:szCs w:val="20"/>
          <w:lang w:val="es-ES" w:eastAsia="es-ES"/>
        </w:rPr>
      </w:pPr>
    </w:p>
    <w:p w14:paraId="470974C6" w14:textId="77777777" w:rsidR="00F93005" w:rsidRPr="00976671" w:rsidRDefault="00F93005" w:rsidP="00234C39">
      <w:pPr>
        <w:spacing w:line="276" w:lineRule="auto"/>
        <w:jc w:val="both"/>
        <w:rPr>
          <w:rFonts w:ascii="Arial" w:eastAsiaTheme="minorEastAsia" w:hAnsi="Arial" w:cs="Arial"/>
          <w:color w:val="101010"/>
          <w:sz w:val="20"/>
          <w:szCs w:val="20"/>
          <w:lang w:val="es-ES" w:eastAsia="es-ES"/>
        </w:rPr>
      </w:pPr>
    </w:p>
    <w:p w14:paraId="216D7C28" w14:textId="49253653" w:rsidR="00F93005" w:rsidRPr="00976671" w:rsidRDefault="00F93005" w:rsidP="00234C39">
      <w:pPr>
        <w:spacing w:line="276" w:lineRule="auto"/>
        <w:jc w:val="both"/>
        <w:rPr>
          <w:rFonts w:ascii="Arial" w:eastAsiaTheme="minorEastAsia" w:hAnsi="Arial" w:cs="Arial"/>
          <w:color w:val="101010"/>
          <w:sz w:val="20"/>
          <w:szCs w:val="20"/>
          <w:lang w:val="es-ES" w:eastAsia="es-ES"/>
        </w:rPr>
      </w:pPr>
    </w:p>
    <w:p w14:paraId="7012B0C9" w14:textId="77777777" w:rsidR="00F93005" w:rsidRPr="00976671" w:rsidRDefault="00F93005" w:rsidP="00234C39">
      <w:pPr>
        <w:spacing w:line="276" w:lineRule="auto"/>
        <w:jc w:val="both"/>
        <w:rPr>
          <w:rFonts w:ascii="Arial" w:eastAsiaTheme="minorEastAsia" w:hAnsi="Arial" w:cs="Arial"/>
          <w:color w:val="101010"/>
          <w:sz w:val="20"/>
          <w:szCs w:val="20"/>
          <w:lang w:val="es-ES" w:eastAsia="es-ES"/>
        </w:rPr>
      </w:pPr>
    </w:p>
    <w:p w14:paraId="1815069C" w14:textId="77777777" w:rsidR="00F93005" w:rsidRPr="00976671" w:rsidRDefault="00F93005" w:rsidP="00234C39">
      <w:pPr>
        <w:spacing w:line="276" w:lineRule="auto"/>
        <w:jc w:val="both"/>
        <w:rPr>
          <w:rFonts w:ascii="Arial" w:eastAsiaTheme="minorEastAsia" w:hAnsi="Arial" w:cs="Arial"/>
          <w:color w:val="101010"/>
          <w:sz w:val="20"/>
          <w:szCs w:val="20"/>
          <w:lang w:val="es-ES" w:eastAsia="es-ES"/>
        </w:rPr>
      </w:pPr>
    </w:p>
    <w:p w14:paraId="79AB3E40" w14:textId="77777777" w:rsidR="00F93005" w:rsidRPr="00976671" w:rsidRDefault="00F93005" w:rsidP="00234C39">
      <w:pPr>
        <w:spacing w:line="276" w:lineRule="auto"/>
        <w:jc w:val="both"/>
        <w:rPr>
          <w:rFonts w:ascii="Arial" w:eastAsiaTheme="minorEastAsia" w:hAnsi="Arial" w:cs="Arial"/>
          <w:color w:val="101010"/>
          <w:sz w:val="20"/>
          <w:szCs w:val="20"/>
          <w:lang w:val="es-ES" w:eastAsia="es-ES"/>
        </w:rPr>
      </w:pPr>
    </w:p>
    <w:p w14:paraId="39800434" w14:textId="77777777" w:rsidR="00F93005" w:rsidRPr="00976671" w:rsidRDefault="00F93005" w:rsidP="00234C39">
      <w:pPr>
        <w:spacing w:line="276" w:lineRule="auto"/>
        <w:jc w:val="both"/>
        <w:rPr>
          <w:rFonts w:ascii="Arial" w:eastAsiaTheme="minorEastAsia" w:hAnsi="Arial" w:cs="Arial"/>
          <w:color w:val="101010"/>
          <w:sz w:val="20"/>
          <w:szCs w:val="20"/>
          <w:lang w:val="es-ES" w:eastAsia="es-ES"/>
        </w:rPr>
      </w:pPr>
    </w:p>
    <w:p w14:paraId="19C33DE7" w14:textId="59A05423" w:rsidR="005C6DC0" w:rsidRPr="00976671" w:rsidRDefault="00F93005" w:rsidP="00F93005">
      <w:pPr>
        <w:pStyle w:val="Prrafodelista"/>
        <w:numPr>
          <w:ilvl w:val="0"/>
          <w:numId w:val="41"/>
        </w:numPr>
        <w:spacing w:line="276" w:lineRule="auto"/>
        <w:jc w:val="both"/>
        <w:rPr>
          <w:rFonts w:ascii="Arial" w:eastAsiaTheme="minorEastAsia" w:hAnsi="Arial" w:cs="Arial"/>
          <w:b/>
          <w:color w:val="101010"/>
          <w:sz w:val="24"/>
          <w:szCs w:val="20"/>
          <w:lang w:val="es-ES" w:eastAsia="es-ES"/>
        </w:rPr>
      </w:pPr>
      <w:r w:rsidRPr="00976671">
        <w:rPr>
          <w:rFonts w:ascii="Arial" w:eastAsiaTheme="minorEastAsia" w:hAnsi="Arial" w:cs="Arial"/>
          <w:b/>
          <w:color w:val="101010"/>
          <w:sz w:val="24"/>
          <w:szCs w:val="20"/>
          <w:lang w:val="es-ES" w:eastAsia="es-ES"/>
        </w:rPr>
        <w:t>Bibliografía</w:t>
      </w:r>
    </w:p>
    <w:p w14:paraId="074192D8" w14:textId="77777777" w:rsidR="00976671" w:rsidRPr="00976671" w:rsidRDefault="00976671" w:rsidP="00976671">
      <w:pPr>
        <w:pStyle w:val="Prrafodelista"/>
        <w:widowControl w:val="0"/>
        <w:tabs>
          <w:tab w:val="left" w:pos="220"/>
          <w:tab w:val="left" w:pos="720"/>
        </w:tabs>
        <w:autoSpaceDE w:val="0"/>
        <w:autoSpaceDN w:val="0"/>
        <w:adjustRightInd w:val="0"/>
        <w:spacing w:after="213" w:line="276" w:lineRule="auto"/>
        <w:ind w:left="360"/>
        <w:jc w:val="both"/>
        <w:rPr>
          <w:rFonts w:ascii="Arial" w:hAnsi="Arial" w:cs="Arial"/>
          <w:color w:val="FF0000"/>
          <w:sz w:val="20"/>
          <w:szCs w:val="20"/>
          <w:lang w:val="es-ES"/>
        </w:rPr>
      </w:pPr>
    </w:p>
    <w:p w14:paraId="4B210F77" w14:textId="77777777" w:rsidR="00976671" w:rsidRPr="00976671" w:rsidRDefault="00976671" w:rsidP="00976671">
      <w:pPr>
        <w:pStyle w:val="Prrafodelista"/>
        <w:widowControl w:val="0"/>
        <w:tabs>
          <w:tab w:val="left" w:pos="220"/>
          <w:tab w:val="left" w:pos="720"/>
        </w:tabs>
        <w:autoSpaceDE w:val="0"/>
        <w:autoSpaceDN w:val="0"/>
        <w:adjustRightInd w:val="0"/>
        <w:spacing w:after="213" w:line="276" w:lineRule="auto"/>
        <w:ind w:left="1080"/>
        <w:jc w:val="both"/>
        <w:rPr>
          <w:rFonts w:ascii="Arial" w:hAnsi="Arial" w:cs="Arial"/>
          <w:i/>
          <w:sz w:val="20"/>
          <w:szCs w:val="20"/>
        </w:rPr>
      </w:pPr>
    </w:p>
    <w:p w14:paraId="6A489B33" w14:textId="60882B25" w:rsidR="00976671" w:rsidRPr="00FE13EF" w:rsidRDefault="00976671" w:rsidP="00976671">
      <w:pPr>
        <w:pStyle w:val="Prrafodelista"/>
        <w:widowControl w:val="0"/>
        <w:numPr>
          <w:ilvl w:val="0"/>
          <w:numId w:val="42"/>
        </w:numPr>
        <w:tabs>
          <w:tab w:val="left" w:pos="220"/>
          <w:tab w:val="left" w:pos="720"/>
        </w:tabs>
        <w:autoSpaceDE w:val="0"/>
        <w:autoSpaceDN w:val="0"/>
        <w:adjustRightInd w:val="0"/>
        <w:spacing w:after="213" w:line="276" w:lineRule="auto"/>
        <w:jc w:val="both"/>
        <w:rPr>
          <w:rFonts w:ascii="Arial" w:hAnsi="Arial" w:cs="Arial"/>
          <w:iCs/>
          <w:sz w:val="20"/>
          <w:szCs w:val="20"/>
          <w:shd w:val="clear" w:color="auto" w:fill="FFFFFF"/>
          <w:lang w:val="en-US"/>
        </w:rPr>
      </w:pPr>
      <w:proofErr w:type="spellStart"/>
      <w:r w:rsidRPr="00FE13EF">
        <w:rPr>
          <w:rFonts w:ascii="Arial" w:hAnsi="Arial" w:cs="Arial"/>
          <w:sz w:val="20"/>
          <w:szCs w:val="20"/>
          <w:shd w:val="clear" w:color="auto" w:fill="FFFFFF"/>
          <w:lang w:val="en-US"/>
        </w:rPr>
        <w:t>Bliuc</w:t>
      </w:r>
      <w:proofErr w:type="spellEnd"/>
      <w:r w:rsidRPr="00FE13EF">
        <w:rPr>
          <w:rFonts w:ascii="Arial" w:hAnsi="Arial" w:cs="Arial"/>
          <w:sz w:val="20"/>
          <w:szCs w:val="20"/>
          <w:shd w:val="clear" w:color="auto" w:fill="FFFFFF"/>
          <w:lang w:val="en-US"/>
        </w:rPr>
        <w:t>, D. (2009). </w:t>
      </w:r>
      <w:r w:rsidRPr="00FE13EF">
        <w:rPr>
          <w:rFonts w:ascii="Arial" w:hAnsi="Arial" w:cs="Arial"/>
          <w:iCs/>
          <w:sz w:val="20"/>
          <w:szCs w:val="20"/>
          <w:shd w:val="clear" w:color="auto" w:fill="FFFFFF"/>
          <w:lang w:val="en-US"/>
        </w:rPr>
        <w:t xml:space="preserve">Mortality Risk Associated With Low-Trauma Osteoporotic Fracture and Subsequent Fracture in Men and Women. </w:t>
      </w:r>
      <w:r w:rsidRPr="00FE13EF">
        <w:rPr>
          <w:rFonts w:ascii="Arial" w:hAnsi="Arial" w:cs="Arial"/>
          <w:iCs/>
          <w:sz w:val="20"/>
          <w:szCs w:val="20"/>
          <w:shd w:val="clear" w:color="auto" w:fill="FFFFFF"/>
        </w:rPr>
        <w:t>JAMA, 301(5), 513.</w:t>
      </w:r>
      <w:r w:rsidRPr="00FE13EF">
        <w:rPr>
          <w:rFonts w:ascii="Arial" w:hAnsi="Arial" w:cs="Arial"/>
          <w:sz w:val="20"/>
          <w:szCs w:val="20"/>
          <w:shd w:val="clear" w:color="auto" w:fill="FFFFFF"/>
        </w:rPr>
        <w:t>doi:10.1001/jama.2009.50 </w:t>
      </w:r>
    </w:p>
    <w:p w14:paraId="04FF2452" w14:textId="15DFB3A3" w:rsidR="00976671" w:rsidRPr="00FE13EF" w:rsidRDefault="00976671" w:rsidP="00976671">
      <w:pPr>
        <w:pStyle w:val="Prrafodelista"/>
        <w:widowControl w:val="0"/>
        <w:numPr>
          <w:ilvl w:val="0"/>
          <w:numId w:val="42"/>
        </w:numPr>
        <w:tabs>
          <w:tab w:val="left" w:pos="220"/>
          <w:tab w:val="left" w:pos="720"/>
        </w:tabs>
        <w:autoSpaceDE w:val="0"/>
        <w:autoSpaceDN w:val="0"/>
        <w:adjustRightInd w:val="0"/>
        <w:spacing w:after="213" w:line="276" w:lineRule="auto"/>
        <w:jc w:val="both"/>
        <w:rPr>
          <w:rFonts w:ascii="Arial" w:hAnsi="Arial" w:cs="Arial"/>
          <w:sz w:val="20"/>
          <w:szCs w:val="20"/>
        </w:rPr>
      </w:pPr>
      <w:proofErr w:type="spellStart"/>
      <w:r w:rsidRPr="00FE13EF">
        <w:rPr>
          <w:rFonts w:ascii="Arial" w:hAnsi="Arial" w:cs="Arial"/>
          <w:sz w:val="20"/>
          <w:szCs w:val="20"/>
          <w:shd w:val="clear" w:color="auto" w:fill="FFFFFF"/>
          <w:lang w:val="en-US"/>
        </w:rPr>
        <w:t>Briot</w:t>
      </w:r>
      <w:proofErr w:type="spellEnd"/>
      <w:r w:rsidRPr="00FE13EF">
        <w:rPr>
          <w:rFonts w:ascii="Arial" w:hAnsi="Arial" w:cs="Arial"/>
          <w:sz w:val="20"/>
          <w:szCs w:val="20"/>
          <w:shd w:val="clear" w:color="auto" w:fill="FFFFFF"/>
          <w:lang w:val="en-US"/>
        </w:rPr>
        <w:t>, K., &amp; Roux, C. (2015). </w:t>
      </w:r>
      <w:r w:rsidRPr="00FE13EF">
        <w:rPr>
          <w:rFonts w:ascii="Arial" w:hAnsi="Arial" w:cs="Arial"/>
          <w:iCs/>
          <w:sz w:val="20"/>
          <w:szCs w:val="20"/>
          <w:shd w:val="clear" w:color="auto" w:fill="FFFFFF"/>
          <w:lang w:val="en-US"/>
        </w:rPr>
        <w:t>Glucocorticoid-induced osteoporosis. RMD Open, 1(1), e000014–e000014.</w:t>
      </w:r>
      <w:r w:rsidRPr="00FE13EF">
        <w:rPr>
          <w:rFonts w:ascii="Arial" w:hAnsi="Arial" w:cs="Arial"/>
          <w:sz w:val="20"/>
          <w:szCs w:val="20"/>
          <w:shd w:val="clear" w:color="auto" w:fill="FFFFFF"/>
          <w:lang w:val="en-US"/>
        </w:rPr>
        <w:t>doi:10.1136/rmdopen-2014-000014</w:t>
      </w:r>
    </w:p>
    <w:p w14:paraId="5E75DD35" w14:textId="77777777" w:rsidR="00976671" w:rsidRPr="00FE13EF" w:rsidRDefault="00FE13EF" w:rsidP="00976671">
      <w:pPr>
        <w:pStyle w:val="Prrafodelista"/>
        <w:widowControl w:val="0"/>
        <w:numPr>
          <w:ilvl w:val="0"/>
          <w:numId w:val="42"/>
        </w:numPr>
        <w:tabs>
          <w:tab w:val="left" w:pos="220"/>
          <w:tab w:val="left" w:pos="720"/>
        </w:tabs>
        <w:autoSpaceDE w:val="0"/>
        <w:autoSpaceDN w:val="0"/>
        <w:adjustRightInd w:val="0"/>
        <w:spacing w:after="213" w:line="276" w:lineRule="auto"/>
        <w:jc w:val="both"/>
        <w:rPr>
          <w:rFonts w:ascii="Arial" w:hAnsi="Arial" w:cs="Arial"/>
          <w:sz w:val="20"/>
          <w:szCs w:val="20"/>
          <w:lang w:val="es-ES"/>
        </w:rPr>
      </w:pPr>
      <w:hyperlink r:id="rId11" w:tgtFrame="_blank" w:history="1">
        <w:proofErr w:type="spellStart"/>
        <w:r w:rsidR="00976671" w:rsidRPr="00FE13EF">
          <w:rPr>
            <w:rFonts w:ascii="Arial" w:hAnsi="Arial" w:cs="Arial"/>
            <w:sz w:val="20"/>
            <w:szCs w:val="20"/>
            <w:shd w:val="clear" w:color="auto" w:fill="FFFFFF"/>
          </w:rPr>
          <w:t>Fink</w:t>
        </w:r>
        <w:proofErr w:type="spellEnd"/>
        <w:r w:rsidR="00976671" w:rsidRPr="00FE13EF">
          <w:rPr>
            <w:rFonts w:ascii="Arial" w:hAnsi="Arial" w:cs="Arial"/>
            <w:sz w:val="20"/>
            <w:szCs w:val="20"/>
            <w:shd w:val="clear" w:color="auto" w:fill="FFFFFF"/>
          </w:rPr>
          <w:t xml:space="preserve">, H. A., </w:t>
        </w:r>
        <w:proofErr w:type="spellStart"/>
        <w:r w:rsidR="00976671" w:rsidRPr="00FE13EF">
          <w:rPr>
            <w:rFonts w:ascii="Arial" w:hAnsi="Arial" w:cs="Arial"/>
            <w:sz w:val="20"/>
            <w:szCs w:val="20"/>
            <w:shd w:val="clear" w:color="auto" w:fill="FFFFFF"/>
          </w:rPr>
          <w:t>Milavetz</w:t>
        </w:r>
        <w:proofErr w:type="spellEnd"/>
        <w:r w:rsidR="00976671" w:rsidRPr="00FE13EF">
          <w:rPr>
            <w:rFonts w:ascii="Arial" w:hAnsi="Arial" w:cs="Arial"/>
            <w:sz w:val="20"/>
            <w:szCs w:val="20"/>
            <w:shd w:val="clear" w:color="auto" w:fill="FFFFFF"/>
          </w:rPr>
          <w:t xml:space="preserve">, D. L., Palermo, L., </w:t>
        </w:r>
        <w:proofErr w:type="spellStart"/>
        <w:r w:rsidR="00976671" w:rsidRPr="00FE13EF">
          <w:rPr>
            <w:rFonts w:ascii="Arial" w:hAnsi="Arial" w:cs="Arial"/>
            <w:sz w:val="20"/>
            <w:szCs w:val="20"/>
            <w:shd w:val="clear" w:color="auto" w:fill="FFFFFF"/>
          </w:rPr>
          <w:t>Nevitt</w:t>
        </w:r>
        <w:proofErr w:type="spellEnd"/>
        <w:r w:rsidR="00976671" w:rsidRPr="00FE13EF">
          <w:rPr>
            <w:rFonts w:ascii="Arial" w:hAnsi="Arial" w:cs="Arial"/>
            <w:sz w:val="20"/>
            <w:szCs w:val="20"/>
            <w:shd w:val="clear" w:color="auto" w:fill="FFFFFF"/>
          </w:rPr>
          <w:t xml:space="preserve">, M. C., </w:t>
        </w:r>
        <w:proofErr w:type="spellStart"/>
        <w:r w:rsidR="00976671" w:rsidRPr="00FE13EF">
          <w:rPr>
            <w:rFonts w:ascii="Arial" w:hAnsi="Arial" w:cs="Arial"/>
            <w:sz w:val="20"/>
            <w:szCs w:val="20"/>
            <w:shd w:val="clear" w:color="auto" w:fill="FFFFFF"/>
          </w:rPr>
          <w:t>Cauley</w:t>
        </w:r>
        <w:proofErr w:type="spellEnd"/>
        <w:r w:rsidR="00976671" w:rsidRPr="00FE13EF">
          <w:rPr>
            <w:rFonts w:ascii="Arial" w:hAnsi="Arial" w:cs="Arial"/>
            <w:sz w:val="20"/>
            <w:szCs w:val="20"/>
            <w:shd w:val="clear" w:color="auto" w:fill="FFFFFF"/>
          </w:rPr>
          <w:t xml:space="preserve">, J. A., </w:t>
        </w:r>
        <w:proofErr w:type="spellStart"/>
        <w:r w:rsidR="00976671" w:rsidRPr="00FE13EF">
          <w:rPr>
            <w:rFonts w:ascii="Arial" w:hAnsi="Arial" w:cs="Arial"/>
            <w:sz w:val="20"/>
            <w:szCs w:val="20"/>
            <w:shd w:val="clear" w:color="auto" w:fill="FFFFFF"/>
          </w:rPr>
          <w:t>Genant</w:t>
        </w:r>
        <w:proofErr w:type="spellEnd"/>
        <w:r w:rsidR="00976671" w:rsidRPr="00FE13EF">
          <w:rPr>
            <w:rFonts w:ascii="Arial" w:hAnsi="Arial" w:cs="Arial"/>
            <w:sz w:val="20"/>
            <w:szCs w:val="20"/>
            <w:shd w:val="clear" w:color="auto" w:fill="FFFFFF"/>
          </w:rPr>
          <w:t xml:space="preserve">, H. K., … </w:t>
        </w:r>
        <w:proofErr w:type="spellStart"/>
        <w:r w:rsidR="00976671" w:rsidRPr="00FE13EF">
          <w:rPr>
            <w:rFonts w:ascii="Arial" w:hAnsi="Arial" w:cs="Arial"/>
            <w:sz w:val="20"/>
            <w:szCs w:val="20"/>
            <w:shd w:val="clear" w:color="auto" w:fill="FFFFFF"/>
          </w:rPr>
          <w:t>Ensrud</w:t>
        </w:r>
        <w:proofErr w:type="spellEnd"/>
        <w:r w:rsidR="00976671" w:rsidRPr="00FE13EF">
          <w:rPr>
            <w:rFonts w:ascii="Arial" w:hAnsi="Arial" w:cs="Arial"/>
            <w:sz w:val="20"/>
            <w:szCs w:val="20"/>
            <w:shd w:val="clear" w:color="auto" w:fill="FFFFFF"/>
          </w:rPr>
          <w:t>, K. E. (2005). </w:t>
        </w:r>
        <w:r w:rsidR="00976671" w:rsidRPr="00FE13EF">
          <w:rPr>
            <w:rFonts w:ascii="Arial" w:hAnsi="Arial" w:cs="Arial"/>
            <w:iCs/>
            <w:sz w:val="20"/>
            <w:szCs w:val="20"/>
            <w:shd w:val="clear" w:color="auto" w:fill="FFFFFF"/>
            <w:lang w:val="en-US"/>
          </w:rPr>
          <w:t>What Proportion of Incident Radiographic Vertebral Deformities Is Clinically Diagnosed and Vice Versa? Journal of Bone and Mineral Research, 20(7), 1216–1222.</w:t>
        </w:r>
        <w:r w:rsidR="00976671" w:rsidRPr="00FE13EF">
          <w:rPr>
            <w:rFonts w:ascii="Arial" w:hAnsi="Arial" w:cs="Arial"/>
            <w:sz w:val="20"/>
            <w:szCs w:val="20"/>
            <w:shd w:val="clear" w:color="auto" w:fill="FFFFFF"/>
            <w:lang w:val="en-US"/>
          </w:rPr>
          <w:t> doi:10.1359/jbmr.050314 </w:t>
        </w:r>
      </w:hyperlink>
    </w:p>
    <w:p w14:paraId="1D05C544" w14:textId="77777777" w:rsidR="00976671" w:rsidRPr="00FE13EF" w:rsidRDefault="00976671" w:rsidP="00976671">
      <w:pPr>
        <w:pStyle w:val="Prrafodelista"/>
        <w:widowControl w:val="0"/>
        <w:numPr>
          <w:ilvl w:val="0"/>
          <w:numId w:val="42"/>
        </w:numPr>
        <w:tabs>
          <w:tab w:val="left" w:pos="220"/>
          <w:tab w:val="left" w:pos="720"/>
        </w:tabs>
        <w:autoSpaceDE w:val="0"/>
        <w:autoSpaceDN w:val="0"/>
        <w:adjustRightInd w:val="0"/>
        <w:spacing w:after="213" w:line="276" w:lineRule="auto"/>
        <w:jc w:val="both"/>
        <w:rPr>
          <w:rFonts w:ascii="Arial" w:hAnsi="Arial" w:cs="Arial"/>
          <w:sz w:val="20"/>
          <w:szCs w:val="20"/>
          <w:lang w:val="en-US"/>
        </w:rPr>
      </w:pPr>
      <w:proofErr w:type="spellStart"/>
      <w:r w:rsidRPr="00FE13EF">
        <w:rPr>
          <w:rFonts w:ascii="Arial" w:hAnsi="Arial" w:cs="Arial"/>
          <w:sz w:val="20"/>
          <w:szCs w:val="20"/>
          <w:shd w:val="clear" w:color="auto" w:fill="FFFFFF"/>
          <w:lang w:val="en-US"/>
        </w:rPr>
        <w:t>Genant</w:t>
      </w:r>
      <w:proofErr w:type="spellEnd"/>
      <w:r w:rsidRPr="00FE13EF">
        <w:rPr>
          <w:rFonts w:ascii="Arial" w:hAnsi="Arial" w:cs="Arial"/>
          <w:sz w:val="20"/>
          <w:szCs w:val="20"/>
          <w:shd w:val="clear" w:color="auto" w:fill="FFFFFF"/>
          <w:lang w:val="en-US"/>
        </w:rPr>
        <w:t xml:space="preserve">, H. K., Wu, C. Y., van </w:t>
      </w:r>
      <w:proofErr w:type="spellStart"/>
      <w:r w:rsidRPr="00FE13EF">
        <w:rPr>
          <w:rFonts w:ascii="Arial" w:hAnsi="Arial" w:cs="Arial"/>
          <w:sz w:val="20"/>
          <w:szCs w:val="20"/>
          <w:shd w:val="clear" w:color="auto" w:fill="FFFFFF"/>
          <w:lang w:val="en-US"/>
        </w:rPr>
        <w:t>Kuijk</w:t>
      </w:r>
      <w:proofErr w:type="spellEnd"/>
      <w:r w:rsidRPr="00FE13EF">
        <w:rPr>
          <w:rFonts w:ascii="Arial" w:hAnsi="Arial" w:cs="Arial"/>
          <w:sz w:val="20"/>
          <w:szCs w:val="20"/>
          <w:shd w:val="clear" w:color="auto" w:fill="FFFFFF"/>
          <w:lang w:val="en-US"/>
        </w:rPr>
        <w:t xml:space="preserve">, C., &amp; </w:t>
      </w:r>
      <w:proofErr w:type="spellStart"/>
      <w:r w:rsidRPr="00FE13EF">
        <w:rPr>
          <w:rFonts w:ascii="Arial" w:hAnsi="Arial" w:cs="Arial"/>
          <w:sz w:val="20"/>
          <w:szCs w:val="20"/>
          <w:shd w:val="clear" w:color="auto" w:fill="FFFFFF"/>
          <w:lang w:val="en-US"/>
        </w:rPr>
        <w:t>Nevitt</w:t>
      </w:r>
      <w:proofErr w:type="spellEnd"/>
      <w:r w:rsidRPr="00FE13EF">
        <w:rPr>
          <w:rFonts w:ascii="Arial" w:hAnsi="Arial" w:cs="Arial"/>
          <w:sz w:val="20"/>
          <w:szCs w:val="20"/>
          <w:shd w:val="clear" w:color="auto" w:fill="FFFFFF"/>
          <w:lang w:val="en-US"/>
        </w:rPr>
        <w:t>, M. C. (1993). </w:t>
      </w:r>
      <w:r w:rsidRPr="00FE13EF">
        <w:rPr>
          <w:rFonts w:ascii="Arial" w:hAnsi="Arial" w:cs="Arial"/>
          <w:iCs/>
          <w:sz w:val="20"/>
          <w:szCs w:val="20"/>
          <w:shd w:val="clear" w:color="auto" w:fill="FFFFFF"/>
          <w:lang w:val="en-US"/>
        </w:rPr>
        <w:t xml:space="preserve">Vertebral fracture assessment using a </w:t>
      </w:r>
      <w:proofErr w:type="spellStart"/>
      <w:r w:rsidRPr="00FE13EF">
        <w:rPr>
          <w:rFonts w:ascii="Arial" w:hAnsi="Arial" w:cs="Arial"/>
          <w:iCs/>
          <w:sz w:val="20"/>
          <w:szCs w:val="20"/>
          <w:shd w:val="clear" w:color="auto" w:fill="FFFFFF"/>
          <w:lang w:val="en-US"/>
        </w:rPr>
        <w:t>semiquantitative</w:t>
      </w:r>
      <w:proofErr w:type="spellEnd"/>
      <w:r w:rsidRPr="00FE13EF">
        <w:rPr>
          <w:rFonts w:ascii="Arial" w:hAnsi="Arial" w:cs="Arial"/>
          <w:iCs/>
          <w:sz w:val="20"/>
          <w:szCs w:val="20"/>
          <w:shd w:val="clear" w:color="auto" w:fill="FFFFFF"/>
          <w:lang w:val="en-US"/>
        </w:rPr>
        <w:t xml:space="preserve"> technique. </w:t>
      </w:r>
      <w:proofErr w:type="spellStart"/>
      <w:r w:rsidRPr="00FE13EF">
        <w:rPr>
          <w:rFonts w:ascii="Arial" w:hAnsi="Arial" w:cs="Arial"/>
          <w:iCs/>
          <w:sz w:val="20"/>
          <w:szCs w:val="20"/>
          <w:shd w:val="clear" w:color="auto" w:fill="FFFFFF"/>
        </w:rPr>
        <w:t>Journal</w:t>
      </w:r>
      <w:proofErr w:type="spellEnd"/>
      <w:r w:rsidRPr="00FE13EF">
        <w:rPr>
          <w:rFonts w:ascii="Arial" w:hAnsi="Arial" w:cs="Arial"/>
          <w:iCs/>
          <w:sz w:val="20"/>
          <w:szCs w:val="20"/>
          <w:shd w:val="clear" w:color="auto" w:fill="FFFFFF"/>
        </w:rPr>
        <w:t xml:space="preserve"> of </w:t>
      </w:r>
      <w:proofErr w:type="spellStart"/>
      <w:r w:rsidRPr="00FE13EF">
        <w:rPr>
          <w:rFonts w:ascii="Arial" w:hAnsi="Arial" w:cs="Arial"/>
          <w:iCs/>
          <w:sz w:val="20"/>
          <w:szCs w:val="20"/>
          <w:shd w:val="clear" w:color="auto" w:fill="FFFFFF"/>
        </w:rPr>
        <w:t>Bone</w:t>
      </w:r>
      <w:proofErr w:type="spellEnd"/>
      <w:r w:rsidRPr="00FE13EF">
        <w:rPr>
          <w:rFonts w:ascii="Arial" w:hAnsi="Arial" w:cs="Arial"/>
          <w:iCs/>
          <w:sz w:val="20"/>
          <w:szCs w:val="20"/>
          <w:shd w:val="clear" w:color="auto" w:fill="FFFFFF"/>
        </w:rPr>
        <w:t xml:space="preserve"> and Mineral </w:t>
      </w:r>
      <w:proofErr w:type="spellStart"/>
      <w:r w:rsidRPr="00FE13EF">
        <w:rPr>
          <w:rFonts w:ascii="Arial" w:hAnsi="Arial" w:cs="Arial"/>
          <w:iCs/>
          <w:sz w:val="20"/>
          <w:szCs w:val="20"/>
          <w:shd w:val="clear" w:color="auto" w:fill="FFFFFF"/>
        </w:rPr>
        <w:t>Research</w:t>
      </w:r>
      <w:proofErr w:type="spellEnd"/>
      <w:r w:rsidRPr="00FE13EF">
        <w:rPr>
          <w:rFonts w:ascii="Arial" w:hAnsi="Arial" w:cs="Arial"/>
          <w:iCs/>
          <w:sz w:val="20"/>
          <w:szCs w:val="20"/>
          <w:shd w:val="clear" w:color="auto" w:fill="FFFFFF"/>
        </w:rPr>
        <w:t>, 8(9), 1137–</w:t>
      </w:r>
      <w:proofErr w:type="spellStart"/>
      <w:r w:rsidRPr="00FE13EF">
        <w:rPr>
          <w:rFonts w:ascii="Arial" w:hAnsi="Arial" w:cs="Arial"/>
          <w:iCs/>
          <w:sz w:val="20"/>
          <w:szCs w:val="20"/>
          <w:shd w:val="clear" w:color="auto" w:fill="FFFFFF"/>
        </w:rPr>
        <w:t>1148.</w:t>
      </w:r>
      <w:r w:rsidRPr="00FE13EF">
        <w:rPr>
          <w:rFonts w:ascii="Arial" w:hAnsi="Arial" w:cs="Arial"/>
          <w:sz w:val="20"/>
          <w:szCs w:val="20"/>
          <w:shd w:val="clear" w:color="auto" w:fill="FFFFFF"/>
        </w:rPr>
        <w:t>doi:10.1002</w:t>
      </w:r>
      <w:proofErr w:type="spellEnd"/>
      <w:r w:rsidRPr="00FE13EF">
        <w:rPr>
          <w:rFonts w:ascii="Arial" w:hAnsi="Arial" w:cs="Arial"/>
          <w:sz w:val="20"/>
          <w:szCs w:val="20"/>
          <w:shd w:val="clear" w:color="auto" w:fill="FFFFFF"/>
        </w:rPr>
        <w:t>/</w:t>
      </w:r>
      <w:proofErr w:type="spellStart"/>
      <w:r w:rsidRPr="00FE13EF">
        <w:rPr>
          <w:rFonts w:ascii="Arial" w:hAnsi="Arial" w:cs="Arial"/>
          <w:sz w:val="20"/>
          <w:szCs w:val="20"/>
          <w:shd w:val="clear" w:color="auto" w:fill="FFFFFF"/>
        </w:rPr>
        <w:t>jbmr.5650080915</w:t>
      </w:r>
      <w:proofErr w:type="spellEnd"/>
    </w:p>
    <w:p w14:paraId="63F8008C" w14:textId="77777777" w:rsidR="00976671" w:rsidRPr="00FE13EF" w:rsidRDefault="00976671" w:rsidP="00976671">
      <w:pPr>
        <w:pStyle w:val="Prrafodelista"/>
        <w:widowControl w:val="0"/>
        <w:numPr>
          <w:ilvl w:val="0"/>
          <w:numId w:val="42"/>
        </w:numPr>
        <w:tabs>
          <w:tab w:val="left" w:pos="220"/>
          <w:tab w:val="left" w:pos="720"/>
        </w:tabs>
        <w:autoSpaceDE w:val="0"/>
        <w:autoSpaceDN w:val="0"/>
        <w:adjustRightInd w:val="0"/>
        <w:spacing w:after="213" w:line="276" w:lineRule="auto"/>
        <w:jc w:val="both"/>
        <w:rPr>
          <w:rFonts w:ascii="Arial" w:hAnsi="Arial" w:cs="Arial"/>
          <w:sz w:val="20"/>
          <w:szCs w:val="20"/>
          <w:lang w:val="en-US"/>
        </w:rPr>
      </w:pPr>
      <w:proofErr w:type="spellStart"/>
      <w:r w:rsidRPr="00FE13EF">
        <w:rPr>
          <w:rFonts w:ascii="Arial" w:hAnsi="Arial" w:cs="Arial"/>
          <w:sz w:val="20"/>
          <w:szCs w:val="20"/>
          <w:lang w:val="en-US"/>
        </w:rPr>
        <w:t>H</w:t>
      </w:r>
      <w:r w:rsidRPr="00FE13EF">
        <w:rPr>
          <w:rFonts w:ascii="Arial" w:hAnsi="Arial" w:cs="Arial"/>
          <w:sz w:val="20"/>
          <w:szCs w:val="20"/>
          <w:shd w:val="clear" w:color="auto" w:fill="FFFFFF"/>
          <w:lang w:val="en-US"/>
        </w:rPr>
        <w:t>ippisley</w:t>
      </w:r>
      <w:proofErr w:type="spellEnd"/>
      <w:r w:rsidRPr="00FE13EF">
        <w:rPr>
          <w:rFonts w:ascii="Arial" w:hAnsi="Arial" w:cs="Arial"/>
          <w:sz w:val="20"/>
          <w:szCs w:val="20"/>
          <w:shd w:val="clear" w:color="auto" w:fill="FFFFFF"/>
          <w:lang w:val="en-US"/>
        </w:rPr>
        <w:t xml:space="preserve">-Cox, J., &amp; </w:t>
      </w:r>
      <w:proofErr w:type="spellStart"/>
      <w:r w:rsidRPr="00FE13EF">
        <w:rPr>
          <w:rFonts w:ascii="Arial" w:hAnsi="Arial" w:cs="Arial"/>
          <w:sz w:val="20"/>
          <w:szCs w:val="20"/>
          <w:shd w:val="clear" w:color="auto" w:fill="FFFFFF"/>
          <w:lang w:val="en-US"/>
        </w:rPr>
        <w:t>Coupland</w:t>
      </w:r>
      <w:proofErr w:type="spellEnd"/>
      <w:r w:rsidRPr="00FE13EF">
        <w:rPr>
          <w:rFonts w:ascii="Arial" w:hAnsi="Arial" w:cs="Arial"/>
          <w:sz w:val="20"/>
          <w:szCs w:val="20"/>
          <w:shd w:val="clear" w:color="auto" w:fill="FFFFFF"/>
          <w:lang w:val="en-US"/>
        </w:rPr>
        <w:t>, C. (2009). </w:t>
      </w:r>
      <w:r w:rsidRPr="00FE13EF">
        <w:rPr>
          <w:rFonts w:ascii="Arial" w:hAnsi="Arial" w:cs="Arial"/>
          <w:iCs/>
          <w:sz w:val="20"/>
          <w:szCs w:val="20"/>
          <w:shd w:val="clear" w:color="auto" w:fill="FFFFFF"/>
          <w:lang w:val="en-US"/>
        </w:rPr>
        <w:t xml:space="preserve">Predicting risk of osteoporotic fracture in men and women in England and Wales: prospective derivation and validation of </w:t>
      </w:r>
      <w:proofErr w:type="spellStart"/>
      <w:r w:rsidRPr="00FE13EF">
        <w:rPr>
          <w:rFonts w:ascii="Arial" w:hAnsi="Arial" w:cs="Arial"/>
          <w:iCs/>
          <w:sz w:val="20"/>
          <w:szCs w:val="20"/>
          <w:shd w:val="clear" w:color="auto" w:fill="FFFFFF"/>
          <w:lang w:val="en-US"/>
        </w:rPr>
        <w:t>QFractureScores</w:t>
      </w:r>
      <w:proofErr w:type="spellEnd"/>
      <w:r w:rsidRPr="00FE13EF">
        <w:rPr>
          <w:rFonts w:ascii="Arial" w:hAnsi="Arial" w:cs="Arial"/>
          <w:iCs/>
          <w:sz w:val="20"/>
          <w:szCs w:val="20"/>
          <w:shd w:val="clear" w:color="auto" w:fill="FFFFFF"/>
          <w:lang w:val="en-US"/>
        </w:rPr>
        <w:t xml:space="preserve">. </w:t>
      </w:r>
      <w:r w:rsidRPr="00FE13EF">
        <w:rPr>
          <w:rFonts w:ascii="Arial" w:hAnsi="Arial" w:cs="Arial"/>
          <w:iCs/>
          <w:sz w:val="20"/>
          <w:szCs w:val="20"/>
          <w:shd w:val="clear" w:color="auto" w:fill="FFFFFF"/>
        </w:rPr>
        <w:t>BMJ, 339(nov19 1), b4229–b4229.</w:t>
      </w:r>
      <w:r w:rsidRPr="00FE13EF">
        <w:rPr>
          <w:rFonts w:ascii="Arial" w:hAnsi="Arial" w:cs="Arial"/>
          <w:sz w:val="20"/>
          <w:szCs w:val="20"/>
          <w:shd w:val="clear" w:color="auto" w:fill="FFFFFF"/>
        </w:rPr>
        <w:t>doi:10.1136/bmj.b4229 </w:t>
      </w:r>
    </w:p>
    <w:p w14:paraId="142B56F0" w14:textId="77777777" w:rsidR="00976671" w:rsidRPr="00FE13EF" w:rsidRDefault="00976671" w:rsidP="00976671">
      <w:pPr>
        <w:pStyle w:val="Prrafodelista"/>
        <w:widowControl w:val="0"/>
        <w:numPr>
          <w:ilvl w:val="0"/>
          <w:numId w:val="42"/>
        </w:numPr>
        <w:tabs>
          <w:tab w:val="left" w:pos="220"/>
          <w:tab w:val="left" w:pos="720"/>
        </w:tabs>
        <w:autoSpaceDE w:val="0"/>
        <w:autoSpaceDN w:val="0"/>
        <w:adjustRightInd w:val="0"/>
        <w:spacing w:after="213" w:line="276" w:lineRule="auto"/>
        <w:jc w:val="both"/>
        <w:rPr>
          <w:rFonts w:ascii="Arial" w:eastAsiaTheme="minorEastAsia" w:hAnsi="Arial" w:cs="Arial"/>
          <w:sz w:val="20"/>
          <w:szCs w:val="20"/>
          <w:lang w:val="en-US" w:eastAsia="es-ES"/>
        </w:rPr>
      </w:pPr>
      <w:proofErr w:type="spellStart"/>
      <w:r w:rsidRPr="00FE13EF">
        <w:rPr>
          <w:rFonts w:ascii="Arial" w:hAnsi="Arial" w:cs="Arial"/>
          <w:sz w:val="20"/>
          <w:szCs w:val="20"/>
          <w:shd w:val="clear" w:color="auto" w:fill="FFFFFF"/>
          <w:lang w:val="en-US"/>
        </w:rPr>
        <w:t>Huntjens</w:t>
      </w:r>
      <w:proofErr w:type="spellEnd"/>
      <w:r w:rsidRPr="00FE13EF">
        <w:rPr>
          <w:rFonts w:ascii="Arial" w:hAnsi="Arial" w:cs="Arial"/>
          <w:sz w:val="20"/>
          <w:szCs w:val="20"/>
          <w:shd w:val="clear" w:color="auto" w:fill="FFFFFF"/>
          <w:lang w:val="en-US"/>
        </w:rPr>
        <w:t xml:space="preserve">, K. M. ., van </w:t>
      </w:r>
      <w:proofErr w:type="spellStart"/>
      <w:r w:rsidRPr="00FE13EF">
        <w:rPr>
          <w:rFonts w:ascii="Arial" w:hAnsi="Arial" w:cs="Arial"/>
          <w:sz w:val="20"/>
          <w:szCs w:val="20"/>
          <w:shd w:val="clear" w:color="auto" w:fill="FFFFFF"/>
          <w:lang w:val="en-US"/>
        </w:rPr>
        <w:t>Geel</w:t>
      </w:r>
      <w:proofErr w:type="spellEnd"/>
      <w:r w:rsidRPr="00FE13EF">
        <w:rPr>
          <w:rFonts w:ascii="Arial" w:hAnsi="Arial" w:cs="Arial"/>
          <w:sz w:val="20"/>
          <w:szCs w:val="20"/>
          <w:shd w:val="clear" w:color="auto" w:fill="FFFFFF"/>
          <w:lang w:val="en-US"/>
        </w:rPr>
        <w:t xml:space="preserve">, T. A. C. M., van den Bergh, J. P. W., van </w:t>
      </w:r>
      <w:proofErr w:type="spellStart"/>
      <w:r w:rsidRPr="00FE13EF">
        <w:rPr>
          <w:rFonts w:ascii="Arial" w:hAnsi="Arial" w:cs="Arial"/>
          <w:sz w:val="20"/>
          <w:szCs w:val="20"/>
          <w:shd w:val="clear" w:color="auto" w:fill="FFFFFF"/>
          <w:lang w:val="en-US"/>
        </w:rPr>
        <w:t>Helden</w:t>
      </w:r>
      <w:proofErr w:type="spellEnd"/>
      <w:r w:rsidRPr="00FE13EF">
        <w:rPr>
          <w:rFonts w:ascii="Arial" w:hAnsi="Arial" w:cs="Arial"/>
          <w:sz w:val="20"/>
          <w:szCs w:val="20"/>
          <w:shd w:val="clear" w:color="auto" w:fill="FFFFFF"/>
          <w:lang w:val="en-US"/>
        </w:rPr>
        <w:t xml:space="preserve">, S., Willems, P., </w:t>
      </w:r>
      <w:proofErr w:type="spellStart"/>
      <w:r w:rsidRPr="00FE13EF">
        <w:rPr>
          <w:rFonts w:ascii="Arial" w:hAnsi="Arial" w:cs="Arial"/>
          <w:sz w:val="20"/>
          <w:szCs w:val="20"/>
          <w:shd w:val="clear" w:color="auto" w:fill="FFFFFF"/>
          <w:lang w:val="en-US"/>
        </w:rPr>
        <w:t>Winkens</w:t>
      </w:r>
      <w:proofErr w:type="spellEnd"/>
      <w:r w:rsidRPr="00FE13EF">
        <w:rPr>
          <w:rFonts w:ascii="Arial" w:hAnsi="Arial" w:cs="Arial"/>
          <w:sz w:val="20"/>
          <w:szCs w:val="20"/>
          <w:shd w:val="clear" w:color="auto" w:fill="FFFFFF"/>
          <w:lang w:val="en-US"/>
        </w:rPr>
        <w:t>, B., … Brink, P. R. G. (2014). </w:t>
      </w:r>
      <w:r w:rsidRPr="00FE13EF">
        <w:rPr>
          <w:rFonts w:ascii="Arial" w:hAnsi="Arial" w:cs="Arial"/>
          <w:iCs/>
          <w:sz w:val="20"/>
          <w:szCs w:val="20"/>
          <w:shd w:val="clear" w:color="auto" w:fill="FFFFFF"/>
          <w:lang w:val="en-US"/>
        </w:rPr>
        <w:t>Fracture Liaison Service. The Journal of Bone &amp; Joint Surgery, 96(4), e29.</w:t>
      </w:r>
      <w:r w:rsidRPr="00FE13EF">
        <w:rPr>
          <w:rFonts w:ascii="Arial" w:hAnsi="Arial" w:cs="Arial"/>
          <w:sz w:val="20"/>
          <w:szCs w:val="20"/>
          <w:shd w:val="clear" w:color="auto" w:fill="FFFFFF"/>
          <w:lang w:val="en-US"/>
        </w:rPr>
        <w:t>doi:10.2106/jbjs.l.00223</w:t>
      </w:r>
    </w:p>
    <w:p w14:paraId="36775232" w14:textId="77777777" w:rsidR="00976671" w:rsidRPr="00FE13EF" w:rsidRDefault="00976671" w:rsidP="00976671">
      <w:pPr>
        <w:pStyle w:val="Prrafodelista"/>
        <w:widowControl w:val="0"/>
        <w:numPr>
          <w:ilvl w:val="0"/>
          <w:numId w:val="42"/>
        </w:numPr>
        <w:tabs>
          <w:tab w:val="left" w:pos="220"/>
          <w:tab w:val="left" w:pos="720"/>
        </w:tabs>
        <w:autoSpaceDE w:val="0"/>
        <w:autoSpaceDN w:val="0"/>
        <w:adjustRightInd w:val="0"/>
        <w:spacing w:after="213" w:line="276" w:lineRule="auto"/>
        <w:jc w:val="both"/>
        <w:rPr>
          <w:rFonts w:ascii="Arial" w:eastAsiaTheme="minorEastAsia" w:hAnsi="Arial" w:cs="Arial"/>
          <w:sz w:val="20"/>
          <w:szCs w:val="20"/>
          <w:lang w:val="en-US" w:eastAsia="es-ES"/>
        </w:rPr>
      </w:pPr>
      <w:proofErr w:type="spellStart"/>
      <w:r w:rsidRPr="00FE13EF">
        <w:rPr>
          <w:rFonts w:ascii="Arial" w:hAnsi="Arial" w:cs="Arial"/>
          <w:sz w:val="20"/>
          <w:szCs w:val="20"/>
          <w:shd w:val="clear" w:color="auto" w:fill="FFFFFF"/>
          <w:lang w:val="en-US"/>
        </w:rPr>
        <w:t>Kanis</w:t>
      </w:r>
      <w:proofErr w:type="spellEnd"/>
      <w:r w:rsidRPr="00FE13EF">
        <w:rPr>
          <w:rFonts w:ascii="Arial" w:hAnsi="Arial" w:cs="Arial"/>
          <w:sz w:val="20"/>
          <w:szCs w:val="20"/>
          <w:shd w:val="clear" w:color="auto" w:fill="FFFFFF"/>
          <w:lang w:val="en-US"/>
        </w:rPr>
        <w:t xml:space="preserve">, J. A., </w:t>
      </w:r>
      <w:proofErr w:type="spellStart"/>
      <w:r w:rsidRPr="00FE13EF">
        <w:rPr>
          <w:rFonts w:ascii="Arial" w:hAnsi="Arial" w:cs="Arial"/>
          <w:sz w:val="20"/>
          <w:szCs w:val="20"/>
          <w:shd w:val="clear" w:color="auto" w:fill="FFFFFF"/>
          <w:lang w:val="en-US"/>
        </w:rPr>
        <w:t>Johnell</w:t>
      </w:r>
      <w:proofErr w:type="spellEnd"/>
      <w:r w:rsidRPr="00FE13EF">
        <w:rPr>
          <w:rFonts w:ascii="Arial" w:hAnsi="Arial" w:cs="Arial"/>
          <w:sz w:val="20"/>
          <w:szCs w:val="20"/>
          <w:shd w:val="clear" w:color="auto" w:fill="FFFFFF"/>
          <w:lang w:val="en-US"/>
        </w:rPr>
        <w:t xml:space="preserve">, O., Oden, A., De </w:t>
      </w:r>
      <w:proofErr w:type="spellStart"/>
      <w:r w:rsidRPr="00FE13EF">
        <w:rPr>
          <w:rFonts w:ascii="Arial" w:hAnsi="Arial" w:cs="Arial"/>
          <w:sz w:val="20"/>
          <w:szCs w:val="20"/>
          <w:shd w:val="clear" w:color="auto" w:fill="FFFFFF"/>
          <w:lang w:val="en-US"/>
        </w:rPr>
        <w:t>Laet</w:t>
      </w:r>
      <w:proofErr w:type="spellEnd"/>
      <w:r w:rsidRPr="00FE13EF">
        <w:rPr>
          <w:rFonts w:ascii="Arial" w:hAnsi="Arial" w:cs="Arial"/>
          <w:sz w:val="20"/>
          <w:szCs w:val="20"/>
          <w:shd w:val="clear" w:color="auto" w:fill="FFFFFF"/>
          <w:lang w:val="en-US"/>
        </w:rPr>
        <w:t xml:space="preserve">, C., Dawson, A., &amp; </w:t>
      </w:r>
      <w:proofErr w:type="spellStart"/>
      <w:r w:rsidRPr="00FE13EF">
        <w:rPr>
          <w:rFonts w:ascii="Arial" w:hAnsi="Arial" w:cs="Arial"/>
          <w:sz w:val="20"/>
          <w:szCs w:val="20"/>
          <w:shd w:val="clear" w:color="auto" w:fill="FFFFFF"/>
          <w:lang w:val="en-US"/>
        </w:rPr>
        <w:t>Jonsson</w:t>
      </w:r>
      <w:proofErr w:type="spellEnd"/>
      <w:r w:rsidRPr="00FE13EF">
        <w:rPr>
          <w:rFonts w:ascii="Arial" w:hAnsi="Arial" w:cs="Arial"/>
          <w:sz w:val="20"/>
          <w:szCs w:val="20"/>
          <w:shd w:val="clear" w:color="auto" w:fill="FFFFFF"/>
          <w:lang w:val="en-US"/>
        </w:rPr>
        <w:t>, B. (2001). </w:t>
      </w:r>
      <w:r w:rsidRPr="00FE13EF">
        <w:rPr>
          <w:rFonts w:ascii="Arial" w:hAnsi="Arial" w:cs="Arial"/>
          <w:iCs/>
          <w:sz w:val="20"/>
          <w:szCs w:val="20"/>
          <w:shd w:val="clear" w:color="auto" w:fill="FFFFFF"/>
          <w:lang w:val="en-US"/>
        </w:rPr>
        <w:t xml:space="preserve">Ten </w:t>
      </w:r>
      <w:r w:rsidRPr="00FE13EF">
        <w:rPr>
          <w:rFonts w:ascii="Arial" w:hAnsi="Arial" w:cs="Arial"/>
          <w:iCs/>
          <w:sz w:val="20"/>
          <w:szCs w:val="20"/>
          <w:shd w:val="clear" w:color="auto" w:fill="FFFFFF"/>
          <w:lang w:val="en-US"/>
        </w:rPr>
        <w:lastRenderedPageBreak/>
        <w:t xml:space="preserve">Year Probabilities of Osteoporotic Fractures According to BMD and Diagnostic Thresholds. </w:t>
      </w:r>
      <w:r w:rsidRPr="00FE13EF">
        <w:rPr>
          <w:rFonts w:ascii="Arial" w:hAnsi="Arial" w:cs="Arial"/>
          <w:iCs/>
          <w:sz w:val="20"/>
          <w:szCs w:val="20"/>
          <w:shd w:val="clear" w:color="auto" w:fill="FFFFFF"/>
        </w:rPr>
        <w:t>Osteoporosis International, 12(12), 989–995.</w:t>
      </w:r>
      <w:r w:rsidRPr="00FE13EF">
        <w:rPr>
          <w:rFonts w:ascii="Arial" w:hAnsi="Arial" w:cs="Arial"/>
          <w:sz w:val="20"/>
          <w:szCs w:val="20"/>
          <w:shd w:val="clear" w:color="auto" w:fill="FFFFFF"/>
        </w:rPr>
        <w:t>doi:10.1007/s001980170006 </w:t>
      </w:r>
    </w:p>
    <w:p w14:paraId="7C2B1B07" w14:textId="77777777" w:rsidR="00976671" w:rsidRPr="00FE13EF" w:rsidRDefault="00976671" w:rsidP="00976671">
      <w:pPr>
        <w:pStyle w:val="Prrafodelista"/>
        <w:widowControl w:val="0"/>
        <w:numPr>
          <w:ilvl w:val="0"/>
          <w:numId w:val="42"/>
        </w:numPr>
        <w:tabs>
          <w:tab w:val="left" w:pos="220"/>
          <w:tab w:val="left" w:pos="720"/>
        </w:tabs>
        <w:autoSpaceDE w:val="0"/>
        <w:autoSpaceDN w:val="0"/>
        <w:adjustRightInd w:val="0"/>
        <w:spacing w:after="213" w:line="276" w:lineRule="auto"/>
        <w:jc w:val="both"/>
        <w:rPr>
          <w:rFonts w:ascii="Arial" w:hAnsi="Arial" w:cs="Arial"/>
          <w:sz w:val="20"/>
          <w:szCs w:val="20"/>
          <w:lang w:val="en-US"/>
        </w:rPr>
      </w:pPr>
      <w:proofErr w:type="spellStart"/>
      <w:r w:rsidRPr="00FE13EF">
        <w:rPr>
          <w:rFonts w:ascii="Arial" w:hAnsi="Arial" w:cs="Arial"/>
          <w:sz w:val="20"/>
          <w:szCs w:val="20"/>
          <w:shd w:val="clear" w:color="auto" w:fill="FFFFFF"/>
          <w:lang w:val="en-US"/>
        </w:rPr>
        <w:t>Kanis</w:t>
      </w:r>
      <w:proofErr w:type="spellEnd"/>
      <w:r w:rsidRPr="00FE13EF">
        <w:rPr>
          <w:rFonts w:ascii="Arial" w:hAnsi="Arial" w:cs="Arial"/>
          <w:sz w:val="20"/>
          <w:szCs w:val="20"/>
          <w:shd w:val="clear" w:color="auto" w:fill="FFFFFF"/>
          <w:lang w:val="en-US"/>
        </w:rPr>
        <w:t xml:space="preserve">, J. A., </w:t>
      </w:r>
      <w:proofErr w:type="spellStart"/>
      <w:r w:rsidRPr="00FE13EF">
        <w:rPr>
          <w:rFonts w:ascii="Arial" w:hAnsi="Arial" w:cs="Arial"/>
          <w:sz w:val="20"/>
          <w:szCs w:val="20"/>
          <w:shd w:val="clear" w:color="auto" w:fill="FFFFFF"/>
          <w:lang w:val="en-US"/>
        </w:rPr>
        <w:t>Johnell</w:t>
      </w:r>
      <w:proofErr w:type="spellEnd"/>
      <w:r w:rsidRPr="00FE13EF">
        <w:rPr>
          <w:rFonts w:ascii="Arial" w:hAnsi="Arial" w:cs="Arial"/>
          <w:sz w:val="20"/>
          <w:szCs w:val="20"/>
          <w:shd w:val="clear" w:color="auto" w:fill="FFFFFF"/>
          <w:lang w:val="en-US"/>
        </w:rPr>
        <w:t xml:space="preserve">, O., Oden, A., Johansson, H., De </w:t>
      </w:r>
      <w:proofErr w:type="spellStart"/>
      <w:r w:rsidRPr="00FE13EF">
        <w:rPr>
          <w:rFonts w:ascii="Arial" w:hAnsi="Arial" w:cs="Arial"/>
          <w:sz w:val="20"/>
          <w:szCs w:val="20"/>
          <w:shd w:val="clear" w:color="auto" w:fill="FFFFFF"/>
          <w:lang w:val="en-US"/>
        </w:rPr>
        <w:t>Laet</w:t>
      </w:r>
      <w:proofErr w:type="spellEnd"/>
      <w:r w:rsidRPr="00FE13EF">
        <w:rPr>
          <w:rFonts w:ascii="Arial" w:hAnsi="Arial" w:cs="Arial"/>
          <w:sz w:val="20"/>
          <w:szCs w:val="20"/>
          <w:shd w:val="clear" w:color="auto" w:fill="FFFFFF"/>
          <w:lang w:val="en-US"/>
        </w:rPr>
        <w:t xml:space="preserve">, C., </w:t>
      </w:r>
      <w:proofErr w:type="spellStart"/>
      <w:r w:rsidRPr="00FE13EF">
        <w:rPr>
          <w:rFonts w:ascii="Arial" w:hAnsi="Arial" w:cs="Arial"/>
          <w:sz w:val="20"/>
          <w:szCs w:val="20"/>
          <w:shd w:val="clear" w:color="auto" w:fill="FFFFFF"/>
          <w:lang w:val="en-US"/>
        </w:rPr>
        <w:t>Eisman</w:t>
      </w:r>
      <w:proofErr w:type="spellEnd"/>
      <w:r w:rsidRPr="00FE13EF">
        <w:rPr>
          <w:rFonts w:ascii="Arial" w:hAnsi="Arial" w:cs="Arial"/>
          <w:sz w:val="20"/>
          <w:szCs w:val="20"/>
          <w:shd w:val="clear" w:color="auto" w:fill="FFFFFF"/>
          <w:lang w:val="en-US"/>
        </w:rPr>
        <w:t xml:space="preserve">, J. A., … </w:t>
      </w:r>
      <w:proofErr w:type="spellStart"/>
      <w:r w:rsidRPr="00FE13EF">
        <w:rPr>
          <w:rFonts w:ascii="Arial" w:hAnsi="Arial" w:cs="Arial"/>
          <w:sz w:val="20"/>
          <w:szCs w:val="20"/>
          <w:shd w:val="clear" w:color="auto" w:fill="FFFFFF"/>
          <w:lang w:val="en-US"/>
        </w:rPr>
        <w:t>Tenenhouse</w:t>
      </w:r>
      <w:proofErr w:type="spellEnd"/>
      <w:r w:rsidRPr="00FE13EF">
        <w:rPr>
          <w:rFonts w:ascii="Arial" w:hAnsi="Arial" w:cs="Arial"/>
          <w:sz w:val="20"/>
          <w:szCs w:val="20"/>
          <w:shd w:val="clear" w:color="auto" w:fill="FFFFFF"/>
          <w:lang w:val="en-US"/>
        </w:rPr>
        <w:t>, A. (2004). </w:t>
      </w:r>
      <w:r w:rsidRPr="00FE13EF">
        <w:rPr>
          <w:rFonts w:ascii="Arial" w:hAnsi="Arial" w:cs="Arial"/>
          <w:iCs/>
          <w:sz w:val="20"/>
          <w:szCs w:val="20"/>
          <w:shd w:val="clear" w:color="auto" w:fill="FFFFFF"/>
          <w:lang w:val="en-US"/>
        </w:rPr>
        <w:t>Smoking and fracture risk: a meta-analysis. Osteoporosis International, 16(2), 155–162.</w:t>
      </w:r>
      <w:r w:rsidRPr="00FE13EF">
        <w:rPr>
          <w:rFonts w:ascii="Arial" w:hAnsi="Arial" w:cs="Arial"/>
          <w:sz w:val="20"/>
          <w:szCs w:val="20"/>
          <w:shd w:val="clear" w:color="auto" w:fill="FFFFFF"/>
          <w:lang w:val="en-US"/>
        </w:rPr>
        <w:t> doi:10.1007/s00198-004-1640-3</w:t>
      </w:r>
    </w:p>
    <w:p w14:paraId="41FB3D92" w14:textId="1204346D" w:rsidR="00976671" w:rsidRPr="00FE13EF" w:rsidRDefault="00976671" w:rsidP="00976671">
      <w:pPr>
        <w:pStyle w:val="Prrafodelista"/>
        <w:widowControl w:val="0"/>
        <w:numPr>
          <w:ilvl w:val="0"/>
          <w:numId w:val="42"/>
        </w:numPr>
        <w:tabs>
          <w:tab w:val="left" w:pos="220"/>
          <w:tab w:val="left" w:pos="720"/>
        </w:tabs>
        <w:autoSpaceDE w:val="0"/>
        <w:autoSpaceDN w:val="0"/>
        <w:adjustRightInd w:val="0"/>
        <w:spacing w:after="213" w:line="276" w:lineRule="auto"/>
        <w:jc w:val="both"/>
        <w:rPr>
          <w:rFonts w:ascii="Arial" w:hAnsi="Arial" w:cs="Arial"/>
          <w:sz w:val="20"/>
          <w:szCs w:val="20"/>
          <w:lang w:val="en-US"/>
        </w:rPr>
      </w:pPr>
      <w:r w:rsidRPr="00FE13EF">
        <w:rPr>
          <w:rFonts w:ascii="Arial" w:hAnsi="Arial" w:cs="Arial"/>
          <w:sz w:val="20"/>
          <w:szCs w:val="20"/>
          <w:shd w:val="clear" w:color="auto" w:fill="FFFFFF"/>
          <w:lang w:val="en-US"/>
        </w:rPr>
        <w:t xml:space="preserve">Lindsay, R., Silverman, S. L., Cooper, C., Hanley, D. A., Barton, I., </w:t>
      </w:r>
      <w:proofErr w:type="spellStart"/>
      <w:r w:rsidRPr="00FE13EF">
        <w:rPr>
          <w:rFonts w:ascii="Arial" w:hAnsi="Arial" w:cs="Arial"/>
          <w:sz w:val="20"/>
          <w:szCs w:val="20"/>
          <w:shd w:val="clear" w:color="auto" w:fill="FFFFFF"/>
          <w:lang w:val="en-US"/>
        </w:rPr>
        <w:t>Broy</w:t>
      </w:r>
      <w:proofErr w:type="spellEnd"/>
      <w:r w:rsidRPr="00FE13EF">
        <w:rPr>
          <w:rFonts w:ascii="Arial" w:hAnsi="Arial" w:cs="Arial"/>
          <w:sz w:val="20"/>
          <w:szCs w:val="20"/>
          <w:shd w:val="clear" w:color="auto" w:fill="FFFFFF"/>
          <w:lang w:val="en-US"/>
        </w:rPr>
        <w:t xml:space="preserve">, S. B., . . . </w:t>
      </w:r>
      <w:proofErr w:type="spellStart"/>
      <w:r w:rsidRPr="00FE13EF">
        <w:rPr>
          <w:rFonts w:ascii="Arial" w:hAnsi="Arial" w:cs="Arial"/>
          <w:sz w:val="20"/>
          <w:szCs w:val="20"/>
          <w:shd w:val="clear" w:color="auto" w:fill="FFFFFF"/>
          <w:lang w:val="en-US"/>
        </w:rPr>
        <w:t>Seeman</w:t>
      </w:r>
      <w:proofErr w:type="spellEnd"/>
      <w:r w:rsidRPr="00FE13EF">
        <w:rPr>
          <w:rFonts w:ascii="Arial" w:hAnsi="Arial" w:cs="Arial"/>
          <w:sz w:val="20"/>
          <w:szCs w:val="20"/>
          <w:shd w:val="clear" w:color="auto" w:fill="FFFFFF"/>
          <w:lang w:val="en-US"/>
        </w:rPr>
        <w:t>, E. (2001). Risk of new vertebral fracture in the year following a fracture.</w:t>
      </w:r>
      <w:r w:rsidRPr="00FE13EF">
        <w:rPr>
          <w:rFonts w:ascii="Arial" w:hAnsi="Arial" w:cs="Arial"/>
          <w:iCs/>
          <w:sz w:val="20"/>
          <w:szCs w:val="20"/>
          <w:shd w:val="clear" w:color="auto" w:fill="FFFFFF"/>
          <w:lang w:val="en-US"/>
        </w:rPr>
        <w:t> </w:t>
      </w:r>
      <w:r w:rsidRPr="00FE13EF">
        <w:rPr>
          <w:rFonts w:ascii="Arial" w:hAnsi="Arial" w:cs="Arial"/>
          <w:iCs/>
          <w:sz w:val="20"/>
          <w:szCs w:val="20"/>
          <w:shd w:val="clear" w:color="auto" w:fill="FFFFFF"/>
        </w:rPr>
        <w:t>Jama, 285</w:t>
      </w:r>
      <w:r w:rsidRPr="00FE13EF">
        <w:rPr>
          <w:rFonts w:ascii="Arial" w:hAnsi="Arial" w:cs="Arial"/>
          <w:sz w:val="20"/>
          <w:szCs w:val="20"/>
          <w:shd w:val="clear" w:color="auto" w:fill="FFFFFF"/>
        </w:rPr>
        <w:t>(3), 320-323.</w:t>
      </w:r>
    </w:p>
    <w:p w14:paraId="3396455D" w14:textId="4E0384C1" w:rsidR="00976671" w:rsidRPr="00FE13EF" w:rsidRDefault="00373CE8" w:rsidP="00976671">
      <w:pPr>
        <w:pStyle w:val="Prrafodelista"/>
        <w:widowControl w:val="0"/>
        <w:numPr>
          <w:ilvl w:val="0"/>
          <w:numId w:val="42"/>
        </w:numPr>
        <w:tabs>
          <w:tab w:val="left" w:pos="220"/>
          <w:tab w:val="left" w:pos="720"/>
        </w:tabs>
        <w:autoSpaceDE w:val="0"/>
        <w:autoSpaceDN w:val="0"/>
        <w:adjustRightInd w:val="0"/>
        <w:spacing w:after="213" w:line="276" w:lineRule="auto"/>
        <w:jc w:val="both"/>
        <w:rPr>
          <w:rFonts w:ascii="Arial" w:eastAsiaTheme="minorEastAsia" w:hAnsi="Arial" w:cs="Arial"/>
          <w:iCs/>
          <w:sz w:val="20"/>
          <w:szCs w:val="20"/>
          <w:lang w:val="es-ES" w:eastAsia="es-ES"/>
        </w:rPr>
      </w:pPr>
      <w:r w:rsidRPr="00FE13EF">
        <w:rPr>
          <w:rFonts w:ascii="Arial" w:hAnsi="Arial" w:cs="Arial"/>
          <w:sz w:val="20"/>
          <w:szCs w:val="20"/>
        </w:rPr>
        <w:t xml:space="preserve">Medina Orjuela, A., Rosero Olarte, </w:t>
      </w:r>
      <w:proofErr w:type="spellStart"/>
      <w:r w:rsidRPr="00FE13EF">
        <w:rPr>
          <w:rFonts w:ascii="Arial" w:hAnsi="Arial" w:cs="Arial"/>
          <w:sz w:val="20"/>
          <w:szCs w:val="20"/>
        </w:rPr>
        <w:t>Ó</w:t>
      </w:r>
      <w:proofErr w:type="spellEnd"/>
      <w:r w:rsidRPr="00FE13EF">
        <w:rPr>
          <w:rFonts w:ascii="Arial" w:hAnsi="Arial" w:cs="Arial"/>
          <w:sz w:val="20"/>
          <w:szCs w:val="20"/>
        </w:rPr>
        <w:t xml:space="preserve">., </w:t>
      </w:r>
      <w:proofErr w:type="spellStart"/>
      <w:r w:rsidRPr="00FE13EF">
        <w:rPr>
          <w:rFonts w:ascii="Arial" w:hAnsi="Arial" w:cs="Arial"/>
          <w:sz w:val="20"/>
          <w:szCs w:val="20"/>
        </w:rPr>
        <w:t>Nel</w:t>
      </w:r>
      <w:proofErr w:type="spellEnd"/>
      <w:r w:rsidRPr="00FE13EF">
        <w:rPr>
          <w:rFonts w:ascii="Arial" w:hAnsi="Arial" w:cs="Arial"/>
          <w:sz w:val="20"/>
          <w:szCs w:val="20"/>
        </w:rPr>
        <w:t xml:space="preserve"> Rueda Plata, P., Sánchez Escobar, F., </w:t>
      </w:r>
      <w:proofErr w:type="spellStart"/>
      <w:r w:rsidRPr="00FE13EF">
        <w:rPr>
          <w:rFonts w:ascii="Arial" w:hAnsi="Arial" w:cs="Arial"/>
          <w:sz w:val="20"/>
          <w:szCs w:val="20"/>
        </w:rPr>
        <w:t>Chalem</w:t>
      </w:r>
      <w:proofErr w:type="spellEnd"/>
      <w:r w:rsidRPr="00FE13EF">
        <w:rPr>
          <w:rFonts w:ascii="Arial" w:hAnsi="Arial" w:cs="Arial"/>
          <w:sz w:val="20"/>
          <w:szCs w:val="20"/>
        </w:rPr>
        <w:t xml:space="preserve"> </w:t>
      </w:r>
      <w:proofErr w:type="spellStart"/>
      <w:r w:rsidRPr="00FE13EF">
        <w:rPr>
          <w:rFonts w:ascii="Arial" w:hAnsi="Arial" w:cs="Arial"/>
          <w:sz w:val="20"/>
          <w:szCs w:val="20"/>
        </w:rPr>
        <w:t>Choueka</w:t>
      </w:r>
      <w:proofErr w:type="spellEnd"/>
      <w:r w:rsidRPr="00FE13EF">
        <w:rPr>
          <w:rFonts w:ascii="Arial" w:hAnsi="Arial" w:cs="Arial"/>
          <w:sz w:val="20"/>
          <w:szCs w:val="20"/>
        </w:rPr>
        <w:t>, M., González Reyes, M. Á., … Londoño Gutiérrez, R. (2018). </w:t>
      </w:r>
      <w:r w:rsidRPr="00FE13EF">
        <w:rPr>
          <w:rFonts w:ascii="Arial" w:hAnsi="Arial" w:cs="Arial"/>
          <w:iCs/>
          <w:sz w:val="20"/>
          <w:szCs w:val="20"/>
        </w:rPr>
        <w:t xml:space="preserve">II Consenso Colombiano para el Manejo de la Osteoporosis Posmenopáusica. Revista Colombiana de Reumatología. </w:t>
      </w:r>
      <w:r w:rsidRPr="00FE13EF">
        <w:rPr>
          <w:rFonts w:ascii="Arial" w:hAnsi="Arial" w:cs="Arial"/>
          <w:sz w:val="20"/>
          <w:szCs w:val="20"/>
        </w:rPr>
        <w:t>doi:10.1016/j.rcreu.2018.02.006</w:t>
      </w:r>
    </w:p>
    <w:p w14:paraId="0BB502F2" w14:textId="30550D6F" w:rsidR="00976671" w:rsidRPr="00FE13EF" w:rsidRDefault="00446387" w:rsidP="00976671">
      <w:pPr>
        <w:pStyle w:val="Prrafodelista"/>
        <w:widowControl w:val="0"/>
        <w:numPr>
          <w:ilvl w:val="0"/>
          <w:numId w:val="42"/>
        </w:numPr>
        <w:tabs>
          <w:tab w:val="left" w:pos="220"/>
          <w:tab w:val="left" w:pos="720"/>
        </w:tabs>
        <w:autoSpaceDE w:val="0"/>
        <w:autoSpaceDN w:val="0"/>
        <w:adjustRightInd w:val="0"/>
        <w:spacing w:after="213" w:line="276" w:lineRule="auto"/>
        <w:jc w:val="both"/>
        <w:rPr>
          <w:rFonts w:ascii="Arial" w:hAnsi="Arial" w:cs="Arial"/>
          <w:sz w:val="20"/>
          <w:szCs w:val="20"/>
          <w:lang w:val="es-ES"/>
        </w:rPr>
      </w:pPr>
      <w:r w:rsidRPr="00FE13EF">
        <w:rPr>
          <w:rFonts w:ascii="Arial" w:hAnsi="Arial" w:cs="Arial"/>
          <w:sz w:val="20"/>
          <w:szCs w:val="20"/>
          <w:shd w:val="clear" w:color="auto" w:fill="FFFFFF"/>
        </w:rPr>
        <w:t xml:space="preserve">Miranda, E., Muñoz CH, S., </w:t>
      </w:r>
      <w:proofErr w:type="spellStart"/>
      <w:r w:rsidRPr="00FE13EF">
        <w:rPr>
          <w:rFonts w:ascii="Arial" w:hAnsi="Arial" w:cs="Arial"/>
          <w:sz w:val="20"/>
          <w:szCs w:val="20"/>
          <w:shd w:val="clear" w:color="auto" w:fill="FFFFFF"/>
        </w:rPr>
        <w:t>Paolinelli</w:t>
      </w:r>
      <w:proofErr w:type="spellEnd"/>
      <w:r w:rsidRPr="00FE13EF">
        <w:rPr>
          <w:rFonts w:ascii="Arial" w:hAnsi="Arial" w:cs="Arial"/>
          <w:sz w:val="20"/>
          <w:szCs w:val="20"/>
          <w:shd w:val="clear" w:color="auto" w:fill="FFFFFF"/>
        </w:rPr>
        <w:t xml:space="preserve"> G., P. &amp; Astudillo A., C. (2013). </w:t>
      </w:r>
      <w:proofErr w:type="spellStart"/>
      <w:r w:rsidRPr="00FE13EF">
        <w:rPr>
          <w:rFonts w:ascii="Arial" w:hAnsi="Arial" w:cs="Arial"/>
          <w:sz w:val="20"/>
          <w:szCs w:val="20"/>
          <w:shd w:val="clear" w:color="auto" w:fill="FFFFFF"/>
          <w:lang w:val="en-US"/>
        </w:rPr>
        <w:t>Densitometría</w:t>
      </w:r>
      <w:proofErr w:type="spellEnd"/>
      <w:r w:rsidRPr="00FE13EF">
        <w:rPr>
          <w:rFonts w:ascii="Arial" w:hAnsi="Arial" w:cs="Arial"/>
          <w:sz w:val="20"/>
          <w:szCs w:val="20"/>
          <w:shd w:val="clear" w:color="auto" w:fill="FFFFFF"/>
          <w:lang w:val="en-US"/>
        </w:rPr>
        <w:t xml:space="preserve"> </w:t>
      </w:r>
      <w:proofErr w:type="spellStart"/>
      <w:r w:rsidRPr="00FE13EF">
        <w:rPr>
          <w:rFonts w:ascii="Arial" w:hAnsi="Arial" w:cs="Arial"/>
          <w:sz w:val="20"/>
          <w:szCs w:val="20"/>
          <w:shd w:val="clear" w:color="auto" w:fill="FFFFFF"/>
          <w:lang w:val="en-US"/>
        </w:rPr>
        <w:t>ósea</w:t>
      </w:r>
      <w:proofErr w:type="spellEnd"/>
      <w:r w:rsidRPr="00FE13EF">
        <w:rPr>
          <w:rFonts w:ascii="Arial" w:hAnsi="Arial" w:cs="Arial"/>
          <w:sz w:val="20"/>
          <w:szCs w:val="20"/>
          <w:shd w:val="clear" w:color="auto" w:fill="FFFFFF"/>
          <w:lang w:val="en-US"/>
        </w:rPr>
        <w:t xml:space="preserve"> bone densitometry – Rev. Med. </w:t>
      </w:r>
      <w:proofErr w:type="spellStart"/>
      <w:r w:rsidRPr="00FE13EF">
        <w:rPr>
          <w:rFonts w:ascii="Arial" w:hAnsi="Arial" w:cs="Arial"/>
          <w:sz w:val="20"/>
          <w:szCs w:val="20"/>
          <w:shd w:val="clear" w:color="auto" w:fill="FFFFFF"/>
          <w:lang w:val="en-US"/>
        </w:rPr>
        <w:t>Clin</w:t>
      </w:r>
      <w:proofErr w:type="spellEnd"/>
      <w:r w:rsidRPr="00FE13EF">
        <w:rPr>
          <w:rFonts w:ascii="Arial" w:hAnsi="Arial" w:cs="Arial"/>
          <w:sz w:val="20"/>
          <w:szCs w:val="20"/>
          <w:shd w:val="clear" w:color="auto" w:fill="FFFFFF"/>
          <w:lang w:val="en-US"/>
        </w:rPr>
        <w:t xml:space="preserve">. Condes. </w:t>
      </w:r>
      <w:r w:rsidR="00373CE8" w:rsidRPr="00FE13EF">
        <w:rPr>
          <w:rFonts w:ascii="Arial" w:hAnsi="Arial" w:cs="Arial"/>
          <w:iCs/>
          <w:sz w:val="20"/>
          <w:szCs w:val="20"/>
          <w:shd w:val="clear" w:color="auto" w:fill="FFFFFF"/>
          <w:lang w:val="es-ES"/>
        </w:rPr>
        <w:t>24(1):169-173</w:t>
      </w:r>
    </w:p>
    <w:p w14:paraId="25F2569B" w14:textId="1C306B0C" w:rsidR="00976671" w:rsidRPr="00FE13EF" w:rsidRDefault="00A050D1" w:rsidP="00976671">
      <w:pPr>
        <w:pStyle w:val="Prrafodelista"/>
        <w:widowControl w:val="0"/>
        <w:numPr>
          <w:ilvl w:val="0"/>
          <w:numId w:val="42"/>
        </w:numPr>
        <w:tabs>
          <w:tab w:val="left" w:pos="220"/>
          <w:tab w:val="left" w:pos="720"/>
        </w:tabs>
        <w:autoSpaceDE w:val="0"/>
        <w:autoSpaceDN w:val="0"/>
        <w:adjustRightInd w:val="0"/>
        <w:spacing w:after="213" w:line="276" w:lineRule="auto"/>
        <w:jc w:val="both"/>
        <w:rPr>
          <w:rFonts w:ascii="Arial" w:eastAsiaTheme="minorEastAsia" w:hAnsi="Arial" w:cs="Arial"/>
          <w:bCs/>
          <w:sz w:val="20"/>
          <w:szCs w:val="20"/>
          <w:lang w:val="es-ES" w:eastAsia="es-ES"/>
        </w:rPr>
      </w:pPr>
      <w:r w:rsidRPr="00FE13EF">
        <w:rPr>
          <w:rFonts w:ascii="Arial" w:hAnsi="Arial" w:cs="Arial"/>
          <w:sz w:val="20"/>
          <w:szCs w:val="20"/>
          <w:shd w:val="clear" w:color="auto" w:fill="FFFFFF"/>
          <w:lang w:val="en-US"/>
        </w:rPr>
        <w:t xml:space="preserve">Painter, S. E., </w:t>
      </w:r>
      <w:proofErr w:type="spellStart"/>
      <w:r w:rsidRPr="00FE13EF">
        <w:rPr>
          <w:rFonts w:ascii="Arial" w:hAnsi="Arial" w:cs="Arial"/>
          <w:sz w:val="20"/>
          <w:szCs w:val="20"/>
          <w:shd w:val="clear" w:color="auto" w:fill="FFFFFF"/>
          <w:lang w:val="en-US"/>
        </w:rPr>
        <w:t>Kleerekoper</w:t>
      </w:r>
      <w:proofErr w:type="spellEnd"/>
      <w:r w:rsidRPr="00FE13EF">
        <w:rPr>
          <w:rFonts w:ascii="Arial" w:hAnsi="Arial" w:cs="Arial"/>
          <w:sz w:val="20"/>
          <w:szCs w:val="20"/>
          <w:shd w:val="clear" w:color="auto" w:fill="FFFFFF"/>
          <w:lang w:val="en-US"/>
        </w:rPr>
        <w:t>, M., &amp; Camacho, P. M. (2006). </w:t>
      </w:r>
      <w:r w:rsidRPr="00FE13EF">
        <w:rPr>
          <w:rFonts w:ascii="Arial" w:hAnsi="Arial" w:cs="Arial"/>
          <w:iCs/>
          <w:sz w:val="20"/>
          <w:szCs w:val="20"/>
          <w:shd w:val="clear" w:color="auto" w:fill="FFFFFF"/>
          <w:lang w:val="en-US"/>
        </w:rPr>
        <w:t xml:space="preserve">SECONDARY OSTEOPOROSIS: A REVIEW OF THE RECENT EVIDENCE. </w:t>
      </w:r>
      <w:proofErr w:type="spellStart"/>
      <w:r w:rsidRPr="00FE13EF">
        <w:rPr>
          <w:rFonts w:ascii="Arial" w:hAnsi="Arial" w:cs="Arial"/>
          <w:iCs/>
          <w:sz w:val="20"/>
          <w:szCs w:val="20"/>
          <w:shd w:val="clear" w:color="auto" w:fill="FFFFFF"/>
        </w:rPr>
        <w:t>Endocrine</w:t>
      </w:r>
      <w:proofErr w:type="spellEnd"/>
      <w:r w:rsidRPr="00FE13EF">
        <w:rPr>
          <w:rFonts w:ascii="Arial" w:hAnsi="Arial" w:cs="Arial"/>
          <w:iCs/>
          <w:sz w:val="20"/>
          <w:szCs w:val="20"/>
          <w:shd w:val="clear" w:color="auto" w:fill="FFFFFF"/>
        </w:rPr>
        <w:t xml:space="preserve"> </w:t>
      </w:r>
      <w:proofErr w:type="spellStart"/>
      <w:r w:rsidRPr="00FE13EF">
        <w:rPr>
          <w:rFonts w:ascii="Arial" w:hAnsi="Arial" w:cs="Arial"/>
          <w:iCs/>
          <w:sz w:val="20"/>
          <w:szCs w:val="20"/>
          <w:shd w:val="clear" w:color="auto" w:fill="FFFFFF"/>
        </w:rPr>
        <w:t>Practice</w:t>
      </w:r>
      <w:proofErr w:type="spellEnd"/>
      <w:r w:rsidRPr="00FE13EF">
        <w:rPr>
          <w:rFonts w:ascii="Arial" w:hAnsi="Arial" w:cs="Arial"/>
          <w:iCs/>
          <w:sz w:val="20"/>
          <w:szCs w:val="20"/>
          <w:shd w:val="clear" w:color="auto" w:fill="FFFFFF"/>
        </w:rPr>
        <w:t>, 12(4), 436–</w:t>
      </w:r>
      <w:proofErr w:type="spellStart"/>
      <w:r w:rsidRPr="00FE13EF">
        <w:rPr>
          <w:rFonts w:ascii="Arial" w:hAnsi="Arial" w:cs="Arial"/>
          <w:iCs/>
          <w:sz w:val="20"/>
          <w:szCs w:val="20"/>
          <w:shd w:val="clear" w:color="auto" w:fill="FFFFFF"/>
        </w:rPr>
        <w:t>445.</w:t>
      </w:r>
      <w:r w:rsidRPr="00FE13EF">
        <w:rPr>
          <w:rFonts w:ascii="Arial" w:hAnsi="Arial" w:cs="Arial"/>
          <w:sz w:val="20"/>
          <w:szCs w:val="20"/>
          <w:shd w:val="clear" w:color="auto" w:fill="FFFFFF"/>
        </w:rPr>
        <w:t>doi:10.4158</w:t>
      </w:r>
      <w:proofErr w:type="spellEnd"/>
      <w:r w:rsidRPr="00FE13EF">
        <w:rPr>
          <w:rFonts w:ascii="Arial" w:hAnsi="Arial" w:cs="Arial"/>
          <w:sz w:val="20"/>
          <w:szCs w:val="20"/>
          <w:shd w:val="clear" w:color="auto" w:fill="FFFFFF"/>
        </w:rPr>
        <w:t>/</w:t>
      </w:r>
      <w:proofErr w:type="spellStart"/>
      <w:r w:rsidRPr="00FE13EF">
        <w:rPr>
          <w:rFonts w:ascii="Arial" w:hAnsi="Arial" w:cs="Arial"/>
          <w:sz w:val="20"/>
          <w:szCs w:val="20"/>
          <w:shd w:val="clear" w:color="auto" w:fill="FFFFFF"/>
        </w:rPr>
        <w:t>ep.12.4.436</w:t>
      </w:r>
      <w:proofErr w:type="spellEnd"/>
      <w:r w:rsidRPr="00FE13EF">
        <w:rPr>
          <w:rFonts w:ascii="Arial" w:hAnsi="Arial" w:cs="Arial"/>
          <w:sz w:val="20"/>
          <w:szCs w:val="20"/>
          <w:shd w:val="clear" w:color="auto" w:fill="FFFFFF"/>
        </w:rPr>
        <w:t> </w:t>
      </w:r>
    </w:p>
    <w:p w14:paraId="1F662B67" w14:textId="09CE0641" w:rsidR="00976671" w:rsidRPr="00FE13EF" w:rsidRDefault="00AA71A6" w:rsidP="00976671">
      <w:pPr>
        <w:pStyle w:val="Prrafodelista"/>
        <w:widowControl w:val="0"/>
        <w:numPr>
          <w:ilvl w:val="0"/>
          <w:numId w:val="42"/>
        </w:numPr>
        <w:tabs>
          <w:tab w:val="left" w:pos="220"/>
          <w:tab w:val="left" w:pos="720"/>
        </w:tabs>
        <w:autoSpaceDE w:val="0"/>
        <w:autoSpaceDN w:val="0"/>
        <w:adjustRightInd w:val="0"/>
        <w:spacing w:after="213" w:line="276" w:lineRule="auto"/>
        <w:jc w:val="both"/>
        <w:rPr>
          <w:rFonts w:ascii="Arial" w:hAnsi="Arial" w:cs="Arial"/>
          <w:sz w:val="20"/>
          <w:szCs w:val="20"/>
          <w:lang w:val="en-US"/>
        </w:rPr>
      </w:pPr>
      <w:proofErr w:type="spellStart"/>
      <w:r w:rsidRPr="00FE13EF">
        <w:rPr>
          <w:rFonts w:ascii="Arial" w:hAnsi="Arial" w:cs="Arial"/>
          <w:sz w:val="20"/>
          <w:szCs w:val="20"/>
          <w:shd w:val="clear" w:color="auto" w:fill="FFFFFF"/>
        </w:rPr>
        <w:t>Pisani</w:t>
      </w:r>
      <w:proofErr w:type="spellEnd"/>
      <w:r w:rsidRPr="00FE13EF">
        <w:rPr>
          <w:rFonts w:ascii="Arial" w:hAnsi="Arial" w:cs="Arial"/>
          <w:sz w:val="20"/>
          <w:szCs w:val="20"/>
          <w:shd w:val="clear" w:color="auto" w:fill="FFFFFF"/>
        </w:rPr>
        <w:t xml:space="preserve">, P., </w:t>
      </w:r>
      <w:proofErr w:type="spellStart"/>
      <w:r w:rsidRPr="00FE13EF">
        <w:rPr>
          <w:rFonts w:ascii="Arial" w:hAnsi="Arial" w:cs="Arial"/>
          <w:sz w:val="20"/>
          <w:szCs w:val="20"/>
          <w:shd w:val="clear" w:color="auto" w:fill="FFFFFF"/>
        </w:rPr>
        <w:t>Renna</w:t>
      </w:r>
      <w:proofErr w:type="spellEnd"/>
      <w:r w:rsidRPr="00FE13EF">
        <w:rPr>
          <w:rFonts w:ascii="Arial" w:hAnsi="Arial" w:cs="Arial"/>
          <w:sz w:val="20"/>
          <w:szCs w:val="20"/>
          <w:shd w:val="clear" w:color="auto" w:fill="FFFFFF"/>
        </w:rPr>
        <w:t xml:space="preserve">, M. D., </w:t>
      </w:r>
      <w:proofErr w:type="spellStart"/>
      <w:r w:rsidRPr="00FE13EF">
        <w:rPr>
          <w:rFonts w:ascii="Arial" w:hAnsi="Arial" w:cs="Arial"/>
          <w:sz w:val="20"/>
          <w:szCs w:val="20"/>
          <w:shd w:val="clear" w:color="auto" w:fill="FFFFFF"/>
        </w:rPr>
        <w:t>Conversano</w:t>
      </w:r>
      <w:proofErr w:type="spellEnd"/>
      <w:r w:rsidRPr="00FE13EF">
        <w:rPr>
          <w:rFonts w:ascii="Arial" w:hAnsi="Arial" w:cs="Arial"/>
          <w:sz w:val="20"/>
          <w:szCs w:val="20"/>
          <w:shd w:val="clear" w:color="auto" w:fill="FFFFFF"/>
        </w:rPr>
        <w:t xml:space="preserve">, F., </w:t>
      </w:r>
      <w:proofErr w:type="spellStart"/>
      <w:r w:rsidRPr="00FE13EF">
        <w:rPr>
          <w:rFonts w:ascii="Arial" w:hAnsi="Arial" w:cs="Arial"/>
          <w:sz w:val="20"/>
          <w:szCs w:val="20"/>
          <w:shd w:val="clear" w:color="auto" w:fill="FFFFFF"/>
        </w:rPr>
        <w:t>Casciaro</w:t>
      </w:r>
      <w:proofErr w:type="spellEnd"/>
      <w:r w:rsidRPr="00FE13EF">
        <w:rPr>
          <w:rFonts w:ascii="Arial" w:hAnsi="Arial" w:cs="Arial"/>
          <w:sz w:val="20"/>
          <w:szCs w:val="20"/>
          <w:shd w:val="clear" w:color="auto" w:fill="FFFFFF"/>
        </w:rPr>
        <w:t xml:space="preserve">, E., Di Paola, M., </w:t>
      </w:r>
      <w:proofErr w:type="spellStart"/>
      <w:r w:rsidRPr="00FE13EF">
        <w:rPr>
          <w:rFonts w:ascii="Arial" w:hAnsi="Arial" w:cs="Arial"/>
          <w:sz w:val="20"/>
          <w:szCs w:val="20"/>
          <w:shd w:val="clear" w:color="auto" w:fill="FFFFFF"/>
        </w:rPr>
        <w:t>Quarta</w:t>
      </w:r>
      <w:proofErr w:type="spellEnd"/>
      <w:r w:rsidRPr="00FE13EF">
        <w:rPr>
          <w:rFonts w:ascii="Arial" w:hAnsi="Arial" w:cs="Arial"/>
          <w:sz w:val="20"/>
          <w:szCs w:val="20"/>
          <w:shd w:val="clear" w:color="auto" w:fill="FFFFFF"/>
        </w:rPr>
        <w:t xml:space="preserve">, E., … </w:t>
      </w:r>
      <w:r w:rsidRPr="00FE13EF">
        <w:rPr>
          <w:rFonts w:ascii="Arial" w:hAnsi="Arial" w:cs="Arial"/>
          <w:sz w:val="20"/>
          <w:szCs w:val="20"/>
          <w:shd w:val="clear" w:color="auto" w:fill="FFFFFF"/>
          <w:lang w:val="en-US"/>
        </w:rPr>
        <w:t>Casciaro, S. (2016). </w:t>
      </w:r>
      <w:r w:rsidRPr="00FE13EF">
        <w:rPr>
          <w:rFonts w:ascii="Arial" w:hAnsi="Arial" w:cs="Arial"/>
          <w:iCs/>
          <w:sz w:val="20"/>
          <w:szCs w:val="20"/>
          <w:shd w:val="clear" w:color="auto" w:fill="FFFFFF"/>
          <w:lang w:val="en-US"/>
        </w:rPr>
        <w:t xml:space="preserve">Major osteoporotic fragility fractures: Risk factor updates and societal impact. </w:t>
      </w:r>
      <w:proofErr w:type="spellStart"/>
      <w:r w:rsidRPr="00FE13EF">
        <w:rPr>
          <w:rFonts w:ascii="Arial" w:hAnsi="Arial" w:cs="Arial"/>
          <w:iCs/>
          <w:sz w:val="20"/>
          <w:szCs w:val="20"/>
          <w:shd w:val="clear" w:color="auto" w:fill="FFFFFF"/>
        </w:rPr>
        <w:t>World</w:t>
      </w:r>
      <w:proofErr w:type="spellEnd"/>
      <w:r w:rsidRPr="00FE13EF">
        <w:rPr>
          <w:rFonts w:ascii="Arial" w:hAnsi="Arial" w:cs="Arial"/>
          <w:iCs/>
          <w:sz w:val="20"/>
          <w:szCs w:val="20"/>
          <w:shd w:val="clear" w:color="auto" w:fill="FFFFFF"/>
        </w:rPr>
        <w:t xml:space="preserve"> </w:t>
      </w:r>
      <w:proofErr w:type="spellStart"/>
      <w:r w:rsidRPr="00FE13EF">
        <w:rPr>
          <w:rFonts w:ascii="Arial" w:hAnsi="Arial" w:cs="Arial"/>
          <w:iCs/>
          <w:sz w:val="20"/>
          <w:szCs w:val="20"/>
          <w:shd w:val="clear" w:color="auto" w:fill="FFFFFF"/>
        </w:rPr>
        <w:t>Journal</w:t>
      </w:r>
      <w:proofErr w:type="spellEnd"/>
      <w:r w:rsidRPr="00FE13EF">
        <w:rPr>
          <w:rFonts w:ascii="Arial" w:hAnsi="Arial" w:cs="Arial"/>
          <w:iCs/>
          <w:sz w:val="20"/>
          <w:szCs w:val="20"/>
          <w:shd w:val="clear" w:color="auto" w:fill="FFFFFF"/>
        </w:rPr>
        <w:t xml:space="preserve"> of </w:t>
      </w:r>
      <w:proofErr w:type="spellStart"/>
      <w:r w:rsidRPr="00FE13EF">
        <w:rPr>
          <w:rFonts w:ascii="Arial" w:hAnsi="Arial" w:cs="Arial"/>
          <w:iCs/>
          <w:sz w:val="20"/>
          <w:szCs w:val="20"/>
          <w:shd w:val="clear" w:color="auto" w:fill="FFFFFF"/>
        </w:rPr>
        <w:t>Orthopedics</w:t>
      </w:r>
      <w:proofErr w:type="spellEnd"/>
      <w:r w:rsidRPr="00FE13EF">
        <w:rPr>
          <w:rFonts w:ascii="Arial" w:hAnsi="Arial" w:cs="Arial"/>
          <w:iCs/>
          <w:sz w:val="20"/>
          <w:szCs w:val="20"/>
          <w:shd w:val="clear" w:color="auto" w:fill="FFFFFF"/>
        </w:rPr>
        <w:t>, 7(3), 171.</w:t>
      </w:r>
      <w:r w:rsidRPr="00FE13EF">
        <w:rPr>
          <w:rFonts w:ascii="Arial" w:hAnsi="Arial" w:cs="Arial"/>
          <w:sz w:val="20"/>
          <w:szCs w:val="20"/>
          <w:shd w:val="clear" w:color="auto" w:fill="FFFFFF"/>
        </w:rPr>
        <w:t> doi:10.5312/wjo.v7.i3.171 </w:t>
      </w:r>
    </w:p>
    <w:p w14:paraId="4C3376CF" w14:textId="6BF58D3A" w:rsidR="00976671" w:rsidRPr="00FE13EF" w:rsidRDefault="00373CE8" w:rsidP="00531C27">
      <w:pPr>
        <w:pStyle w:val="Prrafodelista"/>
        <w:widowControl w:val="0"/>
        <w:numPr>
          <w:ilvl w:val="0"/>
          <w:numId w:val="42"/>
        </w:numPr>
        <w:tabs>
          <w:tab w:val="left" w:pos="220"/>
          <w:tab w:val="left" w:pos="720"/>
        </w:tabs>
        <w:autoSpaceDE w:val="0"/>
        <w:autoSpaceDN w:val="0"/>
        <w:adjustRightInd w:val="0"/>
        <w:spacing w:after="213" w:line="276" w:lineRule="auto"/>
        <w:jc w:val="both"/>
        <w:rPr>
          <w:rFonts w:ascii="Arial" w:hAnsi="Arial" w:cs="Arial"/>
          <w:sz w:val="20"/>
          <w:szCs w:val="20"/>
        </w:rPr>
      </w:pPr>
      <w:proofErr w:type="spellStart"/>
      <w:r w:rsidRPr="00FE13EF">
        <w:rPr>
          <w:rFonts w:ascii="Arial" w:hAnsi="Arial" w:cs="Arial"/>
          <w:sz w:val="20"/>
          <w:szCs w:val="20"/>
          <w:shd w:val="clear" w:color="auto" w:fill="FFFFFF"/>
        </w:rPr>
        <w:t>Szulc</w:t>
      </w:r>
      <w:proofErr w:type="spellEnd"/>
      <w:r w:rsidRPr="00FE13EF">
        <w:rPr>
          <w:rFonts w:ascii="Arial" w:hAnsi="Arial" w:cs="Arial"/>
          <w:sz w:val="20"/>
          <w:szCs w:val="20"/>
          <w:shd w:val="clear" w:color="auto" w:fill="FFFFFF"/>
        </w:rPr>
        <w:t xml:space="preserve">, P., &amp; </w:t>
      </w:r>
      <w:proofErr w:type="spellStart"/>
      <w:r w:rsidRPr="00FE13EF">
        <w:rPr>
          <w:rFonts w:ascii="Arial" w:hAnsi="Arial" w:cs="Arial"/>
          <w:sz w:val="20"/>
          <w:szCs w:val="20"/>
          <w:shd w:val="clear" w:color="auto" w:fill="FFFFFF"/>
        </w:rPr>
        <w:t>Delmas</w:t>
      </w:r>
      <w:proofErr w:type="spellEnd"/>
      <w:r w:rsidRPr="00FE13EF">
        <w:rPr>
          <w:rFonts w:ascii="Arial" w:hAnsi="Arial" w:cs="Arial"/>
          <w:sz w:val="20"/>
          <w:szCs w:val="20"/>
          <w:shd w:val="clear" w:color="auto" w:fill="FFFFFF"/>
        </w:rPr>
        <w:t>, P. D. (2008). </w:t>
      </w:r>
      <w:r w:rsidRPr="00FE13EF">
        <w:rPr>
          <w:rFonts w:ascii="Arial" w:hAnsi="Arial" w:cs="Arial"/>
          <w:iCs/>
          <w:sz w:val="20"/>
          <w:szCs w:val="20"/>
          <w:shd w:val="clear" w:color="auto" w:fill="FFFFFF"/>
          <w:lang w:val="en-US"/>
        </w:rPr>
        <w:t xml:space="preserve">Biochemical markers of bone turnover: potential use in the investigation and management of postmenopausal osteoporosis. </w:t>
      </w:r>
      <w:r w:rsidRPr="00FE13EF">
        <w:rPr>
          <w:rFonts w:ascii="Arial" w:hAnsi="Arial" w:cs="Arial"/>
          <w:iCs/>
          <w:sz w:val="20"/>
          <w:szCs w:val="20"/>
          <w:shd w:val="clear" w:color="auto" w:fill="FFFFFF"/>
        </w:rPr>
        <w:t>Osteoporosis International, 19(12), 1683–1704.</w:t>
      </w:r>
      <w:r w:rsidRPr="00FE13EF">
        <w:rPr>
          <w:rFonts w:ascii="Arial" w:hAnsi="Arial" w:cs="Arial"/>
          <w:sz w:val="20"/>
          <w:szCs w:val="20"/>
          <w:shd w:val="clear" w:color="auto" w:fill="FFFFFF"/>
        </w:rPr>
        <w:t>doi:10.1007/s00198-008-0660-</w:t>
      </w:r>
      <w:r w:rsidR="00976671" w:rsidRPr="00FE13EF">
        <w:rPr>
          <w:rFonts w:ascii="Arial" w:hAnsi="Arial" w:cs="Arial"/>
          <w:sz w:val="20"/>
          <w:szCs w:val="20"/>
          <w:shd w:val="clear" w:color="auto" w:fill="FFFFFF"/>
        </w:rPr>
        <w:t>9</w:t>
      </w:r>
    </w:p>
    <w:p w14:paraId="4228BDD1" w14:textId="689F988C" w:rsidR="00373CE8" w:rsidRPr="00FE13EF" w:rsidRDefault="00373CE8" w:rsidP="00976671">
      <w:pPr>
        <w:pStyle w:val="Prrafodelista"/>
        <w:widowControl w:val="0"/>
        <w:numPr>
          <w:ilvl w:val="0"/>
          <w:numId w:val="42"/>
        </w:numPr>
        <w:tabs>
          <w:tab w:val="left" w:pos="220"/>
          <w:tab w:val="left" w:pos="720"/>
        </w:tabs>
        <w:autoSpaceDE w:val="0"/>
        <w:autoSpaceDN w:val="0"/>
        <w:adjustRightInd w:val="0"/>
        <w:spacing w:after="213" w:line="276" w:lineRule="auto"/>
        <w:jc w:val="both"/>
        <w:rPr>
          <w:rFonts w:ascii="Arial" w:hAnsi="Arial" w:cs="Arial"/>
          <w:sz w:val="20"/>
          <w:szCs w:val="20"/>
        </w:rPr>
      </w:pPr>
      <w:r w:rsidRPr="00FE13EF">
        <w:rPr>
          <w:rFonts w:ascii="Arial" w:hAnsi="Arial" w:cs="Arial"/>
          <w:sz w:val="20"/>
          <w:szCs w:val="20"/>
          <w:shd w:val="clear" w:color="auto" w:fill="FFFFFF"/>
          <w:lang w:val="en-US"/>
        </w:rPr>
        <w:t>World Health Organization. (‎1994)‎. Assessment of fracture risk and its application to screening for postmenopausal osteoporosis : report of a WHO study group [‎‎‎‎meeting held in Rome from 22 to 25 June 1992]‎‎‎‎. </w:t>
      </w:r>
      <w:proofErr w:type="spellStart"/>
      <w:r w:rsidRPr="00FE13EF">
        <w:rPr>
          <w:rFonts w:ascii="Arial" w:hAnsi="Arial" w:cs="Arial"/>
          <w:sz w:val="20"/>
          <w:szCs w:val="20"/>
          <w:shd w:val="clear" w:color="auto" w:fill="FFFFFF"/>
        </w:rPr>
        <w:t>World</w:t>
      </w:r>
      <w:proofErr w:type="spellEnd"/>
      <w:r w:rsidRPr="00FE13EF">
        <w:rPr>
          <w:rFonts w:ascii="Arial" w:hAnsi="Arial" w:cs="Arial"/>
          <w:sz w:val="20"/>
          <w:szCs w:val="20"/>
          <w:shd w:val="clear" w:color="auto" w:fill="FFFFFF"/>
        </w:rPr>
        <w:t xml:space="preserve"> </w:t>
      </w:r>
      <w:proofErr w:type="spellStart"/>
      <w:r w:rsidRPr="00FE13EF">
        <w:rPr>
          <w:rFonts w:ascii="Arial" w:hAnsi="Arial" w:cs="Arial"/>
          <w:sz w:val="20"/>
          <w:szCs w:val="20"/>
          <w:shd w:val="clear" w:color="auto" w:fill="FFFFFF"/>
        </w:rPr>
        <w:t>Health</w:t>
      </w:r>
      <w:proofErr w:type="spellEnd"/>
      <w:r w:rsidRPr="00FE13EF">
        <w:rPr>
          <w:rFonts w:ascii="Arial" w:hAnsi="Arial" w:cs="Arial"/>
          <w:sz w:val="20"/>
          <w:szCs w:val="20"/>
          <w:shd w:val="clear" w:color="auto" w:fill="FFFFFF"/>
        </w:rPr>
        <w:t xml:space="preserve"> </w:t>
      </w:r>
      <w:proofErr w:type="spellStart"/>
      <w:r w:rsidRPr="00FE13EF">
        <w:rPr>
          <w:rFonts w:ascii="Arial" w:hAnsi="Arial" w:cs="Arial"/>
          <w:sz w:val="20"/>
          <w:szCs w:val="20"/>
          <w:shd w:val="clear" w:color="auto" w:fill="FFFFFF"/>
        </w:rPr>
        <w:t>Organization</w:t>
      </w:r>
      <w:proofErr w:type="spellEnd"/>
      <w:r w:rsidRPr="00FE13EF">
        <w:rPr>
          <w:rFonts w:ascii="Arial" w:hAnsi="Arial" w:cs="Arial"/>
          <w:sz w:val="20"/>
          <w:szCs w:val="20"/>
          <w:shd w:val="clear" w:color="auto" w:fill="FFFFFF"/>
        </w:rPr>
        <w:t>. </w:t>
      </w:r>
      <w:hyperlink r:id="rId12" w:history="1">
        <w:r w:rsidRPr="00FE13EF">
          <w:rPr>
            <w:rStyle w:val="Hipervnculo"/>
            <w:rFonts w:ascii="Arial" w:hAnsi="Arial" w:cs="Arial"/>
            <w:color w:val="auto"/>
            <w:sz w:val="20"/>
            <w:szCs w:val="20"/>
          </w:rPr>
          <w:t>http://</w:t>
        </w:r>
        <w:proofErr w:type="spellStart"/>
        <w:r w:rsidRPr="00FE13EF">
          <w:rPr>
            <w:rStyle w:val="Hipervnculo"/>
            <w:rFonts w:ascii="Arial" w:hAnsi="Arial" w:cs="Arial"/>
            <w:color w:val="auto"/>
            <w:sz w:val="20"/>
            <w:szCs w:val="20"/>
          </w:rPr>
          <w:t>www.who.int</w:t>
        </w:r>
        <w:proofErr w:type="spellEnd"/>
        <w:r w:rsidRPr="00FE13EF">
          <w:rPr>
            <w:rStyle w:val="Hipervnculo"/>
            <w:rFonts w:ascii="Arial" w:hAnsi="Arial" w:cs="Arial"/>
            <w:color w:val="auto"/>
            <w:sz w:val="20"/>
            <w:szCs w:val="20"/>
          </w:rPr>
          <w:t>/iris/</w:t>
        </w:r>
        <w:proofErr w:type="spellStart"/>
        <w:r w:rsidRPr="00FE13EF">
          <w:rPr>
            <w:rStyle w:val="Hipervnculo"/>
            <w:rFonts w:ascii="Arial" w:hAnsi="Arial" w:cs="Arial"/>
            <w:color w:val="auto"/>
            <w:sz w:val="20"/>
            <w:szCs w:val="20"/>
          </w:rPr>
          <w:t>handle</w:t>
        </w:r>
        <w:proofErr w:type="spellEnd"/>
        <w:r w:rsidRPr="00FE13EF">
          <w:rPr>
            <w:rStyle w:val="Hipervnculo"/>
            <w:rFonts w:ascii="Arial" w:hAnsi="Arial" w:cs="Arial"/>
            <w:color w:val="auto"/>
            <w:sz w:val="20"/>
            <w:szCs w:val="20"/>
          </w:rPr>
          <w:t>/10665/39142</w:t>
        </w:r>
      </w:hyperlink>
    </w:p>
    <w:p w14:paraId="722A79A4" w14:textId="72BBEEBE" w:rsidR="005C6DC0" w:rsidRDefault="005C6DC0" w:rsidP="00585AC8">
      <w:pPr>
        <w:widowControl w:val="0"/>
        <w:autoSpaceDE w:val="0"/>
        <w:autoSpaceDN w:val="0"/>
        <w:adjustRightInd w:val="0"/>
        <w:spacing w:after="240" w:line="276" w:lineRule="auto"/>
        <w:jc w:val="both"/>
        <w:rPr>
          <w:rFonts w:ascii="Arial" w:eastAsiaTheme="minorEastAsia" w:hAnsi="Arial" w:cs="Arial"/>
          <w:bCs/>
          <w:iCs/>
          <w:color w:val="101010"/>
          <w:sz w:val="20"/>
          <w:szCs w:val="20"/>
          <w:lang w:val="es-ES" w:eastAsia="es-ES"/>
        </w:rPr>
      </w:pPr>
    </w:p>
    <w:p w14:paraId="2EC2F49F" w14:textId="082F4C82" w:rsidR="00976671" w:rsidRDefault="00976671" w:rsidP="00585AC8">
      <w:pPr>
        <w:widowControl w:val="0"/>
        <w:autoSpaceDE w:val="0"/>
        <w:autoSpaceDN w:val="0"/>
        <w:adjustRightInd w:val="0"/>
        <w:spacing w:after="240" w:line="276" w:lineRule="auto"/>
        <w:jc w:val="both"/>
        <w:rPr>
          <w:rFonts w:ascii="Arial" w:eastAsiaTheme="minorEastAsia" w:hAnsi="Arial" w:cs="Arial"/>
          <w:bCs/>
          <w:iCs/>
          <w:color w:val="101010"/>
          <w:sz w:val="20"/>
          <w:szCs w:val="20"/>
          <w:lang w:val="es-ES" w:eastAsia="es-ES"/>
        </w:rPr>
      </w:pPr>
    </w:p>
    <w:p w14:paraId="1996DB6A" w14:textId="77777777" w:rsidR="00976671" w:rsidRPr="00976671" w:rsidRDefault="00976671" w:rsidP="00585AC8">
      <w:pPr>
        <w:widowControl w:val="0"/>
        <w:autoSpaceDE w:val="0"/>
        <w:autoSpaceDN w:val="0"/>
        <w:adjustRightInd w:val="0"/>
        <w:spacing w:after="240" w:line="276" w:lineRule="auto"/>
        <w:jc w:val="both"/>
        <w:rPr>
          <w:rFonts w:ascii="Arial" w:eastAsiaTheme="minorEastAsia" w:hAnsi="Arial" w:cs="Arial"/>
          <w:bCs/>
          <w:iCs/>
          <w:color w:val="101010"/>
          <w:sz w:val="20"/>
          <w:szCs w:val="20"/>
          <w:lang w:val="es-ES" w:eastAsia="es-ES"/>
        </w:rPr>
      </w:pPr>
      <w:bookmarkStart w:id="0" w:name="_GoBack"/>
      <w:bookmarkEnd w:id="0"/>
    </w:p>
    <w:sectPr w:rsidR="00976671" w:rsidRPr="00976671" w:rsidSect="0098625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4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53320"/>
    <w:multiLevelType w:val="hybridMultilevel"/>
    <w:tmpl w:val="38A45C4E"/>
    <w:lvl w:ilvl="0" w:tplc="0C0A000F">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20A65BE"/>
    <w:multiLevelType w:val="hybridMultilevel"/>
    <w:tmpl w:val="FA16AE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183AB8"/>
    <w:multiLevelType w:val="hybridMultilevel"/>
    <w:tmpl w:val="4AA887C6"/>
    <w:lvl w:ilvl="0" w:tplc="93EE763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5926E21"/>
    <w:multiLevelType w:val="hybridMultilevel"/>
    <w:tmpl w:val="8F4CFBC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A120C54"/>
    <w:multiLevelType w:val="hybridMultilevel"/>
    <w:tmpl w:val="5E181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3F2279"/>
    <w:multiLevelType w:val="hybridMultilevel"/>
    <w:tmpl w:val="6F220F1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6B608A1"/>
    <w:multiLevelType w:val="hybridMultilevel"/>
    <w:tmpl w:val="B33A3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6DA6183"/>
    <w:multiLevelType w:val="hybridMultilevel"/>
    <w:tmpl w:val="2D50C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77D578B"/>
    <w:multiLevelType w:val="hybridMultilevel"/>
    <w:tmpl w:val="D43486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AD21E3E"/>
    <w:multiLevelType w:val="hybridMultilevel"/>
    <w:tmpl w:val="B43CD08A"/>
    <w:lvl w:ilvl="0" w:tplc="0C0A0003">
      <w:start w:val="1"/>
      <w:numFmt w:val="bullet"/>
      <w:lvlText w:val="o"/>
      <w:lvlJc w:val="left"/>
      <w:pPr>
        <w:ind w:left="1068" w:hanging="360"/>
      </w:pPr>
      <w:rPr>
        <w:rFonts w:ascii="Courier New" w:hAnsi="Courier New" w:cs="Courier New"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0AF06A1"/>
    <w:multiLevelType w:val="hybridMultilevel"/>
    <w:tmpl w:val="04720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490712C"/>
    <w:multiLevelType w:val="hybridMultilevel"/>
    <w:tmpl w:val="DB4464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5346870"/>
    <w:multiLevelType w:val="hybridMultilevel"/>
    <w:tmpl w:val="30C2F504"/>
    <w:lvl w:ilvl="0" w:tplc="A82ACB44">
      <w:start w:val="1"/>
      <w:numFmt w:val="decimal"/>
      <w:lvlText w:val="%1."/>
      <w:lvlJc w:val="left"/>
      <w:pPr>
        <w:ind w:left="360" w:hanging="360"/>
      </w:pPr>
      <w:rPr>
        <w:rFonts w:hint="default"/>
        <w:b/>
        <w:color w:val="auto"/>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nsid w:val="289172EC"/>
    <w:multiLevelType w:val="hybridMultilevel"/>
    <w:tmpl w:val="2A845A3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nsid w:val="335D4156"/>
    <w:multiLevelType w:val="hybridMultilevel"/>
    <w:tmpl w:val="113A33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71F701A"/>
    <w:multiLevelType w:val="hybridMultilevel"/>
    <w:tmpl w:val="EE18984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C1C47AE"/>
    <w:multiLevelType w:val="hybridMultilevel"/>
    <w:tmpl w:val="1062BDD8"/>
    <w:lvl w:ilvl="0" w:tplc="0C0A000F">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D203B69"/>
    <w:multiLevelType w:val="hybridMultilevel"/>
    <w:tmpl w:val="E60E44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03743AE"/>
    <w:multiLevelType w:val="hybridMultilevel"/>
    <w:tmpl w:val="35A41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1B32671"/>
    <w:multiLevelType w:val="hybridMultilevel"/>
    <w:tmpl w:val="F6EA126C"/>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1">
    <w:nsid w:val="44133EF0"/>
    <w:multiLevelType w:val="hybridMultilevel"/>
    <w:tmpl w:val="F4F4D308"/>
    <w:lvl w:ilvl="0" w:tplc="9B301FEC">
      <w:start w:val="1"/>
      <w:numFmt w:val="decimal"/>
      <w:lvlText w:val="%1."/>
      <w:lvlJc w:val="left"/>
      <w:pPr>
        <w:ind w:left="720" w:hanging="360"/>
      </w:pPr>
      <w:rPr>
        <w:rFonts w:eastAsiaTheme="minorEastAsia"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5354F80"/>
    <w:multiLevelType w:val="hybridMultilevel"/>
    <w:tmpl w:val="903CCA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6EC1EB5"/>
    <w:multiLevelType w:val="hybridMultilevel"/>
    <w:tmpl w:val="E136580A"/>
    <w:lvl w:ilvl="0" w:tplc="93EE763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9BF5E04"/>
    <w:multiLevelType w:val="hybridMultilevel"/>
    <w:tmpl w:val="10284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9DE0624"/>
    <w:multiLevelType w:val="hybridMultilevel"/>
    <w:tmpl w:val="664AB288"/>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nsid w:val="4D876C84"/>
    <w:multiLevelType w:val="multilevel"/>
    <w:tmpl w:val="AAE46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017402F"/>
    <w:multiLevelType w:val="hybridMultilevel"/>
    <w:tmpl w:val="36E41624"/>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8">
    <w:nsid w:val="51167A50"/>
    <w:multiLevelType w:val="hybridMultilevel"/>
    <w:tmpl w:val="41EC82D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nsid w:val="531646AB"/>
    <w:multiLevelType w:val="hybridMultilevel"/>
    <w:tmpl w:val="76C27D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5D0485F"/>
    <w:multiLevelType w:val="hybridMultilevel"/>
    <w:tmpl w:val="48FC51F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61538AD"/>
    <w:multiLevelType w:val="hybridMultilevel"/>
    <w:tmpl w:val="F2A2EC90"/>
    <w:lvl w:ilvl="0" w:tplc="24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C7E0B35"/>
    <w:multiLevelType w:val="hybridMultilevel"/>
    <w:tmpl w:val="B88E9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CCC3F24"/>
    <w:multiLevelType w:val="hybridMultilevel"/>
    <w:tmpl w:val="F7E46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F18748A"/>
    <w:multiLevelType w:val="hybridMultilevel"/>
    <w:tmpl w:val="89C6DDB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629D7793"/>
    <w:multiLevelType w:val="hybridMultilevel"/>
    <w:tmpl w:val="1D06EE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54E2EF7"/>
    <w:multiLevelType w:val="hybridMultilevel"/>
    <w:tmpl w:val="CE8C6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71C5E1A"/>
    <w:multiLevelType w:val="hybridMultilevel"/>
    <w:tmpl w:val="8620DC70"/>
    <w:lvl w:ilvl="0" w:tplc="E234A7B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8DC071C"/>
    <w:multiLevelType w:val="hybridMultilevel"/>
    <w:tmpl w:val="D1E254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DD2653B"/>
    <w:multiLevelType w:val="hybridMultilevel"/>
    <w:tmpl w:val="CA407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2A458B0"/>
    <w:multiLevelType w:val="hybridMultilevel"/>
    <w:tmpl w:val="C0F87C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79E366D"/>
    <w:multiLevelType w:val="hybridMultilevel"/>
    <w:tmpl w:val="82E8A4A0"/>
    <w:lvl w:ilvl="0" w:tplc="0C0A0001">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nsid w:val="7A735B29"/>
    <w:multiLevelType w:val="hybridMultilevel"/>
    <w:tmpl w:val="E2AC6C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F1D42F9"/>
    <w:multiLevelType w:val="hybridMultilevel"/>
    <w:tmpl w:val="0F5EF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8"/>
  </w:num>
  <w:num w:numId="3">
    <w:abstractNumId w:val="30"/>
  </w:num>
  <w:num w:numId="4">
    <w:abstractNumId w:val="19"/>
  </w:num>
  <w:num w:numId="5">
    <w:abstractNumId w:val="26"/>
  </w:num>
  <w:num w:numId="6">
    <w:abstractNumId w:val="34"/>
  </w:num>
  <w:num w:numId="7">
    <w:abstractNumId w:val="17"/>
  </w:num>
  <w:num w:numId="8">
    <w:abstractNumId w:val="6"/>
  </w:num>
  <w:num w:numId="9">
    <w:abstractNumId w:val="43"/>
  </w:num>
  <w:num w:numId="10">
    <w:abstractNumId w:val="25"/>
  </w:num>
  <w:num w:numId="11">
    <w:abstractNumId w:val="28"/>
  </w:num>
  <w:num w:numId="12">
    <w:abstractNumId w:val="1"/>
  </w:num>
  <w:num w:numId="13">
    <w:abstractNumId w:val="9"/>
  </w:num>
  <w:num w:numId="14">
    <w:abstractNumId w:val="4"/>
  </w:num>
  <w:num w:numId="15">
    <w:abstractNumId w:val="35"/>
  </w:num>
  <w:num w:numId="16">
    <w:abstractNumId w:val="10"/>
  </w:num>
  <w:num w:numId="17">
    <w:abstractNumId w:val="36"/>
  </w:num>
  <w:num w:numId="18">
    <w:abstractNumId w:val="7"/>
  </w:num>
  <w:num w:numId="19">
    <w:abstractNumId w:val="5"/>
  </w:num>
  <w:num w:numId="20">
    <w:abstractNumId w:val="3"/>
  </w:num>
  <w:num w:numId="21">
    <w:abstractNumId w:val="37"/>
  </w:num>
  <w:num w:numId="22">
    <w:abstractNumId w:val="23"/>
  </w:num>
  <w:num w:numId="23">
    <w:abstractNumId w:val="20"/>
  </w:num>
  <w:num w:numId="24">
    <w:abstractNumId w:val="33"/>
  </w:num>
  <w:num w:numId="25">
    <w:abstractNumId w:val="12"/>
  </w:num>
  <w:num w:numId="26">
    <w:abstractNumId w:val="2"/>
  </w:num>
  <w:num w:numId="27">
    <w:abstractNumId w:val="39"/>
  </w:num>
  <w:num w:numId="28">
    <w:abstractNumId w:val="42"/>
  </w:num>
  <w:num w:numId="29">
    <w:abstractNumId w:val="32"/>
  </w:num>
  <w:num w:numId="30">
    <w:abstractNumId w:val="40"/>
  </w:num>
  <w:num w:numId="31">
    <w:abstractNumId w:val="38"/>
  </w:num>
  <w:num w:numId="32">
    <w:abstractNumId w:val="11"/>
  </w:num>
  <w:num w:numId="33">
    <w:abstractNumId w:val="21"/>
  </w:num>
  <w:num w:numId="34">
    <w:abstractNumId w:val="16"/>
  </w:num>
  <w:num w:numId="35">
    <w:abstractNumId w:val="27"/>
  </w:num>
  <w:num w:numId="36">
    <w:abstractNumId w:val="15"/>
  </w:num>
  <w:num w:numId="37">
    <w:abstractNumId w:val="18"/>
  </w:num>
  <w:num w:numId="38">
    <w:abstractNumId w:val="24"/>
  </w:num>
  <w:num w:numId="39">
    <w:abstractNumId w:val="0"/>
  </w:num>
  <w:num w:numId="40">
    <w:abstractNumId w:val="22"/>
  </w:num>
  <w:num w:numId="41">
    <w:abstractNumId w:val="13"/>
  </w:num>
  <w:num w:numId="42">
    <w:abstractNumId w:val="14"/>
  </w:num>
  <w:num w:numId="43">
    <w:abstractNumId w:val="31"/>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FC5"/>
    <w:rsid w:val="0002053F"/>
    <w:rsid w:val="00025373"/>
    <w:rsid w:val="0006253F"/>
    <w:rsid w:val="000945D1"/>
    <w:rsid w:val="000A1C18"/>
    <w:rsid w:val="001117C1"/>
    <w:rsid w:val="00114B69"/>
    <w:rsid w:val="001508AA"/>
    <w:rsid w:val="00152473"/>
    <w:rsid w:val="00166D94"/>
    <w:rsid w:val="001A1110"/>
    <w:rsid w:val="001A4573"/>
    <w:rsid w:val="001B63CD"/>
    <w:rsid w:val="0020783B"/>
    <w:rsid w:val="00234C39"/>
    <w:rsid w:val="002750F1"/>
    <w:rsid w:val="002A6331"/>
    <w:rsid w:val="002B4D99"/>
    <w:rsid w:val="002B79E5"/>
    <w:rsid w:val="002E35D0"/>
    <w:rsid w:val="003453E1"/>
    <w:rsid w:val="003648DE"/>
    <w:rsid w:val="00373CE8"/>
    <w:rsid w:val="00375B21"/>
    <w:rsid w:val="00382C92"/>
    <w:rsid w:val="003D3C2F"/>
    <w:rsid w:val="003E5644"/>
    <w:rsid w:val="00432B2F"/>
    <w:rsid w:val="00446387"/>
    <w:rsid w:val="00451442"/>
    <w:rsid w:val="00470168"/>
    <w:rsid w:val="00471288"/>
    <w:rsid w:val="004B0B09"/>
    <w:rsid w:val="004B4409"/>
    <w:rsid w:val="004C5DCF"/>
    <w:rsid w:val="004E5D09"/>
    <w:rsid w:val="004F7B8D"/>
    <w:rsid w:val="00550F2B"/>
    <w:rsid w:val="00556E8E"/>
    <w:rsid w:val="00565C98"/>
    <w:rsid w:val="00570CCB"/>
    <w:rsid w:val="00585AC8"/>
    <w:rsid w:val="005A5CE0"/>
    <w:rsid w:val="005C6DC0"/>
    <w:rsid w:val="005D0A77"/>
    <w:rsid w:val="005E15F3"/>
    <w:rsid w:val="00653A6E"/>
    <w:rsid w:val="006B1DFF"/>
    <w:rsid w:val="006C42D5"/>
    <w:rsid w:val="006D3A2D"/>
    <w:rsid w:val="00703556"/>
    <w:rsid w:val="007133FE"/>
    <w:rsid w:val="00726524"/>
    <w:rsid w:val="007B038F"/>
    <w:rsid w:val="007C1E5B"/>
    <w:rsid w:val="007C58BF"/>
    <w:rsid w:val="0087135E"/>
    <w:rsid w:val="00877382"/>
    <w:rsid w:val="0089763C"/>
    <w:rsid w:val="008A3936"/>
    <w:rsid w:val="008D6D27"/>
    <w:rsid w:val="008F7F24"/>
    <w:rsid w:val="00955828"/>
    <w:rsid w:val="00973C6D"/>
    <w:rsid w:val="00976671"/>
    <w:rsid w:val="0098625B"/>
    <w:rsid w:val="009A4E17"/>
    <w:rsid w:val="009B1A45"/>
    <w:rsid w:val="00A050D1"/>
    <w:rsid w:val="00A167DF"/>
    <w:rsid w:val="00A47400"/>
    <w:rsid w:val="00A617EC"/>
    <w:rsid w:val="00A77F8B"/>
    <w:rsid w:val="00A81F1E"/>
    <w:rsid w:val="00AA71A6"/>
    <w:rsid w:val="00B02657"/>
    <w:rsid w:val="00B93446"/>
    <w:rsid w:val="00BB6AB4"/>
    <w:rsid w:val="00BF1BE5"/>
    <w:rsid w:val="00C12BE3"/>
    <w:rsid w:val="00C44AB3"/>
    <w:rsid w:val="00C81E9E"/>
    <w:rsid w:val="00CE3D92"/>
    <w:rsid w:val="00CE6D7D"/>
    <w:rsid w:val="00D2008B"/>
    <w:rsid w:val="00D21AB7"/>
    <w:rsid w:val="00D30E44"/>
    <w:rsid w:val="00D3499C"/>
    <w:rsid w:val="00D45758"/>
    <w:rsid w:val="00D73BC3"/>
    <w:rsid w:val="00D74FC5"/>
    <w:rsid w:val="00DD47C8"/>
    <w:rsid w:val="00DE7779"/>
    <w:rsid w:val="00DF4B72"/>
    <w:rsid w:val="00E03DD4"/>
    <w:rsid w:val="00E451A0"/>
    <w:rsid w:val="00E505E3"/>
    <w:rsid w:val="00E634CD"/>
    <w:rsid w:val="00E90ABE"/>
    <w:rsid w:val="00E91277"/>
    <w:rsid w:val="00EB64FF"/>
    <w:rsid w:val="00F05850"/>
    <w:rsid w:val="00F13CD7"/>
    <w:rsid w:val="00F178E9"/>
    <w:rsid w:val="00F17FB1"/>
    <w:rsid w:val="00F7236D"/>
    <w:rsid w:val="00F90D9A"/>
    <w:rsid w:val="00F93005"/>
    <w:rsid w:val="00F940B2"/>
    <w:rsid w:val="00FB60AB"/>
    <w:rsid w:val="00FE13EF"/>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BA2BDA"/>
  <w14:defaultImageDpi w14:val="300"/>
  <w15:docId w15:val="{5FD0CE96-4168-4AA4-8A21-FD2AE6D47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FC5"/>
    <w:pPr>
      <w:spacing w:after="160" w:line="259" w:lineRule="auto"/>
    </w:pPr>
    <w:rPr>
      <w:rFonts w:eastAsiaTheme="minorHAnsi"/>
      <w:sz w:val="22"/>
      <w:szCs w:val="22"/>
      <w:lang w:val="es-CO"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74FC5"/>
    <w:rPr>
      <w:rFonts w:ascii="Times New Roman" w:hAnsi="Times New Roman" w:cs="Times New Roman"/>
      <w:sz w:val="24"/>
      <w:szCs w:val="24"/>
    </w:rPr>
  </w:style>
  <w:style w:type="table" w:styleId="Tablaconcuadrcula">
    <w:name w:val="Table Grid"/>
    <w:basedOn w:val="Tablanormal"/>
    <w:uiPriority w:val="59"/>
    <w:rsid w:val="00D74F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2">
    <w:name w:val="Light List Accent 2"/>
    <w:basedOn w:val="Tablanormal"/>
    <w:uiPriority w:val="61"/>
    <w:rsid w:val="00D74FC5"/>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extodeglobo">
    <w:name w:val="Balloon Text"/>
    <w:basedOn w:val="Normal"/>
    <w:link w:val="TextodegloboCar"/>
    <w:uiPriority w:val="99"/>
    <w:semiHidden/>
    <w:unhideWhenUsed/>
    <w:rsid w:val="00D74FC5"/>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74FC5"/>
    <w:rPr>
      <w:rFonts w:ascii="Lucida Grande" w:eastAsiaTheme="minorHAnsi" w:hAnsi="Lucida Grande" w:cs="Lucida Grande"/>
      <w:sz w:val="18"/>
      <w:szCs w:val="18"/>
      <w:lang w:val="es-CO" w:eastAsia="en-US"/>
    </w:rPr>
  </w:style>
  <w:style w:type="paragraph" w:styleId="Prrafodelista">
    <w:name w:val="List Paragraph"/>
    <w:basedOn w:val="Normal"/>
    <w:uiPriority w:val="34"/>
    <w:qFormat/>
    <w:rsid w:val="00DD47C8"/>
    <w:pPr>
      <w:ind w:left="720"/>
      <w:contextualSpacing/>
    </w:pPr>
  </w:style>
  <w:style w:type="character" w:styleId="Hipervnculo">
    <w:name w:val="Hyperlink"/>
    <w:basedOn w:val="Fuentedeprrafopredeter"/>
    <w:uiPriority w:val="99"/>
    <w:unhideWhenUsed/>
    <w:rsid w:val="00C81E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995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hef.ac.uk/FRAX)"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hyperlink" Target="http://www.who.int/iris/handle/10665/3914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doi.org/10.1359/JBMR.050314" TargetMode="External"/><Relationship Id="rId5" Type="http://schemas.openxmlformats.org/officeDocument/2006/relationships/image" Target="media/image1.emf"/><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5320</Words>
  <Characters>29262</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
    </vt:vector>
  </TitlesOfParts>
  <Company>PROHORMONAS</Company>
  <LinksUpToDate>false</LinksUpToDate>
  <CharactersWithSpaces>34513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CASTILLO</dc:creator>
  <cp:keywords/>
  <dc:description/>
  <cp:lastModifiedBy>Álvaro Urbano</cp:lastModifiedBy>
  <cp:revision>2</cp:revision>
  <dcterms:created xsi:type="dcterms:W3CDTF">2019-05-21T00:45:00Z</dcterms:created>
  <dcterms:modified xsi:type="dcterms:W3CDTF">2019-05-21T00:45:00Z</dcterms:modified>
</cp:coreProperties>
</file>