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400B1B" w14:textId="77777777" w:rsidR="00680378" w:rsidRPr="00680378" w:rsidRDefault="00680378" w:rsidP="00680378">
      <w:pPr>
        <w:jc w:val="center"/>
        <w:rPr>
          <w:rFonts w:ascii="Arial" w:hAnsi="Arial" w:cs="Arial"/>
          <w:b/>
          <w:sz w:val="20"/>
          <w:szCs w:val="20"/>
        </w:rPr>
      </w:pPr>
      <w:r w:rsidRPr="00680378">
        <w:rPr>
          <w:rFonts w:ascii="Arial" w:hAnsi="Arial" w:cs="Arial"/>
          <w:b/>
          <w:sz w:val="20"/>
          <w:szCs w:val="20"/>
          <w:lang w:val="es-ES_tradnl"/>
        </w:rPr>
        <w:t>Diplomado Virtual Osteoporosis</w:t>
      </w:r>
    </w:p>
    <w:p w14:paraId="49F6D31D" w14:textId="77777777" w:rsidR="00680378" w:rsidRPr="00680378" w:rsidRDefault="00680378" w:rsidP="00680378">
      <w:pPr>
        <w:spacing w:line="276" w:lineRule="auto"/>
        <w:jc w:val="center"/>
        <w:rPr>
          <w:rFonts w:ascii="Arial" w:hAnsi="Arial" w:cs="Arial"/>
          <w:b/>
          <w:sz w:val="20"/>
          <w:szCs w:val="20"/>
        </w:rPr>
      </w:pPr>
    </w:p>
    <w:p w14:paraId="1D0DE43E" w14:textId="77777777" w:rsidR="00680378" w:rsidRPr="00680378" w:rsidRDefault="00680378" w:rsidP="00680378">
      <w:pPr>
        <w:spacing w:line="276" w:lineRule="auto"/>
        <w:jc w:val="center"/>
        <w:rPr>
          <w:rFonts w:ascii="Arial" w:hAnsi="Arial" w:cs="Arial"/>
          <w:b/>
          <w:sz w:val="20"/>
          <w:szCs w:val="20"/>
        </w:rPr>
      </w:pPr>
    </w:p>
    <w:p w14:paraId="410B5D3D" w14:textId="1402763C" w:rsidR="00347072" w:rsidRPr="00680378" w:rsidRDefault="00680378" w:rsidP="00680378">
      <w:pPr>
        <w:spacing w:line="276" w:lineRule="auto"/>
        <w:jc w:val="both"/>
      </w:pPr>
      <w:r w:rsidRPr="00680378">
        <w:rPr>
          <w:rFonts w:ascii="Arial" w:hAnsi="Arial" w:cs="Arial"/>
          <w:b/>
          <w:sz w:val="20"/>
          <w:szCs w:val="20"/>
        </w:rPr>
        <w:t xml:space="preserve">Módulo 4: </w:t>
      </w:r>
      <w:r w:rsidR="00881C91" w:rsidRPr="00680378">
        <w:rPr>
          <w:rFonts w:ascii="Arial" w:hAnsi="Arial" w:cs="Arial"/>
          <w:b/>
          <w:sz w:val="20"/>
          <w:szCs w:val="20"/>
        </w:rPr>
        <w:t xml:space="preserve">Estrategias óptimas de tratamiento de la </w:t>
      </w:r>
      <w:r w:rsidR="00732552" w:rsidRPr="00680378">
        <w:rPr>
          <w:rFonts w:ascii="Arial" w:hAnsi="Arial" w:cs="Arial"/>
          <w:b/>
          <w:sz w:val="20"/>
          <w:szCs w:val="20"/>
        </w:rPr>
        <w:t>o</w:t>
      </w:r>
      <w:r w:rsidR="00881C91" w:rsidRPr="00680378">
        <w:rPr>
          <w:rFonts w:ascii="Arial" w:hAnsi="Arial" w:cs="Arial"/>
          <w:b/>
          <w:sz w:val="20"/>
          <w:szCs w:val="20"/>
        </w:rPr>
        <w:t>steoporosis postmenopáusica</w:t>
      </w:r>
    </w:p>
    <w:p w14:paraId="6C04D47C" w14:textId="77777777" w:rsidR="00347072" w:rsidRPr="00680378" w:rsidRDefault="00347072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u w:val="single"/>
          <w:lang w:eastAsia="es-AR"/>
        </w:rPr>
      </w:pPr>
    </w:p>
    <w:p w14:paraId="2F024058" w14:textId="2F37854A" w:rsidR="00347072" w:rsidRPr="00680378" w:rsidRDefault="00680378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Dr. </w:t>
      </w:r>
      <w:r w:rsidR="00347072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José Fernando Molina</w:t>
      </w:r>
      <w:r w:rsidR="006F4351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, MD</w:t>
      </w:r>
    </w:p>
    <w:p w14:paraId="5E70030E" w14:textId="725D1DC7" w:rsidR="00881C91" w:rsidRPr="00680378" w:rsidRDefault="00881C91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Médico Reumatólogo, Universidad del Estado de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Louisiana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New Orleans. </w:t>
      </w:r>
    </w:p>
    <w:p w14:paraId="36A0DC67" w14:textId="74683434" w:rsidR="00912D7C" w:rsidRPr="00680378" w:rsidRDefault="00881C91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Unidad de Osteoporosis y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Reumalab</w:t>
      </w:r>
      <w:proofErr w:type="spellEnd"/>
      <w:r w:rsidR="006F43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Medellín.</w:t>
      </w:r>
    </w:p>
    <w:p w14:paraId="32252D7B" w14:textId="346F9475" w:rsidR="006F4351" w:rsidRPr="00680378" w:rsidRDefault="006F4351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3C4863A7" w14:textId="3C77E353" w:rsidR="00C701D1" w:rsidRPr="006F2F3D" w:rsidRDefault="00C701D1" w:rsidP="00973322">
      <w:pPr>
        <w:pStyle w:val="Prrafodelista"/>
        <w:numPr>
          <w:ilvl w:val="0"/>
          <w:numId w:val="15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F2F3D">
        <w:rPr>
          <w:rStyle w:val="Textoennegrita"/>
          <w:rFonts w:ascii="Arial" w:hAnsi="Arial" w:cs="Arial"/>
          <w:sz w:val="20"/>
          <w:szCs w:val="20"/>
          <w:lang w:eastAsia="es-AR"/>
        </w:rPr>
        <w:t>Objetivos del módulo</w:t>
      </w:r>
    </w:p>
    <w:p w14:paraId="4607415D" w14:textId="1130A6EE" w:rsidR="00C701D1" w:rsidRPr="00680378" w:rsidRDefault="00720620" w:rsidP="00973322">
      <w:pPr>
        <w:pStyle w:val="Prrafodelista"/>
        <w:numPr>
          <w:ilvl w:val="0"/>
          <w:numId w:val="18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Conocer </w:t>
      </w:r>
      <w:r w:rsidR="00EB6DE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las estrategias aprobadas para el tratamiento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la osteoporosis</w:t>
      </w:r>
      <w:r w:rsidR="006F2F3D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6A4FF32B" w14:textId="5369388B" w:rsidR="00720620" w:rsidRPr="00680378" w:rsidRDefault="00720620" w:rsidP="00973322">
      <w:pPr>
        <w:pStyle w:val="Prrafodelista"/>
        <w:numPr>
          <w:ilvl w:val="0"/>
          <w:numId w:val="18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Identificar los diferentes tipos de medicamentos para el manejo de la osteoporosis, dosis y efectos secundarios</w:t>
      </w:r>
      <w:r w:rsidR="006F2F3D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007E61B9" w14:textId="4378646F" w:rsidR="00C701D1" w:rsidRPr="00680378" w:rsidRDefault="00EB6DE7" w:rsidP="00973322">
      <w:pPr>
        <w:pStyle w:val="Prrafodelista"/>
        <w:numPr>
          <w:ilvl w:val="0"/>
          <w:numId w:val="18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Plantear un esquema de manejo para osteoporosis postmenopáusica</w:t>
      </w:r>
      <w:r w:rsidR="006F2F3D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</w:p>
    <w:p w14:paraId="213313B4" w14:textId="77777777" w:rsidR="00EB6DE7" w:rsidRPr="00680378" w:rsidRDefault="00EB6DE7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6FE5E44A" w14:textId="77777777" w:rsidR="00EB6DE7" w:rsidRPr="00680378" w:rsidRDefault="00EB6DE7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052E00C3" w14:textId="6021C0F8" w:rsidR="00C701D1" w:rsidRPr="006F2F3D" w:rsidRDefault="00973322" w:rsidP="00973322">
      <w:pPr>
        <w:pStyle w:val="Prrafodelista"/>
        <w:numPr>
          <w:ilvl w:val="0"/>
          <w:numId w:val="15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F2F3D">
        <w:rPr>
          <w:rStyle w:val="Textoennegrita"/>
          <w:rFonts w:ascii="Arial" w:hAnsi="Arial" w:cs="Arial"/>
          <w:sz w:val="20"/>
          <w:szCs w:val="20"/>
          <w:lang w:eastAsia="es-AR"/>
        </w:rPr>
        <w:t>Introducción</w:t>
      </w:r>
    </w:p>
    <w:p w14:paraId="45A8BBAF" w14:textId="77777777" w:rsidR="00910CA5" w:rsidRPr="00680378" w:rsidRDefault="00910CA5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106BDB93" w14:textId="532DC24B" w:rsidR="00027AC5" w:rsidRPr="00680378" w:rsidRDefault="0018655C" w:rsidP="006F4351">
      <w:pPr>
        <w:pStyle w:val="sintab"/>
        <w:spacing w:after="30" w:line="276" w:lineRule="auto"/>
        <w:rPr>
          <w:rStyle w:val="Textoennegrita"/>
          <w:rFonts w:ascii="Arial" w:hAnsi="Arial" w:cs="Arial"/>
          <w:color w:val="auto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color w:val="auto"/>
          <w:sz w:val="20"/>
          <w:szCs w:val="20"/>
          <w:lang w:eastAsia="es-AR"/>
        </w:rPr>
        <w:t xml:space="preserve">La osteoporosis (OP) es una enfermedad </w:t>
      </w:r>
      <w:r w:rsidR="00027AC5" w:rsidRPr="00680378">
        <w:rPr>
          <w:rStyle w:val="Textoennegrita"/>
          <w:rFonts w:ascii="Arial" w:hAnsi="Arial" w:cs="Arial"/>
          <w:color w:val="auto"/>
          <w:sz w:val="20"/>
          <w:szCs w:val="20"/>
          <w:lang w:eastAsia="es-AR"/>
        </w:rPr>
        <w:t xml:space="preserve">esquelética sistémica caracterizada por baja masa ósea y deterioro de la </w:t>
      </w:r>
      <w:proofErr w:type="spellStart"/>
      <w:r w:rsidR="00027AC5" w:rsidRPr="00680378">
        <w:rPr>
          <w:rStyle w:val="Textoennegrita"/>
          <w:rFonts w:ascii="Arial" w:hAnsi="Arial" w:cs="Arial"/>
          <w:color w:val="auto"/>
          <w:sz w:val="20"/>
          <w:szCs w:val="20"/>
          <w:lang w:eastAsia="es-AR"/>
        </w:rPr>
        <w:t>microarquitectura</w:t>
      </w:r>
      <w:proofErr w:type="spellEnd"/>
      <w:r w:rsidR="00027AC5" w:rsidRPr="00680378">
        <w:rPr>
          <w:rStyle w:val="Textoennegrita"/>
          <w:rFonts w:ascii="Arial" w:hAnsi="Arial" w:cs="Arial"/>
          <w:color w:val="auto"/>
          <w:sz w:val="20"/>
          <w:szCs w:val="20"/>
          <w:lang w:eastAsia="es-AR"/>
        </w:rPr>
        <w:t xml:space="preserve"> del tejido óseo con un aumento en la fragilidad del hueso que pr</w:t>
      </w:r>
      <w:r w:rsidR="00C701D1" w:rsidRPr="00680378">
        <w:rPr>
          <w:rStyle w:val="Textoennegrita"/>
          <w:rFonts w:ascii="Arial" w:hAnsi="Arial" w:cs="Arial"/>
          <w:color w:val="auto"/>
          <w:sz w:val="20"/>
          <w:szCs w:val="20"/>
          <w:lang w:eastAsia="es-AR"/>
        </w:rPr>
        <w:t xml:space="preserve">edispone al riesgo de fractura </w:t>
      </w:r>
      <w:r w:rsidRPr="00680378">
        <w:rPr>
          <w:rStyle w:val="Textoennegrita"/>
          <w:rFonts w:ascii="Arial" w:hAnsi="Arial" w:cs="Arial"/>
          <w:color w:val="auto"/>
          <w:sz w:val="20"/>
          <w:szCs w:val="20"/>
          <w:lang w:eastAsia="es-AR"/>
        </w:rPr>
        <w:t xml:space="preserve">de bajo trauma o sin trauma, afectando a la población mundial generando gastos importantes en la salud pública. </w:t>
      </w:r>
    </w:p>
    <w:p w14:paraId="14D341CA" w14:textId="77777777" w:rsidR="006E52A5" w:rsidRPr="00680378" w:rsidRDefault="006E52A5" w:rsidP="006F4351">
      <w:pPr>
        <w:pStyle w:val="sintab"/>
        <w:spacing w:after="30" w:line="276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680378">
        <w:rPr>
          <w:rFonts w:ascii="Arial" w:hAnsi="Arial" w:cs="Arial"/>
          <w:b w:val="0"/>
          <w:color w:val="auto"/>
          <w:sz w:val="20"/>
          <w:szCs w:val="20"/>
        </w:rPr>
        <w:t>El objetivo del tratamien</w:t>
      </w:r>
      <w:r w:rsidR="00347072" w:rsidRPr="00680378">
        <w:rPr>
          <w:rFonts w:ascii="Arial" w:hAnsi="Arial" w:cs="Arial"/>
          <w:b w:val="0"/>
          <w:color w:val="auto"/>
          <w:sz w:val="20"/>
          <w:szCs w:val="20"/>
        </w:rPr>
        <w:t>to de pacientes con OP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es prevenir</w:t>
      </w:r>
      <w:r w:rsidR="0034707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la</w:t>
      </w:r>
      <w:r w:rsidR="00D7519D" w:rsidRPr="00680378">
        <w:rPr>
          <w:rFonts w:ascii="Arial" w:hAnsi="Arial" w:cs="Arial"/>
          <w:b w:val="0"/>
          <w:color w:val="auto"/>
          <w:sz w:val="20"/>
          <w:szCs w:val="20"/>
        </w:rPr>
        <w:t>s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fracturas, disminuir el dolor si estuviera presente y mantener la función esquelética. </w:t>
      </w:r>
    </w:p>
    <w:p w14:paraId="078F9C62" w14:textId="02078BF4" w:rsidR="006E52A5" w:rsidRPr="00680378" w:rsidRDefault="006E52A5" w:rsidP="006F4351">
      <w:pPr>
        <w:pStyle w:val="sintab"/>
        <w:spacing w:after="30" w:line="276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680378">
        <w:rPr>
          <w:rFonts w:ascii="Arial" w:hAnsi="Arial" w:cs="Arial"/>
          <w:b w:val="0"/>
          <w:color w:val="auto"/>
          <w:sz w:val="20"/>
          <w:szCs w:val="20"/>
        </w:rPr>
        <w:t>La educación del paciente comienza desde la infancia con una buena nutrición y la práctica de ejercicio físico</w:t>
      </w:r>
      <w:r w:rsidR="00D464B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que debe ser mantenida en la adultez</w:t>
      </w:r>
      <w:r w:rsidR="001F3DA8" w:rsidRPr="00680378">
        <w:rPr>
          <w:rFonts w:ascii="Arial" w:hAnsi="Arial" w:cs="Arial"/>
          <w:b w:val="0"/>
          <w:color w:val="auto"/>
          <w:sz w:val="20"/>
          <w:szCs w:val="20"/>
        </w:rPr>
        <w:t>, esto con el fin de lograr un adecuado pico de masa ósea (PMO).</w:t>
      </w:r>
    </w:p>
    <w:p w14:paraId="2B6EFF58" w14:textId="684E0658" w:rsidR="00A33F54" w:rsidRPr="00680378" w:rsidRDefault="003D202D" w:rsidP="006F4351">
      <w:p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El tratamiento incluye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:</w:t>
      </w:r>
    </w:p>
    <w:p w14:paraId="5C469F18" w14:textId="4E6506CE" w:rsidR="00ED47D7" w:rsidRPr="00680378" w:rsidRDefault="00027AC5" w:rsidP="006F4351">
      <w:pPr>
        <w:pStyle w:val="Prrafodelista"/>
        <w:numPr>
          <w:ilvl w:val="0"/>
          <w:numId w:val="1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M</w:t>
      </w:r>
      <w:r w:rsidR="003D202D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edidas</w:t>
      </w:r>
      <w:r w:rsidR="00A33F54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generales</w:t>
      </w:r>
      <w:r w:rsidR="003D202D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de prevención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.</w:t>
      </w:r>
      <w:r w:rsidR="003D202D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</w:t>
      </w:r>
    </w:p>
    <w:p w14:paraId="1C524A8A" w14:textId="77777777" w:rsidR="00ED47D7" w:rsidRPr="006F2F3D" w:rsidRDefault="00ED47D7" w:rsidP="006F2F3D">
      <w:pPr>
        <w:pStyle w:val="Prrafodelista"/>
        <w:numPr>
          <w:ilvl w:val="0"/>
          <w:numId w:val="1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F2F3D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Tratamiento farmacológico de l</w:t>
      </w:r>
      <w:r w:rsidR="00A33F54" w:rsidRPr="006F2F3D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 enferme</w:t>
      </w:r>
      <w:r w:rsidRPr="006F2F3D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dad.</w:t>
      </w:r>
    </w:p>
    <w:p w14:paraId="1C025C6A" w14:textId="19C567BE" w:rsidR="00347072" w:rsidRPr="00680378" w:rsidRDefault="00A33F54" w:rsidP="006F4351">
      <w:pPr>
        <w:pStyle w:val="Prrafodelista"/>
        <w:numPr>
          <w:ilvl w:val="0"/>
          <w:numId w:val="1"/>
        </w:numPr>
        <w:shd w:val="clear" w:color="auto" w:fill="FFFFFF"/>
        <w:spacing w:after="30"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Manejo 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</w:t>
      </w:r>
      <w:r w:rsidR="0034707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las </w:t>
      </w:r>
      <w:r w:rsidR="00D46FC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fracturas asociadas a la </w:t>
      </w:r>
      <w:r w:rsidR="00D85F8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osteoporosis (tema no cubierto en este documento).</w:t>
      </w:r>
    </w:p>
    <w:p w14:paraId="219FFE8A" w14:textId="77777777" w:rsidR="00347072" w:rsidRPr="00680378" w:rsidRDefault="00347072" w:rsidP="006F4351">
      <w:pPr>
        <w:pStyle w:val="Prrafodelista"/>
        <w:shd w:val="clear" w:color="auto" w:fill="FFFFFF"/>
        <w:spacing w:line="276" w:lineRule="auto"/>
        <w:ind w:left="780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11F4B82C" w14:textId="22CDC2B2" w:rsidR="00ED47D7" w:rsidRPr="00680378" w:rsidRDefault="00973322" w:rsidP="00973322">
      <w:pPr>
        <w:pStyle w:val="Prrafodelista"/>
        <w:numPr>
          <w:ilvl w:val="0"/>
          <w:numId w:val="15"/>
        </w:num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¿Cuáles son las medidas </w:t>
      </w:r>
      <w:r w:rsidR="00D464B9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generales </w:t>
      </w:r>
      <w:r w:rsidR="00ED47D7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de prevención</w:t>
      </w: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 de la osteoporosis</w:t>
      </w:r>
      <w:r w:rsidR="00D464B9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 y </w:t>
      </w: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las </w:t>
      </w:r>
      <w:r w:rsidR="00D464B9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frac</w:t>
      </w:r>
      <w:r w:rsidR="00ED617F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t</w:t>
      </w:r>
      <w:r w:rsidR="00D464B9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uras</w:t>
      </w: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?</w:t>
      </w:r>
    </w:p>
    <w:p w14:paraId="744A20C3" w14:textId="77777777" w:rsidR="00A33F54" w:rsidRPr="00680378" w:rsidRDefault="00A33F54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5AD7BC32" w14:textId="366B017D" w:rsidR="00ED47D7" w:rsidRPr="00680378" w:rsidRDefault="00ED47D7" w:rsidP="00C701D1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Idealmente, la </w:t>
      </w:r>
      <w:r w:rsidR="0097332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osteoporosis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debe ser prevenida antes de que se inicie el proceso de </w:t>
      </w:r>
      <w:r w:rsidR="00E24F8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pérdida de la masa ósea y ocurra la fractura. Las medidas de prevención y tratamiento requieren ser individualizadas, tomando en cuenta la edad, 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los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factor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 riesgo,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los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estilo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 de vida y las comorbili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dades.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 decisión terapéutica debe realizarse en form</w:t>
      </w:r>
      <w:r w:rsidR="00E24F8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 individual teniendo en cuenta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que la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mayoría de las fracturas</w:t>
      </w:r>
      <w:r w:rsidR="00E24F8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ocurren</w:t>
      </w:r>
      <w:r w:rsidR="006F2F3D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 mujeres postmenopáusicas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con hallazgos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densitométricos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 baja masa ósea (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osteopénicas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por lo que además se deben considerar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los </w:t>
      </w:r>
      <w:r w:rsidR="00E24F8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factores de riesgo de fractura</w:t>
      </w:r>
      <w:r w:rsidR="00E46F5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215B9E9C" w14:textId="6E8A8772" w:rsidR="00347072" w:rsidRPr="00680378" w:rsidRDefault="00E24F8B" w:rsidP="00C701D1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urante la infancia y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adolescencia se</w:t>
      </w:r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debería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optimizar el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PMO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pues es bien sabido que hasta el 75% 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este,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es determinado genéticamente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 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Se deben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evaluar los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factores no genéticos que pueden tener un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efecto advers</w:t>
      </w:r>
      <w:r w:rsidR="00027A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o en el PMO, éstos incluyen: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factores nutricionales, actividad física, presencia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de enfermedades concomitantes y uso de 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medicamentos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 El emba</w:t>
      </w:r>
      <w:r w:rsidR="0034707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razo y la lactancia suponen un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esfuerzo adicional en la masa ósea materna, por tanto, se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debe hacer soporte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nutricional y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 micronutrien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tes </w:t>
      </w:r>
      <w:r w:rsidR="005A599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 gestante.</w:t>
      </w:r>
    </w:p>
    <w:p w14:paraId="52E09559" w14:textId="3E112933" w:rsidR="00ED47D7" w:rsidRPr="00680378" w:rsidRDefault="00347072" w:rsidP="00C701D1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lastRenderedPageBreak/>
        <w:t>La pérdida ós</w:t>
      </w:r>
      <w:r w:rsidR="00C701D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ea relacionada a la menopausia </w:t>
      </w:r>
      <w:r w:rsidR="00792E51" w:rsidRPr="00680378">
        <w:rPr>
          <w:rFonts w:ascii="Arial" w:eastAsia="Times New Roman" w:hAnsi="Arial" w:cs="Arial"/>
          <w:sz w:val="20"/>
          <w:szCs w:val="20"/>
          <w:lang w:eastAsia="es-AR"/>
        </w:rPr>
        <w:t>c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omienza 5 años antes del cese menstrual y continua </w:t>
      </w:r>
      <w:r w:rsidR="00792E5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hasta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3 a 5 años </w:t>
      </w:r>
      <w:r w:rsidR="00E46F53" w:rsidRPr="00680378">
        <w:rPr>
          <w:rFonts w:ascii="Arial" w:eastAsia="Times New Roman" w:hAnsi="Arial" w:cs="Arial"/>
          <w:sz w:val="20"/>
          <w:szCs w:val="20"/>
          <w:lang w:eastAsia="es-AR"/>
        </w:rPr>
        <w:t>despué</w:t>
      </w:r>
      <w:r w:rsidR="00792E51" w:rsidRPr="00680378">
        <w:rPr>
          <w:rFonts w:ascii="Arial" w:eastAsia="Times New Roman" w:hAnsi="Arial" w:cs="Arial"/>
          <w:sz w:val="20"/>
          <w:szCs w:val="20"/>
          <w:lang w:eastAsia="es-AR"/>
        </w:rPr>
        <w:t>s,</w:t>
      </w:r>
      <w:r w:rsidR="00AE4AE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 es de 1 a 2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% por año</w:t>
      </w:r>
      <w:r w:rsidR="00792E51" w:rsidRPr="00680378">
        <w:rPr>
          <w:rFonts w:ascii="Arial" w:eastAsia="Times New Roman" w:hAnsi="Arial" w:cs="Arial"/>
          <w:sz w:val="20"/>
          <w:szCs w:val="20"/>
          <w:lang w:eastAsia="es-AR"/>
        </w:rPr>
        <w:t>;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una p</w:t>
      </w:r>
      <w:r w:rsidR="00792E51" w:rsidRPr="00680378">
        <w:rPr>
          <w:rFonts w:ascii="Arial" w:eastAsia="Times New Roman" w:hAnsi="Arial" w:cs="Arial"/>
          <w:sz w:val="20"/>
          <w:szCs w:val="20"/>
          <w:lang w:eastAsia="es-AR"/>
        </w:rPr>
        <w:t>é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rdida más rápida puede ocurrir en mujeres con menopausia natural que suspenden la terapia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estrogé</w:t>
      </w:r>
      <w:r w:rsidR="00EF1FA1" w:rsidRPr="00680378">
        <w:rPr>
          <w:rFonts w:ascii="Arial" w:eastAsia="Times New Roman" w:hAnsi="Arial" w:cs="Arial"/>
          <w:sz w:val="20"/>
          <w:szCs w:val="20"/>
          <w:lang w:eastAsia="es-AR"/>
        </w:rPr>
        <w:t>nica</w:t>
      </w:r>
      <w:proofErr w:type="spellEnd"/>
      <w:r w:rsidR="00EF1FA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o inician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terapia con glucocorticoides o inhibidores de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aromatasa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(3-5% por año)</w:t>
      </w:r>
      <w:r w:rsidR="00E46F5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0E7DAB65" w14:textId="77777777" w:rsidR="00C701D1" w:rsidRPr="00680378" w:rsidRDefault="00C701D1" w:rsidP="00C701D1">
      <w:pPr>
        <w:shd w:val="clear" w:color="auto" w:fill="FFFFFF"/>
        <w:spacing w:line="276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0"/>
          <w:szCs w:val="20"/>
          <w:lang w:eastAsia="es-AR"/>
        </w:rPr>
      </w:pPr>
    </w:p>
    <w:p w14:paraId="0CCE4689" w14:textId="26EDBBF5" w:rsidR="00ED47D7" w:rsidRPr="00680378" w:rsidRDefault="00EF1FA1" w:rsidP="00D46FCD">
      <w:pPr>
        <w:shd w:val="clear" w:color="auto" w:fill="FFFFFF"/>
        <w:tabs>
          <w:tab w:val="right" w:pos="9404"/>
        </w:tabs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Las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recom</w:t>
      </w:r>
      <w:r w:rsidR="00912D7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endaciones </w:t>
      </w:r>
      <w:r w:rsidR="00C701D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no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farmacológicas incluyen:</w:t>
      </w:r>
      <w:r w:rsidR="008A065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(Camacho P</w:t>
      </w:r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., et </w:t>
      </w:r>
      <w:r w:rsidR="008A065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al, 2016) (</w:t>
      </w:r>
      <w:proofErr w:type="spellStart"/>
      <w:r w:rsidR="008A065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Cosman</w:t>
      </w:r>
      <w:proofErr w:type="spellEnd"/>
      <w:r w:rsidR="008A065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F.</w:t>
      </w:r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8A065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</w:t>
      </w:r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t </w:t>
      </w:r>
      <w:r w:rsidR="008A065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al 2014)</w:t>
      </w:r>
      <w:r w:rsidR="00D46FCD" w:rsidRPr="00680378">
        <w:rPr>
          <w:rStyle w:val="Textoennegrita"/>
          <w:rFonts w:ascii="Arial" w:hAnsi="Arial" w:cs="Arial"/>
          <w:b w:val="0"/>
          <w:sz w:val="20"/>
          <w:szCs w:val="20"/>
          <w:vertAlign w:val="superscript"/>
          <w:lang w:eastAsia="es-AR"/>
        </w:rPr>
        <w:tab/>
      </w:r>
    </w:p>
    <w:p w14:paraId="6074A905" w14:textId="77777777" w:rsidR="00ED47D7" w:rsidRPr="00680378" w:rsidRDefault="00ED47D7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768507F2" w14:textId="77777777" w:rsidR="00F6297E" w:rsidRPr="00680378" w:rsidRDefault="00F6297E" w:rsidP="002D6EEF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  <w:t>Actividad física y factores de riesgo modificables:</w:t>
      </w:r>
    </w:p>
    <w:p w14:paraId="17D01F6B" w14:textId="53D9A029" w:rsidR="000600E3" w:rsidRPr="00680378" w:rsidRDefault="008E2FBA" w:rsidP="00C701D1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Ejercicios </w:t>
      </w:r>
      <w:r w:rsidR="00C701D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con</w:t>
      </w:r>
      <w:r w:rsidR="002D6EE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carga </w:t>
      </w:r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de 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peso</w:t>
      </w:r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 d</w:t>
      </w:r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 resistencia pueden incrementar la masa muscular e incrementar transitoriamente la </w:t>
      </w:r>
      <w:r w:rsidR="00EF1FA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densidad mineral ósea (DMO). Así</w:t>
      </w:r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mismo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programas de ejercicios tales como yoga y </w:t>
      </w:r>
      <w:proofErr w:type="spellStart"/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tai</w:t>
      </w:r>
      <w:proofErr w:type="spellEnd"/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chi</w:t>
      </w:r>
      <w:proofErr w:type="spellEnd"/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pueden mejorar el tono muscular y el equilibrio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 secundariamente reducir el riesgo de caídas. </w:t>
      </w:r>
      <w:r w:rsidR="00C701D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Otras medid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as importantes, incluyen, e</w:t>
      </w:r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vitar el tabaco </w:t>
      </w:r>
      <w:r w:rsidR="00310A9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ya que reduce la DMO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r</w:t>
      </w:r>
      <w:r w:rsidR="00310A9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educir la ingesta de </w:t>
      </w:r>
      <w:r w:rsidR="00F6297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alcohol que puede incrementar el riesgo de caídas</w:t>
      </w:r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genera deficiencia de calcio y enfermedad hepática crónica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 Con relación a la ingesta de calcio, s</w:t>
      </w:r>
      <w:r w:rsidR="000600E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 sugiere una dieta con un contenido adecuado de calcio de aproximadamente 1200 mg/día preferentemente a través de la dieta.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Adicionalmente, se recomienda u</w:t>
      </w:r>
      <w:r w:rsidR="00945C3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 buen aporte </w:t>
      </w:r>
      <w:r w:rsidR="00AD657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proteico</w:t>
      </w:r>
      <w:r w:rsidR="000600E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1 gramo por día y otros nutrientes tales como vitaminas y minerales.</w:t>
      </w:r>
    </w:p>
    <w:p w14:paraId="2652086A" w14:textId="64F4782D" w:rsidR="000600E3" w:rsidRPr="00680378" w:rsidRDefault="000600E3" w:rsidP="00C701D1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Se recomienda un nivel 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sérico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de vitamina D mayor a 30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ng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/ml. Con dosis de 800 UI</w:t>
      </w:r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/día </w:t>
      </w:r>
      <w:r w:rsidR="00945C3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 má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s, </w:t>
      </w:r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vitamina D en combinación con calcio se ha observado reducción </w:t>
      </w:r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del riesgo de frac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</w:t>
      </w:r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u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ras de cadera y no vertebrales en pacientes de edad avanzada.</w:t>
      </w:r>
    </w:p>
    <w:p w14:paraId="11B333B6" w14:textId="77777777" w:rsidR="00C701D1" w:rsidRPr="00680378" w:rsidRDefault="00C701D1" w:rsidP="00C701D1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i/>
          <w:sz w:val="20"/>
          <w:szCs w:val="20"/>
          <w:lang w:eastAsia="es-AR"/>
        </w:rPr>
      </w:pPr>
    </w:p>
    <w:p w14:paraId="34199B5B" w14:textId="77777777" w:rsidR="00FB64D8" w:rsidRPr="00680378" w:rsidRDefault="00E859CB" w:rsidP="002D6EEF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  <w:t>Prevención de caídas</w:t>
      </w:r>
      <w:r w:rsidR="00FB64D8" w:rsidRPr="00680378"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  <w:t xml:space="preserve">: </w:t>
      </w:r>
    </w:p>
    <w:p w14:paraId="5569CB86" w14:textId="0D5AA027" w:rsidR="00FB64D8" w:rsidRPr="00680378" w:rsidRDefault="00EF1FA1" w:rsidP="00C701D1">
      <w:pPr>
        <w:pStyle w:val="Prrafodelista"/>
        <w:numPr>
          <w:ilvl w:val="0"/>
          <w:numId w:val="7"/>
        </w:num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Evitar m</w:t>
      </w:r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edicaciones tales como sedantes, analgésicos narcóticos, </w:t>
      </w:r>
      <w:proofErr w:type="spellStart"/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hipogl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</w:t>
      </w:r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cemiantes</w:t>
      </w:r>
      <w:proofErr w:type="spellEnd"/>
      <w:r w:rsidR="00FB64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hipotensores que enlentecen o alteran la coordinación neuromuscular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56B1A8DF" w14:textId="77777777" w:rsidR="00E859CB" w:rsidRPr="00680378" w:rsidRDefault="00FB64D8" w:rsidP="00C701D1">
      <w:pPr>
        <w:pStyle w:val="Prrafodelista"/>
        <w:numPr>
          <w:ilvl w:val="0"/>
          <w:numId w:val="7"/>
        </w:num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Defectos de la visión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78A86101" w14:textId="77777777" w:rsidR="00FB64D8" w:rsidRPr="00680378" w:rsidRDefault="00FB64D8" w:rsidP="006F4351">
      <w:pPr>
        <w:pStyle w:val="Prrafodelista"/>
        <w:numPr>
          <w:ilvl w:val="0"/>
          <w:numId w:val="7"/>
        </w:num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Obstáculos tales como alfombras, mala iluminación, cables etc.</w:t>
      </w:r>
    </w:p>
    <w:p w14:paraId="6E9E5613" w14:textId="77777777" w:rsidR="00FB64D8" w:rsidRPr="00680378" w:rsidRDefault="00FB64D8" w:rsidP="006F4351">
      <w:pPr>
        <w:pStyle w:val="Prrafodelista"/>
        <w:numPr>
          <w:ilvl w:val="0"/>
          <w:numId w:val="7"/>
        </w:num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Animales domésticos.</w:t>
      </w:r>
    </w:p>
    <w:p w14:paraId="4B591AB3" w14:textId="68BE9F47" w:rsidR="00FB64D8" w:rsidRPr="00680378" w:rsidRDefault="00FB64D8" w:rsidP="006F4351">
      <w:pPr>
        <w:pStyle w:val="Prrafodelista"/>
        <w:numPr>
          <w:ilvl w:val="0"/>
          <w:numId w:val="7"/>
        </w:num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Arritmias, deshidratación, depresión, etc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50987F1D" w14:textId="171E6189" w:rsidR="00792E51" w:rsidRPr="00680378" w:rsidRDefault="00EE1E4B" w:rsidP="006F4351">
      <w:pPr>
        <w:pStyle w:val="Prrafodelista"/>
        <w:numPr>
          <w:ilvl w:val="0"/>
          <w:numId w:val="7"/>
        </w:num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</w:t>
      </w:r>
      <w:r w:rsidR="00EF1FA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actores de riesgo </w:t>
      </w:r>
      <w:proofErr w:type="spellStart"/>
      <w:r w:rsidR="00EF1FA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musculoesquelé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ticos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 neurológicos: causas secundarias de OP, alteraciones de la movilidad, cifos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is, alteraciones del equilibrio.</w:t>
      </w:r>
    </w:p>
    <w:p w14:paraId="5A65810F" w14:textId="68496273" w:rsidR="00792E51" w:rsidRPr="00680378" w:rsidRDefault="002D6EEF" w:rsidP="002D6EEF">
      <w:pPr>
        <w:shd w:val="clear" w:color="auto" w:fill="FFFFFF"/>
        <w:tabs>
          <w:tab w:val="left" w:pos="4138"/>
        </w:tabs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ab/>
      </w:r>
    </w:p>
    <w:p w14:paraId="6252B6A8" w14:textId="20602E51" w:rsidR="002D6EEF" w:rsidRPr="006F2F3D" w:rsidRDefault="002D6EEF" w:rsidP="00973322">
      <w:pPr>
        <w:pStyle w:val="Prrafodelista"/>
        <w:numPr>
          <w:ilvl w:val="0"/>
          <w:numId w:val="15"/>
        </w:numPr>
        <w:shd w:val="clear" w:color="auto" w:fill="FFFFFF"/>
        <w:tabs>
          <w:tab w:val="left" w:pos="4138"/>
        </w:tabs>
        <w:spacing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F2F3D">
        <w:rPr>
          <w:rStyle w:val="Textoennegrita"/>
          <w:rFonts w:ascii="Arial" w:hAnsi="Arial" w:cs="Arial"/>
          <w:sz w:val="20"/>
          <w:szCs w:val="20"/>
          <w:lang w:eastAsia="es-AR"/>
        </w:rPr>
        <w:t>¿Cuál debe ser el tratamiento farmacológico de la osteoporosis?</w:t>
      </w:r>
    </w:p>
    <w:p w14:paraId="24DDA0D6" w14:textId="77777777" w:rsidR="00973322" w:rsidRPr="00680378" w:rsidRDefault="00973322" w:rsidP="00973322">
      <w:pPr>
        <w:pStyle w:val="Prrafodelista"/>
        <w:shd w:val="clear" w:color="auto" w:fill="FFFFFF"/>
        <w:tabs>
          <w:tab w:val="left" w:pos="4138"/>
        </w:tabs>
        <w:spacing w:line="276" w:lineRule="auto"/>
        <w:ind w:left="360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34F58FE1" w14:textId="599BD849" w:rsidR="009C2736" w:rsidRPr="00680378" w:rsidRDefault="00ED47D7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Los medicam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entos empleados en el tratamien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to de la osteopo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rosis, están divididos en </w:t>
      </w:r>
      <w:proofErr w:type="spellStart"/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anti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resortivos</w:t>
      </w:r>
      <w:proofErr w:type="spellEnd"/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(reducen el </w:t>
      </w:r>
      <w:proofErr w:type="spellStart"/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remodelamineto</w:t>
      </w:r>
      <w:proofErr w:type="spellEnd"/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oseo</w:t>
      </w:r>
      <w:proofErr w:type="spellEnd"/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osteoformadores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E85009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</w:t>
      </w:r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anabólicos (estimulan los osteobl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astos para formar nuevo hueso) </w:t>
      </w:r>
      <w:r w:rsidR="009C273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(</w:t>
      </w:r>
      <w:r w:rsidR="0097332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ver 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</w:t>
      </w:r>
      <w:r w:rsidR="009C273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abla </w:t>
      </w:r>
      <w:r w:rsidR="001009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No </w:t>
      </w:r>
      <w:r w:rsidR="009C273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1)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</w:t>
      </w:r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Est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</w:t>
      </w:r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 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medicamentos</w:t>
      </w:r>
      <w:r w:rsidR="00EE1E4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han mostrado mejorar la DMO y reducir el riesgo de fracturas</w:t>
      </w:r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(Camacho P., et al, 2016) (</w:t>
      </w:r>
      <w:proofErr w:type="spellStart"/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Cosman</w:t>
      </w:r>
      <w:proofErr w:type="spellEnd"/>
      <w:r w:rsidR="00953BA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F., et al 2014)</w:t>
      </w:r>
      <w:r w:rsidR="00CA03C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5CCED099" w14:textId="0ABDAF7C" w:rsidR="002D6EEF" w:rsidRPr="00680378" w:rsidRDefault="002D6EEF" w:rsidP="002D6EEF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05257579" w14:textId="77777777" w:rsidR="002D6EEF" w:rsidRPr="00680378" w:rsidRDefault="002D6EEF" w:rsidP="002D6EEF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0390CAD5" w14:textId="5E316F6D" w:rsidR="002D6EEF" w:rsidRPr="00680378" w:rsidRDefault="002D6EEF" w:rsidP="002D6EEF">
      <w:pPr>
        <w:shd w:val="clear" w:color="auto" w:fill="FFFFFF"/>
        <w:spacing w:line="276" w:lineRule="auto"/>
        <w:jc w:val="center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Tabla </w:t>
      </w:r>
      <w:r w:rsidR="001009D8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No </w:t>
      </w: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1. Clasificación de los medicamentos empleados en el tratamiento de la OP</w:t>
      </w:r>
    </w:p>
    <w:tbl>
      <w:tblPr>
        <w:tblStyle w:val="Tabladelista3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3402"/>
      </w:tblGrid>
      <w:tr w:rsidR="00680378" w:rsidRPr="00680378" w14:paraId="4CB80179" w14:textId="77777777" w:rsidTr="00170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36" w:type="dxa"/>
          </w:tcPr>
          <w:p w14:paraId="64C1F204" w14:textId="33C9172E" w:rsidR="002D6EEF" w:rsidRPr="00680378" w:rsidRDefault="002D6EEF" w:rsidP="002D6EE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color w:val="auto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/>
                <w:color w:val="auto"/>
                <w:sz w:val="20"/>
                <w:szCs w:val="20"/>
                <w:lang w:eastAsia="es-AR"/>
              </w:rPr>
              <w:t>Antiresortivos</w:t>
            </w:r>
            <w:proofErr w:type="spellEnd"/>
          </w:p>
        </w:tc>
        <w:tc>
          <w:tcPr>
            <w:tcW w:w="3402" w:type="dxa"/>
          </w:tcPr>
          <w:p w14:paraId="7F6E7CD5" w14:textId="448B03E5" w:rsidR="002D6EEF" w:rsidRPr="00680378" w:rsidRDefault="002D6EEF" w:rsidP="002D6EE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/>
                <w:color w:val="auto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/>
                <w:color w:val="auto"/>
                <w:sz w:val="20"/>
                <w:szCs w:val="20"/>
                <w:lang w:eastAsia="es-AR"/>
              </w:rPr>
              <w:t>Anabólicos</w:t>
            </w:r>
          </w:p>
        </w:tc>
      </w:tr>
      <w:tr w:rsidR="00680378" w:rsidRPr="00680378" w14:paraId="5158D8C3" w14:textId="77777777" w:rsidTr="00170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4A1D4FCE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t>Bisfosfonatos</w:t>
            </w:r>
            <w:proofErr w:type="spellEnd"/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t>:</w:t>
            </w:r>
          </w:p>
          <w:p w14:paraId="618B6B4C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Alendronato</w:t>
            </w:r>
            <w:proofErr w:type="spellEnd"/>
          </w:p>
          <w:p w14:paraId="3CA03E2B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Risedronato</w:t>
            </w:r>
            <w:proofErr w:type="spellEnd"/>
          </w:p>
          <w:p w14:paraId="6A7DBF40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Ibandronato</w:t>
            </w:r>
            <w:proofErr w:type="spellEnd"/>
          </w:p>
          <w:p w14:paraId="751EECF6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 xml:space="preserve">Ácido </w:t>
            </w:r>
            <w:proofErr w:type="spellStart"/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zoledrónico</w:t>
            </w:r>
            <w:proofErr w:type="spellEnd"/>
          </w:p>
          <w:p w14:paraId="3E759D17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</w:p>
        </w:tc>
        <w:tc>
          <w:tcPr>
            <w:tcW w:w="3402" w:type="dxa"/>
            <w:vMerge w:val="restart"/>
          </w:tcPr>
          <w:p w14:paraId="411861C8" w14:textId="77777777" w:rsidR="002D6EEF" w:rsidRPr="00680378" w:rsidRDefault="002D6EEF" w:rsidP="002D6EE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Teriparatide</w:t>
            </w:r>
            <w:proofErr w:type="spellEnd"/>
          </w:p>
          <w:p w14:paraId="5F6C1B1C" w14:textId="17DFD232" w:rsidR="002D6EEF" w:rsidRPr="00680378" w:rsidRDefault="002D6EEF" w:rsidP="002D6EE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Abaloparatide</w:t>
            </w:r>
            <w:proofErr w:type="spellEnd"/>
          </w:p>
        </w:tc>
      </w:tr>
      <w:tr w:rsidR="00680378" w:rsidRPr="00680378" w14:paraId="2D041414" w14:textId="77777777" w:rsidTr="00170F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588097A4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t>Biológicos:</w:t>
            </w:r>
          </w:p>
          <w:p w14:paraId="58465082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Denosumab</w:t>
            </w:r>
            <w:proofErr w:type="spellEnd"/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 xml:space="preserve"> </w:t>
            </w:r>
          </w:p>
        </w:tc>
        <w:tc>
          <w:tcPr>
            <w:tcW w:w="3402" w:type="dxa"/>
            <w:vMerge/>
          </w:tcPr>
          <w:p w14:paraId="1C8B7494" w14:textId="77777777" w:rsidR="002D6EEF" w:rsidRPr="00680378" w:rsidRDefault="002D6EEF" w:rsidP="00001B6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</w:p>
        </w:tc>
      </w:tr>
      <w:tr w:rsidR="00680378" w:rsidRPr="00680378" w14:paraId="35DF1B61" w14:textId="77777777" w:rsidTr="00170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10831398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lastRenderedPageBreak/>
              <w:t>SERM</w:t>
            </w:r>
          </w:p>
          <w:p w14:paraId="0F9356E8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Raloxifeno</w:t>
            </w:r>
            <w:proofErr w:type="spellEnd"/>
          </w:p>
        </w:tc>
        <w:tc>
          <w:tcPr>
            <w:tcW w:w="3402" w:type="dxa"/>
            <w:vMerge/>
          </w:tcPr>
          <w:p w14:paraId="2279CDF6" w14:textId="77777777" w:rsidR="002D6EEF" w:rsidRPr="00680378" w:rsidRDefault="002D6EEF" w:rsidP="00001B6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</w:p>
        </w:tc>
      </w:tr>
      <w:tr w:rsidR="00680378" w:rsidRPr="00680378" w14:paraId="3E5BDA15" w14:textId="77777777" w:rsidTr="00170F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4B2A16E1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t>Estrógenos:</w:t>
            </w:r>
          </w:p>
          <w:p w14:paraId="28BC89E2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Estrógenos equinos conjugados</w:t>
            </w:r>
          </w:p>
          <w:p w14:paraId="64027C44" w14:textId="77777777" w:rsidR="002D6EEF" w:rsidRPr="00680378" w:rsidRDefault="002D6EEF" w:rsidP="00001B60">
            <w:pPr>
              <w:spacing w:line="276" w:lineRule="auto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</w:p>
        </w:tc>
        <w:tc>
          <w:tcPr>
            <w:tcW w:w="3402" w:type="dxa"/>
            <w:vMerge/>
          </w:tcPr>
          <w:p w14:paraId="4E661C63" w14:textId="77777777" w:rsidR="002D6EEF" w:rsidRPr="00680378" w:rsidRDefault="002D6EEF" w:rsidP="00001B6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</w:p>
        </w:tc>
      </w:tr>
    </w:tbl>
    <w:p w14:paraId="64CA227B" w14:textId="6B24F49A" w:rsidR="002D6EEF" w:rsidRPr="00680378" w:rsidRDefault="002D6EEF" w:rsidP="002D6EEF">
      <w:pPr>
        <w:spacing w:line="276" w:lineRule="auto"/>
        <w:rPr>
          <w:rStyle w:val="Textoennegrita"/>
          <w:rFonts w:ascii="Arial" w:hAnsi="Arial" w:cs="Arial"/>
          <w:sz w:val="16"/>
          <w:szCs w:val="20"/>
        </w:rPr>
      </w:pPr>
      <w:r w:rsidRPr="00680378">
        <w:rPr>
          <w:rStyle w:val="Textoennegrita"/>
          <w:rFonts w:ascii="Arial" w:hAnsi="Arial" w:cs="Arial"/>
          <w:sz w:val="16"/>
          <w:szCs w:val="20"/>
        </w:rPr>
        <w:t xml:space="preserve">SERM: </w:t>
      </w:r>
      <w:r w:rsidRPr="00680378">
        <w:rPr>
          <w:rFonts w:ascii="Arial" w:hAnsi="Arial" w:cs="Arial"/>
          <w:b/>
          <w:bCs/>
          <w:sz w:val="16"/>
          <w:szCs w:val="20"/>
        </w:rPr>
        <w:t xml:space="preserve">modulador selectivo de los receptores </w:t>
      </w:r>
      <w:proofErr w:type="spellStart"/>
      <w:r w:rsidRPr="00680378">
        <w:rPr>
          <w:rFonts w:ascii="Arial" w:hAnsi="Arial" w:cs="Arial"/>
          <w:b/>
          <w:bCs/>
          <w:sz w:val="16"/>
          <w:szCs w:val="20"/>
        </w:rPr>
        <w:t>estrogénicos</w:t>
      </w:r>
      <w:proofErr w:type="spellEnd"/>
      <w:r w:rsidRPr="00680378">
        <w:rPr>
          <w:rFonts w:ascii="Arial" w:hAnsi="Arial" w:cs="Arial"/>
          <w:b/>
          <w:bCs/>
          <w:sz w:val="16"/>
          <w:szCs w:val="20"/>
        </w:rPr>
        <w:t xml:space="preserve"> (MSRE)</w:t>
      </w:r>
    </w:p>
    <w:p w14:paraId="01F89668" w14:textId="0AE5F7D2" w:rsidR="002D6EEF" w:rsidRPr="00680378" w:rsidRDefault="002D6EEF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74E59415" w14:textId="63AC3DB8" w:rsidR="00ED47D7" w:rsidRPr="00680378" w:rsidRDefault="00ED47D7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 la fecha han sido aprobados por la 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FD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</w:t>
      </w:r>
      <w:r w:rsidR="00E859C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para uso clínico en la prevención y tratamien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to de la </w:t>
      </w:r>
      <w:r w:rsidR="0097332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osteoporosis</w:t>
      </w:r>
      <w:r w:rsidR="005548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alendron</w:t>
      </w:r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ato</w:t>
      </w:r>
      <w:proofErr w:type="spellEnd"/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</w:t>
      </w:r>
      <w:proofErr w:type="spellStart"/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risedronato</w:t>
      </w:r>
      <w:proofErr w:type="spellEnd"/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</w:t>
      </w:r>
      <w:proofErr w:type="spellStart"/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ibandronato</w:t>
      </w:r>
      <w:proofErr w:type="spellEnd"/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á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cido </w:t>
      </w:r>
      <w:proofErr w:type="spellStart"/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zoled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rónico</w:t>
      </w:r>
      <w:proofErr w:type="spellEnd"/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</w:t>
      </w:r>
      <w:proofErr w:type="spellStart"/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raloxifeno</w:t>
      </w:r>
      <w:proofErr w:type="spellEnd"/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</w:t>
      </w:r>
      <w:proofErr w:type="spellStart"/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denosumab</w:t>
      </w:r>
      <w:proofErr w:type="spellEnd"/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teriparatide</w:t>
      </w:r>
      <w:proofErr w:type="spellEnd"/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y 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solo 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para prevención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los estrógenos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</w:t>
      </w:r>
      <w:r w:rsidR="0097332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ver 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</w:t>
      </w:r>
      <w:r w:rsidR="002D6EE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abla </w:t>
      </w:r>
      <w:r w:rsidR="001009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No 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2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).</w:t>
      </w:r>
      <w:r w:rsidR="0038320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</w:p>
    <w:p w14:paraId="07FB9BCD" w14:textId="5F31E3D2" w:rsidR="00170F2F" w:rsidRPr="00680378" w:rsidRDefault="00170F2F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7872FB5A" w14:textId="77777777" w:rsidR="00170F2F" w:rsidRPr="00680378" w:rsidRDefault="00170F2F" w:rsidP="00170F2F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6E21B2DD" w14:textId="77777777" w:rsidR="00170F2F" w:rsidRPr="00680378" w:rsidRDefault="00170F2F" w:rsidP="00170F2F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1DD7BC34" w14:textId="6D775A8E" w:rsidR="00170F2F" w:rsidRPr="00680378" w:rsidRDefault="00170F2F" w:rsidP="00170F2F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  <w:r w:rsidRPr="00680378">
        <w:rPr>
          <w:rStyle w:val="Textoennegrita"/>
          <w:rFonts w:ascii="Arial" w:hAnsi="Arial" w:cs="Arial"/>
          <w:sz w:val="20"/>
          <w:szCs w:val="20"/>
        </w:rPr>
        <w:t xml:space="preserve">Tabla </w:t>
      </w:r>
      <w:r w:rsidR="001009D8" w:rsidRPr="00680378">
        <w:rPr>
          <w:rStyle w:val="Textoennegrita"/>
          <w:rFonts w:ascii="Arial" w:hAnsi="Arial" w:cs="Arial"/>
          <w:sz w:val="20"/>
          <w:szCs w:val="20"/>
        </w:rPr>
        <w:t xml:space="preserve">No </w:t>
      </w:r>
      <w:r w:rsidRPr="00680378">
        <w:rPr>
          <w:rStyle w:val="Textoennegrita"/>
          <w:rFonts w:ascii="Arial" w:hAnsi="Arial" w:cs="Arial"/>
          <w:sz w:val="20"/>
          <w:szCs w:val="20"/>
        </w:rPr>
        <w:t>2. Medicamentos aprobados por la FDA usados para la prevención y tratamiento de la osteoporosis</w:t>
      </w:r>
    </w:p>
    <w:tbl>
      <w:tblPr>
        <w:tblStyle w:val="Tabladelista3-nfasis51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0"/>
        <w:gridCol w:w="2026"/>
        <w:gridCol w:w="1521"/>
        <w:gridCol w:w="2038"/>
        <w:gridCol w:w="2268"/>
      </w:tblGrid>
      <w:tr w:rsidR="00680378" w:rsidRPr="00680378" w14:paraId="11B94033" w14:textId="77777777" w:rsidTr="00170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40" w:type="dxa"/>
          </w:tcPr>
          <w:p w14:paraId="785BCA5D" w14:textId="564FEC1B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INDICACIÓN</w:t>
            </w:r>
          </w:p>
        </w:tc>
        <w:tc>
          <w:tcPr>
            <w:tcW w:w="2026" w:type="dxa"/>
          </w:tcPr>
          <w:p w14:paraId="746F49D1" w14:textId="77777777" w:rsidR="00170F2F" w:rsidRPr="00680378" w:rsidRDefault="00170F2F" w:rsidP="00170F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MEDICAMENTO</w:t>
            </w:r>
          </w:p>
        </w:tc>
        <w:tc>
          <w:tcPr>
            <w:tcW w:w="1521" w:type="dxa"/>
          </w:tcPr>
          <w:p w14:paraId="6C6FD6D3" w14:textId="77777777" w:rsidR="00170F2F" w:rsidRPr="00680378" w:rsidRDefault="00170F2F" w:rsidP="00170F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DOSIS</w:t>
            </w:r>
          </w:p>
        </w:tc>
        <w:tc>
          <w:tcPr>
            <w:tcW w:w="2038" w:type="dxa"/>
          </w:tcPr>
          <w:p w14:paraId="19915F41" w14:textId="2C9B3BBC" w:rsidR="00170F2F" w:rsidRPr="00680378" w:rsidRDefault="00170F2F" w:rsidP="00170F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VIA DE ADMINISTRACIÓN</w:t>
            </w:r>
          </w:p>
        </w:tc>
        <w:tc>
          <w:tcPr>
            <w:tcW w:w="2268" w:type="dxa"/>
          </w:tcPr>
          <w:p w14:paraId="79000B2A" w14:textId="77777777" w:rsidR="00170F2F" w:rsidRPr="00680378" w:rsidRDefault="00170F2F" w:rsidP="00170F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EFICACIA ANTI-FRACTURA</w:t>
            </w:r>
          </w:p>
        </w:tc>
      </w:tr>
      <w:tr w:rsidR="00680378" w:rsidRPr="00680378" w14:paraId="5D6ADE6B" w14:textId="77777777" w:rsidTr="00170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E09469" w14:textId="6A2BE76D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t>Prevención</w:t>
            </w:r>
          </w:p>
        </w:tc>
        <w:tc>
          <w:tcPr>
            <w:tcW w:w="2026" w:type="dxa"/>
          </w:tcPr>
          <w:p w14:paraId="64AA363E" w14:textId="731650AC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Estrógenos equinos conjugados</w:t>
            </w:r>
          </w:p>
        </w:tc>
        <w:tc>
          <w:tcPr>
            <w:tcW w:w="1521" w:type="dxa"/>
          </w:tcPr>
          <w:p w14:paraId="70EFC7E8" w14:textId="7D20327B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0.15-1.25 mg/</w:t>
            </w:r>
            <w:r w:rsidR="006F2F3D"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día</w:t>
            </w:r>
          </w:p>
        </w:tc>
        <w:tc>
          <w:tcPr>
            <w:tcW w:w="2038" w:type="dxa"/>
          </w:tcPr>
          <w:p w14:paraId="39D4F1E3" w14:textId="3A21D184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Oral</w:t>
            </w:r>
          </w:p>
        </w:tc>
        <w:tc>
          <w:tcPr>
            <w:tcW w:w="2268" w:type="dxa"/>
          </w:tcPr>
          <w:p w14:paraId="39506CCE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Vertebral, no vertebral y cadera</w:t>
            </w:r>
          </w:p>
        </w:tc>
      </w:tr>
      <w:tr w:rsidR="00680378" w:rsidRPr="00680378" w14:paraId="60DF8F44" w14:textId="77777777" w:rsidTr="00170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vMerge w:val="restart"/>
          </w:tcPr>
          <w:p w14:paraId="67E3A8ED" w14:textId="2773B77B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t>Prevención y tratamiento</w:t>
            </w:r>
          </w:p>
        </w:tc>
        <w:tc>
          <w:tcPr>
            <w:tcW w:w="2026" w:type="dxa"/>
          </w:tcPr>
          <w:p w14:paraId="23D4882E" w14:textId="3E6F98AF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Alendronato</w:t>
            </w:r>
            <w:proofErr w:type="spellEnd"/>
          </w:p>
        </w:tc>
        <w:tc>
          <w:tcPr>
            <w:tcW w:w="1521" w:type="dxa"/>
          </w:tcPr>
          <w:p w14:paraId="2B791EC2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35-70mg /</w:t>
            </w: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sem</w:t>
            </w:r>
            <w:proofErr w:type="spellEnd"/>
          </w:p>
        </w:tc>
        <w:tc>
          <w:tcPr>
            <w:tcW w:w="2038" w:type="dxa"/>
          </w:tcPr>
          <w:p w14:paraId="609DCE58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Oral</w:t>
            </w:r>
          </w:p>
        </w:tc>
        <w:tc>
          <w:tcPr>
            <w:tcW w:w="2268" w:type="dxa"/>
          </w:tcPr>
          <w:p w14:paraId="2101E5F4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Vertebral, no vertebral y cadera</w:t>
            </w:r>
          </w:p>
        </w:tc>
      </w:tr>
      <w:tr w:rsidR="00680378" w:rsidRPr="00680378" w14:paraId="43466E7D" w14:textId="77777777" w:rsidTr="00170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vMerge/>
          </w:tcPr>
          <w:p w14:paraId="7B88046F" w14:textId="77777777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</w:p>
        </w:tc>
        <w:tc>
          <w:tcPr>
            <w:tcW w:w="2026" w:type="dxa"/>
          </w:tcPr>
          <w:p w14:paraId="2C1F0346" w14:textId="5A414258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Risedronato</w:t>
            </w:r>
            <w:proofErr w:type="spellEnd"/>
          </w:p>
        </w:tc>
        <w:tc>
          <w:tcPr>
            <w:tcW w:w="1521" w:type="dxa"/>
          </w:tcPr>
          <w:p w14:paraId="3CCD4C1A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35 mg/</w:t>
            </w: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sem</w:t>
            </w:r>
            <w:proofErr w:type="spellEnd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 o 150 mensual</w:t>
            </w:r>
          </w:p>
        </w:tc>
        <w:tc>
          <w:tcPr>
            <w:tcW w:w="2038" w:type="dxa"/>
          </w:tcPr>
          <w:p w14:paraId="2AED59B6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Oral</w:t>
            </w:r>
          </w:p>
        </w:tc>
        <w:tc>
          <w:tcPr>
            <w:tcW w:w="2268" w:type="dxa"/>
          </w:tcPr>
          <w:p w14:paraId="6E9773E8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Vertebral, no vertebral y cadera</w:t>
            </w:r>
          </w:p>
        </w:tc>
      </w:tr>
      <w:tr w:rsidR="00680378" w:rsidRPr="00680378" w14:paraId="166A01E4" w14:textId="77777777" w:rsidTr="00170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vMerge/>
          </w:tcPr>
          <w:p w14:paraId="000977C6" w14:textId="77777777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</w:p>
        </w:tc>
        <w:tc>
          <w:tcPr>
            <w:tcW w:w="2026" w:type="dxa"/>
          </w:tcPr>
          <w:p w14:paraId="0644898D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Ibandronato</w:t>
            </w:r>
            <w:proofErr w:type="spellEnd"/>
          </w:p>
        </w:tc>
        <w:tc>
          <w:tcPr>
            <w:tcW w:w="1521" w:type="dxa"/>
          </w:tcPr>
          <w:p w14:paraId="0E5D968E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150 mg/mensual</w:t>
            </w:r>
          </w:p>
          <w:p w14:paraId="37658CCA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3 mg/cada 3 meses</w:t>
            </w:r>
          </w:p>
        </w:tc>
        <w:tc>
          <w:tcPr>
            <w:tcW w:w="2038" w:type="dxa"/>
          </w:tcPr>
          <w:p w14:paraId="4DD6E270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Oral</w:t>
            </w:r>
          </w:p>
          <w:p w14:paraId="47B9CE22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</w:p>
          <w:p w14:paraId="3E25DA53" w14:textId="149B22D5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Intravenoso</w:t>
            </w:r>
          </w:p>
        </w:tc>
        <w:tc>
          <w:tcPr>
            <w:tcW w:w="2268" w:type="dxa"/>
          </w:tcPr>
          <w:p w14:paraId="4D35722D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</w:t>
            </w:r>
          </w:p>
        </w:tc>
      </w:tr>
      <w:tr w:rsidR="00680378" w:rsidRPr="00680378" w14:paraId="09B14F2C" w14:textId="77777777" w:rsidTr="00170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vMerge/>
          </w:tcPr>
          <w:p w14:paraId="7BD73DA0" w14:textId="77777777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</w:p>
        </w:tc>
        <w:tc>
          <w:tcPr>
            <w:tcW w:w="2026" w:type="dxa"/>
          </w:tcPr>
          <w:p w14:paraId="0B640D01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Ácido </w:t>
            </w: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zoledrónico</w:t>
            </w:r>
            <w:proofErr w:type="spellEnd"/>
          </w:p>
          <w:p w14:paraId="185385CE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</w:p>
        </w:tc>
        <w:tc>
          <w:tcPr>
            <w:tcW w:w="1521" w:type="dxa"/>
          </w:tcPr>
          <w:p w14:paraId="5740EA47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5 mg/anual</w:t>
            </w:r>
          </w:p>
        </w:tc>
        <w:tc>
          <w:tcPr>
            <w:tcW w:w="2038" w:type="dxa"/>
          </w:tcPr>
          <w:p w14:paraId="706899B4" w14:textId="1E93F855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Intravenoso</w:t>
            </w:r>
          </w:p>
        </w:tc>
        <w:tc>
          <w:tcPr>
            <w:tcW w:w="2268" w:type="dxa"/>
          </w:tcPr>
          <w:p w14:paraId="77DD8E84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Vertebral, no vertebral y cadera</w:t>
            </w:r>
          </w:p>
        </w:tc>
      </w:tr>
      <w:tr w:rsidR="00680378" w:rsidRPr="00680378" w14:paraId="2C3C3E51" w14:textId="77777777" w:rsidTr="00170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vMerge/>
          </w:tcPr>
          <w:p w14:paraId="72371024" w14:textId="77777777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</w:p>
        </w:tc>
        <w:tc>
          <w:tcPr>
            <w:tcW w:w="2026" w:type="dxa"/>
          </w:tcPr>
          <w:p w14:paraId="45732805" w14:textId="2DAA9C23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Raloxifeno</w:t>
            </w:r>
            <w:proofErr w:type="spellEnd"/>
          </w:p>
        </w:tc>
        <w:tc>
          <w:tcPr>
            <w:tcW w:w="1521" w:type="dxa"/>
          </w:tcPr>
          <w:p w14:paraId="6DD313DE" w14:textId="0A5BB1B3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60 mg/</w:t>
            </w:r>
            <w:r w:rsidR="006F2F3D"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día</w:t>
            </w:r>
          </w:p>
        </w:tc>
        <w:tc>
          <w:tcPr>
            <w:tcW w:w="2038" w:type="dxa"/>
          </w:tcPr>
          <w:p w14:paraId="55AE1380" w14:textId="52E6FE75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Oral</w:t>
            </w:r>
          </w:p>
        </w:tc>
        <w:tc>
          <w:tcPr>
            <w:tcW w:w="2268" w:type="dxa"/>
          </w:tcPr>
          <w:p w14:paraId="122EE60D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</w:t>
            </w:r>
          </w:p>
        </w:tc>
      </w:tr>
      <w:tr w:rsidR="00680378" w:rsidRPr="00680378" w14:paraId="128DE615" w14:textId="77777777" w:rsidTr="00170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vMerge w:val="restart"/>
          </w:tcPr>
          <w:p w14:paraId="1E2F68BE" w14:textId="315A1D96" w:rsidR="00170F2F" w:rsidRPr="00680378" w:rsidRDefault="00170F2F" w:rsidP="00170F2F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/>
                <w:sz w:val="20"/>
                <w:szCs w:val="20"/>
                <w:lang w:eastAsia="es-AR"/>
              </w:rPr>
              <w:t>Tratamiento</w:t>
            </w:r>
          </w:p>
        </w:tc>
        <w:tc>
          <w:tcPr>
            <w:tcW w:w="2026" w:type="dxa"/>
          </w:tcPr>
          <w:p w14:paraId="1BD20729" w14:textId="02BCB2E9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Denosumab</w:t>
            </w:r>
            <w:proofErr w:type="spellEnd"/>
          </w:p>
        </w:tc>
        <w:tc>
          <w:tcPr>
            <w:tcW w:w="1521" w:type="dxa"/>
          </w:tcPr>
          <w:p w14:paraId="636963F8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60 mg/cada 6 meses</w:t>
            </w:r>
          </w:p>
        </w:tc>
        <w:tc>
          <w:tcPr>
            <w:tcW w:w="2038" w:type="dxa"/>
          </w:tcPr>
          <w:p w14:paraId="5D2D0426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Subcutánea</w:t>
            </w:r>
          </w:p>
        </w:tc>
        <w:tc>
          <w:tcPr>
            <w:tcW w:w="2268" w:type="dxa"/>
          </w:tcPr>
          <w:p w14:paraId="23050497" w14:textId="77777777" w:rsidR="00170F2F" w:rsidRPr="00680378" w:rsidRDefault="00170F2F" w:rsidP="00170F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Vertebral, no vertebral y cadera</w:t>
            </w:r>
          </w:p>
        </w:tc>
      </w:tr>
      <w:tr w:rsidR="00680378" w:rsidRPr="00680378" w14:paraId="5DC7A5DD" w14:textId="77777777" w:rsidTr="00170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vMerge/>
          </w:tcPr>
          <w:p w14:paraId="68C06335" w14:textId="77777777" w:rsidR="00170F2F" w:rsidRPr="00680378" w:rsidRDefault="00170F2F" w:rsidP="00001B60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</w:pPr>
          </w:p>
        </w:tc>
        <w:tc>
          <w:tcPr>
            <w:tcW w:w="2026" w:type="dxa"/>
          </w:tcPr>
          <w:p w14:paraId="37AACF35" w14:textId="1C285768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Teriparatide</w:t>
            </w:r>
            <w:proofErr w:type="spellEnd"/>
          </w:p>
        </w:tc>
        <w:tc>
          <w:tcPr>
            <w:tcW w:w="1521" w:type="dxa"/>
          </w:tcPr>
          <w:p w14:paraId="2EDBEDC3" w14:textId="7CF9179F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20 </w:t>
            </w: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mcg</w:t>
            </w:r>
            <w:proofErr w:type="spellEnd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/</w:t>
            </w:r>
            <w:r w:rsidR="006F2F3D"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día</w:t>
            </w:r>
          </w:p>
        </w:tc>
        <w:tc>
          <w:tcPr>
            <w:tcW w:w="2038" w:type="dxa"/>
          </w:tcPr>
          <w:p w14:paraId="463D0C95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Subcutánea</w:t>
            </w:r>
          </w:p>
        </w:tc>
        <w:tc>
          <w:tcPr>
            <w:tcW w:w="2268" w:type="dxa"/>
          </w:tcPr>
          <w:p w14:paraId="2F18998E" w14:textId="77777777" w:rsidR="00170F2F" w:rsidRPr="00680378" w:rsidRDefault="00170F2F" w:rsidP="00170F2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Vertebral no vertebral</w:t>
            </w:r>
          </w:p>
        </w:tc>
      </w:tr>
    </w:tbl>
    <w:p w14:paraId="4F3301DA" w14:textId="77777777" w:rsidR="00170F2F" w:rsidRPr="00680378" w:rsidRDefault="00170F2F" w:rsidP="00170F2F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7B89EB21" w14:textId="2974941C" w:rsidR="00170F2F" w:rsidRPr="00680378" w:rsidRDefault="00170F2F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266ED7A0" w14:textId="77777777" w:rsidR="00ED47D7" w:rsidRPr="00680378" w:rsidRDefault="00ED47D7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</w:pPr>
    </w:p>
    <w:p w14:paraId="0552E17B" w14:textId="0E2C2BBD" w:rsidR="00043B3D" w:rsidRPr="00680378" w:rsidRDefault="00973322" w:rsidP="00973322">
      <w:pPr>
        <w:pStyle w:val="Prrafodelista"/>
        <w:numPr>
          <w:ilvl w:val="0"/>
          <w:numId w:val="15"/>
        </w:numPr>
        <w:shd w:val="clear" w:color="auto" w:fill="FFFFFF"/>
        <w:spacing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¿Cuáles recomendaciones se deben tener en cuenta en el tratamiento farmacológico?</w:t>
      </w:r>
    </w:p>
    <w:p w14:paraId="57A0E2AE" w14:textId="77777777" w:rsidR="00043B3D" w:rsidRPr="00680378" w:rsidRDefault="00043B3D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</w:pPr>
    </w:p>
    <w:p w14:paraId="5225137D" w14:textId="100E8C9E" w:rsidR="00ED47D7" w:rsidRPr="00680378" w:rsidRDefault="00ED47D7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Las recomen</w:t>
      </w:r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daciones de las personas que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deberían recibir tratamiento varían y dependen</w:t>
      </w:r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muchos fact</w:t>
      </w:r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ores, la </w:t>
      </w:r>
      <w:proofErr w:type="spellStart"/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National</w:t>
      </w:r>
      <w:proofErr w:type="spellEnd"/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Osteoporosis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Foundation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(NOF) </w:t>
      </w:r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considera que deben tratarse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mujeres postmenopáusicas y hombres mayores</w:t>
      </w:r>
      <w:r w:rsidR="00A06D3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50 años que s</w:t>
      </w:r>
      <w:r w:rsidR="0021236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 presentan con las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siguientes condiciones</w:t>
      </w:r>
      <w:r w:rsidR="009E661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:</w:t>
      </w:r>
    </w:p>
    <w:p w14:paraId="736979EC" w14:textId="4ACBD63C" w:rsidR="00043B3D" w:rsidRPr="00680378" w:rsidRDefault="00043B3D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133CD48D" w14:textId="08E6957D" w:rsidR="008E2FBA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Fonts w:ascii="Arial" w:hAnsi="Arial" w:cs="Arial"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C4BF64" wp14:editId="565A90A2">
                <wp:simplePos x="0" y="0"/>
                <wp:positionH relativeFrom="column">
                  <wp:posOffset>336550</wp:posOffset>
                </wp:positionH>
                <wp:positionV relativeFrom="paragraph">
                  <wp:posOffset>11430</wp:posOffset>
                </wp:positionV>
                <wp:extent cx="5455285" cy="1068070"/>
                <wp:effectExtent l="0" t="0" r="12065" b="1778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285" cy="10680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899C1" w14:textId="77777777" w:rsidR="00100339" w:rsidRPr="006F4351" w:rsidRDefault="00100339" w:rsidP="00170F2F">
                            <w:pPr>
                              <w:shd w:val="clear" w:color="auto" w:fill="FFFFFF"/>
                              <w:spacing w:line="276" w:lineRule="auto"/>
                              <w:jc w:val="both"/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</w:pPr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• Fractura de cadera o vertebral (clínica, radiográfica, o en </w:t>
                            </w:r>
                            <w:proofErr w:type="spellStart"/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>morfometría</w:t>
                            </w:r>
                            <w:proofErr w:type="spellEnd"/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 ósea vertebral o asintomática).</w:t>
                            </w:r>
                          </w:p>
                          <w:p w14:paraId="0EEF56AF" w14:textId="77777777" w:rsidR="00100339" w:rsidRPr="006F4351" w:rsidRDefault="00100339" w:rsidP="00170F2F">
                            <w:pPr>
                              <w:shd w:val="clear" w:color="auto" w:fill="FFFFFF"/>
                              <w:spacing w:line="276" w:lineRule="auto"/>
                              <w:jc w:val="both"/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</w:pPr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• T-score: ≤-2,5 en cuello femoral, cadera total o columna lumbar por DXA </w:t>
                            </w:r>
                          </w:p>
                          <w:p w14:paraId="0EDD3BB0" w14:textId="5248A685" w:rsidR="00100339" w:rsidRPr="006F4351" w:rsidRDefault="00100339" w:rsidP="00170F2F">
                            <w:pPr>
                              <w:shd w:val="clear" w:color="auto" w:fill="FFFFFF"/>
                              <w:spacing w:line="276" w:lineRule="auto"/>
                              <w:jc w:val="both"/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</w:pPr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• Baja masa ósea u 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osteopenia (T-score </w:t>
                            </w:r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>entre: -1,0 y -2,5 en cuello femoral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>, cadera total</w:t>
                            </w:r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 o columna lumbar por DXA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>)</w:t>
                            </w:r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 y una probabilidad de fractura de cadera ≥ 3% o fractura mayor relacionada a osteoporosis del ≥ 20</w:t>
                            </w:r>
                            <w:proofErr w:type="gramStart"/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>%  calculada</w:t>
                            </w:r>
                            <w:proofErr w:type="gramEnd"/>
                            <w:r w:rsidRPr="006F4351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 por la  herramienta FRAX.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0"/>
                                <w:szCs w:val="20"/>
                                <w:lang w:eastAsia="es-AR"/>
                              </w:rPr>
                              <w:t xml:space="preserve"> </w:t>
                            </w:r>
                          </w:p>
                          <w:p w14:paraId="2D7F538B" w14:textId="77777777" w:rsidR="00100339" w:rsidRDefault="001003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C4BF6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6.5pt;margin-top:.9pt;width:429.55pt;height:8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ty0cgIAADMFAAAOAAAAZHJzL2Uyb0RvYy54bWysVE1vGjEQvVfqf7B8bxYoJBSxRJQoVaUo&#10;iZJUORuvHVayPa49sEt/fcfeBaI0l1a9eO35fjNvdn7ZWsN2KsQaXMmHZwPOlJNQ1e6l5D+erj9N&#10;OYsoXCUMOFXyvYr8cvHxw7zxMzWCDZhKBUZBXJw1vuQbRD8riig3yop4Bl45UmoIViA9w0tRBdFQ&#10;dGuK0WBwXjQQKh9AqhhJetUp+SLH11pJvNM6KmSm5FQb5jPkc53OYjEXs5cg/KaWfRniH6qwonaU&#10;9BjqSqBg21D/EcrWMkAEjWcSbAFa11JlDIRmOHiD5nEjvMpYqDnRH9sU/19Yebu7D6yuaHacOWFp&#10;RKutqAKwSjFULQIbpiY1Ps7I9tGTNbZfoU0OvTySMGFvdbDpS6gY6and+2OLKRKTJJyMJ5PRdMKZ&#10;JN1wcD4dXOQhFCd3HyJ+U2BZupQ80Axza8XuJiKlJNODScpmXJKl+ro68g33RnXKB6UJHmX+nINk&#10;YqmVCWwniBIGMwoKaRxZJhddG3N0Gr7nJKRUDicJPjn29slVZcL9jfPRI2cGh0dnWzsI72U/law7&#10;+wP6DnOCj+267WezhmpPIwvQMT96eV1TW29ExHsRiOo0JVpfvKNDG2hKDv2Nsw2EX+/Jkz0xkLSc&#10;NbQ6JY8/tyIozsx3R9z8MhyP067lx3hyMaJHeK1Zv9a4rV0BjYL4R9Xla7JHc7jqAPaZtnyZspJK&#10;OEm5S46H6wq7haa/hFTLZTai7fICb9yjlyl0am8izVP7LILvmZXofQuHJROzNwTrbJOng+UWQdeZ&#10;fanBXVf7xtNmZiL0f5G0+q/f2er0r1v8BgAA//8DAFBLAwQUAAYACAAAACEAxo3rWNwAAAAIAQAA&#10;DwAAAGRycy9kb3ducmV2LnhtbEyPwU7DMBBE70j8g7VI3KidoBYIcSqgQkKcSsIHuPGSRMTrNHab&#10;5O9ZTnCcndHsvHw7u16ccQydJw3JSoFAqr3tqNHwWb3e3IMI0ZA1vSfUsGCAbXF5kZvM+ok+8FzG&#10;RnAJhcxoaGMcMilD3aIzYeUHJPa+/OhMZDk20o5m4nLXy1SpjXSmI/7QmgFfWqy/y5PT8Lzbvy3J&#10;UtXHcr2fdsd3twlVqvX11fz0CCLiHP/C8Dufp0PBmw7+RDaIXsP6llEi3xmA7YckTUAcWN8pBbLI&#10;5X+A4gcAAP//AwBQSwECLQAUAAYACAAAACEAtoM4kv4AAADhAQAAEwAAAAAAAAAAAAAAAAAAAAAA&#10;W0NvbnRlbnRfVHlwZXNdLnhtbFBLAQItABQABgAIAAAAIQA4/SH/1gAAAJQBAAALAAAAAAAAAAAA&#10;AAAAAC8BAABfcmVscy8ucmVsc1BLAQItABQABgAIAAAAIQDO+ty0cgIAADMFAAAOAAAAAAAAAAAA&#10;AAAAAC4CAABkcnMvZTJvRG9jLnhtbFBLAQItABQABgAIAAAAIQDGjetY3AAAAAgBAAAPAAAAAAAA&#10;AAAAAAAAAMwEAABkcnMvZG93bnJldi54bWxQSwUGAAAAAAQABADzAAAA1QUAAAAA&#10;" fillcolor="#4472c4 [3208]" strokecolor="white [3201]" strokeweight="1.5pt">
                <v:textbox>
                  <w:txbxContent>
                    <w:p w14:paraId="52B899C1" w14:textId="77777777" w:rsidR="00100339" w:rsidRPr="006F4351" w:rsidRDefault="00100339" w:rsidP="00170F2F">
                      <w:pPr>
                        <w:shd w:val="clear" w:color="auto" w:fill="FFFFFF"/>
                        <w:spacing w:line="276" w:lineRule="auto"/>
                        <w:jc w:val="both"/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</w:pPr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• Fractura de cadera o vertebral (clínica, radiográfica, o en </w:t>
                      </w:r>
                      <w:proofErr w:type="spellStart"/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>morfometría</w:t>
                      </w:r>
                      <w:proofErr w:type="spellEnd"/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 ósea vertebral o asintomática).</w:t>
                      </w:r>
                    </w:p>
                    <w:p w14:paraId="0EEF56AF" w14:textId="77777777" w:rsidR="00100339" w:rsidRPr="006F4351" w:rsidRDefault="00100339" w:rsidP="00170F2F">
                      <w:pPr>
                        <w:shd w:val="clear" w:color="auto" w:fill="FFFFFF"/>
                        <w:spacing w:line="276" w:lineRule="auto"/>
                        <w:jc w:val="both"/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</w:pPr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• T-score: ≤-2,5 en cuello femoral, cadera total o columna lumbar por DXA </w:t>
                      </w:r>
                    </w:p>
                    <w:p w14:paraId="0EDD3BB0" w14:textId="5248A685" w:rsidR="00100339" w:rsidRPr="006F4351" w:rsidRDefault="00100339" w:rsidP="00170F2F">
                      <w:pPr>
                        <w:shd w:val="clear" w:color="auto" w:fill="FFFFFF"/>
                        <w:spacing w:line="276" w:lineRule="auto"/>
                        <w:jc w:val="both"/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</w:pPr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• Baja masa ósea u </w:t>
                      </w:r>
                      <w:r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osteopenia (T-score </w:t>
                      </w:r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>entre: -1,0 y -2,5 en cuello femoral</w:t>
                      </w:r>
                      <w:r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>, cadera total</w:t>
                      </w:r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 o columna lumbar por DXA</w:t>
                      </w:r>
                      <w:r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>)</w:t>
                      </w:r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 y una probabilidad de fractura de cadera ≥ 3% o fractura mayor relacionada a osteoporosis del ≥ 20</w:t>
                      </w:r>
                      <w:proofErr w:type="gramStart"/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>%  calculada</w:t>
                      </w:r>
                      <w:proofErr w:type="gramEnd"/>
                      <w:r w:rsidRPr="006F4351"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 por la  herramienta FRAX.</w:t>
                      </w:r>
                      <w:r>
                        <w:rPr>
                          <w:rStyle w:val="Textoennegrita"/>
                          <w:rFonts w:ascii="Arial" w:hAnsi="Arial" w:cs="Arial"/>
                          <w:b w:val="0"/>
                          <w:sz w:val="20"/>
                          <w:szCs w:val="20"/>
                          <w:lang w:eastAsia="es-AR"/>
                        </w:rPr>
                        <w:t xml:space="preserve"> </w:t>
                      </w:r>
                    </w:p>
                    <w:p w14:paraId="2D7F538B" w14:textId="77777777" w:rsidR="00100339" w:rsidRDefault="00100339"/>
                  </w:txbxContent>
                </v:textbox>
              </v:shape>
            </w:pict>
          </mc:Fallback>
        </mc:AlternateContent>
      </w:r>
    </w:p>
    <w:p w14:paraId="4E0CE908" w14:textId="2CF43E38" w:rsidR="00170F2F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3103C801" w14:textId="32291879" w:rsidR="00170F2F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6D9CB1FF" w14:textId="4F8C939A" w:rsidR="00170F2F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5F07571B" w14:textId="7D53F98D" w:rsidR="00170F2F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19999441" w14:textId="7DD18A70" w:rsidR="00170F2F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6AB8E857" w14:textId="6E051237" w:rsidR="00170F2F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5398C93B" w14:textId="4605206C" w:rsidR="00170F2F" w:rsidRPr="00680378" w:rsidRDefault="00170F2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4DB99D9C" w14:textId="77777777" w:rsidR="00973322" w:rsidRPr="00680378" w:rsidRDefault="00973322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p w14:paraId="74EF2E05" w14:textId="77777777" w:rsidR="00973322" w:rsidRPr="00680378" w:rsidRDefault="00170F2F" w:rsidP="00973322">
      <w:pPr>
        <w:pStyle w:val="Prrafodelista"/>
        <w:numPr>
          <w:ilvl w:val="0"/>
          <w:numId w:val="15"/>
        </w:numPr>
        <w:shd w:val="clear" w:color="auto" w:fill="FFFFFF"/>
        <w:tabs>
          <w:tab w:val="center" w:pos="4702"/>
        </w:tabs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¿Qué otro tratamiento se requiere?</w:t>
      </w:r>
    </w:p>
    <w:p w14:paraId="71D17995" w14:textId="1760BAE9" w:rsidR="00170F2F" w:rsidRPr="00680378" w:rsidRDefault="00170F2F" w:rsidP="00973322">
      <w:pPr>
        <w:pStyle w:val="Prrafodelista"/>
        <w:shd w:val="clear" w:color="auto" w:fill="FFFFFF"/>
        <w:tabs>
          <w:tab w:val="center" w:pos="4702"/>
        </w:tabs>
        <w:spacing w:line="276" w:lineRule="auto"/>
        <w:ind w:left="360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ab/>
      </w:r>
    </w:p>
    <w:p w14:paraId="1FB2F21B" w14:textId="0C2F72FD" w:rsidR="00ED47D7" w:rsidRPr="00680378" w:rsidRDefault="00973322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Para el manejo de la osteoporosis se requiere el siguiente tratamiento concomitante:</w:t>
      </w:r>
    </w:p>
    <w:p w14:paraId="2EFEA7DD" w14:textId="77777777" w:rsidR="00ED47D7" w:rsidRPr="006F2F3D" w:rsidRDefault="00ED47D7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</w:pPr>
      <w:r w:rsidRPr="006F2F3D"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  <w:t>Suplementos de calcio</w:t>
      </w:r>
    </w:p>
    <w:p w14:paraId="7A7A89A5" w14:textId="031D89EA" w:rsidR="00FB773E" w:rsidRPr="00680378" w:rsidRDefault="00CA7BBF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Los suplementos   de   calcio deben   darse 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cuando la </w:t>
      </w:r>
      <w:r w:rsidR="00133EA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dieta no aporte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las cantidades suficientes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  diarias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  recomendadas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(una   dieta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postmenopáusica promedio aporta 600</w:t>
      </w:r>
      <w:r w:rsidR="00EF1FA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-700 mg/día);</w:t>
      </w:r>
      <w:r w:rsidR="00F201D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recomendación del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Institute</w:t>
      </w:r>
      <w:proofErr w:type="spellEnd"/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of Medicine (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IOM) es</w:t>
      </w:r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1000 mg/dí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 para hombres entre 50-70 años, mujeres de 51 años o mayores y hombres de 71 años o mayores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1200 mg/día.</w:t>
      </w:r>
      <w:r w:rsidR="00A41FD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No hay evidencia que dosis mayores de calcio confieren alguna acción en el hueso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1C0EA607" w14:textId="2C9E3772" w:rsidR="00ED47D7" w:rsidRPr="00680378" w:rsidRDefault="00FB773E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val="es-CO"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Dosis de</w:t>
      </w:r>
      <w:r w:rsidR="00170F2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001B6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1,200-1,500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mg/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día pueden tener beneficios limitados y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por el contrari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o pueden incrementar el riesgo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cálculos renales y de enfermedad cardiovascular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stroke</w:t>
      </w:r>
      <w:proofErr w:type="spellEnd"/>
      <w:r w:rsidR="00457BCC" w:rsidRPr="00680378">
        <w:rPr>
          <w:rStyle w:val="Textoennegrita"/>
          <w:rFonts w:ascii="Arial" w:hAnsi="Arial" w:cs="Arial"/>
          <w:b w:val="0"/>
          <w:sz w:val="20"/>
          <w:szCs w:val="20"/>
          <w:vertAlign w:val="superscript"/>
          <w:lang w:eastAsia="es-AR"/>
        </w:rPr>
        <w:t xml:space="preserve"> </w:t>
      </w:r>
      <w:r w:rsidR="00457BC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(</w:t>
      </w:r>
      <w:proofErr w:type="spellStart"/>
      <w:r w:rsidR="00457BC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Bolland</w:t>
      </w:r>
      <w:proofErr w:type="spellEnd"/>
      <w:r w:rsidR="00457BC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MJ et al. 2010)</w:t>
      </w:r>
      <w:r w:rsidR="00F201D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os suplementos se absorben cuan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do se toman en dosis divididas (menos de 500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mg de calcio elemental por toma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).  Tanto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el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carbonato de calcio como el citrato, ofrecen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un alto conte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nido por tableta (40% y 30% de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calc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io elemental,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respectivamente)</w:t>
      </w:r>
      <w:r w:rsidR="00457BC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</w:t>
      </w:r>
      <w:r w:rsidR="00457BCC" w:rsidRPr="00680378">
        <w:rPr>
          <w:rFonts w:ascii="Arial" w:eastAsia="Times New Roman" w:hAnsi="Arial" w:cs="Arial"/>
          <w:sz w:val="20"/>
          <w:szCs w:val="20"/>
          <w:lang w:val="es-CO" w:eastAsia="es-AR"/>
        </w:rPr>
        <w:t>Camacho P, et al 2016)</w:t>
      </w:r>
    </w:p>
    <w:p w14:paraId="79042624" w14:textId="019663B1" w:rsidR="00ED47D7" w:rsidRPr="00680378" w:rsidRDefault="00ED47D7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Estudios 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clínicos han demostrado un efec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to positivo de l</w:t>
      </w:r>
      <w:r w:rsidR="00133EA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os suplementos de calcio sobre </w:t>
      </w:r>
      <w:r w:rsidR="000F7C7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 preservación de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masa ósea en ancianos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por un efecto ant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i-</w:t>
      </w:r>
      <w:proofErr w:type="spellStart"/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resortivo</w:t>
      </w:r>
      <w:proofErr w:type="spellEnd"/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Este efecto no se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ha encontra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do en mujeres en la etapa posme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nopáusica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temprana, por lo que no se recomienda como terapia única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 Su eficacia 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anti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fractura solo se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presenta en pacientes con una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adhe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rencia mayor al 80%.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</w:p>
    <w:p w14:paraId="2F383DD9" w14:textId="32E5F81F" w:rsidR="00133EA9" w:rsidRPr="00680378" w:rsidRDefault="00133EA9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 un meta</w:t>
      </w:r>
      <w:r w:rsidR="00EF1FA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-aná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lisis realizado por la NOF se ha 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mostrado que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 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terapia con suplementos 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de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calcio asociado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 a vitamina D, pueden reducir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el riesgo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fr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acturas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totales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 el 15%, riesgo relativo estimado</w:t>
      </w:r>
      <w:r w:rsidR="00E1328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0.85 con 95% intervalo de confianza y una reducción del 30% de fractura de cadera (0.70, 95% IC)</w:t>
      </w:r>
      <w:r w:rsidR="00673211" w:rsidRPr="00680378">
        <w:rPr>
          <w:rStyle w:val="Textoennegrita"/>
          <w:rFonts w:ascii="Arial" w:hAnsi="Arial" w:cs="Arial"/>
          <w:b w:val="0"/>
          <w:sz w:val="20"/>
          <w:szCs w:val="20"/>
          <w:vertAlign w:val="superscript"/>
          <w:lang w:eastAsia="es-AR"/>
        </w:rPr>
        <w:t xml:space="preserve"> </w:t>
      </w:r>
      <w:r w:rsidR="0067321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(</w:t>
      </w:r>
      <w:proofErr w:type="spellStart"/>
      <w:r w:rsidR="0067321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Weaver</w:t>
      </w:r>
      <w:proofErr w:type="spellEnd"/>
      <w:r w:rsidR="0067321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CM., et al 2016)</w:t>
      </w:r>
    </w:p>
    <w:p w14:paraId="1BA97098" w14:textId="709D0404" w:rsidR="00FB773E" w:rsidRPr="00680378" w:rsidRDefault="00ED47D7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Los suplementos de calcio pueden caus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ar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dispepsia, flatule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ncia, diarrea o constipación y 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pueden aumentar el riesgo de litiasis de 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vías 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urinarias en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pacie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ntes susceptibles.  En 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estos 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casos, conviene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</w:t>
      </w:r>
      <w:r w:rsidR="00FB773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dministrarlos junto con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los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alimentos, m</w:t>
      </w:r>
      <w:r w:rsidR="00CA7BB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antener un aporte abundante de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líquidos y vigilar la calciuria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 </w:t>
      </w:r>
    </w:p>
    <w:p w14:paraId="1FB6A899" w14:textId="35A664CC" w:rsidR="00ED47D7" w:rsidRPr="00680378" w:rsidRDefault="001E5CC5" w:rsidP="00170F2F">
      <w:pPr>
        <w:shd w:val="clear" w:color="auto" w:fill="FFFFFF"/>
        <w:spacing w:line="276" w:lineRule="auto"/>
        <w:jc w:val="both"/>
        <w:rPr>
          <w:rFonts w:ascii="Arial" w:hAnsi="Arial" w:cs="Arial"/>
          <w:bCs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 el 2010 se publicó</w:t>
      </w:r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un meta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-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aná</w:t>
      </w:r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</w:t>
      </w:r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</w:t>
      </w:r>
      <w:proofErr w:type="spellEnd"/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por </w:t>
      </w:r>
      <w:proofErr w:type="spellStart"/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Bolland</w:t>
      </w:r>
      <w:proofErr w:type="spellEnd"/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</w:t>
      </w:r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11 estudios en el cual </w:t>
      </w:r>
      <w:r w:rsidR="000F7C7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más</w:t>
      </w:r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 11000 mujeres tomando alrededor de 1000 mg de calcio diarios tuvieron un aumento del 27% en el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riesgo de infarto de miocardio. (</w:t>
      </w:r>
      <w:proofErr w:type="spellStart"/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Bolland</w:t>
      </w:r>
      <w:proofErr w:type="spellEnd"/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MJ., et al 2010)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  <w:r w:rsidR="00B5088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F201D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B5088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En otra revisión </w:t>
      </w:r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realizada por Wang y </w:t>
      </w:r>
      <w:r w:rsidR="00792E5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cols</w:t>
      </w:r>
      <w:r w:rsidR="00263F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 que incluyo 17 estudios prospectivos aleatorizados no encontró dicho riesgo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vertAlign w:val="superscript"/>
          <w:lang w:eastAsia="es-AR"/>
        </w:rPr>
        <w:t xml:space="preserve">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(Wang L., et al 2012)</w:t>
      </w:r>
      <w:r w:rsidR="00F201D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</w:t>
      </w:r>
      <w:r w:rsidR="00B5088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mientras que en el </w:t>
      </w:r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Nurses’ </w:t>
      </w:r>
      <w:proofErr w:type="spellStart"/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>Health</w:t>
      </w:r>
      <w:proofErr w:type="spellEnd"/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>Study</w:t>
      </w:r>
      <w:proofErr w:type="spellEnd"/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un estudio de cohorte de 24 años</w:t>
      </w:r>
      <w:r w:rsidR="00792E51" w:rsidRPr="00680378">
        <w:rPr>
          <w:rFonts w:ascii="Arial" w:hAnsi="Arial" w:cs="Arial"/>
          <w:sz w:val="20"/>
          <w:szCs w:val="20"/>
          <w:shd w:val="clear" w:color="auto" w:fill="FFFFFF"/>
        </w:rPr>
        <w:t>,</w:t>
      </w:r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no encontraron dicha asocia</w:t>
      </w:r>
      <w:r w:rsidR="00A41FD5" w:rsidRPr="00680378">
        <w:rPr>
          <w:rFonts w:ascii="Arial" w:hAnsi="Arial" w:cs="Arial"/>
          <w:sz w:val="20"/>
          <w:szCs w:val="20"/>
          <w:shd w:val="clear" w:color="auto" w:fill="FFFFFF"/>
        </w:rPr>
        <w:t>ción en 74</w:t>
      </w:r>
      <w:r w:rsidR="00F201D1" w:rsidRPr="00680378">
        <w:rPr>
          <w:rFonts w:ascii="Arial" w:hAnsi="Arial" w:cs="Arial"/>
          <w:sz w:val="20"/>
          <w:szCs w:val="20"/>
          <w:shd w:val="clear" w:color="auto" w:fill="FFFFFF"/>
        </w:rPr>
        <w:t>.</w:t>
      </w:r>
      <w:r w:rsidR="00A41FD5" w:rsidRPr="00680378">
        <w:rPr>
          <w:rFonts w:ascii="Arial" w:hAnsi="Arial" w:cs="Arial"/>
          <w:sz w:val="20"/>
          <w:szCs w:val="20"/>
          <w:shd w:val="clear" w:color="auto" w:fill="FFFFFF"/>
        </w:rPr>
        <w:t>245 mujeres y detectaron</w:t>
      </w:r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que las mujeres que usa</w:t>
      </w:r>
      <w:r w:rsidR="00A41FD5" w:rsidRPr="00680378">
        <w:rPr>
          <w:rFonts w:ascii="Arial" w:hAnsi="Arial" w:cs="Arial"/>
          <w:sz w:val="20"/>
          <w:szCs w:val="20"/>
          <w:shd w:val="clear" w:color="auto" w:fill="FFFFFF"/>
        </w:rPr>
        <w:t>ban suplementos de calcio te</w:t>
      </w:r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>n</w:t>
      </w:r>
      <w:r w:rsidR="00A41FD5" w:rsidRPr="00680378">
        <w:rPr>
          <w:rFonts w:ascii="Arial" w:hAnsi="Arial" w:cs="Arial"/>
          <w:sz w:val="20"/>
          <w:szCs w:val="20"/>
          <w:shd w:val="clear" w:color="auto" w:fill="FFFFFF"/>
        </w:rPr>
        <w:t>ían</w:t>
      </w:r>
      <w:r w:rsidR="00B5088A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menor incidencia de e</w:t>
      </w:r>
      <w:r w:rsidR="00F201D1" w:rsidRPr="00680378">
        <w:rPr>
          <w:rFonts w:ascii="Arial" w:hAnsi="Arial" w:cs="Arial"/>
          <w:sz w:val="20"/>
          <w:szCs w:val="20"/>
          <w:shd w:val="clear" w:color="auto" w:fill="FFFFFF"/>
        </w:rPr>
        <w:t>nfermedad isquémica cardiaca</w:t>
      </w:r>
      <w:r w:rsidR="009E7F0E" w:rsidRPr="00680378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3D6EC382" w14:textId="5B741550" w:rsidR="000404CB" w:rsidRPr="00680378" w:rsidRDefault="00A41FD5" w:rsidP="00170F2F">
      <w:pPr>
        <w:shd w:val="clear" w:color="auto" w:fill="FFFFFF"/>
        <w:spacing w:line="276" w:lineRule="auto"/>
        <w:jc w:val="both"/>
        <w:rPr>
          <w:rFonts w:ascii="Arial" w:hAnsi="Arial" w:cs="Arial"/>
          <w:bCs/>
          <w:sz w:val="20"/>
          <w:szCs w:val="20"/>
          <w:lang w:eastAsia="es-AR"/>
        </w:rPr>
      </w:pPr>
      <w:r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Los estudios controlados </w:t>
      </w:r>
      <w:proofErr w:type="spellStart"/>
      <w:r w:rsidRPr="00680378">
        <w:rPr>
          <w:rFonts w:ascii="Arial" w:hAnsi="Arial" w:cs="Arial"/>
          <w:sz w:val="20"/>
          <w:szCs w:val="20"/>
          <w:shd w:val="clear" w:color="auto" w:fill="FFFFFF"/>
        </w:rPr>
        <w:t>randomizados</w:t>
      </w:r>
      <w:proofErr w:type="spellEnd"/>
      <w:r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de calcio y vitamina D como monoterapia sobre efectos cardiovasculares son altamente controvertidos</w:t>
      </w:r>
      <w:r w:rsidR="00331534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porque no han s</w:t>
      </w:r>
      <w:r w:rsidR="00263FD8" w:rsidRPr="00680378">
        <w:rPr>
          <w:rFonts w:ascii="Arial" w:hAnsi="Arial" w:cs="Arial"/>
          <w:sz w:val="20"/>
          <w:szCs w:val="20"/>
          <w:shd w:val="clear" w:color="auto" w:fill="FFFFFF"/>
        </w:rPr>
        <w:t>ido adecuadamente investigad</w:t>
      </w:r>
      <w:r w:rsidR="00331534" w:rsidRPr="00680378">
        <w:rPr>
          <w:rFonts w:ascii="Arial" w:hAnsi="Arial" w:cs="Arial"/>
          <w:sz w:val="20"/>
          <w:szCs w:val="20"/>
          <w:shd w:val="clear" w:color="auto" w:fill="FFFFFF"/>
        </w:rPr>
        <w:t>os y por lo tanto</w:t>
      </w:r>
      <w:r w:rsidR="00263FD8" w:rsidRPr="00680378">
        <w:rPr>
          <w:rFonts w:ascii="Arial" w:hAnsi="Arial" w:cs="Arial"/>
          <w:bCs/>
          <w:sz w:val="20"/>
          <w:szCs w:val="20"/>
          <w:lang w:eastAsia="es-AR"/>
        </w:rPr>
        <w:t xml:space="preserve"> </w:t>
      </w:r>
      <w:r w:rsidR="00331534" w:rsidRPr="00680378">
        <w:rPr>
          <w:rFonts w:ascii="Arial" w:hAnsi="Arial" w:cs="Arial"/>
          <w:sz w:val="20"/>
          <w:szCs w:val="20"/>
          <w:shd w:val="clear" w:color="auto" w:fill="FFFFFF"/>
        </w:rPr>
        <w:t>s</w:t>
      </w:r>
      <w:r w:rsidR="001947B3" w:rsidRPr="00680378">
        <w:rPr>
          <w:rFonts w:ascii="Arial" w:hAnsi="Arial" w:cs="Arial"/>
          <w:sz w:val="20"/>
          <w:szCs w:val="20"/>
          <w:shd w:val="clear" w:color="auto" w:fill="FFFFFF"/>
        </w:rPr>
        <w:t>e requieren de ensayos diseñados para medir estos efectos y poder sacar una conclusión</w:t>
      </w:r>
      <w:r w:rsidR="00331534" w:rsidRPr="00680378">
        <w:rPr>
          <w:rFonts w:ascii="Arial" w:hAnsi="Arial" w:cs="Arial"/>
          <w:sz w:val="20"/>
          <w:szCs w:val="20"/>
          <w:shd w:val="clear" w:color="auto" w:fill="FFFFFF"/>
        </w:rPr>
        <w:t xml:space="preserve"> definitiva</w:t>
      </w:r>
      <w:r w:rsidR="00F201D1" w:rsidRPr="00680378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2A0A9E62" w14:textId="77777777" w:rsidR="006671D8" w:rsidRPr="00680378" w:rsidRDefault="006671D8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u w:val="single"/>
          <w:lang w:eastAsia="es-AR"/>
        </w:rPr>
      </w:pPr>
    </w:p>
    <w:p w14:paraId="5D4F2878" w14:textId="77777777" w:rsidR="00ED47D7" w:rsidRPr="006F2F3D" w:rsidRDefault="00ED47D7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</w:pPr>
      <w:r w:rsidRPr="006F2F3D">
        <w:rPr>
          <w:rStyle w:val="Textoennegrita"/>
          <w:rFonts w:ascii="Arial" w:hAnsi="Arial" w:cs="Arial"/>
          <w:sz w:val="20"/>
          <w:szCs w:val="20"/>
          <w:u w:val="single"/>
          <w:lang w:eastAsia="es-AR"/>
        </w:rPr>
        <w:t>Vitamina D</w:t>
      </w:r>
    </w:p>
    <w:p w14:paraId="40D0600E" w14:textId="15569818" w:rsidR="00ED47D7" w:rsidRPr="00680378" w:rsidRDefault="001947B3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 vitamina D tiene un </w:t>
      </w:r>
      <w:r w:rsidR="00A1576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papel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importante en la absorción intestinal de ca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lcio, la salud ósea, y muscular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el e</w:t>
      </w:r>
      <w:r w:rsidR="00A1576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quilibrio y el riesgo de caídas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  <w:r w:rsidR="00A1576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Su principal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fecto biológico consiste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en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mantener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los niveles de calcio sérico dentro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los límites normales, puesto que aumenta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 eficacia con que </w:t>
      </w:r>
      <w:r w:rsidR="0069410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el intestino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absorbe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el calcio 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ingerido.  La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interac</w:t>
      </w:r>
      <w:r w:rsidR="00170F2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ción</w:t>
      </w:r>
      <w:r w:rsidR="00001B6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 vitamina D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con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su receptor incr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ementa la absorción del calcio </w:t>
      </w:r>
      <w:r w:rsidR="00ED47D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 un 3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0%-40% y</w:t>
      </w:r>
      <w:r w:rsidR="0069410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del fósforo en un 80%</w:t>
      </w:r>
      <w:r w:rsidR="00A1576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787A6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también corrige el hiperparatiroidismo secundario y la osteomalacia</w:t>
      </w:r>
      <w:r w:rsidR="00A15764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evitando 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por consiguiente 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pé</w:t>
      </w:r>
      <w:r w:rsidR="00EB4C0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rdida ó</w:t>
      </w:r>
      <w:r w:rsidR="00787A6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sea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</w:t>
      </w:r>
      <w:proofErr w:type="spellStart"/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Holick</w:t>
      </w:r>
      <w:proofErr w:type="spellEnd"/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M., 2007)</w:t>
      </w:r>
    </w:p>
    <w:p w14:paraId="1501D879" w14:textId="714CE3D5" w:rsidR="00A54A26" w:rsidRPr="00680378" w:rsidRDefault="00A54A26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Para alcanzar buenos niveles de vitamina D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 exposición solar debe ser entre 15 y 20 minutos, y fuera de los horarios pico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F355B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 manos, cara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brazos o piernas. En </w:t>
      </w:r>
      <w:r w:rsidR="00F355B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invierno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="00F355B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 exposi</w:t>
      </w:r>
      <w:r w:rsidR="00EB4C0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ció</w:t>
      </w:r>
      <w:r w:rsidR="00F355B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 debe aumentarse, recordar que las pantallas y los protectores solares disminuyen o bloquean la síntesis de vitamina D.</w:t>
      </w:r>
    </w:p>
    <w:p w14:paraId="21DB3289" w14:textId="2FF8BEF2" w:rsidR="006769DC" w:rsidRPr="00680378" w:rsidRDefault="00F355B3" w:rsidP="00F3055B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medición de los niveles séricos de vitamina D es el mejor indicador de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suficiencia de la misma. E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 nive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 ó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ptimo</w:t>
      </w:r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es controvertido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recomendándose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mantener los</w:t>
      </w:r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niveles 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por encima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 30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ng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/ml </w:t>
      </w:r>
      <w:r w:rsidR="00787A6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(75 </w:t>
      </w:r>
      <w:proofErr w:type="spellStart"/>
      <w:r w:rsidR="00787A6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nmol</w:t>
      </w:r>
      <w:proofErr w:type="spellEnd"/>
      <w:r w:rsidR="00787A6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/L)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de 25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lastRenderedPageBreak/>
        <w:t>hidroxi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-vitamina D</w:t>
      </w:r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(AACE y </w:t>
      </w:r>
      <w:proofErr w:type="spellStart"/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Endocrine</w:t>
      </w:r>
      <w:proofErr w:type="spellEnd"/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Society</w:t>
      </w:r>
      <w:proofErr w:type="spellEnd"/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vertAlign w:val="superscript"/>
          <w:lang w:eastAsia="es-AR"/>
        </w:rPr>
        <w:t xml:space="preserve">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(Camacho P., et al, 2016) (</w:t>
      </w:r>
      <w:r w:rsidR="00F3055B" w:rsidRPr="00680378">
        <w:rPr>
          <w:rFonts w:ascii="Arial" w:hAnsi="Arial" w:cs="Arial"/>
          <w:sz w:val="20"/>
          <w:szCs w:val="20"/>
          <w:lang w:val="es-CO"/>
        </w:rPr>
        <w:t>Dawson-Hughes B, 2010)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2F3D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(ver</w:t>
      </w:r>
      <w:r w:rsidR="0097332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9410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abla </w:t>
      </w:r>
      <w:r w:rsidR="001009D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No </w:t>
      </w:r>
      <w:r w:rsidR="001E5CC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3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).</w:t>
      </w:r>
    </w:p>
    <w:p w14:paraId="737F9A01" w14:textId="5A42076C" w:rsidR="00EC4FAC" w:rsidRPr="00680378" w:rsidRDefault="00EC4FAC" w:rsidP="006769DC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3223A7C8" w14:textId="77777777" w:rsidR="00EC4FAC" w:rsidRPr="00680378" w:rsidRDefault="00EC4FAC" w:rsidP="006769DC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20E29A87" w14:textId="31EF32C9" w:rsidR="006769DC" w:rsidRPr="00680378" w:rsidRDefault="006769DC" w:rsidP="001009D8">
      <w:pPr>
        <w:shd w:val="clear" w:color="auto" w:fill="FFFFFF"/>
        <w:spacing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Tabla </w:t>
      </w:r>
      <w:r w:rsidR="001009D8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No </w:t>
      </w: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3. Definición de niveles de vitamina D</w:t>
      </w:r>
    </w:p>
    <w:p w14:paraId="407C0E07" w14:textId="77777777" w:rsidR="001009D8" w:rsidRPr="00680378" w:rsidRDefault="001009D8" w:rsidP="001009D8">
      <w:pPr>
        <w:shd w:val="clear" w:color="auto" w:fill="FFFFFF"/>
        <w:spacing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3827"/>
      </w:tblGrid>
      <w:tr w:rsidR="00680378" w:rsidRPr="00680378" w14:paraId="3AAABBC0" w14:textId="77777777" w:rsidTr="006769DC">
        <w:trPr>
          <w:jc w:val="center"/>
        </w:trPr>
        <w:tc>
          <w:tcPr>
            <w:tcW w:w="3256" w:type="dxa"/>
          </w:tcPr>
          <w:p w14:paraId="304EF833" w14:textId="61ADC1AA" w:rsidR="006769DC" w:rsidRPr="00680378" w:rsidRDefault="006769DC" w:rsidP="006769DC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Estado de vitamina D</w:t>
            </w:r>
          </w:p>
        </w:tc>
        <w:tc>
          <w:tcPr>
            <w:tcW w:w="3827" w:type="dxa"/>
          </w:tcPr>
          <w:p w14:paraId="6094771F" w14:textId="7C6940CB" w:rsidR="006769DC" w:rsidRPr="00680378" w:rsidRDefault="006769DC" w:rsidP="006769DC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  <w:lang w:eastAsia="es-AR"/>
              </w:rPr>
              <w:t>Valores de referencia</w:t>
            </w:r>
          </w:p>
        </w:tc>
      </w:tr>
      <w:tr w:rsidR="00680378" w:rsidRPr="00680378" w14:paraId="40E41292" w14:textId="77777777" w:rsidTr="006769DC">
        <w:trPr>
          <w:jc w:val="center"/>
        </w:trPr>
        <w:tc>
          <w:tcPr>
            <w:tcW w:w="3256" w:type="dxa"/>
          </w:tcPr>
          <w:p w14:paraId="42F18646" w14:textId="324FBA9D" w:rsidR="006769DC" w:rsidRPr="00680378" w:rsidRDefault="006769DC" w:rsidP="006769DC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Normal</w:t>
            </w:r>
          </w:p>
        </w:tc>
        <w:tc>
          <w:tcPr>
            <w:tcW w:w="3827" w:type="dxa"/>
          </w:tcPr>
          <w:p w14:paraId="46B8F6E2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Fonts w:ascii="Arial" w:hAnsi="Arial" w:cs="Arial"/>
                <w:sz w:val="20"/>
                <w:szCs w:val="20"/>
              </w:rPr>
              <w:t xml:space="preserve">30-60 </w:t>
            </w:r>
            <w:proofErr w:type="spellStart"/>
            <w:r w:rsidRPr="00680378">
              <w:rPr>
                <w:rFonts w:ascii="Arial" w:hAnsi="Arial" w:cs="Arial"/>
                <w:sz w:val="20"/>
                <w:szCs w:val="20"/>
              </w:rPr>
              <w:t>ng</w:t>
            </w:r>
            <w:proofErr w:type="spellEnd"/>
            <w:r w:rsidRPr="00680378">
              <w:rPr>
                <w:rFonts w:ascii="Arial" w:hAnsi="Arial" w:cs="Arial"/>
                <w:sz w:val="20"/>
                <w:szCs w:val="20"/>
              </w:rPr>
              <w:t>/ml</w:t>
            </w:r>
          </w:p>
        </w:tc>
      </w:tr>
      <w:tr w:rsidR="00680378" w:rsidRPr="00680378" w14:paraId="18FED82F" w14:textId="77777777" w:rsidTr="006769DC">
        <w:trPr>
          <w:jc w:val="center"/>
        </w:trPr>
        <w:tc>
          <w:tcPr>
            <w:tcW w:w="3256" w:type="dxa"/>
          </w:tcPr>
          <w:p w14:paraId="08A9360C" w14:textId="37B6E9E2" w:rsidR="006769DC" w:rsidRPr="00680378" w:rsidRDefault="006769DC" w:rsidP="006769DC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Insuficiente</w:t>
            </w:r>
          </w:p>
        </w:tc>
        <w:tc>
          <w:tcPr>
            <w:tcW w:w="3827" w:type="dxa"/>
          </w:tcPr>
          <w:p w14:paraId="5E8B1704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Fonts w:ascii="Arial" w:hAnsi="Arial" w:cs="Arial"/>
                <w:sz w:val="20"/>
                <w:szCs w:val="20"/>
              </w:rPr>
              <w:t xml:space="preserve">entre 20 y 29 </w:t>
            </w:r>
            <w:proofErr w:type="spellStart"/>
            <w:r w:rsidRPr="00680378">
              <w:rPr>
                <w:rFonts w:ascii="Arial" w:hAnsi="Arial" w:cs="Arial"/>
                <w:sz w:val="20"/>
                <w:szCs w:val="20"/>
              </w:rPr>
              <w:t>ng</w:t>
            </w:r>
            <w:proofErr w:type="spellEnd"/>
            <w:r w:rsidRPr="00680378">
              <w:rPr>
                <w:rFonts w:ascii="Arial" w:hAnsi="Arial" w:cs="Arial"/>
                <w:sz w:val="20"/>
                <w:szCs w:val="20"/>
              </w:rPr>
              <w:t>/ml</w:t>
            </w:r>
          </w:p>
        </w:tc>
      </w:tr>
      <w:tr w:rsidR="00680378" w:rsidRPr="00680378" w14:paraId="237C35D5" w14:textId="77777777" w:rsidTr="006769DC">
        <w:trPr>
          <w:jc w:val="center"/>
        </w:trPr>
        <w:tc>
          <w:tcPr>
            <w:tcW w:w="3256" w:type="dxa"/>
          </w:tcPr>
          <w:p w14:paraId="03B853DA" w14:textId="7F375C90" w:rsidR="006769DC" w:rsidRPr="00680378" w:rsidRDefault="006769DC" w:rsidP="006769DC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Deficiente</w:t>
            </w:r>
          </w:p>
        </w:tc>
        <w:tc>
          <w:tcPr>
            <w:tcW w:w="3827" w:type="dxa"/>
          </w:tcPr>
          <w:p w14:paraId="51757E54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Fonts w:ascii="Arial" w:hAnsi="Arial" w:cs="Arial"/>
                <w:sz w:val="20"/>
                <w:szCs w:val="20"/>
              </w:rPr>
              <w:t xml:space="preserve">entre 10 y 19 </w:t>
            </w:r>
            <w:proofErr w:type="spellStart"/>
            <w:r w:rsidRPr="00680378">
              <w:rPr>
                <w:rFonts w:ascii="Arial" w:hAnsi="Arial" w:cs="Arial"/>
                <w:sz w:val="20"/>
                <w:szCs w:val="20"/>
              </w:rPr>
              <w:t>ng</w:t>
            </w:r>
            <w:proofErr w:type="spellEnd"/>
            <w:r w:rsidRPr="00680378">
              <w:rPr>
                <w:rFonts w:ascii="Arial" w:hAnsi="Arial" w:cs="Arial"/>
                <w:sz w:val="20"/>
                <w:szCs w:val="20"/>
              </w:rPr>
              <w:t>/ml</w:t>
            </w:r>
          </w:p>
        </w:tc>
      </w:tr>
      <w:tr w:rsidR="006769DC" w:rsidRPr="00680378" w14:paraId="0BFC321D" w14:textId="77777777" w:rsidTr="006769DC">
        <w:trPr>
          <w:jc w:val="center"/>
        </w:trPr>
        <w:tc>
          <w:tcPr>
            <w:tcW w:w="3256" w:type="dxa"/>
          </w:tcPr>
          <w:p w14:paraId="6F29F3A2" w14:textId="77777777" w:rsidR="006769DC" w:rsidRPr="00680378" w:rsidRDefault="006769DC" w:rsidP="006769DC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Deficiente severo</w:t>
            </w:r>
          </w:p>
        </w:tc>
        <w:tc>
          <w:tcPr>
            <w:tcW w:w="3827" w:type="dxa"/>
          </w:tcPr>
          <w:p w14:paraId="37748417" w14:textId="77777777" w:rsidR="006769DC" w:rsidRPr="00680378" w:rsidRDefault="006769DC" w:rsidP="0086145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680378">
              <w:rPr>
                <w:rFonts w:ascii="Arial" w:hAnsi="Arial" w:cs="Arial"/>
                <w:sz w:val="20"/>
                <w:szCs w:val="20"/>
              </w:rPr>
              <w:t xml:space="preserve">por debajo de 10 </w:t>
            </w:r>
            <w:proofErr w:type="spellStart"/>
            <w:r w:rsidRPr="00680378">
              <w:rPr>
                <w:rFonts w:ascii="Arial" w:hAnsi="Arial" w:cs="Arial"/>
                <w:sz w:val="20"/>
                <w:szCs w:val="20"/>
              </w:rPr>
              <w:t>ng</w:t>
            </w:r>
            <w:proofErr w:type="spellEnd"/>
            <w:r w:rsidRPr="00680378">
              <w:rPr>
                <w:rFonts w:ascii="Arial" w:hAnsi="Arial" w:cs="Arial"/>
                <w:sz w:val="20"/>
                <w:szCs w:val="20"/>
              </w:rPr>
              <w:t>/ml</w:t>
            </w:r>
          </w:p>
        </w:tc>
      </w:tr>
    </w:tbl>
    <w:p w14:paraId="2E2E7C5B" w14:textId="77777777" w:rsidR="006769DC" w:rsidRPr="00680378" w:rsidRDefault="006769DC" w:rsidP="00170F2F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2209B9D1" w14:textId="7E40D455" w:rsidR="00F91E89" w:rsidRPr="00680378" w:rsidRDefault="00CC6869" w:rsidP="00170F2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>La</w:t>
      </w:r>
      <w:r w:rsidRPr="00680378">
        <w:rPr>
          <w:rStyle w:val="apple-converted-space"/>
          <w:rFonts w:ascii="Arial" w:hAnsi="Arial" w:cs="Arial"/>
          <w:sz w:val="20"/>
          <w:szCs w:val="20"/>
        </w:rPr>
        <w:t> </w:t>
      </w:r>
      <w:proofErr w:type="spellStart"/>
      <w:r w:rsidRPr="00680378">
        <w:rPr>
          <w:rFonts w:ascii="Arial" w:hAnsi="Arial" w:cs="Arial"/>
          <w:i/>
          <w:iCs/>
          <w:sz w:val="20"/>
          <w:szCs w:val="20"/>
        </w:rPr>
        <w:t>Endocrine</w:t>
      </w:r>
      <w:proofErr w:type="spellEnd"/>
      <w:r w:rsidRPr="00680378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80378">
        <w:rPr>
          <w:rFonts w:ascii="Arial" w:hAnsi="Arial" w:cs="Arial"/>
          <w:i/>
          <w:iCs/>
          <w:sz w:val="20"/>
          <w:szCs w:val="20"/>
        </w:rPr>
        <w:t>Society</w:t>
      </w:r>
      <w:proofErr w:type="spellEnd"/>
      <w:r w:rsidR="00957375" w:rsidRPr="00680378">
        <w:rPr>
          <w:rFonts w:ascii="Arial" w:hAnsi="Arial" w:cs="Arial"/>
          <w:i/>
          <w:iCs/>
          <w:sz w:val="20"/>
          <w:szCs w:val="20"/>
        </w:rPr>
        <w:t xml:space="preserve"> </w:t>
      </w:r>
      <w:r w:rsidRPr="00680378">
        <w:rPr>
          <w:rFonts w:ascii="Arial" w:hAnsi="Arial" w:cs="Arial"/>
          <w:sz w:val="20"/>
          <w:szCs w:val="20"/>
        </w:rPr>
        <w:t>publicó en 2011 sus Guías de Práctica Clínica sobre Evaluación, Tratamiento y Prevención del Déficit de Vitamina D</w:t>
      </w:r>
      <w:r w:rsidR="00F91E89" w:rsidRPr="00680378">
        <w:rPr>
          <w:rFonts w:ascii="Arial" w:hAnsi="Arial" w:cs="Arial"/>
          <w:sz w:val="20"/>
          <w:szCs w:val="20"/>
        </w:rPr>
        <w:t xml:space="preserve"> al igual que e</w:t>
      </w:r>
      <w:r w:rsidRPr="00680378">
        <w:rPr>
          <w:rFonts w:ascii="Arial" w:hAnsi="Arial" w:cs="Arial"/>
          <w:sz w:val="20"/>
          <w:szCs w:val="20"/>
        </w:rPr>
        <w:t>l</w:t>
      </w:r>
      <w:r w:rsidRPr="00680378">
        <w:rPr>
          <w:rStyle w:val="apple-converted-space"/>
          <w:rFonts w:ascii="Arial" w:hAnsi="Arial" w:cs="Arial"/>
          <w:sz w:val="20"/>
          <w:szCs w:val="20"/>
        </w:rPr>
        <w:t> </w:t>
      </w:r>
      <w:proofErr w:type="spellStart"/>
      <w:r w:rsidRPr="00680378">
        <w:rPr>
          <w:rFonts w:ascii="Arial" w:hAnsi="Arial" w:cs="Arial"/>
          <w:i/>
          <w:iCs/>
          <w:sz w:val="20"/>
          <w:szCs w:val="20"/>
        </w:rPr>
        <w:t>Institute</w:t>
      </w:r>
      <w:proofErr w:type="spellEnd"/>
      <w:r w:rsidRPr="00680378">
        <w:rPr>
          <w:rFonts w:ascii="Arial" w:hAnsi="Arial" w:cs="Arial"/>
          <w:i/>
          <w:iCs/>
          <w:sz w:val="20"/>
          <w:szCs w:val="20"/>
        </w:rPr>
        <w:t xml:space="preserve"> of Medicine</w:t>
      </w:r>
      <w:r w:rsidRPr="00680378">
        <w:rPr>
          <w:rStyle w:val="apple-converted-space"/>
          <w:rFonts w:ascii="Arial" w:hAnsi="Arial" w:cs="Arial"/>
          <w:i/>
          <w:iCs/>
          <w:sz w:val="20"/>
          <w:szCs w:val="20"/>
        </w:rPr>
        <w:t> </w:t>
      </w:r>
      <w:r w:rsidRPr="00680378">
        <w:rPr>
          <w:rFonts w:ascii="Arial" w:hAnsi="Arial" w:cs="Arial"/>
          <w:sz w:val="20"/>
          <w:szCs w:val="20"/>
        </w:rPr>
        <w:t>(IOM)</w:t>
      </w:r>
      <w:r w:rsidR="0054340F" w:rsidRPr="00680378">
        <w:rPr>
          <w:rFonts w:ascii="Arial" w:hAnsi="Arial" w:cs="Arial"/>
          <w:sz w:val="20"/>
          <w:szCs w:val="20"/>
        </w:rPr>
        <w:t>.</w:t>
      </w:r>
      <w:r w:rsidRPr="00680378">
        <w:rPr>
          <w:rFonts w:ascii="Arial" w:hAnsi="Arial" w:cs="Arial"/>
          <w:sz w:val="20"/>
          <w:szCs w:val="20"/>
        </w:rPr>
        <w:t xml:space="preserve"> </w:t>
      </w:r>
      <w:r w:rsidR="00F91E89" w:rsidRPr="00680378">
        <w:rPr>
          <w:rFonts w:ascii="Arial" w:hAnsi="Arial" w:cs="Arial"/>
          <w:sz w:val="20"/>
          <w:szCs w:val="20"/>
        </w:rPr>
        <w:t xml:space="preserve">Existen </w:t>
      </w:r>
      <w:r w:rsidRPr="00680378">
        <w:rPr>
          <w:rFonts w:ascii="Arial" w:hAnsi="Arial" w:cs="Arial"/>
          <w:sz w:val="20"/>
          <w:szCs w:val="20"/>
        </w:rPr>
        <w:t xml:space="preserve">discrepancias con respecto a los niveles séricos óptimos de 25OHD y a las dosis convenientes de la vitamina. </w:t>
      </w:r>
    </w:p>
    <w:p w14:paraId="6A2A4809" w14:textId="77777777" w:rsidR="00CC6869" w:rsidRPr="00680378" w:rsidRDefault="00CC6869" w:rsidP="00170F2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El IOM no está de acuerdo con el concepto de que un nivel sérico de 25OHD de 30 </w:t>
      </w:r>
      <w:proofErr w:type="spellStart"/>
      <w:r w:rsidRPr="00680378">
        <w:rPr>
          <w:rFonts w:ascii="Arial" w:hAnsi="Arial" w:cs="Arial"/>
          <w:sz w:val="20"/>
          <w:szCs w:val="20"/>
        </w:rPr>
        <w:t>ng</w:t>
      </w:r>
      <w:proofErr w:type="spellEnd"/>
      <w:r w:rsidRPr="00680378">
        <w:rPr>
          <w:rFonts w:ascii="Arial" w:hAnsi="Arial" w:cs="Arial"/>
          <w:sz w:val="20"/>
          <w:szCs w:val="20"/>
        </w:rPr>
        <w:t xml:space="preserve">/ml sea más beneficioso para la salud que uno de 20 </w:t>
      </w:r>
      <w:proofErr w:type="spellStart"/>
      <w:r w:rsidRPr="00680378">
        <w:rPr>
          <w:rFonts w:ascii="Arial" w:hAnsi="Arial" w:cs="Arial"/>
          <w:sz w:val="20"/>
          <w:szCs w:val="20"/>
        </w:rPr>
        <w:t>ng</w:t>
      </w:r>
      <w:proofErr w:type="spellEnd"/>
      <w:r w:rsidRPr="00680378">
        <w:rPr>
          <w:rFonts w:ascii="Arial" w:hAnsi="Arial" w:cs="Arial"/>
          <w:sz w:val="20"/>
          <w:szCs w:val="20"/>
        </w:rPr>
        <w:t>/ml, y menciona que considerar "en riesgo" a los grupos enumerados por la</w:t>
      </w:r>
      <w:r w:rsidRPr="00680378">
        <w:rPr>
          <w:rStyle w:val="apple-converted-space"/>
          <w:rFonts w:ascii="Arial" w:hAnsi="Arial" w:cs="Arial"/>
          <w:sz w:val="20"/>
          <w:szCs w:val="20"/>
        </w:rPr>
        <w:t> </w:t>
      </w:r>
      <w:proofErr w:type="spellStart"/>
      <w:r w:rsidRPr="00680378">
        <w:rPr>
          <w:rFonts w:ascii="Arial" w:hAnsi="Arial" w:cs="Arial"/>
          <w:i/>
          <w:iCs/>
          <w:sz w:val="20"/>
          <w:szCs w:val="20"/>
        </w:rPr>
        <w:t>Endocrine</w:t>
      </w:r>
      <w:proofErr w:type="spellEnd"/>
      <w:r w:rsidRPr="00680378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80378">
        <w:rPr>
          <w:rFonts w:ascii="Arial" w:hAnsi="Arial" w:cs="Arial"/>
          <w:i/>
          <w:iCs/>
          <w:sz w:val="20"/>
          <w:szCs w:val="20"/>
        </w:rPr>
        <w:t>Society</w:t>
      </w:r>
      <w:proofErr w:type="spellEnd"/>
      <w:r w:rsidRPr="00680378">
        <w:rPr>
          <w:rFonts w:ascii="Arial" w:hAnsi="Arial" w:cs="Arial"/>
          <w:i/>
          <w:iCs/>
          <w:sz w:val="20"/>
          <w:szCs w:val="20"/>
        </w:rPr>
        <w:t xml:space="preserve"> </w:t>
      </w:r>
      <w:r w:rsidRPr="00680378">
        <w:rPr>
          <w:rFonts w:ascii="Arial" w:hAnsi="Arial" w:cs="Arial"/>
          <w:sz w:val="20"/>
          <w:szCs w:val="20"/>
        </w:rPr>
        <w:t>ocasionaría estudiar a un número muy amplio de personas con costos económicos considerables para la salud pública. Por su parte, los expertos de la</w:t>
      </w:r>
      <w:r w:rsidRPr="00680378">
        <w:rPr>
          <w:rStyle w:val="apple-converted-space"/>
          <w:rFonts w:ascii="Arial" w:hAnsi="Arial" w:cs="Arial"/>
          <w:sz w:val="20"/>
          <w:szCs w:val="20"/>
        </w:rPr>
        <w:t> </w:t>
      </w:r>
      <w:proofErr w:type="spellStart"/>
      <w:r w:rsidRPr="00680378">
        <w:rPr>
          <w:rFonts w:ascii="Arial" w:hAnsi="Arial" w:cs="Arial"/>
          <w:i/>
          <w:iCs/>
          <w:sz w:val="20"/>
          <w:szCs w:val="20"/>
        </w:rPr>
        <w:t>Endocrine</w:t>
      </w:r>
      <w:proofErr w:type="spellEnd"/>
      <w:r w:rsidRPr="00680378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80378">
        <w:rPr>
          <w:rFonts w:ascii="Arial" w:hAnsi="Arial" w:cs="Arial"/>
          <w:i/>
          <w:iCs/>
          <w:sz w:val="20"/>
          <w:szCs w:val="20"/>
        </w:rPr>
        <w:t>Society</w:t>
      </w:r>
      <w:proofErr w:type="spellEnd"/>
      <w:r w:rsidRPr="00680378">
        <w:rPr>
          <w:rFonts w:ascii="Arial" w:hAnsi="Arial" w:cs="Arial"/>
          <w:i/>
          <w:iCs/>
          <w:sz w:val="20"/>
          <w:szCs w:val="20"/>
        </w:rPr>
        <w:t xml:space="preserve"> </w:t>
      </w:r>
      <w:r w:rsidRPr="00680378">
        <w:rPr>
          <w:rFonts w:ascii="Arial" w:hAnsi="Arial" w:cs="Arial"/>
          <w:sz w:val="20"/>
          <w:szCs w:val="20"/>
        </w:rPr>
        <w:t>consideran que las opiniones del IOM son incorrectas, y además dirigidas solo a políticas sanitarias y de fortificación de alimentos, pero no aplicables para la atención de pacientes.</w:t>
      </w:r>
    </w:p>
    <w:p w14:paraId="5A02BAD8" w14:textId="7F71A770" w:rsidR="00DD2C4B" w:rsidRPr="00680378" w:rsidRDefault="00DD2C4B" w:rsidP="00170F2F">
      <w:pPr>
        <w:shd w:val="clear" w:color="auto" w:fill="FFFFFF"/>
        <w:spacing w:line="276" w:lineRule="auto"/>
        <w:jc w:val="both"/>
        <w:outlineLvl w:val="3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L</w:t>
      </w:r>
      <w:r w:rsidR="00F91E89" w:rsidRPr="00680378">
        <w:rPr>
          <w:rFonts w:ascii="Arial" w:hAnsi="Arial" w:cs="Arial"/>
          <w:sz w:val="20"/>
          <w:szCs w:val="20"/>
        </w:rPr>
        <w:t xml:space="preserve">a </w:t>
      </w:r>
      <w:proofErr w:type="spellStart"/>
      <w:r w:rsidR="00F91E89" w:rsidRPr="00680378">
        <w:rPr>
          <w:rFonts w:ascii="Arial" w:hAnsi="Arial" w:cs="Arial"/>
          <w:sz w:val="20"/>
          <w:szCs w:val="20"/>
        </w:rPr>
        <w:t>Endocrine</w:t>
      </w:r>
      <w:proofErr w:type="spellEnd"/>
      <w:r w:rsidR="00F91E89" w:rsidRPr="0068037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91E89" w:rsidRPr="00680378">
        <w:rPr>
          <w:rFonts w:ascii="Arial" w:hAnsi="Arial" w:cs="Arial"/>
          <w:sz w:val="20"/>
          <w:szCs w:val="20"/>
        </w:rPr>
        <w:t>Society</w:t>
      </w:r>
      <w:proofErr w:type="spellEnd"/>
      <w:r w:rsidR="00F91E89" w:rsidRPr="00680378">
        <w:rPr>
          <w:rFonts w:ascii="Arial" w:hAnsi="Arial" w:cs="Arial"/>
          <w:sz w:val="20"/>
          <w:szCs w:val="20"/>
        </w:rPr>
        <w:t xml:space="preserve"> publicó</w:t>
      </w:r>
      <w:r w:rsidRPr="00680378">
        <w:rPr>
          <w:rFonts w:ascii="Arial" w:hAnsi="Arial" w:cs="Arial"/>
          <w:sz w:val="20"/>
          <w:szCs w:val="20"/>
        </w:rPr>
        <w:t xml:space="preserve"> en 2011 que no hay evidencia que justifique un tamizaje masivo de la población buscando el déficit de vitamina D y que debería investigarse en los grupos de riesgo</w:t>
      </w:r>
      <w:r w:rsidR="000F7C73">
        <w:rPr>
          <w:rFonts w:ascii="Arial" w:hAnsi="Arial" w:cs="Arial"/>
          <w:sz w:val="20"/>
          <w:szCs w:val="20"/>
        </w:rPr>
        <w:t>:</w:t>
      </w:r>
    </w:p>
    <w:p w14:paraId="35C6DC97" w14:textId="77777777" w:rsidR="00DD2C4B" w:rsidRPr="00680378" w:rsidRDefault="00DD2C4B" w:rsidP="00170F2F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Osteoporosis </w:t>
      </w:r>
    </w:p>
    <w:p w14:paraId="29096AD1" w14:textId="77777777" w:rsidR="00DD2C4B" w:rsidRPr="00680378" w:rsidRDefault="00DD2C4B" w:rsidP="00170F2F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Síndromes de malabsorción: enfermedad celíaca, enfermedad inflamatoria intestinal, enfermedad de Crohn, cirugía </w:t>
      </w:r>
      <w:proofErr w:type="spellStart"/>
      <w:r w:rsidRPr="00680378">
        <w:rPr>
          <w:rFonts w:ascii="Arial" w:hAnsi="Arial" w:cs="Arial"/>
          <w:sz w:val="20"/>
          <w:szCs w:val="20"/>
        </w:rPr>
        <w:t>bariátrica</w:t>
      </w:r>
      <w:proofErr w:type="spellEnd"/>
      <w:r w:rsidRPr="00680378">
        <w:rPr>
          <w:rFonts w:ascii="Arial" w:hAnsi="Arial" w:cs="Arial"/>
          <w:sz w:val="20"/>
          <w:szCs w:val="20"/>
        </w:rPr>
        <w:t xml:space="preserve">, enteritis </w:t>
      </w:r>
      <w:proofErr w:type="spellStart"/>
      <w:r w:rsidRPr="00680378">
        <w:rPr>
          <w:rFonts w:ascii="Arial" w:hAnsi="Arial" w:cs="Arial"/>
          <w:sz w:val="20"/>
          <w:szCs w:val="20"/>
        </w:rPr>
        <w:t>posradiación</w:t>
      </w:r>
      <w:proofErr w:type="spellEnd"/>
    </w:p>
    <w:p w14:paraId="6953A539" w14:textId="77777777" w:rsidR="00DD2C4B" w:rsidRPr="00680378" w:rsidRDefault="00DD2C4B" w:rsidP="00170F2F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>Enfermedad renal crónica</w:t>
      </w:r>
    </w:p>
    <w:p w14:paraId="48F6589E" w14:textId="77777777" w:rsidR="00DD2C4B" w:rsidRPr="00680378" w:rsidRDefault="00DD2C4B" w:rsidP="00170F2F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Insuficiencia hepática </w:t>
      </w:r>
    </w:p>
    <w:p w14:paraId="2DB2883B" w14:textId="77777777" w:rsidR="00DD2C4B" w:rsidRPr="00680378" w:rsidRDefault="00DD2C4B" w:rsidP="00170F2F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Hiperparatiroidismo </w:t>
      </w:r>
    </w:p>
    <w:p w14:paraId="35210950" w14:textId="77777777" w:rsidR="00DD2C4B" w:rsidRPr="00680378" w:rsidRDefault="00DD2C4B" w:rsidP="00170F2F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Fármacos: anticonvulsivantes, glucocorticoides, </w:t>
      </w:r>
      <w:proofErr w:type="spellStart"/>
      <w:r w:rsidRPr="00680378">
        <w:rPr>
          <w:rFonts w:ascii="Arial" w:hAnsi="Arial" w:cs="Arial"/>
          <w:sz w:val="20"/>
          <w:szCs w:val="20"/>
        </w:rPr>
        <w:t>ketoconazol</w:t>
      </w:r>
      <w:proofErr w:type="spellEnd"/>
      <w:r w:rsidRPr="0068037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80378">
        <w:rPr>
          <w:rFonts w:ascii="Arial" w:hAnsi="Arial" w:cs="Arial"/>
          <w:sz w:val="20"/>
          <w:szCs w:val="20"/>
        </w:rPr>
        <w:t>colestiramina</w:t>
      </w:r>
      <w:proofErr w:type="spellEnd"/>
      <w:r w:rsidRPr="00680378">
        <w:rPr>
          <w:rFonts w:ascii="Arial" w:hAnsi="Arial" w:cs="Arial"/>
          <w:sz w:val="20"/>
          <w:szCs w:val="20"/>
        </w:rPr>
        <w:t>, algunos tratamientos del SIDA</w:t>
      </w:r>
    </w:p>
    <w:p w14:paraId="4F6F1FA6" w14:textId="173C91C1" w:rsidR="00DD2C4B" w:rsidRPr="00680378" w:rsidRDefault="00DD2C4B" w:rsidP="00170F2F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>Adultos mayore</w:t>
      </w:r>
      <w:r w:rsidR="000F7C73">
        <w:rPr>
          <w:rFonts w:ascii="Arial" w:hAnsi="Arial" w:cs="Arial"/>
          <w:sz w:val="20"/>
          <w:szCs w:val="20"/>
        </w:rPr>
        <w:t>s con historia personal de caí</w:t>
      </w:r>
      <w:r w:rsidRPr="00680378">
        <w:rPr>
          <w:rFonts w:ascii="Arial" w:hAnsi="Arial" w:cs="Arial"/>
          <w:sz w:val="20"/>
          <w:szCs w:val="20"/>
        </w:rPr>
        <w:t xml:space="preserve">das o de fracturas no traumáticas </w:t>
      </w:r>
    </w:p>
    <w:p w14:paraId="751DF81F" w14:textId="0FD39D7E" w:rsidR="00DD2C4B" w:rsidRPr="00680378" w:rsidRDefault="00DD2C4B" w:rsidP="006F4351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>Obesidad (definida por IMC &gt; 30 kg/m</w:t>
      </w:r>
      <w:r w:rsidRPr="00680378">
        <w:rPr>
          <w:rFonts w:ascii="Arial" w:hAnsi="Arial" w:cs="Arial"/>
          <w:sz w:val="20"/>
          <w:szCs w:val="20"/>
          <w:vertAlign w:val="superscript"/>
        </w:rPr>
        <w:t>2</w:t>
      </w:r>
      <w:r w:rsidRPr="00680378">
        <w:rPr>
          <w:rFonts w:ascii="Arial" w:hAnsi="Arial" w:cs="Arial"/>
          <w:sz w:val="20"/>
          <w:szCs w:val="20"/>
        </w:rPr>
        <w:t xml:space="preserve">) </w:t>
      </w:r>
    </w:p>
    <w:p w14:paraId="19C4AEC8" w14:textId="77777777" w:rsidR="00DD2C4B" w:rsidRPr="00680378" w:rsidRDefault="00DD2C4B" w:rsidP="006F4351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Enfermedades granulomatosas, linfomas </w:t>
      </w:r>
    </w:p>
    <w:p w14:paraId="607E4319" w14:textId="46069D7F" w:rsidR="0054340F" w:rsidRPr="00680378" w:rsidRDefault="00DD2C4B" w:rsidP="006F4351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Enfermedades neurológicas crónicas: </w:t>
      </w:r>
      <w:proofErr w:type="spellStart"/>
      <w:r w:rsidR="0054340F" w:rsidRPr="00680378">
        <w:rPr>
          <w:rFonts w:ascii="Arial" w:hAnsi="Arial" w:cs="Arial"/>
          <w:sz w:val="20"/>
          <w:szCs w:val="20"/>
        </w:rPr>
        <w:t>parkinson</w:t>
      </w:r>
      <w:proofErr w:type="spellEnd"/>
      <w:r w:rsidR="0054340F" w:rsidRPr="00680378">
        <w:rPr>
          <w:rFonts w:ascii="Arial" w:hAnsi="Arial" w:cs="Arial"/>
          <w:sz w:val="20"/>
          <w:szCs w:val="20"/>
        </w:rPr>
        <w:t xml:space="preserve">, esclerosis múltiple, etc. </w:t>
      </w:r>
      <w:r w:rsidRPr="00680378">
        <w:rPr>
          <w:rFonts w:ascii="Arial" w:hAnsi="Arial" w:cs="Arial"/>
          <w:sz w:val="20"/>
          <w:szCs w:val="20"/>
        </w:rPr>
        <w:t xml:space="preserve"> </w:t>
      </w:r>
    </w:p>
    <w:p w14:paraId="2971E954" w14:textId="66E1074C" w:rsidR="00DD2C4B" w:rsidRPr="00680378" w:rsidRDefault="00DD2C4B" w:rsidP="006F4351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Cáncer </w:t>
      </w:r>
    </w:p>
    <w:p w14:paraId="1210F79C" w14:textId="31A0667C" w:rsidR="00CC6869" w:rsidRPr="00680378" w:rsidRDefault="00DD2C4B" w:rsidP="006F4351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>Trasplantados</w:t>
      </w:r>
      <w:r w:rsidR="0054340F" w:rsidRPr="00680378">
        <w:rPr>
          <w:rFonts w:ascii="Arial" w:hAnsi="Arial" w:cs="Arial"/>
          <w:sz w:val="20"/>
          <w:szCs w:val="20"/>
        </w:rPr>
        <w:t xml:space="preserve"> </w:t>
      </w:r>
    </w:p>
    <w:p w14:paraId="1872CE4E" w14:textId="715BF780" w:rsidR="00001B60" w:rsidRPr="00680378" w:rsidRDefault="00001B60" w:rsidP="006F4351">
      <w:pPr>
        <w:shd w:val="clear" w:color="auto" w:fill="FFFFFF"/>
        <w:spacing w:line="276" w:lineRule="auto"/>
        <w:outlineLvl w:val="2"/>
        <w:rPr>
          <w:rFonts w:ascii="Arial" w:eastAsia="Times New Roman" w:hAnsi="Arial" w:cs="Arial"/>
          <w:b/>
          <w:bCs/>
          <w:sz w:val="20"/>
          <w:szCs w:val="20"/>
          <w:lang w:eastAsia="es-AR"/>
        </w:rPr>
      </w:pPr>
    </w:p>
    <w:p w14:paraId="7032CCC7" w14:textId="0FCD627F" w:rsidR="00001B60" w:rsidRPr="00680378" w:rsidRDefault="00001B60" w:rsidP="006F4351">
      <w:pPr>
        <w:shd w:val="clear" w:color="auto" w:fill="FFFFFF"/>
        <w:spacing w:line="276" w:lineRule="auto"/>
        <w:outlineLvl w:val="2"/>
        <w:rPr>
          <w:rFonts w:ascii="Arial" w:eastAsia="Times New Roman" w:hAnsi="Arial" w:cs="Arial"/>
          <w:b/>
          <w:bCs/>
          <w:sz w:val="20"/>
          <w:szCs w:val="20"/>
          <w:lang w:eastAsia="es-AR"/>
        </w:rPr>
      </w:pPr>
    </w:p>
    <w:p w14:paraId="615A0CA7" w14:textId="554860ED" w:rsidR="00001B60" w:rsidRPr="00680378" w:rsidRDefault="00001B6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65C2C2" wp14:editId="552C2AEA">
                <wp:simplePos x="0" y="0"/>
                <wp:positionH relativeFrom="margin">
                  <wp:align>left</wp:align>
                </wp:positionH>
                <wp:positionV relativeFrom="paragraph">
                  <wp:posOffset>132715</wp:posOffset>
                </wp:positionV>
                <wp:extent cx="3204210" cy="8140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8140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96D67" w14:textId="77777777" w:rsidR="00100339" w:rsidRPr="00001B60" w:rsidRDefault="00100339" w:rsidP="00001B60">
                            <w:pPr>
                              <w:shd w:val="clear" w:color="auto" w:fill="FFFFFF"/>
                              <w:spacing w:line="276" w:lineRule="auto"/>
                              <w:jc w:val="both"/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2"/>
                                <w:szCs w:val="20"/>
                                <w:lang w:eastAsia="es-AR"/>
                              </w:rPr>
                            </w:pPr>
                          </w:p>
                          <w:p w14:paraId="1F5F82B8" w14:textId="442A902F" w:rsidR="00100339" w:rsidRDefault="00100339" w:rsidP="00001B60">
                            <w:pPr>
                              <w:shd w:val="clear" w:color="auto" w:fill="FFFFFF"/>
                              <w:spacing w:line="276" w:lineRule="auto"/>
                              <w:jc w:val="both"/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2"/>
                                <w:szCs w:val="20"/>
                                <w:lang w:eastAsia="es-AR"/>
                              </w:rPr>
                            </w:pPr>
                            <w:r w:rsidRPr="00001B60">
                              <w:rPr>
                                <w:rStyle w:val="Textoennegrita"/>
                                <w:rFonts w:ascii="Arial" w:hAnsi="Arial" w:cs="Arial"/>
                                <w:b w:val="0"/>
                                <w:sz w:val="22"/>
                                <w:szCs w:val="20"/>
                                <w:lang w:eastAsia="es-AR"/>
                              </w:rPr>
                              <w:t xml:space="preserve">La NOF recomienda una ingesta de 800 a 1000 UI de vitamina D por día en adultos de 50 años o mayores. </w:t>
                            </w:r>
                          </w:p>
                          <w:p w14:paraId="2FEA2554" w14:textId="77777777" w:rsidR="00100339" w:rsidRPr="00001B60" w:rsidRDefault="00100339" w:rsidP="00001B60">
                            <w:pPr>
                              <w:shd w:val="clear" w:color="auto" w:fill="FFFFFF"/>
                              <w:spacing w:line="276" w:lineRule="auto"/>
                              <w:jc w:val="both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2C2" id="Cuadro de texto 2" o:spid="_x0000_s1027" type="#_x0000_t202" style="position:absolute;left:0;text-align:left;margin-left:0;margin-top:10.45pt;width:252.3pt;height:64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xbzZwIAACUFAAAOAAAAZHJzL2Uyb0RvYy54bWysVNtu2zAMfR+wfxD0vviydOmMOkWXosOA&#10;7oJ1+wBGlmNjsqhJSuzs60tJSZptTx3mB8ESeY7IQ1JX19Og2E5a16OueTHLOZNaYNPrTc2/f7t7&#10;dcmZ86AbUKhlzffS8evlyxdXo6lkiR2qRlpGJNpVo6l5572pssyJTg7gZmikJmOLdgBPW7vJGgsj&#10;sQ8qK/P8TTaibYxFIZ2j09tk5MvI37ZS+M9t66RnquYUm4+rjes6rNnyCqqNBdP14hAG/EMUA/Sa&#10;Lj1R3YIHtrX9X1RDLyw6bP1M4JBh2/ZCxhwomyL/I5uHDoyMuZA4zpxkcv+PVnzafbGsb2peFgvO&#10;NAxUpNUWGouskczLySMrg0yjcRV5Pxjy99M7nKjcMWVn7lH8cEzjqgO9kTfW4thJaCjMIiCzM2ji&#10;cYFkPX7Ehm6DrcdINLV2CBqSKozYqVz7U4koDibo8HWZz8uCTIJsl8U8X8QaZlAd0cY6/17iwMJP&#10;zS21QGSH3b3zIRqoji7hMoeqb+56peImtJ1cKct2QA0DQkjtLxJcmQ7S8UVOX0yM4EdEJP6NTOlA&#10;qTGQp3vDSRQj5H9Qwu+VDH5Kf5UtFSImnmKxm3UIJXUrjRNlfexZSiICgmNL/M/EHiABLeOQPBN/&#10;AsX7UfsTfug12ijYSZkkmvKpFyje5H+UIgkQWsRP6ym2YvQMJ2ts9tQpFtPc0jtDPx3aX5yNNLM1&#10;dz+3YCVn6oOmbntbzOdhyONmfrEoaWPPLetzC2hBVDX3nKXflY9Sh5w03lBXtn1smKdIDjHTLMZy&#10;H96NMOzn++j19LotHwEAAP//AwBQSwMEFAAGAAgAAAAhAO2j1oHcAAAABwEAAA8AAABkcnMvZG93&#10;bnJldi54bWxMjzFPwzAUhHck/oP1kNio3aqNaIhTUaQu3Rq6sLnxI44aP0e22wZ+PY8JxtOd7r6r&#10;NpMfxBVj6gNpmM8UCKQ22J46Dcf33dMziJQNWTMEQg1fmGBT399VprThRge8NrkTXEKpNBpczmMp&#10;ZWodepNmYURi7zNEbzLL2EkbzY3L/SAXShXSm554wZkR3xy25+biNRyKVaO+Vdxu963dje7c9B/7&#10;RuvHh+n1BUTGKf+F4Ref0aFmplO4kE1i0MBHsoaFWoNgd6WWBYgTx5brOci6kv/56x8AAAD//wMA&#10;UEsBAi0AFAAGAAgAAAAhALaDOJL+AAAA4QEAABMAAAAAAAAAAAAAAAAAAAAAAFtDb250ZW50X1R5&#10;cGVzXS54bWxQSwECLQAUAAYACAAAACEAOP0h/9YAAACUAQAACwAAAAAAAAAAAAAAAAAvAQAAX3Jl&#10;bHMvLnJlbHNQSwECLQAUAAYACAAAACEAz9MW82cCAAAlBQAADgAAAAAAAAAAAAAAAAAuAgAAZHJz&#10;L2Uyb0RvYy54bWxQSwECLQAUAAYACAAAACEA7aPWgdwAAAAHAQAADwAAAAAAAAAAAAAAAADBBAAA&#10;ZHJzL2Rvd25yZXYueG1sUEsFBgAAAAAEAAQA8wAAAMoFAAAAAA==&#10;" fillcolor="#4472c4 [3208]" stroked="f">
                <v:fill opacity="32896f"/>
                <v:textbox>
                  <w:txbxContent>
                    <w:p w14:paraId="5BC96D67" w14:textId="77777777" w:rsidR="00100339" w:rsidRPr="00001B60" w:rsidRDefault="00100339" w:rsidP="00001B60">
                      <w:pPr>
                        <w:shd w:val="clear" w:color="auto" w:fill="FFFFFF"/>
                        <w:spacing w:line="276" w:lineRule="auto"/>
                        <w:jc w:val="both"/>
                        <w:rPr>
                          <w:rStyle w:val="Textoennegrita"/>
                          <w:rFonts w:ascii="Arial" w:hAnsi="Arial" w:cs="Arial"/>
                          <w:b w:val="0"/>
                          <w:sz w:val="22"/>
                          <w:szCs w:val="20"/>
                          <w:lang w:eastAsia="es-AR"/>
                        </w:rPr>
                      </w:pPr>
                    </w:p>
                    <w:p w14:paraId="1F5F82B8" w14:textId="442A902F" w:rsidR="00100339" w:rsidRDefault="00100339" w:rsidP="00001B60">
                      <w:pPr>
                        <w:shd w:val="clear" w:color="auto" w:fill="FFFFFF"/>
                        <w:spacing w:line="276" w:lineRule="auto"/>
                        <w:jc w:val="both"/>
                        <w:rPr>
                          <w:rStyle w:val="Textoennegrita"/>
                          <w:rFonts w:ascii="Arial" w:hAnsi="Arial" w:cs="Arial"/>
                          <w:b w:val="0"/>
                          <w:sz w:val="22"/>
                          <w:szCs w:val="20"/>
                          <w:lang w:eastAsia="es-AR"/>
                        </w:rPr>
                      </w:pPr>
                      <w:r w:rsidRPr="00001B60">
                        <w:rPr>
                          <w:rStyle w:val="Textoennegrita"/>
                          <w:rFonts w:ascii="Arial" w:hAnsi="Arial" w:cs="Arial"/>
                          <w:b w:val="0"/>
                          <w:sz w:val="22"/>
                          <w:szCs w:val="20"/>
                          <w:lang w:eastAsia="es-AR"/>
                        </w:rPr>
                        <w:t xml:space="preserve">La NOF recomienda una ingesta de 800 a 1000 UI de vitamina D por día en adultos de 50 años o mayores. </w:t>
                      </w:r>
                    </w:p>
                    <w:p w14:paraId="2FEA2554" w14:textId="77777777" w:rsidR="00100339" w:rsidRPr="00001B60" w:rsidRDefault="00100339" w:rsidP="00001B60">
                      <w:pPr>
                        <w:shd w:val="clear" w:color="auto" w:fill="FFFFFF"/>
                        <w:spacing w:line="276" w:lineRule="auto"/>
                        <w:jc w:val="both"/>
                        <w:rPr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A52E18" w14:textId="77777777" w:rsidR="00001B60" w:rsidRPr="00680378" w:rsidRDefault="00001B6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El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Institute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Medicine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Dietary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Reference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Intake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recomienda para la vitamina D 600 UI/día para menores de 70 años y 800 UI/día para adultos mayores de 71 años. El límite superior seguro de vitamina D es hasta 10,000 UI/día. </w:t>
      </w:r>
    </w:p>
    <w:p w14:paraId="31138121" w14:textId="77777777" w:rsidR="00001B60" w:rsidRPr="00680378" w:rsidRDefault="00001B6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49DA5DE1" w14:textId="5605A18D" w:rsidR="00F355B3" w:rsidRPr="00680378" w:rsidRDefault="00F355B3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Cuando se realiza la suplementación en pacientes con OP se debe monitorear a los tres meses </w:t>
      </w:r>
      <w:r w:rsidR="00787A6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para valorar el nivel alcanzado y</w:t>
      </w:r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mantenerlo en los pacientes co</w:t>
      </w:r>
      <w:r w:rsidR="00787A6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 osteoporosis.</w:t>
      </w:r>
    </w:p>
    <w:p w14:paraId="492671BC" w14:textId="77777777" w:rsidR="00001B60" w:rsidRPr="00680378" w:rsidRDefault="00F355B3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lastRenderedPageBreak/>
        <w:t>Cuando se administran suplementos en forma diaria la vitamina D2 y la D3 tienen la misma potencia equivalente. Si la administración es intermitente (</w:t>
      </w:r>
      <w:r w:rsidR="0054340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mensual, bimestral o trimestral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 como la Vitamina D3 tiene mayor vida media que la D2, se recomienda su elección.</w:t>
      </w:r>
    </w:p>
    <w:p w14:paraId="1F289D2D" w14:textId="77777777" w:rsidR="00001B60" w:rsidRPr="00680378" w:rsidRDefault="00001B6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0DF110D1" w14:textId="09806ED5" w:rsidR="00DD2C4B" w:rsidRPr="00680378" w:rsidRDefault="00DD2C4B" w:rsidP="00001B60">
      <w:p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Deberían considerarse dos etapas en el tratamiento con vitamina D para un sujeto cuya concentración sérica de 25OHD es inferior a 30 </w:t>
      </w:r>
      <w:proofErr w:type="spellStart"/>
      <w:r w:rsidRPr="00680378">
        <w:rPr>
          <w:rFonts w:ascii="Arial" w:hAnsi="Arial" w:cs="Arial"/>
          <w:sz w:val="20"/>
          <w:szCs w:val="20"/>
        </w:rPr>
        <w:t>ng</w:t>
      </w:r>
      <w:proofErr w:type="spellEnd"/>
      <w:r w:rsidRPr="00680378">
        <w:rPr>
          <w:rFonts w:ascii="Arial" w:hAnsi="Arial" w:cs="Arial"/>
          <w:sz w:val="20"/>
          <w:szCs w:val="20"/>
        </w:rPr>
        <w:t>/ml: – Una fase de corrección del déficit</w:t>
      </w:r>
      <w:r w:rsidR="0054340F" w:rsidRPr="00680378">
        <w:rPr>
          <w:rFonts w:ascii="Arial" w:hAnsi="Arial" w:cs="Arial"/>
          <w:sz w:val="20"/>
          <w:szCs w:val="20"/>
        </w:rPr>
        <w:t xml:space="preserve"> (carga)</w:t>
      </w:r>
      <w:r w:rsidRPr="00680378">
        <w:rPr>
          <w:rFonts w:ascii="Arial" w:hAnsi="Arial" w:cs="Arial"/>
          <w:sz w:val="20"/>
          <w:szCs w:val="20"/>
        </w:rPr>
        <w:t>, que durante un tiempo utiliza dosis altas de vitamina D</w:t>
      </w:r>
      <w:r w:rsidR="00F91E89" w:rsidRPr="00680378">
        <w:rPr>
          <w:rFonts w:ascii="Arial" w:hAnsi="Arial" w:cs="Arial"/>
          <w:sz w:val="20"/>
          <w:szCs w:val="20"/>
        </w:rPr>
        <w:t>.</w:t>
      </w:r>
      <w:r w:rsidR="0054340F" w:rsidRPr="00680378">
        <w:rPr>
          <w:rFonts w:ascii="Arial" w:hAnsi="Arial" w:cs="Arial"/>
          <w:sz w:val="20"/>
          <w:szCs w:val="20"/>
        </w:rPr>
        <w:t xml:space="preserve"> </w:t>
      </w:r>
      <w:r w:rsidRPr="00680378">
        <w:rPr>
          <w:rFonts w:ascii="Arial" w:hAnsi="Arial" w:cs="Arial"/>
          <w:sz w:val="20"/>
          <w:szCs w:val="20"/>
        </w:rPr>
        <w:t>Una etapa de mantenimiento, donde las dosis administradas tienen como objetivo mantener la concentración sérica de 25OHD en el rango deseable.</w:t>
      </w:r>
    </w:p>
    <w:p w14:paraId="3B70B186" w14:textId="50030AE5" w:rsidR="00E13283" w:rsidRPr="00680378" w:rsidRDefault="00DD2C4B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bCs w:val="0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Las dosis para corregir el déficit </w:t>
      </w:r>
      <w:r w:rsidR="0054340F" w:rsidRPr="00680378">
        <w:rPr>
          <w:rFonts w:ascii="Arial" w:hAnsi="Arial" w:cs="Arial"/>
          <w:sz w:val="20"/>
          <w:szCs w:val="20"/>
        </w:rPr>
        <w:t xml:space="preserve">(carga) </w:t>
      </w:r>
      <w:r w:rsidRPr="00680378">
        <w:rPr>
          <w:rFonts w:ascii="Arial" w:hAnsi="Arial" w:cs="Arial"/>
          <w:sz w:val="20"/>
          <w:szCs w:val="20"/>
        </w:rPr>
        <w:t>serán 2.000- 5.000 UI/día, 50.000 UI/semana, o 100.000 UI cada 15-30 días, hasta alcanzar niveles adecuados, lo que generalmente ocurre en un lapso cercano a 2-3 meses.</w:t>
      </w:r>
      <w:r w:rsidR="00176077" w:rsidRPr="00680378">
        <w:rPr>
          <w:rFonts w:ascii="Arial" w:hAnsi="Arial" w:cs="Arial"/>
          <w:sz w:val="20"/>
          <w:szCs w:val="20"/>
        </w:rPr>
        <w:t xml:space="preserve"> </w:t>
      </w:r>
      <w:r w:rsidRPr="00680378">
        <w:rPr>
          <w:rFonts w:ascii="Arial" w:hAnsi="Arial" w:cs="Arial"/>
          <w:sz w:val="20"/>
          <w:szCs w:val="20"/>
        </w:rPr>
        <w:t xml:space="preserve">Para mantener un nivel sérico de 25OHD superior a 30 </w:t>
      </w:r>
      <w:proofErr w:type="spellStart"/>
      <w:r w:rsidRPr="00680378">
        <w:rPr>
          <w:rFonts w:ascii="Arial" w:hAnsi="Arial" w:cs="Arial"/>
          <w:sz w:val="20"/>
          <w:szCs w:val="20"/>
        </w:rPr>
        <w:t>ng</w:t>
      </w:r>
      <w:proofErr w:type="spellEnd"/>
      <w:r w:rsidRPr="00680378">
        <w:rPr>
          <w:rFonts w:ascii="Arial" w:hAnsi="Arial" w:cs="Arial"/>
          <w:sz w:val="20"/>
          <w:szCs w:val="20"/>
        </w:rPr>
        <w:t>/ml se puede administrar una dosis diaria (800-2.000 UI</w:t>
      </w:r>
      <w:r w:rsidR="0054340F" w:rsidRPr="00680378">
        <w:rPr>
          <w:rFonts w:ascii="Arial" w:hAnsi="Arial" w:cs="Arial"/>
          <w:sz w:val="20"/>
          <w:szCs w:val="20"/>
        </w:rPr>
        <w:t>/día</w:t>
      </w:r>
      <w:r w:rsidR="00176077" w:rsidRPr="00680378">
        <w:rPr>
          <w:rFonts w:ascii="Arial" w:hAnsi="Arial" w:cs="Arial"/>
          <w:sz w:val="20"/>
          <w:szCs w:val="20"/>
        </w:rPr>
        <w:t>)</w:t>
      </w:r>
      <w:r w:rsidRPr="00680378">
        <w:rPr>
          <w:rFonts w:ascii="Arial" w:hAnsi="Arial" w:cs="Arial"/>
          <w:sz w:val="20"/>
          <w:szCs w:val="20"/>
        </w:rPr>
        <w:t>.</w:t>
      </w:r>
      <w:r w:rsidR="00176077" w:rsidRPr="00680378">
        <w:rPr>
          <w:rFonts w:ascii="Arial" w:hAnsi="Arial" w:cs="Arial"/>
          <w:sz w:val="20"/>
          <w:szCs w:val="20"/>
        </w:rPr>
        <w:t xml:space="preserve"> </w:t>
      </w:r>
      <w:r w:rsidR="00E13283" w:rsidRPr="00680378">
        <w:rPr>
          <w:rFonts w:ascii="Arial" w:hAnsi="Arial" w:cs="Arial"/>
          <w:sz w:val="20"/>
          <w:szCs w:val="20"/>
        </w:rPr>
        <w:t>Recordar que los pacientes obesos o con malabsorción o con medicaciones que alteran la vit</w:t>
      </w:r>
      <w:r w:rsidR="00F91E89" w:rsidRPr="00680378">
        <w:rPr>
          <w:rFonts w:ascii="Arial" w:hAnsi="Arial" w:cs="Arial"/>
          <w:sz w:val="20"/>
          <w:szCs w:val="20"/>
        </w:rPr>
        <w:t>amina D pueden requerir dosis más elevadas</w:t>
      </w:r>
      <w:r w:rsidR="0054340F" w:rsidRPr="00680378">
        <w:rPr>
          <w:rFonts w:ascii="Arial" w:hAnsi="Arial" w:cs="Arial"/>
          <w:sz w:val="20"/>
          <w:szCs w:val="20"/>
        </w:rPr>
        <w:t>, por lo general, el doble.</w:t>
      </w:r>
    </w:p>
    <w:p w14:paraId="5BB8279D" w14:textId="77777777" w:rsidR="00176077" w:rsidRPr="00680378" w:rsidRDefault="00176077" w:rsidP="006F4351">
      <w:pPr>
        <w:shd w:val="clear" w:color="auto" w:fill="FFFFFF"/>
        <w:spacing w:line="276" w:lineRule="auto"/>
        <w:rPr>
          <w:rFonts w:ascii="Arial" w:hAnsi="Arial" w:cs="Arial"/>
          <w:b/>
          <w:sz w:val="20"/>
          <w:szCs w:val="20"/>
        </w:rPr>
      </w:pPr>
    </w:p>
    <w:p w14:paraId="6D572676" w14:textId="77777777" w:rsidR="00E13283" w:rsidRPr="006F57B6" w:rsidRDefault="00E13283" w:rsidP="006F4351">
      <w:pPr>
        <w:shd w:val="clear" w:color="auto" w:fill="FFFFFF"/>
        <w:spacing w:line="276" w:lineRule="auto"/>
        <w:rPr>
          <w:rFonts w:ascii="Arial" w:hAnsi="Arial" w:cs="Arial"/>
          <w:b/>
          <w:sz w:val="20"/>
          <w:szCs w:val="20"/>
          <w:u w:val="single"/>
        </w:rPr>
      </w:pPr>
      <w:r w:rsidRPr="006F57B6">
        <w:rPr>
          <w:rFonts w:ascii="Arial" w:hAnsi="Arial" w:cs="Arial"/>
          <w:b/>
          <w:sz w:val="20"/>
          <w:szCs w:val="20"/>
          <w:u w:val="single"/>
        </w:rPr>
        <w:t>Otros suplementos y nutrientes:</w:t>
      </w:r>
    </w:p>
    <w:p w14:paraId="436B7354" w14:textId="000C666D" w:rsidR="00E13283" w:rsidRPr="00680378" w:rsidRDefault="00E13283" w:rsidP="006F4351">
      <w:p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No existen estudios </w:t>
      </w:r>
      <w:r w:rsidR="0054340F" w:rsidRPr="00680378">
        <w:rPr>
          <w:rFonts w:ascii="Arial" w:hAnsi="Arial" w:cs="Arial"/>
          <w:sz w:val="20"/>
          <w:szCs w:val="20"/>
        </w:rPr>
        <w:t>aleatorizados</w:t>
      </w:r>
      <w:r w:rsidRPr="00680378">
        <w:rPr>
          <w:rFonts w:ascii="Arial" w:hAnsi="Arial" w:cs="Arial"/>
          <w:sz w:val="20"/>
          <w:szCs w:val="20"/>
        </w:rPr>
        <w:t xml:space="preserve"> controlados que hayan evaluado el efecto del magnesio con el riesgo de fractura, por lo </w:t>
      </w:r>
      <w:r w:rsidR="00F3055B" w:rsidRPr="00680378">
        <w:rPr>
          <w:rFonts w:ascii="Arial" w:hAnsi="Arial" w:cs="Arial"/>
          <w:sz w:val="20"/>
          <w:szCs w:val="20"/>
        </w:rPr>
        <w:t>tanto,</w:t>
      </w:r>
      <w:r w:rsidRPr="00680378">
        <w:rPr>
          <w:rFonts w:ascii="Arial" w:hAnsi="Arial" w:cs="Arial"/>
          <w:sz w:val="20"/>
          <w:szCs w:val="20"/>
        </w:rPr>
        <w:t xml:space="preserve"> los individuos con </w:t>
      </w:r>
      <w:proofErr w:type="spellStart"/>
      <w:r w:rsidRPr="00680378">
        <w:rPr>
          <w:rFonts w:ascii="Arial" w:hAnsi="Arial" w:cs="Arial"/>
          <w:sz w:val="20"/>
          <w:szCs w:val="20"/>
        </w:rPr>
        <w:t>hipoma</w:t>
      </w:r>
      <w:r w:rsidR="00F91E89" w:rsidRPr="00680378">
        <w:rPr>
          <w:rFonts w:ascii="Arial" w:hAnsi="Arial" w:cs="Arial"/>
          <w:sz w:val="20"/>
          <w:szCs w:val="20"/>
        </w:rPr>
        <w:t>gnesemia</w:t>
      </w:r>
      <w:proofErr w:type="spellEnd"/>
      <w:r w:rsidR="00F91E89" w:rsidRPr="00680378">
        <w:rPr>
          <w:rFonts w:ascii="Arial" w:hAnsi="Arial" w:cs="Arial"/>
          <w:sz w:val="20"/>
          <w:szCs w:val="20"/>
        </w:rPr>
        <w:t xml:space="preserve"> pueden beneficiarse co</w:t>
      </w:r>
      <w:r w:rsidRPr="00680378">
        <w:rPr>
          <w:rFonts w:ascii="Arial" w:hAnsi="Arial" w:cs="Arial"/>
          <w:sz w:val="20"/>
          <w:szCs w:val="20"/>
        </w:rPr>
        <w:t xml:space="preserve">n su </w:t>
      </w:r>
      <w:r w:rsidR="00F3055B" w:rsidRPr="00680378">
        <w:rPr>
          <w:rFonts w:ascii="Arial" w:hAnsi="Arial" w:cs="Arial"/>
          <w:sz w:val="20"/>
          <w:szCs w:val="20"/>
        </w:rPr>
        <w:t>suplementación,</w:t>
      </w:r>
      <w:r w:rsidRPr="00680378">
        <w:rPr>
          <w:rFonts w:ascii="Arial" w:hAnsi="Arial" w:cs="Arial"/>
          <w:sz w:val="20"/>
          <w:szCs w:val="20"/>
        </w:rPr>
        <w:t xml:space="preserve"> pero esta no incrementa la DMO. </w:t>
      </w:r>
    </w:p>
    <w:p w14:paraId="4B3F2417" w14:textId="2374EAAF" w:rsidR="00E13283" w:rsidRPr="00680378" w:rsidRDefault="00E13283" w:rsidP="006F4351">
      <w:p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Los pacientes pueden ser advertidos de </w:t>
      </w:r>
      <w:r w:rsidR="0054340F" w:rsidRPr="00680378">
        <w:rPr>
          <w:rFonts w:ascii="Arial" w:hAnsi="Arial" w:cs="Arial"/>
          <w:sz w:val="20"/>
          <w:szCs w:val="20"/>
        </w:rPr>
        <w:t>disminuir</w:t>
      </w:r>
      <w:r w:rsidRPr="00680378">
        <w:rPr>
          <w:rFonts w:ascii="Arial" w:hAnsi="Arial" w:cs="Arial"/>
          <w:sz w:val="20"/>
          <w:szCs w:val="20"/>
        </w:rPr>
        <w:t xml:space="preserve"> la ingesta de cafeína</w:t>
      </w:r>
      <w:r w:rsidR="00FF09F0" w:rsidRPr="00680378">
        <w:rPr>
          <w:rFonts w:ascii="Arial" w:hAnsi="Arial" w:cs="Arial"/>
          <w:sz w:val="20"/>
          <w:szCs w:val="20"/>
        </w:rPr>
        <w:t>, y se aconseja una a</w:t>
      </w:r>
      <w:r w:rsidR="00F91E89" w:rsidRPr="00680378">
        <w:rPr>
          <w:rFonts w:ascii="Arial" w:hAnsi="Arial" w:cs="Arial"/>
          <w:sz w:val="20"/>
          <w:szCs w:val="20"/>
        </w:rPr>
        <w:t>decuada ingesta de proteínas</w:t>
      </w:r>
      <w:r w:rsidR="00FF09F0" w:rsidRPr="00680378">
        <w:rPr>
          <w:rFonts w:ascii="Arial" w:hAnsi="Arial" w:cs="Arial"/>
          <w:sz w:val="20"/>
          <w:szCs w:val="20"/>
        </w:rPr>
        <w:t>,</w:t>
      </w:r>
      <w:r w:rsidRPr="00680378">
        <w:rPr>
          <w:rFonts w:ascii="Arial" w:hAnsi="Arial" w:cs="Arial"/>
          <w:sz w:val="20"/>
          <w:szCs w:val="20"/>
        </w:rPr>
        <w:t xml:space="preserve"> </w:t>
      </w:r>
      <w:r w:rsidR="00F91E89" w:rsidRPr="00680378">
        <w:rPr>
          <w:rFonts w:ascii="Arial" w:hAnsi="Arial" w:cs="Arial"/>
          <w:sz w:val="20"/>
          <w:szCs w:val="20"/>
        </w:rPr>
        <w:t>0.8</w:t>
      </w:r>
      <w:r w:rsidR="00FF09F0" w:rsidRPr="00680378">
        <w:rPr>
          <w:rFonts w:ascii="Arial" w:hAnsi="Arial" w:cs="Arial"/>
          <w:sz w:val="20"/>
          <w:szCs w:val="20"/>
        </w:rPr>
        <w:t xml:space="preserve"> </w:t>
      </w:r>
      <w:r w:rsidR="00F91E89" w:rsidRPr="00680378">
        <w:rPr>
          <w:rFonts w:ascii="Arial" w:hAnsi="Arial" w:cs="Arial"/>
          <w:sz w:val="20"/>
          <w:szCs w:val="20"/>
        </w:rPr>
        <w:t>gr/kg</w:t>
      </w:r>
      <w:r w:rsidR="00FF09F0" w:rsidRPr="00680378">
        <w:rPr>
          <w:rFonts w:ascii="Arial" w:hAnsi="Arial" w:cs="Arial"/>
          <w:sz w:val="20"/>
          <w:szCs w:val="20"/>
        </w:rPr>
        <w:t>, la cual</w:t>
      </w:r>
      <w:r w:rsidR="00F91E89" w:rsidRPr="00680378">
        <w:rPr>
          <w:rFonts w:ascii="Arial" w:hAnsi="Arial" w:cs="Arial"/>
          <w:sz w:val="20"/>
          <w:szCs w:val="20"/>
        </w:rPr>
        <w:t xml:space="preserve"> minimiza la pérdida ó</w:t>
      </w:r>
      <w:r w:rsidRPr="00680378">
        <w:rPr>
          <w:rFonts w:ascii="Arial" w:hAnsi="Arial" w:cs="Arial"/>
          <w:sz w:val="20"/>
          <w:szCs w:val="20"/>
        </w:rPr>
        <w:t xml:space="preserve">sea en pacientes que han sufrido fracturas, </w:t>
      </w:r>
    </w:p>
    <w:p w14:paraId="50586C7B" w14:textId="34592F7E" w:rsidR="00E13283" w:rsidRPr="00680378" w:rsidRDefault="00E13283" w:rsidP="006F4351">
      <w:pPr>
        <w:shd w:val="clear" w:color="auto" w:fill="FFFFFF"/>
        <w:spacing w:line="276" w:lineRule="auto"/>
        <w:rPr>
          <w:rFonts w:ascii="Arial" w:hAnsi="Arial" w:cs="Arial"/>
          <w:sz w:val="20"/>
          <w:szCs w:val="20"/>
        </w:rPr>
      </w:pPr>
      <w:r w:rsidRPr="00680378">
        <w:rPr>
          <w:rFonts w:ascii="Arial" w:hAnsi="Arial" w:cs="Arial"/>
          <w:sz w:val="20"/>
          <w:szCs w:val="20"/>
        </w:rPr>
        <w:t xml:space="preserve">Los protectores de cadera no reducen el riesgo de </w:t>
      </w:r>
      <w:r w:rsidR="00001B60" w:rsidRPr="00680378">
        <w:rPr>
          <w:rFonts w:ascii="Arial" w:hAnsi="Arial" w:cs="Arial"/>
          <w:sz w:val="20"/>
          <w:szCs w:val="20"/>
        </w:rPr>
        <w:t>caídas,</w:t>
      </w:r>
      <w:r w:rsidRPr="00680378">
        <w:rPr>
          <w:rFonts w:ascii="Arial" w:hAnsi="Arial" w:cs="Arial"/>
          <w:sz w:val="20"/>
          <w:szCs w:val="20"/>
        </w:rPr>
        <w:t xml:space="preserve"> pero deberían reducir el riesgo de frac</w:t>
      </w:r>
      <w:r w:rsidR="00F91E89" w:rsidRPr="00680378">
        <w:rPr>
          <w:rFonts w:ascii="Arial" w:hAnsi="Arial" w:cs="Arial"/>
          <w:sz w:val="20"/>
          <w:szCs w:val="20"/>
        </w:rPr>
        <w:t>t</w:t>
      </w:r>
      <w:r w:rsidRPr="00680378">
        <w:rPr>
          <w:rFonts w:ascii="Arial" w:hAnsi="Arial" w:cs="Arial"/>
          <w:sz w:val="20"/>
          <w:szCs w:val="20"/>
        </w:rPr>
        <w:t>uras</w:t>
      </w:r>
      <w:r w:rsidR="00176077" w:rsidRPr="00680378">
        <w:rPr>
          <w:rFonts w:ascii="Arial" w:hAnsi="Arial" w:cs="Arial"/>
          <w:sz w:val="20"/>
          <w:szCs w:val="20"/>
        </w:rPr>
        <w:t>.</w:t>
      </w:r>
    </w:p>
    <w:p w14:paraId="7AC0C7F1" w14:textId="0C3DF6FD" w:rsidR="00176077" w:rsidRPr="00680378" w:rsidRDefault="00176077" w:rsidP="00001B60">
      <w:pPr>
        <w:shd w:val="clear" w:color="auto" w:fill="FFFFFF"/>
        <w:tabs>
          <w:tab w:val="left" w:pos="2408"/>
        </w:tabs>
        <w:spacing w:line="276" w:lineRule="auto"/>
        <w:rPr>
          <w:rFonts w:ascii="Arial" w:hAnsi="Arial" w:cs="Arial"/>
          <w:b/>
          <w:sz w:val="20"/>
          <w:szCs w:val="20"/>
          <w:u w:val="single"/>
        </w:rPr>
      </w:pPr>
    </w:p>
    <w:p w14:paraId="4039007B" w14:textId="194D6F5D" w:rsidR="00001B60" w:rsidRPr="00680378" w:rsidRDefault="00001B60" w:rsidP="00001B60">
      <w:pPr>
        <w:shd w:val="clear" w:color="auto" w:fill="FFFFFF"/>
        <w:tabs>
          <w:tab w:val="left" w:pos="2408"/>
        </w:tabs>
        <w:spacing w:line="276" w:lineRule="auto"/>
        <w:rPr>
          <w:rFonts w:ascii="Arial" w:hAnsi="Arial" w:cs="Arial"/>
          <w:b/>
          <w:sz w:val="20"/>
          <w:szCs w:val="20"/>
          <w:u w:val="single"/>
        </w:rPr>
      </w:pPr>
    </w:p>
    <w:p w14:paraId="4AB5F98F" w14:textId="095C49DE" w:rsidR="00001B60" w:rsidRPr="006F57B6" w:rsidRDefault="00001B60" w:rsidP="00973322">
      <w:pPr>
        <w:pStyle w:val="Prrafodelista"/>
        <w:numPr>
          <w:ilvl w:val="0"/>
          <w:numId w:val="15"/>
        </w:numPr>
        <w:shd w:val="clear" w:color="auto" w:fill="FFFFFF"/>
        <w:tabs>
          <w:tab w:val="left" w:pos="2408"/>
        </w:tabs>
        <w:spacing w:line="276" w:lineRule="auto"/>
        <w:rPr>
          <w:rFonts w:ascii="Arial" w:hAnsi="Arial" w:cs="Arial"/>
          <w:b/>
          <w:sz w:val="20"/>
          <w:szCs w:val="20"/>
        </w:rPr>
      </w:pPr>
      <w:r w:rsidRPr="006F57B6">
        <w:rPr>
          <w:rFonts w:ascii="Arial" w:hAnsi="Arial" w:cs="Arial"/>
          <w:b/>
          <w:sz w:val="20"/>
          <w:szCs w:val="20"/>
        </w:rPr>
        <w:t>¿Qué fármacos existen para el tratamiento de la osteoporosis?</w:t>
      </w:r>
    </w:p>
    <w:p w14:paraId="0DFE0BDF" w14:textId="77777777" w:rsidR="00001B60" w:rsidRPr="00680378" w:rsidRDefault="00001B60" w:rsidP="006F4351">
      <w:pPr>
        <w:shd w:val="clear" w:color="auto" w:fill="FFFFFF"/>
        <w:spacing w:line="276" w:lineRule="auto"/>
        <w:rPr>
          <w:rFonts w:ascii="Arial" w:hAnsi="Arial" w:cs="Arial"/>
          <w:b/>
          <w:sz w:val="20"/>
          <w:szCs w:val="20"/>
          <w:u w:val="single"/>
        </w:rPr>
      </w:pPr>
    </w:p>
    <w:p w14:paraId="0EA6D434" w14:textId="26665E6C" w:rsidR="006664BA" w:rsidRPr="00CD0CB8" w:rsidRDefault="006664BA" w:rsidP="00CD0CB8">
      <w:pPr>
        <w:pStyle w:val="Prrafodelista"/>
        <w:numPr>
          <w:ilvl w:val="1"/>
          <w:numId w:val="15"/>
        </w:num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u w:val="single"/>
          <w:lang w:eastAsia="es-AR"/>
        </w:rPr>
      </w:pPr>
      <w:proofErr w:type="spellStart"/>
      <w:r w:rsidRPr="00CD0CB8">
        <w:rPr>
          <w:rStyle w:val="Textoennegrita"/>
          <w:rFonts w:ascii="Arial" w:hAnsi="Arial" w:cs="Arial"/>
          <w:sz w:val="20"/>
          <w:szCs w:val="20"/>
          <w:lang w:eastAsia="es-AR"/>
        </w:rPr>
        <w:t>Bisfosfonatos</w:t>
      </w:r>
      <w:proofErr w:type="spellEnd"/>
      <w:r w:rsidR="00255020" w:rsidRPr="00CD0CB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 (BP)</w:t>
      </w:r>
      <w:r w:rsidR="00D64731" w:rsidRPr="00CD0CB8">
        <w:rPr>
          <w:rStyle w:val="Textoennegrita"/>
          <w:rFonts w:ascii="Arial" w:hAnsi="Arial" w:cs="Arial"/>
          <w:sz w:val="20"/>
          <w:szCs w:val="20"/>
          <w:lang w:eastAsia="es-AR"/>
        </w:rPr>
        <w:t>:</w:t>
      </w:r>
    </w:p>
    <w:p w14:paraId="10235B0F" w14:textId="77777777" w:rsidR="006F57B6" w:rsidRPr="006F57B6" w:rsidRDefault="006F57B6" w:rsidP="006F57B6">
      <w:pPr>
        <w:pStyle w:val="Prrafodelista"/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u w:val="single"/>
          <w:lang w:eastAsia="es-AR"/>
        </w:rPr>
      </w:pPr>
    </w:p>
    <w:p w14:paraId="557BCDE7" w14:textId="25543AEC" w:rsidR="006664BA" w:rsidRPr="00680378" w:rsidRDefault="0025502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Los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BP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son agentes </w:t>
      </w:r>
      <w:proofErr w:type="spellStart"/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antiresortivos</w:t>
      </w:r>
      <w:proofErr w:type="spellEnd"/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óseos</w:t>
      </w:r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má</w:t>
      </w:r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 ampliamente utilizados en el tratamiento de la OP</w:t>
      </w:r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que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inhiben el remodelado óseo</w:t>
      </w:r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con diferente grado de potencia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Son compuestos químicos originalmente derivados del </w:t>
      </w:r>
      <w:proofErr w:type="spellStart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pirofosfofato</w:t>
      </w:r>
      <w:proofErr w:type="spellEnd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(2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ácidos </w:t>
      </w:r>
      <w:proofErr w:type="spellStart"/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fosfónicos</w:t>
      </w:r>
      <w:proofErr w:type="spellEnd"/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unidos a un carbono más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2 cadenas laterales designadas R1 y R2) altamente específicos para fijarse en las zonas de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mayor actividad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metabólica, especialmente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 aquellas de resorción ósea. Los </w:t>
      </w:r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BP se unen a la </w:t>
      </w:r>
      <w:proofErr w:type="spellStart"/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hidroxiapati</w:t>
      </w:r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ta</w:t>
      </w:r>
      <w:proofErr w:type="spellEnd"/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 los sitios de remodelado ó</w:t>
      </w:r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seo activo y reducen la actividad de</w:t>
      </w:r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los osteoclastos 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inhibi</w:t>
      </w:r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endo la </w:t>
      </w:r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enzima </w:t>
      </w:r>
      <w:proofErr w:type="spellStart"/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farnesil</w:t>
      </w:r>
      <w:proofErr w:type="spellEnd"/>
      <w:r w:rsidR="00F91E89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pirofosfato </w:t>
      </w:r>
      <w:proofErr w:type="spellStart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sintetasa</w:t>
      </w:r>
      <w:proofErr w:type="spellEnd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que </w:t>
      </w:r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lo </w:t>
      </w:r>
      <w:r w:rsidR="0017607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desactiva e induce su apoptosis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099701D8" w14:textId="41C6134D" w:rsidR="006664BA" w:rsidRPr="00680378" w:rsidRDefault="00F91E89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Algunos de estos compuestos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han sido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aceptados para la prevención y tratamiento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la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OP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posmenopáusica, la 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OP 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en hombres y la prevención y el tratamiento de la osteoporosis</w:t>
      </w:r>
      <w:r w:rsidR="00806DF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inducida por glucocorticoides.</w:t>
      </w:r>
    </w:p>
    <w:p w14:paraId="012E76AB" w14:textId="15A98763" w:rsidR="006664BA" w:rsidRPr="00680378" w:rsidRDefault="007400D2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Todos los BP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son retenidos en el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hueso y sus efectos pueden permanecer por</w:t>
      </w:r>
      <w:r w:rsidR="00806DF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largo plazo.</w:t>
      </w:r>
    </w:p>
    <w:p w14:paraId="2AD61108" w14:textId="4FB04BD6" w:rsidR="000F7C73" w:rsidRDefault="006F57B6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afinidad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unión y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potencia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antiresortiva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difiere entre los compuestos; aunque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mecanismos   complejos   están   involucrados,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cadena lateral R1 influencia la afinidad de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unión y la cadena R2 la potencia </w:t>
      </w:r>
      <w:proofErr w:type="spellStart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anti</w:t>
      </w:r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resortiva</w:t>
      </w:r>
      <w:proofErr w:type="spellEnd"/>
      <w:r w:rsidR="0095737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</w:t>
      </w:r>
    </w:p>
    <w:p w14:paraId="3FECC6C0" w14:textId="424A0960" w:rsidR="006664BA" w:rsidRPr="00680378" w:rsidRDefault="00957375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Farmacocinética 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de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los 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BP</w:t>
      </w:r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: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 bajo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condiciones ideales</w:t>
      </w:r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se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absorbe menos del 1% de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 dosis administrada oralmente y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 misma se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bloqueará completamente si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se administra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con comidas o con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productos que contengan cationes divalentes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No tienen metabolismo sistémico, y su vida media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plasmática es corta. Solo el </w:t>
      </w:r>
      <w:r w:rsidR="007400D2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20-80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% de la dosis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absorbida se une a la superficie ósea del hueso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en los sitios de </w:t>
      </w:r>
      <w:proofErr w:type="spellStart"/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remodelamiento</w:t>
      </w:r>
      <w:proofErr w:type="spellEnd"/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activo, y sus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sitios de unión son virtualmente insaturables.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El restante que no se unió al hueso es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excretado rápidamente por vía renal.</w:t>
      </w:r>
      <w:r w:rsidR="00806DF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 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afinidad de unión es de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mayor a menor en el orden siguiente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:  </w:t>
      </w:r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ácido </w:t>
      </w:r>
      <w:proofErr w:type="spellStart"/>
      <w:proofErr w:type="gramStart"/>
      <w:r w:rsidR="0013266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zoledronico</w:t>
      </w:r>
      <w:proofErr w:type="spellEnd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 </w:t>
      </w:r>
      <w:proofErr w:type="spellStart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alendronato</w:t>
      </w:r>
      <w:proofErr w:type="spellEnd"/>
      <w:proofErr w:type="gramEnd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 </w:t>
      </w:r>
      <w:proofErr w:type="spellStart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ibandronato</w:t>
      </w:r>
      <w:proofErr w:type="spellEnd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,  </w:t>
      </w:r>
      <w:proofErr w:type="spellStart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risedronato</w:t>
      </w:r>
      <w:proofErr w:type="spellEnd"/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</w:t>
      </w:r>
    </w:p>
    <w:p w14:paraId="60CF0191" w14:textId="242093D4" w:rsidR="00D64731" w:rsidRPr="00680378" w:rsidRDefault="006F57B6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lastRenderedPageBreak/>
        <w:t>Los BP de mayor afinidad se unen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más ávidamente a la superficie ósea, pero se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distribuyen más lentamente y tienen menor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acceso a la red de osteocitos. Agentes de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menor afinidad se distribuyen más ampliamente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 través del hueso y tienen residencia ósea más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corta si se suspende el tratamiento</w:t>
      </w:r>
      <w:r w:rsidR="006664B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 Clínicamente esto explica las diferencias en la velocidad del efecto anti-fractura y el efecto en sitios </w:t>
      </w:r>
      <w:r w:rsidR="0088578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no vertebrales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007C0D18" w14:textId="2DF4C7EB" w:rsidR="006664BA" w:rsidRPr="00680378" w:rsidRDefault="006664BA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Una prolongada vida media puede ser benéfica por su efecto prolongado residual después de su discontinuación, por otra parte, la supresión prolongada sobre el recambio óseo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podría provocar una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detención en la reparación</w:t>
      </w:r>
      <w:r w:rsidR="0088578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del micro daño.</w:t>
      </w:r>
    </w:p>
    <w:p w14:paraId="320EF709" w14:textId="4A475652" w:rsidR="00B05611" w:rsidRPr="00680378" w:rsidRDefault="00132668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Todos los BP han sido 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evaluados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 estudios controlados</w:t>
      </w:r>
      <w:r w:rsidR="00DA117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457BCC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leatorizados</w:t>
      </w:r>
      <w:r w:rsidR="00DA117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con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DA117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placeb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o</w:t>
      </w:r>
      <w:r w:rsidR="00DA117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 mujeres recibiendo calcio y vitamina D valorando</w:t>
      </w:r>
      <w:r w:rsidR="00B0561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su efecto en </w:t>
      </w:r>
      <w:r w:rsidR="00F3055B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las fracturas (</w:t>
      </w:r>
      <w:r w:rsidR="00F3055B" w:rsidRPr="00680378">
        <w:rPr>
          <w:rFonts w:ascii="Arial" w:eastAsia="Times New Roman" w:hAnsi="Arial" w:cs="Arial"/>
          <w:sz w:val="20"/>
          <w:szCs w:val="20"/>
          <w:lang w:val="es-CO" w:eastAsia="es-AR"/>
        </w:rPr>
        <w:t xml:space="preserve">Watts NB., Dima LD, 2010). </w:t>
      </w:r>
      <w:r w:rsidR="00B05611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Todos los BP aumentan la DMO. </w:t>
      </w:r>
    </w:p>
    <w:p w14:paraId="0327D949" w14:textId="00F00832" w:rsidR="00B05611" w:rsidRPr="00680378" w:rsidRDefault="00B05611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13770DA8" w14:textId="3CEDF787" w:rsidR="006769DC" w:rsidRPr="00680378" w:rsidRDefault="006769DC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103DBE21" w14:textId="77777777" w:rsidR="006769DC" w:rsidRPr="00680378" w:rsidRDefault="006769DC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2AC7694D" w14:textId="4DA2B639" w:rsidR="006664BA" w:rsidRPr="00680378" w:rsidRDefault="006F57B6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>
        <w:rPr>
          <w:rStyle w:val="Textoennegrita"/>
          <w:rFonts w:ascii="Arial" w:hAnsi="Arial" w:cs="Arial"/>
          <w:sz w:val="20"/>
          <w:szCs w:val="20"/>
          <w:lang w:eastAsia="es-AR"/>
        </w:rPr>
        <w:t>T</w:t>
      </w:r>
      <w:r w:rsidR="006664BA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ipos de </w:t>
      </w:r>
      <w:proofErr w:type="spellStart"/>
      <w:r w:rsidR="006664BA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bisfosfonatos</w:t>
      </w:r>
      <w:proofErr w:type="spellEnd"/>
      <w:r w:rsidR="00423E7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:</w:t>
      </w:r>
    </w:p>
    <w:p w14:paraId="0AA122D1" w14:textId="77777777" w:rsidR="00001B60" w:rsidRPr="00680378" w:rsidRDefault="00001B60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3F1F6B68" w14:textId="18C2F797" w:rsidR="006664BA" w:rsidRPr="006F57B6" w:rsidRDefault="006664BA" w:rsidP="00001B60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proofErr w:type="spellStart"/>
      <w:r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Alendronato</w:t>
      </w:r>
      <w:proofErr w:type="spellEnd"/>
      <w:r w:rsidR="00423E70"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:</w:t>
      </w:r>
    </w:p>
    <w:p w14:paraId="4145A670" w14:textId="483E1129" w:rsidR="00423E70" w:rsidRPr="00680378" w:rsidRDefault="00423E7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Se utiliza por </w:t>
      </w:r>
      <w:r w:rsidR="000F7C7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vía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oral en dosis de 10 mg/</w:t>
      </w:r>
      <w:r w:rsidR="000F7C7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día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 70 mg semanales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Se demostró que r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educe el riesgo de fracturas vertebrales, de 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antebrazo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 cadera en ~50% en tres años en pacientes con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una fractura vertebral previa (estudio FIT</w:t>
      </w:r>
      <w:r w:rsidR="003D3805" w:rsidRPr="00680378">
        <w:rPr>
          <w:rFonts w:ascii="Arial" w:hAnsi="Arial" w:cs="Arial"/>
          <w:sz w:val="20"/>
          <w:szCs w:val="20"/>
        </w:rPr>
        <w:t xml:space="preserve"> Fracture </w:t>
      </w:r>
      <w:proofErr w:type="spellStart"/>
      <w:r w:rsidR="003D3805" w:rsidRPr="00680378">
        <w:rPr>
          <w:rFonts w:ascii="Arial" w:hAnsi="Arial" w:cs="Arial"/>
          <w:sz w:val="20"/>
          <w:szCs w:val="20"/>
        </w:rPr>
        <w:t>Intervention</w:t>
      </w:r>
      <w:proofErr w:type="spellEnd"/>
      <w:r w:rsidR="003D3805" w:rsidRPr="00680378">
        <w:rPr>
          <w:rFonts w:ascii="Arial" w:hAnsi="Arial" w:cs="Arial"/>
          <w:sz w:val="20"/>
          <w:szCs w:val="20"/>
        </w:rPr>
        <w:t xml:space="preserve"> Trial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). 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Administrado durante 4 años en pacientes sin fractura vertebral previa, la reducción de la incidencia de fracturas vert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ebrales radiológicas es de 44%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La reducción del riesgo de fracturas no vertebrales en pacientes sin fractura previa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fue 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estimada en 30%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</w:p>
    <w:p w14:paraId="5D2BDF5F" w14:textId="504FD374" w:rsidR="00824AC6" w:rsidRPr="00680378" w:rsidRDefault="003D3805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Luego de 5 años 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 tratamiento, la continuación del mismo por otros 5 años redujo la incidencia de fracturas vertebrales en un 45% comparado con los pacientes que previamente habían recibido el tratamiento activo pero que no continuaron el mismo</w:t>
      </w:r>
      <w:r w:rsidR="0086145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(estudio FLEX)</w:t>
      </w:r>
      <w:r w:rsidR="00824AC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 La reducción absoluta del riesgo fue de 2.4% debido al esca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so número de casos con fractura.</w:t>
      </w:r>
    </w:p>
    <w:p w14:paraId="6E47625D" w14:textId="77777777" w:rsidR="00001B60" w:rsidRPr="00680378" w:rsidRDefault="00001B6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7725372B" w14:textId="77777777" w:rsidR="003D23CE" w:rsidRPr="006F57B6" w:rsidRDefault="002C3DA0" w:rsidP="00001B60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  <w:proofErr w:type="spellStart"/>
      <w:r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Risedronato</w:t>
      </w:r>
      <w:proofErr w:type="spellEnd"/>
      <w:r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:</w:t>
      </w:r>
    </w:p>
    <w:p w14:paraId="69C26FE5" w14:textId="78C1422F" w:rsidR="003D3805" w:rsidRPr="00680378" w:rsidRDefault="003D3805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Se utiliza por </w:t>
      </w:r>
      <w:r w:rsidR="000F7C7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vía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oral en dosis de 5 mg/</w:t>
      </w:r>
      <w:r w:rsidR="000F7C73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día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35 mg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/semanal o 150 mg/mensual.</w:t>
      </w:r>
    </w:p>
    <w:p w14:paraId="634B8705" w14:textId="357A6E2F" w:rsidR="003D23CE" w:rsidRPr="00680378" w:rsidRDefault="003D3805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Demostró reducir</w:t>
      </w:r>
      <w:r w:rsidR="003D23C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las fracturas vertebrales (41%</w:t>
      </w:r>
      <w:r w:rsidR="0086145A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 49%</w:t>
      </w:r>
      <w:r w:rsidR="003D23C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) y no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vertebrales (33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%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 40%) en 3 años (estudio VERT</w:t>
      </w:r>
      <w:r w:rsidRPr="00680378">
        <w:rPr>
          <w:rFonts w:ascii="Arial" w:hAnsi="Arial" w:cs="Arial"/>
          <w:sz w:val="20"/>
          <w:szCs w:val="20"/>
        </w:rPr>
        <w:t xml:space="preserve"> Vertebral </w:t>
      </w:r>
      <w:proofErr w:type="spellStart"/>
      <w:r w:rsidRPr="00680378">
        <w:rPr>
          <w:rFonts w:ascii="Arial" w:hAnsi="Arial" w:cs="Arial"/>
          <w:sz w:val="20"/>
          <w:szCs w:val="20"/>
        </w:rPr>
        <w:t>Efficacy</w:t>
      </w:r>
      <w:proofErr w:type="spellEnd"/>
      <w:r w:rsidRPr="0068037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</w:rPr>
        <w:t>with</w:t>
      </w:r>
      <w:proofErr w:type="spellEnd"/>
      <w:r w:rsidRPr="0068037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</w:rPr>
        <w:t>Risedronate</w:t>
      </w:r>
      <w:proofErr w:type="spellEnd"/>
      <w:r w:rsidRPr="0068037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</w:rPr>
        <w:t>Therapy</w:t>
      </w:r>
      <w:proofErr w:type="spellEnd"/>
      <w:proofErr w:type="gramStart"/>
      <w:r w:rsidRPr="00680378">
        <w:rPr>
          <w:rFonts w:ascii="Arial" w:hAnsi="Arial" w:cs="Arial"/>
          <w:sz w:val="20"/>
          <w:szCs w:val="20"/>
        </w:rPr>
        <w:t>)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.</w:t>
      </w:r>
      <w:proofErr w:type="gramEnd"/>
      <w:r w:rsidR="003D23C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El efecto se observa ya a los 6 meses y persiste en los e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studios prolongados a 5 años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  <w:r w:rsidR="003D23C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Disminuye en un 3</w:t>
      </w:r>
      <w:r w:rsidR="003D23C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0% el riesgo de fractura de cadera en mujeres entre 70 y 79 años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.</w:t>
      </w:r>
    </w:p>
    <w:p w14:paraId="1932B67B" w14:textId="77777777" w:rsidR="00001B60" w:rsidRPr="00680378" w:rsidRDefault="00001B6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6387BB0F" w14:textId="77777777" w:rsidR="002C3DA0" w:rsidRPr="006F57B6" w:rsidRDefault="002C3DA0" w:rsidP="00001B60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  <w:proofErr w:type="spellStart"/>
      <w:r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Ibandronato</w:t>
      </w:r>
      <w:proofErr w:type="spellEnd"/>
      <w:r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:</w:t>
      </w:r>
    </w:p>
    <w:p w14:paraId="5B65BB93" w14:textId="339E9467" w:rsidR="00001B60" w:rsidRPr="00680378" w:rsidRDefault="002C3DA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Se utiliza por </w:t>
      </w:r>
      <w:r w:rsidR="00700BF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vía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o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ral en dosis de 150 mg/mensual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y por </w:t>
      </w:r>
      <w:r w:rsidR="00700BF5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vía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endovenosa 3mg cada 3 meses.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Reduce la incidencia de </w:t>
      </w:r>
      <w:r w:rsidR="00885787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las fracturas vertebrales en 50</w:t>
      </w:r>
      <w:r w:rsidR="007723E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%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a tres años, pero no ha sido documentada la reducción de fracturas no vertebrales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, incluyendo cadera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s-CO" w:eastAsia="es-AR"/>
        </w:rPr>
        <w:t xml:space="preserve">(estudios BONE </w:t>
      </w:r>
      <w:r w:rsidRPr="00680378">
        <w:rPr>
          <w:rFonts w:ascii="Arial" w:hAnsi="Arial" w:cs="Arial"/>
          <w:sz w:val="20"/>
          <w:szCs w:val="20"/>
          <w:lang w:val="es-CO"/>
        </w:rPr>
        <w:t xml:space="preserve">Oral </w:t>
      </w:r>
      <w:proofErr w:type="spellStart"/>
      <w:r w:rsidRPr="00680378">
        <w:rPr>
          <w:rFonts w:ascii="Arial" w:hAnsi="Arial" w:cs="Arial"/>
          <w:sz w:val="20"/>
          <w:szCs w:val="20"/>
          <w:lang w:val="es-CO"/>
        </w:rPr>
        <w:t>Ibandronate</w:t>
      </w:r>
      <w:proofErr w:type="spellEnd"/>
      <w:r w:rsidRPr="00680378">
        <w:rPr>
          <w:rFonts w:ascii="Arial" w:hAnsi="Arial" w:cs="Arial"/>
          <w:sz w:val="20"/>
          <w:szCs w:val="20"/>
          <w:lang w:val="es-CO"/>
        </w:rPr>
        <w:t xml:space="preserve"> Osteoporosis Vertebral Fracture Trial in North </w:t>
      </w:r>
      <w:proofErr w:type="spellStart"/>
      <w:r w:rsidRPr="00680378">
        <w:rPr>
          <w:rFonts w:ascii="Arial" w:hAnsi="Arial" w:cs="Arial"/>
          <w:sz w:val="20"/>
          <w:szCs w:val="20"/>
          <w:lang w:val="es-CO"/>
        </w:rPr>
        <w:t>America</w:t>
      </w:r>
      <w:proofErr w:type="spellEnd"/>
      <w:r w:rsidRPr="00680378">
        <w:rPr>
          <w:rFonts w:ascii="Arial" w:hAnsi="Arial" w:cs="Arial"/>
          <w:sz w:val="20"/>
          <w:szCs w:val="20"/>
          <w:lang w:val="es-CO"/>
        </w:rPr>
        <w:t xml:space="preserve"> and </w:t>
      </w:r>
      <w:proofErr w:type="spellStart"/>
      <w:r w:rsidRPr="00680378">
        <w:rPr>
          <w:rFonts w:ascii="Arial" w:hAnsi="Arial" w:cs="Arial"/>
          <w:sz w:val="20"/>
          <w:szCs w:val="20"/>
          <w:lang w:val="es-CO"/>
        </w:rPr>
        <w:t>Europe</w:t>
      </w:r>
      <w:proofErr w:type="spellEnd"/>
      <w:r w:rsidRPr="00680378">
        <w:rPr>
          <w:rFonts w:ascii="Arial" w:hAnsi="Arial" w:cs="Arial"/>
          <w:sz w:val="20"/>
          <w:szCs w:val="20"/>
          <w:lang w:val="es-CO"/>
        </w:rPr>
        <w:t xml:space="preserve">,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s-CO" w:eastAsia="es-AR"/>
        </w:rPr>
        <w:t xml:space="preserve">MOBILE </w:t>
      </w:r>
      <w:proofErr w:type="spellStart"/>
      <w:r w:rsidR="00760807" w:rsidRPr="00680378">
        <w:rPr>
          <w:rFonts w:ascii="Arial" w:hAnsi="Arial" w:cs="Arial"/>
          <w:sz w:val="20"/>
          <w:szCs w:val="20"/>
          <w:lang w:val="es-CO"/>
        </w:rPr>
        <w:t>Monthly</w:t>
      </w:r>
      <w:proofErr w:type="spellEnd"/>
      <w:r w:rsidR="00760807" w:rsidRPr="00680378">
        <w:rPr>
          <w:rFonts w:ascii="Arial" w:hAnsi="Arial" w:cs="Arial"/>
          <w:sz w:val="20"/>
          <w:szCs w:val="20"/>
          <w:lang w:val="es-CO"/>
        </w:rPr>
        <w:t xml:space="preserve"> Oral </w:t>
      </w:r>
      <w:proofErr w:type="spellStart"/>
      <w:r w:rsidR="00760807" w:rsidRPr="00680378">
        <w:rPr>
          <w:rFonts w:ascii="Arial" w:hAnsi="Arial" w:cs="Arial"/>
          <w:sz w:val="20"/>
          <w:szCs w:val="20"/>
          <w:lang w:val="es-CO"/>
        </w:rPr>
        <w:t>Ibandronate</w:t>
      </w:r>
      <w:proofErr w:type="spellEnd"/>
      <w:r w:rsidR="00760807" w:rsidRPr="00680378">
        <w:rPr>
          <w:rFonts w:ascii="Arial" w:hAnsi="Arial" w:cs="Arial"/>
          <w:sz w:val="20"/>
          <w:szCs w:val="20"/>
          <w:lang w:val="es-CO"/>
        </w:rPr>
        <w:t xml:space="preserve"> in Ladies</w:t>
      </w:r>
      <w:r w:rsidR="00E4751E" w:rsidRPr="00680378">
        <w:rPr>
          <w:rStyle w:val="Textoennegrita"/>
          <w:rFonts w:ascii="Arial" w:hAnsi="Arial" w:cs="Arial"/>
          <w:b w:val="0"/>
          <w:sz w:val="20"/>
          <w:szCs w:val="20"/>
          <w:lang w:val="es-CO" w:eastAsia="es-AR"/>
        </w:rPr>
        <w:t xml:space="preserve"> y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s-CO" w:eastAsia="es-AR"/>
        </w:rPr>
        <w:t xml:space="preserve"> DIVA</w:t>
      </w:r>
      <w:r w:rsidRPr="00680378">
        <w:rPr>
          <w:rFonts w:ascii="Arial" w:hAnsi="Arial" w:cs="Arial"/>
          <w:sz w:val="20"/>
          <w:szCs w:val="20"/>
          <w:lang w:val="es-CO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  <w:lang w:val="es-CO"/>
        </w:rPr>
        <w:t>Dosing</w:t>
      </w:r>
      <w:proofErr w:type="spellEnd"/>
      <w:r w:rsidRPr="00680378">
        <w:rPr>
          <w:rFonts w:ascii="Arial" w:hAnsi="Arial" w:cs="Arial"/>
          <w:sz w:val="20"/>
          <w:szCs w:val="20"/>
          <w:lang w:val="es-CO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  <w:lang w:val="es-CO"/>
        </w:rPr>
        <w:t>Intravenous</w:t>
      </w:r>
      <w:proofErr w:type="spellEnd"/>
      <w:r w:rsidRPr="00680378">
        <w:rPr>
          <w:rFonts w:ascii="Arial" w:hAnsi="Arial" w:cs="Arial"/>
          <w:sz w:val="20"/>
          <w:szCs w:val="20"/>
          <w:lang w:val="es-CO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  <w:lang w:val="es-CO"/>
        </w:rPr>
        <w:t>Administration</w:t>
      </w:r>
      <w:proofErr w:type="spellEnd"/>
      <w:r w:rsidRPr="00680378">
        <w:rPr>
          <w:rFonts w:ascii="Arial" w:hAnsi="Arial" w:cs="Arial"/>
          <w:sz w:val="20"/>
          <w:szCs w:val="20"/>
          <w:lang w:val="es-CO"/>
        </w:rPr>
        <w:t xml:space="preserve"> trial)</w:t>
      </w:r>
      <w:r w:rsidR="00FF09F0" w:rsidRPr="00680378">
        <w:rPr>
          <w:rFonts w:ascii="Arial" w:hAnsi="Arial" w:cs="Arial"/>
          <w:sz w:val="20"/>
          <w:szCs w:val="20"/>
          <w:lang w:val="es-CO"/>
        </w:rPr>
        <w:t>.</w:t>
      </w:r>
    </w:p>
    <w:p w14:paraId="129718B1" w14:textId="77777777" w:rsidR="00001B60" w:rsidRPr="00680378" w:rsidRDefault="00001B60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31105F83" w14:textId="30DC6839" w:rsidR="00B05611" w:rsidRPr="006F57B6" w:rsidRDefault="00FF09F0" w:rsidP="00001B60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Á</w:t>
      </w:r>
      <w:r w:rsidR="00760807" w:rsidRPr="006F57B6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cido </w:t>
      </w:r>
      <w:proofErr w:type="spellStart"/>
      <w:r w:rsidR="00760807"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Zoledr</w:t>
      </w:r>
      <w:r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ó</w:t>
      </w:r>
      <w:r w:rsidR="00760807"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nico</w:t>
      </w:r>
      <w:proofErr w:type="spellEnd"/>
      <w:r w:rsidR="00760807" w:rsidRPr="006F57B6">
        <w:rPr>
          <w:rStyle w:val="Textoennegrita"/>
          <w:rFonts w:ascii="Arial" w:hAnsi="Arial" w:cs="Arial"/>
          <w:sz w:val="20"/>
          <w:szCs w:val="20"/>
          <w:lang w:eastAsia="es-AR"/>
        </w:rPr>
        <w:t>:</w:t>
      </w:r>
    </w:p>
    <w:p w14:paraId="407AE990" w14:textId="090AE8CE" w:rsidR="00B05611" w:rsidRDefault="00760807" w:rsidP="00001B60">
      <w:p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s-CO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Se utiliza por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vía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endovenosa 5 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mg en 100 ml de solución anual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a pasar al menos durante 15 minutos. Los pacientes deben estar bien hidratados</w:t>
      </w:r>
      <w:r w:rsidR="00FF09F0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. </w:t>
      </w:r>
      <w:r w:rsidR="00E4751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Reduce la incidencia de 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fracturas vertebrales por 70%, fracturas de cadera</w:t>
      </w:r>
      <w:r w:rsidR="00E4751E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41% y fracturas no vertebrales</w:t>
      </w:r>
      <w:r w:rsidR="00843CCF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por 25% durante 3 años</w:t>
      </w:r>
      <w:r w:rsidR="00885787" w:rsidRPr="00680378">
        <w:rPr>
          <w:rFonts w:ascii="Arial" w:hAnsi="Arial" w:cs="Arial"/>
          <w:sz w:val="20"/>
          <w:szCs w:val="20"/>
          <w:lang w:val="es-CO"/>
        </w:rPr>
        <w:t>.</w:t>
      </w:r>
    </w:p>
    <w:p w14:paraId="0291DBD0" w14:textId="359E6F07" w:rsidR="006F57B6" w:rsidRDefault="006F57B6" w:rsidP="00001B60">
      <w:p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s-CO"/>
        </w:rPr>
      </w:pPr>
    </w:p>
    <w:p w14:paraId="1A163F74" w14:textId="17EE5867" w:rsidR="006F57B6" w:rsidRDefault="006F57B6" w:rsidP="00001B60">
      <w:p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s-CO"/>
        </w:rPr>
      </w:pPr>
    </w:p>
    <w:p w14:paraId="2DC21C78" w14:textId="0000D974" w:rsidR="006F57B6" w:rsidRDefault="006F57B6" w:rsidP="00001B60">
      <w:p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s-CO"/>
        </w:rPr>
      </w:pPr>
    </w:p>
    <w:p w14:paraId="3BA2E539" w14:textId="77777777" w:rsidR="006F57B6" w:rsidRPr="00680378" w:rsidRDefault="006F57B6" w:rsidP="00001B60">
      <w:p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s-CO"/>
        </w:rPr>
      </w:pPr>
    </w:p>
    <w:p w14:paraId="43F3609A" w14:textId="6E49B260" w:rsidR="00001B60" w:rsidRPr="00680378" w:rsidRDefault="00001B60" w:rsidP="006F4351">
      <w:pPr>
        <w:shd w:val="clear" w:color="auto" w:fill="FFFFFF"/>
        <w:spacing w:line="276" w:lineRule="auto"/>
        <w:rPr>
          <w:rFonts w:ascii="Arial" w:hAnsi="Arial" w:cs="Arial"/>
          <w:sz w:val="20"/>
          <w:szCs w:val="20"/>
          <w:lang w:val="es-CO"/>
        </w:rPr>
      </w:pPr>
    </w:p>
    <w:p w14:paraId="1CCB1375" w14:textId="77777777" w:rsidR="001009D8" w:rsidRPr="00680378" w:rsidRDefault="001009D8" w:rsidP="001009D8">
      <w:pPr>
        <w:pStyle w:val="Prrafodelista"/>
        <w:shd w:val="clear" w:color="auto" w:fill="FFFFFF"/>
        <w:spacing w:line="276" w:lineRule="auto"/>
        <w:ind w:left="360"/>
        <w:rPr>
          <w:rStyle w:val="Textoennegrita"/>
          <w:rFonts w:ascii="Arial" w:hAnsi="Arial" w:cs="Arial"/>
          <w:b w:val="0"/>
          <w:sz w:val="20"/>
          <w:szCs w:val="20"/>
          <w:lang w:eastAsia="es-AR"/>
        </w:rPr>
      </w:pPr>
    </w:p>
    <w:p w14:paraId="465F0AD6" w14:textId="06A98FF2" w:rsidR="00B05611" w:rsidRPr="00680378" w:rsidRDefault="00E4751E" w:rsidP="006F4351">
      <w:pPr>
        <w:shd w:val="clear" w:color="auto" w:fill="FFFFFF"/>
        <w:spacing w:line="276" w:lineRule="auto"/>
        <w:rPr>
          <w:rStyle w:val="Textoennegrita"/>
          <w:rFonts w:ascii="Arial" w:hAnsi="Arial" w:cs="Arial"/>
          <w:sz w:val="20"/>
          <w:szCs w:val="20"/>
          <w:lang w:eastAsia="es-AR"/>
        </w:rPr>
      </w:pPr>
      <w:r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S</w:t>
      </w:r>
      <w:r w:rsidR="001009D8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 xml:space="preserve">eguridad de los </w:t>
      </w:r>
      <w:proofErr w:type="spellStart"/>
      <w:r w:rsidR="001009D8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Bifosfonatos</w:t>
      </w:r>
      <w:proofErr w:type="spellEnd"/>
      <w:r w:rsidR="00760807" w:rsidRPr="00680378">
        <w:rPr>
          <w:rStyle w:val="Textoennegrita"/>
          <w:rFonts w:ascii="Arial" w:hAnsi="Arial" w:cs="Arial"/>
          <w:sz w:val="20"/>
          <w:szCs w:val="20"/>
          <w:lang w:eastAsia="es-AR"/>
        </w:rPr>
        <w:t>:</w:t>
      </w:r>
    </w:p>
    <w:p w14:paraId="472F7F32" w14:textId="078CC732" w:rsidR="00760807" w:rsidRPr="00680378" w:rsidRDefault="00760807" w:rsidP="00001B60">
      <w:pPr>
        <w:pStyle w:val="sintab"/>
        <w:spacing w:line="276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Aunque se han observado pocos eventos adversos, el uso tan extendido de los BP ha determinado que se puedan observar diferentes riesgos y 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eventos adversos secundario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>s a su utilización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>. A nivel gastrointestinal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,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 xml:space="preserve">los de uso oral, 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>puede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n causar esofagitis, ú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>lceras, dolor abdominal y disfagia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,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con baja frecuencia.</w:t>
      </w:r>
      <w:r w:rsidR="0056434B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Deben tomarse precauciones especiales en pacientes con hernia </w:t>
      </w:r>
      <w:proofErr w:type="spellStart"/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>hiatal</w:t>
      </w:r>
      <w:proofErr w:type="spellEnd"/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>, reflujo gastroesofágico</w:t>
      </w:r>
      <w:r w:rsidR="007641AA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y sintomatología 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acido péptica, y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está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n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contraindicado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s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en el esófago de Barret</w:t>
      </w:r>
      <w:r w:rsidR="00091E9C" w:rsidRPr="00680378">
        <w:rPr>
          <w:rFonts w:ascii="Arial" w:hAnsi="Arial" w:cs="Arial"/>
          <w:b w:val="0"/>
          <w:color w:val="auto"/>
          <w:sz w:val="20"/>
          <w:szCs w:val="20"/>
        </w:rPr>
        <w:t>.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También se ha descri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to la posible asociación con cáncer de </w:t>
      </w:r>
      <w:r w:rsidR="0086145A" w:rsidRPr="00680378">
        <w:rPr>
          <w:rFonts w:ascii="Arial" w:hAnsi="Arial" w:cs="Arial"/>
          <w:b w:val="0"/>
          <w:color w:val="auto"/>
          <w:sz w:val="20"/>
          <w:szCs w:val="20"/>
        </w:rPr>
        <w:t>esófago,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pero la FDA concluye que no es definitiva dicha asociación.</w:t>
      </w:r>
    </w:p>
    <w:p w14:paraId="042F77A3" w14:textId="4D5D08F7" w:rsidR="007641AA" w:rsidRPr="00680378" w:rsidRDefault="00760807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</w:pPr>
      <w:r w:rsidRPr="00680378">
        <w:rPr>
          <w:rFonts w:ascii="Arial" w:hAnsi="Arial" w:cs="Arial"/>
          <w:sz w:val="20"/>
          <w:szCs w:val="20"/>
        </w:rPr>
        <w:t xml:space="preserve">A nivel renal, ya que es la única vía de eliminación conocida, </w:t>
      </w:r>
      <w:r w:rsidR="00700BF5" w:rsidRPr="00680378">
        <w:rPr>
          <w:rFonts w:ascii="Arial" w:hAnsi="Arial" w:cs="Arial"/>
          <w:sz w:val="20"/>
          <w:szCs w:val="20"/>
        </w:rPr>
        <w:t>están</w:t>
      </w:r>
      <w:r w:rsidR="00BD5295" w:rsidRPr="00680378">
        <w:rPr>
          <w:rFonts w:ascii="Arial" w:hAnsi="Arial" w:cs="Arial"/>
          <w:sz w:val="20"/>
          <w:szCs w:val="20"/>
        </w:rPr>
        <w:t xml:space="preserve"> contraindicado</w:t>
      </w:r>
      <w:r w:rsidR="00843CCF" w:rsidRPr="00680378">
        <w:rPr>
          <w:rFonts w:ascii="Arial" w:hAnsi="Arial" w:cs="Arial"/>
          <w:sz w:val="20"/>
          <w:szCs w:val="20"/>
        </w:rPr>
        <w:t>s</w:t>
      </w:r>
      <w:r w:rsidR="00BD5295" w:rsidRPr="00680378">
        <w:rPr>
          <w:rFonts w:ascii="Arial" w:hAnsi="Arial" w:cs="Arial"/>
          <w:sz w:val="20"/>
          <w:szCs w:val="20"/>
        </w:rPr>
        <w:t xml:space="preserve"> con un</w:t>
      </w:r>
      <w:r w:rsidR="00843CCF" w:rsidRPr="00680378">
        <w:rPr>
          <w:rFonts w:ascii="Arial" w:hAnsi="Arial" w:cs="Arial"/>
          <w:sz w:val="20"/>
          <w:szCs w:val="20"/>
        </w:rPr>
        <w:t>a</w:t>
      </w:r>
      <w:r w:rsidR="00BD5295" w:rsidRPr="00680378">
        <w:rPr>
          <w:rFonts w:ascii="Arial" w:hAnsi="Arial" w:cs="Arial"/>
          <w:sz w:val="20"/>
          <w:szCs w:val="20"/>
        </w:rPr>
        <w:t xml:space="preserve"> </w:t>
      </w:r>
      <w:r w:rsidR="00843CCF" w:rsidRPr="00680378">
        <w:rPr>
          <w:rFonts w:ascii="Arial" w:hAnsi="Arial" w:cs="Arial"/>
          <w:sz w:val="20"/>
          <w:szCs w:val="20"/>
        </w:rPr>
        <w:t>depuración</w:t>
      </w:r>
      <w:r w:rsidR="00BD5295" w:rsidRPr="00680378">
        <w:rPr>
          <w:rFonts w:ascii="Arial" w:hAnsi="Arial" w:cs="Arial"/>
          <w:sz w:val="20"/>
          <w:szCs w:val="20"/>
        </w:rPr>
        <w:t xml:space="preserve"> de creatinina </w:t>
      </w:r>
      <w:r w:rsidR="00843CCF" w:rsidRPr="00680378">
        <w:rPr>
          <w:rFonts w:ascii="Arial" w:hAnsi="Arial" w:cs="Arial"/>
          <w:sz w:val="20"/>
          <w:szCs w:val="20"/>
        </w:rPr>
        <w:t xml:space="preserve">por </w:t>
      </w:r>
      <w:r w:rsidR="0086145A" w:rsidRPr="00680378">
        <w:rPr>
          <w:rFonts w:ascii="Arial" w:hAnsi="Arial" w:cs="Arial"/>
          <w:sz w:val="20"/>
          <w:szCs w:val="20"/>
        </w:rPr>
        <w:t>debajo de</w:t>
      </w:r>
      <w:r w:rsidR="00BD5295" w:rsidRPr="00680378">
        <w:rPr>
          <w:rFonts w:ascii="Arial" w:hAnsi="Arial" w:cs="Arial"/>
          <w:sz w:val="20"/>
          <w:szCs w:val="20"/>
        </w:rPr>
        <w:t xml:space="preserve"> 30- 35 ml/min. Se recomienda especial cuidado con el uso de BP intravenosos.</w:t>
      </w:r>
      <w:r w:rsidR="007641AA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La </w:t>
      </w:r>
      <w:r w:rsidR="00843CCF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administración</w:t>
      </w:r>
      <w:r w:rsidR="007641AA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intravenosa rápida de BP puede causar enfermedad renal transitoria o permanente</w:t>
      </w:r>
      <w:r w:rsidR="00843CCF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,</w:t>
      </w:r>
      <w:r w:rsidR="007641AA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especialmente en pacientes </w:t>
      </w:r>
      <w:r w:rsidR="00843CCF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de edad avanzada,</w:t>
      </w:r>
      <w:r w:rsidR="007641AA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con deshidratación o uso de diuréticos</w:t>
      </w:r>
      <w:r w:rsidR="00843CCF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o </w:t>
      </w:r>
      <w:proofErr w:type="spellStart"/>
      <w:r w:rsidR="00843CCF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AINEs</w:t>
      </w:r>
      <w:proofErr w:type="spellEnd"/>
      <w:r w:rsidR="00843CCF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. </w:t>
      </w:r>
    </w:p>
    <w:p w14:paraId="2C0D4CDB" w14:textId="3DC3600F" w:rsidR="003C63A5" w:rsidRPr="00680378" w:rsidRDefault="00760807" w:rsidP="006F4351">
      <w:pPr>
        <w:pStyle w:val="sintab"/>
        <w:spacing w:line="276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Se ha </w:t>
      </w:r>
      <w:r w:rsidR="00843CCF" w:rsidRPr="00680378">
        <w:rPr>
          <w:rFonts w:ascii="Arial" w:hAnsi="Arial" w:cs="Arial"/>
          <w:b w:val="0"/>
          <w:color w:val="auto"/>
          <w:sz w:val="20"/>
          <w:szCs w:val="20"/>
        </w:rPr>
        <w:t>mencionado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la posibilidad de fibrilación auricular, esencialmente ligada al uso de </w:t>
      </w:r>
      <w:proofErr w:type="spellStart"/>
      <w:r w:rsidRPr="00680378">
        <w:rPr>
          <w:rFonts w:ascii="Arial" w:hAnsi="Arial" w:cs="Arial"/>
          <w:b w:val="0"/>
          <w:color w:val="auto"/>
          <w:sz w:val="20"/>
          <w:szCs w:val="20"/>
        </w:rPr>
        <w:t>zoledronato</w:t>
      </w:r>
      <w:proofErr w:type="spellEnd"/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y </w:t>
      </w:r>
      <w:proofErr w:type="spellStart"/>
      <w:r w:rsidRPr="00680378">
        <w:rPr>
          <w:rFonts w:ascii="Arial" w:hAnsi="Arial" w:cs="Arial"/>
          <w:b w:val="0"/>
          <w:color w:val="auto"/>
          <w:sz w:val="20"/>
          <w:szCs w:val="20"/>
        </w:rPr>
        <w:t>alendronato</w:t>
      </w:r>
      <w:proofErr w:type="spellEnd"/>
      <w:r w:rsidR="00DF69BE" w:rsidRPr="00680378">
        <w:rPr>
          <w:rFonts w:ascii="Arial" w:hAnsi="Arial" w:cs="Arial"/>
          <w:b w:val="0"/>
          <w:color w:val="auto"/>
          <w:sz w:val="20"/>
          <w:szCs w:val="20"/>
        </w:rPr>
        <w:t>;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DF69B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sin embargo, 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análisis posteriores </w:t>
      </w:r>
      <w:r w:rsidR="00F20BB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desestimaron 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>este riesgo</w:t>
      </w:r>
      <w:r w:rsidR="00F20BB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, pero en un reciente </w:t>
      </w:r>
      <w:r w:rsidR="00DF69BE" w:rsidRPr="00680378">
        <w:rPr>
          <w:rFonts w:ascii="Arial" w:hAnsi="Arial" w:cs="Arial"/>
          <w:b w:val="0"/>
          <w:color w:val="auto"/>
          <w:sz w:val="20"/>
          <w:szCs w:val="20"/>
        </w:rPr>
        <w:t>meta análisis</w:t>
      </w:r>
      <w:r w:rsidR="00F20BB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encontraron un incremento de riesgo de acceso de fibrilación auricular en usuarios de BP orales e intravenosos por lo que es aconsejable </w:t>
      </w:r>
      <w:r w:rsidR="00DF69BE" w:rsidRPr="00680378">
        <w:rPr>
          <w:rFonts w:ascii="Arial" w:hAnsi="Arial" w:cs="Arial"/>
          <w:b w:val="0"/>
          <w:color w:val="auto"/>
          <w:sz w:val="20"/>
          <w:szCs w:val="20"/>
        </w:rPr>
        <w:t>precaución</w:t>
      </w:r>
      <w:r w:rsidR="00F20BB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y monitoreo especialmente en población </w:t>
      </w:r>
      <w:r w:rsidR="00DF69BE" w:rsidRPr="00680378">
        <w:rPr>
          <w:rFonts w:ascii="Arial" w:hAnsi="Arial" w:cs="Arial"/>
          <w:b w:val="0"/>
          <w:color w:val="auto"/>
          <w:sz w:val="20"/>
          <w:szCs w:val="20"/>
        </w:rPr>
        <w:t>senil</w:t>
      </w:r>
      <w:r w:rsidR="003C63A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con enfermedad cardiovascular preexistente.</w:t>
      </w:r>
    </w:p>
    <w:p w14:paraId="154A4095" w14:textId="19F8C18A" w:rsidR="00760807" w:rsidRPr="00680378" w:rsidRDefault="00760807" w:rsidP="006F4351">
      <w:pPr>
        <w:pStyle w:val="sintab"/>
        <w:spacing w:line="276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Se ha descrito afectación ocular como “ojo rojo”, blefaritis, conjuntivitis, </w:t>
      </w:r>
      <w:proofErr w:type="spellStart"/>
      <w:r w:rsidR="00DF69BE" w:rsidRPr="00680378">
        <w:rPr>
          <w:rFonts w:ascii="Arial" w:hAnsi="Arial" w:cs="Arial"/>
          <w:b w:val="0"/>
          <w:color w:val="auto"/>
          <w:sz w:val="20"/>
          <w:szCs w:val="20"/>
        </w:rPr>
        <w:t>uveitis</w:t>
      </w:r>
      <w:proofErr w:type="spellEnd"/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, que suele </w:t>
      </w:r>
      <w:r w:rsidR="00DF69BE" w:rsidRPr="00680378">
        <w:rPr>
          <w:rFonts w:ascii="Arial" w:hAnsi="Arial" w:cs="Arial"/>
          <w:b w:val="0"/>
          <w:color w:val="auto"/>
          <w:sz w:val="20"/>
          <w:szCs w:val="20"/>
        </w:rPr>
        <w:t>mejorar rápidamente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con la suspensión del fármaco, necesitando el uso de corticoides en algunos casos.   </w:t>
      </w:r>
    </w:p>
    <w:p w14:paraId="5C9C517E" w14:textId="520F5646" w:rsidR="00760807" w:rsidRPr="00680378" w:rsidRDefault="00760807" w:rsidP="006F4351">
      <w:pPr>
        <w:pStyle w:val="sintab"/>
        <w:spacing w:line="276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La </w:t>
      </w:r>
      <w:proofErr w:type="spellStart"/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o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>steonecrosis</w:t>
      </w:r>
      <w:proofErr w:type="spellEnd"/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de Maxilar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(ONM) </w:t>
      </w:r>
      <w:r w:rsidR="009B1BE6" w:rsidRPr="00680378">
        <w:rPr>
          <w:rFonts w:ascii="Arial" w:hAnsi="Arial" w:cs="Arial"/>
          <w:b w:val="0"/>
          <w:color w:val="auto"/>
          <w:sz w:val="20"/>
          <w:szCs w:val="20"/>
        </w:rPr>
        <w:t xml:space="preserve">se define como un área de hueso alveolar expuesto de la región maxilofacial que no cicatriza en 6 a 8 semanas en </w:t>
      </w:r>
      <w:r w:rsidR="0086145A" w:rsidRPr="00680378">
        <w:rPr>
          <w:rFonts w:ascii="Arial" w:hAnsi="Arial" w:cs="Arial"/>
          <w:b w:val="0"/>
          <w:color w:val="auto"/>
          <w:sz w:val="20"/>
          <w:szCs w:val="20"/>
        </w:rPr>
        <w:t>un paciente previamente tratado</w:t>
      </w:r>
      <w:r w:rsidR="009B1BE6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con BP y sin antecedente de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radioterapia</w:t>
      </w:r>
      <w:r w:rsidR="009B1BE6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en la región mencionada.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Se ha descrito</w:t>
      </w:r>
      <w:r w:rsidR="00BD5295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con mayor frecuencia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en 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pacientes oncológicos y con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el uso de 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los BP 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>parenterales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. El mecanismo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por el cual se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produce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esta complicación, 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esencialmente se desconoce. 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>Existen factores de riesgo que incluyen condiciones dentales patológicas, procedimientos invasivo</w:t>
      </w:r>
      <w:r w:rsidR="009B1BE6" w:rsidRPr="00680378">
        <w:rPr>
          <w:rFonts w:ascii="Arial" w:hAnsi="Arial" w:cs="Arial"/>
          <w:b w:val="0"/>
          <w:color w:val="auto"/>
          <w:sz w:val="20"/>
          <w:szCs w:val="20"/>
        </w:rPr>
        <w:t>s dentales, pobre higiene bucal por lo que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debe realizarse un examen oral en pacientes que recibirán BP.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También</w:t>
      </w:r>
      <w:r w:rsidR="00740BA1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favorecen el proceso el uso de corticoides, citotóxicos, obesidad,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tabaquismo y</w:t>
      </w:r>
      <w:r w:rsidR="00740BA1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diabetes.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42303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Para los pacientes que reciben BP y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se les realizara</w:t>
      </w:r>
      <w:r w:rsidR="0042303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un procedimiento dental invasivo n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o existe evidencia </w:t>
      </w:r>
      <w:r w:rsidR="00740BA1" w:rsidRPr="00680378">
        <w:rPr>
          <w:rFonts w:ascii="Arial" w:hAnsi="Arial" w:cs="Arial"/>
          <w:b w:val="0"/>
          <w:color w:val="auto"/>
          <w:sz w:val="20"/>
          <w:szCs w:val="20"/>
        </w:rPr>
        <w:t>y es controvertido si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la susp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>ensió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>n o interrupción de los BP</w:t>
      </w:r>
      <w:r w:rsidR="00AD6A4F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cambiaran o reduc</w:t>
      </w:r>
      <w:r w:rsidR="00091E9C" w:rsidRPr="00680378">
        <w:rPr>
          <w:rFonts w:ascii="Arial" w:hAnsi="Arial" w:cs="Arial"/>
          <w:b w:val="0"/>
          <w:color w:val="auto"/>
          <w:sz w:val="20"/>
          <w:szCs w:val="20"/>
        </w:rPr>
        <w:t>irá</w:t>
      </w:r>
      <w:r w:rsidR="00916909" w:rsidRPr="00680378">
        <w:rPr>
          <w:rFonts w:ascii="Arial" w:hAnsi="Arial" w:cs="Arial"/>
          <w:b w:val="0"/>
          <w:color w:val="auto"/>
          <w:sz w:val="20"/>
          <w:szCs w:val="20"/>
        </w:rPr>
        <w:t>n el riesgo de ONM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.</w:t>
      </w:r>
    </w:p>
    <w:p w14:paraId="73EF45E8" w14:textId="16762E83" w:rsidR="00760807" w:rsidRPr="00680378" w:rsidRDefault="00760807" w:rsidP="006F4351">
      <w:pPr>
        <w:pStyle w:val="sintab"/>
        <w:spacing w:line="276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Las fracturas atípicas 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femorales </w:t>
      </w:r>
      <w:proofErr w:type="spellStart"/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>subtrocant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é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>ricas</w:t>
      </w:r>
      <w:proofErr w:type="spellEnd"/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y </w:t>
      </w:r>
      <w:proofErr w:type="spellStart"/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>diafis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i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>arias</w:t>
      </w:r>
      <w:proofErr w:type="spellEnd"/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se han comenzado a describir en pacientes que </w:t>
      </w:r>
      <w:r w:rsidR="00375270" w:rsidRPr="00680378">
        <w:rPr>
          <w:rFonts w:ascii="Arial" w:hAnsi="Arial" w:cs="Arial"/>
          <w:b w:val="0"/>
          <w:color w:val="auto"/>
          <w:sz w:val="20"/>
          <w:szCs w:val="20"/>
        </w:rPr>
        <w:t xml:space="preserve">se encuentran </w:t>
      </w:r>
      <w:r w:rsidR="006F57B6" w:rsidRPr="00680378">
        <w:rPr>
          <w:rFonts w:ascii="Arial" w:hAnsi="Arial" w:cs="Arial"/>
          <w:b w:val="0"/>
          <w:color w:val="auto"/>
          <w:sz w:val="20"/>
          <w:szCs w:val="20"/>
        </w:rPr>
        <w:t>en tratamiento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 xml:space="preserve"> continuo </w:t>
      </w:r>
      <w:r w:rsidR="00F72323" w:rsidRPr="00680378">
        <w:rPr>
          <w:rFonts w:ascii="Arial" w:hAnsi="Arial" w:cs="Arial"/>
          <w:b w:val="0"/>
          <w:color w:val="auto"/>
          <w:sz w:val="20"/>
          <w:szCs w:val="20"/>
        </w:rPr>
        <w:t xml:space="preserve">durante muchos años </w:t>
      </w:r>
      <w:r w:rsidRPr="00680378">
        <w:rPr>
          <w:rFonts w:ascii="Arial" w:hAnsi="Arial" w:cs="Arial"/>
          <w:b w:val="0"/>
          <w:color w:val="auto"/>
          <w:sz w:val="20"/>
          <w:szCs w:val="20"/>
        </w:rPr>
        <w:t>con BP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. Se presentan con un dolor prodrómico en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la 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>ingle o muslo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,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meses o semanas previas a la fractura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,</w:t>
      </w:r>
      <w:r w:rsidR="00FB3712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en el 70% de los pacientes, en general son simples u oblicuas, bilaterales en el 28% de los casos y de lenta consolidación. A nivel radiológico presentan engrosamiento de la cortical</w:t>
      </w:r>
      <w:r w:rsidR="00F72323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de la diáfisis femoral, fractura de diáfisis completa o incompleta y dilatación en la curación de la fractura.</w:t>
      </w:r>
      <w:r w:rsidR="00E4751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P</w:t>
      </w:r>
      <w:r w:rsidR="00F72323" w:rsidRPr="00680378">
        <w:rPr>
          <w:rFonts w:ascii="Arial" w:hAnsi="Arial" w:cs="Arial"/>
          <w:b w:val="0"/>
          <w:color w:val="auto"/>
          <w:sz w:val="20"/>
          <w:szCs w:val="20"/>
        </w:rPr>
        <w:t xml:space="preserve">osibles factores predisponentes serian la artritis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reumatoide</w:t>
      </w:r>
      <w:r w:rsidR="00F72323" w:rsidRPr="00680378">
        <w:rPr>
          <w:rFonts w:ascii="Arial" w:hAnsi="Arial" w:cs="Arial"/>
          <w:b w:val="0"/>
          <w:color w:val="auto"/>
          <w:sz w:val="20"/>
          <w:szCs w:val="20"/>
        </w:rPr>
        <w:t>, diabetes mellitus, corticoides, inhibidores de la bomba de protones, administración simu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ltanea de dos </w:t>
      </w:r>
      <w:proofErr w:type="spellStart"/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antiresortivos</w:t>
      </w:r>
      <w:proofErr w:type="spellEnd"/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. Se sugiere suspender</w:t>
      </w:r>
      <w:r w:rsidR="00F72323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la administración de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l</w:t>
      </w:r>
      <w:r w:rsidR="00F72323" w:rsidRPr="00680378">
        <w:rPr>
          <w:rFonts w:ascii="Arial" w:hAnsi="Arial" w:cs="Arial"/>
          <w:b w:val="0"/>
          <w:color w:val="auto"/>
          <w:sz w:val="20"/>
          <w:szCs w:val="20"/>
        </w:rPr>
        <w:t xml:space="preserve"> BP, tratamiento ortopédico adecuado, </w:t>
      </w:r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y en algunos casos el uso de </w:t>
      </w:r>
      <w:proofErr w:type="spellStart"/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>teriparatide</w:t>
      </w:r>
      <w:proofErr w:type="spellEnd"/>
      <w:r w:rsidR="00C64B3E" w:rsidRPr="00680378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</w:p>
    <w:p w14:paraId="39461478" w14:textId="0827C4A1" w:rsidR="003D23CE" w:rsidRPr="00680378" w:rsidRDefault="007641AA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Altas dosis de BP oral o intravenosos pueden causar re</w:t>
      </w:r>
      <w:r w:rsidR="00885787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acciones de fase aguda en el 30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% de los pacientes en su primera dosis</w:t>
      </w:r>
      <w:r w:rsidR="00C64B3E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, c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aracterizado por fiebre, dolor muscular y síndrome gripal</w:t>
      </w:r>
      <w:r w:rsidR="00C64B3E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. S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e </w:t>
      </w:r>
      <w:r w:rsidR="00C64B3E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recomienda el uso </w:t>
      </w:r>
      <w:r w:rsidR="006F57B6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>de acetaminofén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 1 o 2 horas antes del tratamiento para reducir estas reacciones y </w:t>
      </w:r>
      <w:r w:rsidR="009C7341" w:rsidRPr="00680378">
        <w:rPr>
          <w:rStyle w:val="Textoennegrita"/>
          <w:rFonts w:ascii="Arial" w:hAnsi="Arial" w:cs="Arial"/>
          <w:b w:val="0"/>
          <w:sz w:val="20"/>
          <w:szCs w:val="20"/>
          <w:lang w:val="es-ES" w:eastAsia="es-AR"/>
        </w:rPr>
        <w:t xml:space="preserve">síntomas. </w:t>
      </w:r>
    </w:p>
    <w:p w14:paraId="508C0DD1" w14:textId="77777777" w:rsidR="009C7341" w:rsidRPr="00680378" w:rsidRDefault="009C7341" w:rsidP="00001B60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u w:val="single"/>
          <w:lang w:val="es-ES" w:eastAsia="es-AR"/>
        </w:rPr>
      </w:pPr>
    </w:p>
    <w:p w14:paraId="22B57A12" w14:textId="0F5EC809" w:rsidR="006769DC" w:rsidRPr="00CD0CB8" w:rsidRDefault="00CD0CB8" w:rsidP="00CD0CB8">
      <w:pPr>
        <w:shd w:val="clear" w:color="auto" w:fill="FFFFFF"/>
        <w:spacing w:line="276" w:lineRule="auto"/>
        <w:jc w:val="both"/>
        <w:rPr>
          <w:rStyle w:val="Textoennegrita"/>
          <w:rFonts w:ascii="Arial" w:hAnsi="Arial" w:cs="Arial"/>
          <w:sz w:val="20"/>
          <w:szCs w:val="20"/>
          <w:lang w:val="es-ES" w:eastAsia="es-AR"/>
        </w:rPr>
      </w:pPr>
      <w:r>
        <w:rPr>
          <w:rStyle w:val="Textoennegrita"/>
          <w:rFonts w:ascii="Arial" w:hAnsi="Arial" w:cs="Arial"/>
          <w:sz w:val="20"/>
          <w:szCs w:val="20"/>
          <w:lang w:val="es-ES" w:eastAsia="es-AR"/>
        </w:rPr>
        <w:t>V</w:t>
      </w:r>
      <w:r w:rsidR="006769DC" w:rsidRPr="00CD0CB8">
        <w:rPr>
          <w:rStyle w:val="Textoennegrita"/>
          <w:rFonts w:ascii="Arial" w:hAnsi="Arial" w:cs="Arial"/>
          <w:sz w:val="20"/>
          <w:szCs w:val="20"/>
          <w:lang w:val="es-ES" w:eastAsia="es-AR"/>
        </w:rPr>
        <w:t>ac</w:t>
      </w:r>
      <w:r>
        <w:rPr>
          <w:rStyle w:val="Textoennegrita"/>
          <w:rFonts w:ascii="Arial" w:hAnsi="Arial" w:cs="Arial"/>
          <w:sz w:val="20"/>
          <w:szCs w:val="20"/>
          <w:lang w:val="es-ES" w:eastAsia="es-AR"/>
        </w:rPr>
        <w:t xml:space="preserve">aciones de los </w:t>
      </w:r>
      <w:proofErr w:type="spellStart"/>
      <w:r>
        <w:rPr>
          <w:rStyle w:val="Textoennegrita"/>
          <w:rFonts w:ascii="Arial" w:hAnsi="Arial" w:cs="Arial"/>
          <w:sz w:val="20"/>
          <w:szCs w:val="20"/>
          <w:lang w:val="es-ES" w:eastAsia="es-AR"/>
        </w:rPr>
        <w:t>bifosfonatos</w:t>
      </w:r>
      <w:proofErr w:type="spellEnd"/>
    </w:p>
    <w:p w14:paraId="62CA5AF9" w14:textId="7DA8B9CB" w:rsidR="009C7341" w:rsidRPr="00680378" w:rsidRDefault="009C7341" w:rsidP="00001B60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Existe la preocupación potencial de que el tratamiento a largo plazo con anti-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resortivos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puede incrementar el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microdaño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óseo y suprimir </w:t>
      </w:r>
      <w:r w:rsidR="006F57B6" w:rsidRPr="00680378">
        <w:rPr>
          <w:rFonts w:ascii="Arial" w:eastAsia="Times New Roman" w:hAnsi="Arial" w:cs="Arial"/>
          <w:sz w:val="20"/>
          <w:szCs w:val="20"/>
          <w:lang w:eastAsia="es-AR"/>
        </w:rPr>
        <w:t>su reparación, produciendo un incremento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 la fragilidad ósea, sin embargo, debe sopesarse en contra la posibilidad de que el </w:t>
      </w:r>
      <w:r w:rsidR="006F57B6" w:rsidRPr="00680378">
        <w:rPr>
          <w:rFonts w:ascii="Arial" w:eastAsia="Times New Roman" w:hAnsi="Arial" w:cs="Arial"/>
          <w:sz w:val="20"/>
          <w:szCs w:val="20"/>
          <w:lang w:eastAsia="es-AR"/>
        </w:rPr>
        <w:t>incremento del recambio y la pérdida ósea luego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 la suspensión derive en el incremento del </w:t>
      </w:r>
      <w:r w:rsidR="006F57B6" w:rsidRPr="00680378">
        <w:rPr>
          <w:rFonts w:ascii="Arial" w:eastAsia="Times New Roman" w:hAnsi="Arial" w:cs="Arial"/>
          <w:sz w:val="20"/>
          <w:szCs w:val="20"/>
          <w:lang w:eastAsia="es-AR"/>
        </w:rPr>
        <w:t>riesgo de fractura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 </w:t>
      </w:r>
      <w:r w:rsidR="0086145A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El consenso </w:t>
      </w:r>
      <w:r w:rsidR="006F57B6" w:rsidRPr="00680378">
        <w:rPr>
          <w:rFonts w:ascii="Arial" w:eastAsia="Times New Roman" w:hAnsi="Arial" w:cs="Arial"/>
          <w:sz w:val="20"/>
          <w:szCs w:val="20"/>
          <w:lang w:eastAsia="es-AR"/>
        </w:rPr>
        <w:t>actual es que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6F57B6" w:rsidRPr="00680378">
        <w:rPr>
          <w:rFonts w:ascii="Arial" w:eastAsia="Times New Roman" w:hAnsi="Arial" w:cs="Arial"/>
          <w:sz w:val="20"/>
          <w:szCs w:val="20"/>
          <w:lang w:eastAsia="es-AR"/>
        </w:rPr>
        <w:t>el tratamiento requiere continuarse por un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mínimo de 5 años. En aquellos que persisten en alto riesgo (continúan en rango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lastRenderedPageBreak/>
        <w:t>osteoporotico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>, presencia de fracturas y otros factores de riesgo</w:t>
      </w:r>
      <w:r w:rsidR="0086145A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), se pueden </w:t>
      </w:r>
      <w:r w:rsidR="006F57B6" w:rsidRPr="00680378">
        <w:rPr>
          <w:rFonts w:ascii="Arial" w:eastAsia="Times New Roman" w:hAnsi="Arial" w:cs="Arial"/>
          <w:sz w:val="20"/>
          <w:szCs w:val="20"/>
          <w:lang w:eastAsia="es-AR"/>
        </w:rPr>
        <w:t>indicar periodos mayores</w:t>
      </w:r>
      <w:r w:rsidR="00E4751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a 5 años.</w:t>
      </w:r>
    </w:p>
    <w:p w14:paraId="03465C26" w14:textId="0F0DE46F" w:rsidR="009C7341" w:rsidRPr="00680378" w:rsidRDefault="009C7341" w:rsidP="00001B60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El concepto de “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Drug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Holiday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>” o “</w:t>
      </w:r>
      <w:r w:rsidR="0086145A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descanso </w:t>
      </w:r>
      <w:r w:rsidR="006F57B6" w:rsidRPr="00680378">
        <w:rPr>
          <w:rFonts w:ascii="Arial" w:eastAsia="Times New Roman" w:hAnsi="Arial" w:cs="Arial"/>
          <w:sz w:val="20"/>
          <w:szCs w:val="20"/>
          <w:lang w:eastAsia="es-AR"/>
        </w:rPr>
        <w:t>del medicamento” ha relucido dado que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gram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los 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bisfosfonatos</w:t>
      </w:r>
      <w:proofErr w:type="spellEnd"/>
      <w:proofErr w:type="gram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tienen  un  efecto  prolongado  pero  menguado  con  la  descontinuación posterior a su uso prolongado. El periodo de </w:t>
      </w:r>
      <w:r w:rsidR="0086145A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descanso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depende del tiempo de duración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de la terapia, del riesgo de fractura, pérdida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proofErr w:type="gram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densitométrica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de</w:t>
      </w:r>
      <w:proofErr w:type="gram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la  DMO,  variación  en  los marcadores de resorción ósea, la presencia de fracturas y la farmacocinética del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bisfosfonato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885787" w:rsidRPr="00680378">
        <w:rPr>
          <w:rFonts w:ascii="Arial" w:eastAsia="Times New Roman" w:hAnsi="Arial" w:cs="Arial"/>
          <w:sz w:val="20"/>
          <w:szCs w:val="20"/>
          <w:lang w:eastAsia="es-AR"/>
        </w:rPr>
        <w:t>u</w:t>
      </w:r>
      <w:r w:rsidR="0056434B" w:rsidRPr="00680378">
        <w:rPr>
          <w:rFonts w:ascii="Arial" w:eastAsia="Times New Roman" w:hAnsi="Arial" w:cs="Arial"/>
          <w:sz w:val="20"/>
          <w:szCs w:val="20"/>
          <w:lang w:eastAsia="es-AR"/>
        </w:rPr>
        <w:t>tilizado</w:t>
      </w:r>
      <w:r w:rsidR="00C64B3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El enfoque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de la duración de terapia con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proofErr w:type="gram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bisfosfonatos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y</w:t>
      </w:r>
      <w:proofErr w:type="gram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el  periodo  de  desc</w:t>
      </w:r>
      <w:r w:rsidR="00D7519D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anso  se </w:t>
      </w:r>
      <w:r w:rsidR="00C64B3E" w:rsidRPr="00680378">
        <w:rPr>
          <w:rFonts w:ascii="Arial" w:eastAsia="Times New Roman" w:hAnsi="Arial" w:cs="Arial"/>
          <w:sz w:val="20"/>
          <w:szCs w:val="20"/>
          <w:lang w:eastAsia="es-AR"/>
        </w:rPr>
        <w:t>presenta</w:t>
      </w:r>
      <w:r w:rsidR="00D7519D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en la tabla </w:t>
      </w:r>
      <w:r w:rsidR="001009D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No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4</w:t>
      </w:r>
      <w:r w:rsidR="0086145A" w:rsidRPr="00680378">
        <w:rPr>
          <w:rFonts w:ascii="Arial" w:eastAsia="Times New Roman" w:hAnsi="Arial" w:cs="Arial"/>
          <w:sz w:val="20"/>
          <w:szCs w:val="20"/>
          <w:vertAlign w:val="superscript"/>
          <w:lang w:eastAsia="es-AR"/>
        </w:rPr>
        <w:t xml:space="preserve"> </w:t>
      </w:r>
      <w:r w:rsidR="0086145A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(Adler RA., et al 2016) (Watts NB, </w:t>
      </w:r>
      <w:proofErr w:type="spellStart"/>
      <w:r w:rsidR="0086145A" w:rsidRPr="00680378">
        <w:rPr>
          <w:rFonts w:ascii="Arial" w:eastAsia="Times New Roman" w:hAnsi="Arial" w:cs="Arial"/>
          <w:sz w:val="20"/>
          <w:szCs w:val="20"/>
          <w:lang w:eastAsia="es-AR"/>
        </w:rPr>
        <w:t>Manson</w:t>
      </w:r>
      <w:proofErr w:type="spellEnd"/>
      <w:r w:rsidR="0086145A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JE, 2017).</w:t>
      </w:r>
    </w:p>
    <w:p w14:paraId="3887B3F3" w14:textId="34F9590A" w:rsidR="006769DC" w:rsidRPr="00680378" w:rsidRDefault="006769DC" w:rsidP="00001B60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268D4768" w14:textId="27BED40D" w:rsidR="006769DC" w:rsidRPr="00680378" w:rsidRDefault="006769DC" w:rsidP="006769DC">
      <w:pPr>
        <w:tabs>
          <w:tab w:val="left" w:pos="2941"/>
        </w:tabs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14F93501" w14:textId="64F6F2C3" w:rsidR="006769DC" w:rsidRPr="00680378" w:rsidRDefault="006769DC" w:rsidP="001009D8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  <w:r w:rsidRPr="00680378">
        <w:rPr>
          <w:rStyle w:val="Textoennegrita"/>
          <w:rFonts w:ascii="Arial" w:hAnsi="Arial" w:cs="Arial"/>
          <w:sz w:val="20"/>
          <w:szCs w:val="20"/>
        </w:rPr>
        <w:t xml:space="preserve">Tabla </w:t>
      </w:r>
      <w:r w:rsidR="001009D8" w:rsidRPr="00680378">
        <w:rPr>
          <w:rStyle w:val="Textoennegrita"/>
          <w:rFonts w:ascii="Arial" w:hAnsi="Arial" w:cs="Arial"/>
          <w:sz w:val="20"/>
          <w:szCs w:val="20"/>
        </w:rPr>
        <w:t xml:space="preserve">No </w:t>
      </w:r>
      <w:r w:rsidRPr="00680378">
        <w:rPr>
          <w:rStyle w:val="Textoennegrita"/>
          <w:rFonts w:ascii="Arial" w:hAnsi="Arial" w:cs="Arial"/>
          <w:sz w:val="20"/>
          <w:szCs w:val="20"/>
        </w:rPr>
        <w:t xml:space="preserve">4. Duración y suspensión de </w:t>
      </w:r>
      <w:proofErr w:type="spellStart"/>
      <w:r w:rsidRPr="00680378">
        <w:rPr>
          <w:rStyle w:val="Textoennegrita"/>
          <w:rFonts w:ascii="Arial" w:hAnsi="Arial" w:cs="Arial"/>
          <w:sz w:val="20"/>
          <w:szCs w:val="20"/>
        </w:rPr>
        <w:t>bisfosfonatos</w:t>
      </w:r>
      <w:proofErr w:type="spellEnd"/>
      <w:r w:rsidRPr="00680378">
        <w:rPr>
          <w:rStyle w:val="Textoennegrita"/>
          <w:rFonts w:ascii="Arial" w:hAnsi="Arial" w:cs="Arial"/>
          <w:sz w:val="20"/>
          <w:szCs w:val="20"/>
        </w:rPr>
        <w:t xml:space="preserve"> sugerida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3324"/>
      </w:tblGrid>
      <w:tr w:rsidR="00680378" w:rsidRPr="00680378" w14:paraId="04DE2F98" w14:textId="77777777" w:rsidTr="00EC4FAC">
        <w:trPr>
          <w:jc w:val="center"/>
        </w:trPr>
        <w:tc>
          <w:tcPr>
            <w:tcW w:w="2942" w:type="dxa"/>
          </w:tcPr>
          <w:p w14:paraId="37732122" w14:textId="62B2C465" w:rsidR="006769DC" w:rsidRPr="00680378" w:rsidRDefault="006769DC" w:rsidP="00EC4FAC">
            <w:pPr>
              <w:shd w:val="clear" w:color="auto" w:fill="FFFFFF"/>
              <w:spacing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  <w:t>Riesgo de fractura</w:t>
            </w:r>
          </w:p>
          <w:p w14:paraId="56CAF0EA" w14:textId="77777777" w:rsidR="006769DC" w:rsidRPr="00680378" w:rsidRDefault="006769DC" w:rsidP="00EC4FAC">
            <w:pPr>
              <w:shd w:val="clear" w:color="auto" w:fill="FFFFFF"/>
              <w:spacing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  <w:t>del paciente</w:t>
            </w:r>
          </w:p>
          <w:p w14:paraId="42891980" w14:textId="77777777" w:rsidR="006769DC" w:rsidRPr="00680378" w:rsidRDefault="006769DC" w:rsidP="00EC4FAC">
            <w:pPr>
              <w:shd w:val="clear" w:color="auto" w:fill="FFFFFF"/>
              <w:spacing w:line="276" w:lineRule="auto"/>
              <w:jc w:val="center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14:paraId="20A40AD5" w14:textId="7F25413C" w:rsidR="006769DC" w:rsidRPr="00680378" w:rsidRDefault="006769DC" w:rsidP="00EC4FAC">
            <w:pPr>
              <w:shd w:val="clear" w:color="auto" w:fill="FFFFFF"/>
              <w:spacing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  <w:t>Duración del</w:t>
            </w:r>
          </w:p>
          <w:p w14:paraId="50406438" w14:textId="77777777" w:rsidR="006769DC" w:rsidRPr="00680378" w:rsidRDefault="006769DC" w:rsidP="00EC4FAC">
            <w:pPr>
              <w:shd w:val="clear" w:color="auto" w:fill="FFFFFF"/>
              <w:spacing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  <w:t>tratamiento sugerido</w:t>
            </w:r>
          </w:p>
          <w:p w14:paraId="5151A630" w14:textId="77777777" w:rsidR="006769DC" w:rsidRPr="00680378" w:rsidRDefault="006769DC" w:rsidP="00EC4FAC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4" w:type="dxa"/>
          </w:tcPr>
          <w:p w14:paraId="44616437" w14:textId="5344A63D" w:rsidR="006769DC" w:rsidRPr="00680378" w:rsidRDefault="006769DC" w:rsidP="00EC4FAC">
            <w:pPr>
              <w:shd w:val="clear" w:color="auto" w:fill="FFFFFF"/>
              <w:spacing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  <w:t>Duración del periodo</w:t>
            </w:r>
          </w:p>
          <w:p w14:paraId="674E7795" w14:textId="77777777" w:rsidR="006769DC" w:rsidRPr="00680378" w:rsidRDefault="006769DC" w:rsidP="00EC4FAC">
            <w:pPr>
              <w:shd w:val="clear" w:color="auto" w:fill="FFFFFF"/>
              <w:spacing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b/>
                <w:sz w:val="20"/>
                <w:szCs w:val="20"/>
                <w:lang w:eastAsia="es-AR"/>
              </w:rPr>
              <w:t>de descanso sugerido</w:t>
            </w:r>
          </w:p>
          <w:p w14:paraId="484E74A8" w14:textId="77777777" w:rsidR="006769DC" w:rsidRPr="00680378" w:rsidRDefault="006769DC" w:rsidP="00EC4FAC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</w:tr>
      <w:tr w:rsidR="00680378" w:rsidRPr="00680378" w14:paraId="59537002" w14:textId="77777777" w:rsidTr="00EC4FAC">
        <w:trPr>
          <w:jc w:val="center"/>
        </w:trPr>
        <w:tc>
          <w:tcPr>
            <w:tcW w:w="2942" w:type="dxa"/>
          </w:tcPr>
          <w:p w14:paraId="5AD49689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Bajo</w:t>
            </w:r>
          </w:p>
          <w:p w14:paraId="289FE814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14:paraId="199706BC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Tratamiento raramente </w:t>
            </w:r>
          </w:p>
          <w:p w14:paraId="51EA0801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indicado</w:t>
            </w:r>
          </w:p>
          <w:p w14:paraId="1A41E090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4" w:type="dxa"/>
          </w:tcPr>
          <w:p w14:paraId="6C50B1C0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No aplica</w:t>
            </w:r>
          </w:p>
          <w:p w14:paraId="6EC010DA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</w:tr>
      <w:tr w:rsidR="00680378" w:rsidRPr="00680378" w14:paraId="6016C6CD" w14:textId="77777777" w:rsidTr="00EC4FAC">
        <w:trPr>
          <w:jc w:val="center"/>
        </w:trPr>
        <w:tc>
          <w:tcPr>
            <w:tcW w:w="2942" w:type="dxa"/>
          </w:tcPr>
          <w:p w14:paraId="70FCDD75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Levemente </w:t>
            </w:r>
          </w:p>
          <w:p w14:paraId="2FC8BE73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incrementado</w:t>
            </w:r>
          </w:p>
          <w:p w14:paraId="433F1FD0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14:paraId="67B446D3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Tratar aproximadamente </w:t>
            </w:r>
          </w:p>
          <w:p w14:paraId="0A0E0BCF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por 3 años (BF de uso IV) o 5 años (oral)</w:t>
            </w:r>
          </w:p>
          <w:p w14:paraId="57E7C10A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4" w:type="dxa"/>
          </w:tcPr>
          <w:p w14:paraId="70E5895A" w14:textId="6097D5F5" w:rsidR="006769DC" w:rsidRPr="00680378" w:rsidRDefault="00CD0CB8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Suspender </w:t>
            </w:r>
            <w:proofErr w:type="spellStart"/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bisfosfonato</w:t>
            </w:r>
            <w:proofErr w:type="spellEnd"/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hasta que la DMO</w:t>
            </w:r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</w:t>
            </w:r>
          </w:p>
          <w:p w14:paraId="30D3310A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disminuya significativamente o haya fractura</w:t>
            </w:r>
          </w:p>
          <w:p w14:paraId="310D237A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</w:tr>
      <w:tr w:rsidR="00680378" w:rsidRPr="00680378" w14:paraId="7C5DE887" w14:textId="77777777" w:rsidTr="00EC4FAC">
        <w:trPr>
          <w:jc w:val="center"/>
        </w:trPr>
        <w:tc>
          <w:tcPr>
            <w:tcW w:w="2942" w:type="dxa"/>
          </w:tcPr>
          <w:p w14:paraId="64D58B40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Moderadamente</w:t>
            </w:r>
          </w:p>
          <w:p w14:paraId="6F4BFBDA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incrementado</w:t>
            </w:r>
          </w:p>
          <w:p w14:paraId="5109BFB9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14:paraId="7E0CFAD7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Tratar por 5-10 años</w:t>
            </w:r>
          </w:p>
          <w:p w14:paraId="52FFF3C1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4" w:type="dxa"/>
          </w:tcPr>
          <w:p w14:paraId="40371173" w14:textId="3FF73818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Suspender </w:t>
            </w:r>
            <w:proofErr w:type="spellStart"/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bisfosfonato</w:t>
            </w:r>
            <w:proofErr w:type="spellEnd"/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por 2-3 años (o </w:t>
            </w:r>
            <w:r w:rsidR="00CD0CB8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menos si disminuye la DMO o si ocurre una</w:t>
            </w: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</w:t>
            </w:r>
          </w:p>
          <w:p w14:paraId="1BA5368E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fractura)</w:t>
            </w:r>
          </w:p>
          <w:p w14:paraId="2C2AADE5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</w:tr>
      <w:tr w:rsidR="006769DC" w:rsidRPr="00680378" w14:paraId="72830C8B" w14:textId="77777777" w:rsidTr="00EC4FAC">
        <w:trPr>
          <w:jc w:val="center"/>
        </w:trPr>
        <w:tc>
          <w:tcPr>
            <w:tcW w:w="2942" w:type="dxa"/>
          </w:tcPr>
          <w:p w14:paraId="39AE880B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Alto</w:t>
            </w:r>
          </w:p>
          <w:p w14:paraId="77A5D15B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14:paraId="2F5D7537" w14:textId="77777777" w:rsidR="006769DC" w:rsidRPr="00680378" w:rsidRDefault="006769DC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Tratar por 10 años</w:t>
            </w:r>
          </w:p>
          <w:p w14:paraId="2F667AD9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4" w:type="dxa"/>
          </w:tcPr>
          <w:p w14:paraId="0983B5B2" w14:textId="3A54D8D7" w:rsidR="006769DC" w:rsidRPr="00680378" w:rsidRDefault="00CD0CB8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Suspender por 1</w:t>
            </w:r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-</w:t>
            </w:r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 años (o menos si disminuye</w:t>
            </w:r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DMO </w:t>
            </w:r>
            <w:proofErr w:type="spellStart"/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o</w:t>
            </w:r>
            <w:proofErr w:type="spellEnd"/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ocurre una fractura); un tratamiento alterno (ej.: </w:t>
            </w:r>
            <w:proofErr w:type="spellStart"/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raloxifeno</w:t>
            </w:r>
            <w:proofErr w:type="spellEnd"/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o </w:t>
            </w:r>
          </w:p>
          <w:p w14:paraId="1CDE1F7E" w14:textId="3405BB86" w:rsidR="006769DC" w:rsidRPr="00680378" w:rsidRDefault="00CD0CB8" w:rsidP="0086145A">
            <w:pPr>
              <w:shd w:val="clear" w:color="auto" w:fill="FFFFFF"/>
              <w:spacing w:line="276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teriparatide</w:t>
            </w:r>
            <w:proofErr w:type="spellEnd"/>
            <w:r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) puede darse durante el periodo</w:t>
            </w:r>
            <w:r w:rsidR="006769DC" w:rsidRPr="00680378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descanso</w:t>
            </w:r>
          </w:p>
          <w:p w14:paraId="106AF699" w14:textId="77777777" w:rsidR="006769DC" w:rsidRPr="00680378" w:rsidRDefault="006769DC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</w:tr>
    </w:tbl>
    <w:p w14:paraId="28851CD8" w14:textId="77777777" w:rsidR="006769DC" w:rsidRPr="00680378" w:rsidRDefault="006769DC" w:rsidP="006769DC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15B05720" w14:textId="77777777" w:rsidR="006769DC" w:rsidRPr="00680378" w:rsidRDefault="006769DC" w:rsidP="006769DC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5CD99A17" w14:textId="77777777" w:rsidR="006769DC" w:rsidRPr="00680378" w:rsidRDefault="006769DC" w:rsidP="00001B60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3D49D195" w14:textId="77777777" w:rsidR="00E661D4" w:rsidRPr="00680378" w:rsidRDefault="00E661D4" w:rsidP="00001B60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53FA0850" w14:textId="201C7129" w:rsidR="009C7341" w:rsidRPr="00CD0CB8" w:rsidRDefault="00CD0CB8" w:rsidP="00CD0CB8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  <w:lang w:eastAsia="es-AR"/>
        </w:rPr>
      </w:pPr>
      <w:r>
        <w:rPr>
          <w:rFonts w:ascii="Arial" w:eastAsia="Times New Roman" w:hAnsi="Arial" w:cs="Arial"/>
          <w:b/>
          <w:sz w:val="20"/>
          <w:szCs w:val="20"/>
          <w:lang w:eastAsia="es-AR"/>
        </w:rPr>
        <w:t>E</w:t>
      </w:r>
      <w:r w:rsidR="00E85009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 xml:space="preserve">lección del </w:t>
      </w:r>
      <w:proofErr w:type="spellStart"/>
      <w:r w:rsidR="00E85009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bifo</w:t>
      </w:r>
      <w:r w:rsidR="001009D8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sfonato</w:t>
      </w:r>
      <w:proofErr w:type="spellEnd"/>
    </w:p>
    <w:p w14:paraId="45072271" w14:textId="77777777" w:rsidR="001009D8" w:rsidRPr="00680378" w:rsidRDefault="001009D8" w:rsidP="001009D8">
      <w:pPr>
        <w:pStyle w:val="Prrafodelista"/>
        <w:shd w:val="clear" w:color="auto" w:fill="FFFFFF"/>
        <w:spacing w:line="276" w:lineRule="auto"/>
        <w:ind w:left="360"/>
        <w:jc w:val="both"/>
        <w:rPr>
          <w:rFonts w:ascii="Arial" w:eastAsia="Times New Roman" w:hAnsi="Arial" w:cs="Arial"/>
          <w:b/>
          <w:sz w:val="20"/>
          <w:szCs w:val="20"/>
          <w:lang w:eastAsia="es-AR"/>
        </w:rPr>
      </w:pPr>
    </w:p>
    <w:p w14:paraId="42C07C64" w14:textId="220F1318" w:rsidR="00E661D4" w:rsidRPr="00680378" w:rsidRDefault="00E4751E" w:rsidP="00001B60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La </w:t>
      </w:r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e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lección</w:t>
      </w:r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del  </w:t>
      </w:r>
      <w:proofErr w:type="spellStart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bisfosfonato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se  debe  realizar de acuerdo a la evidencia de su capacidad de  evitar  fracturas  vertebrales  (</w:t>
      </w:r>
      <w:proofErr w:type="spellStart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alendronato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</w:t>
      </w:r>
      <w:proofErr w:type="spellStart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ibandronato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 </w:t>
      </w:r>
      <w:proofErr w:type="spellStart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risedronato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á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cido </w:t>
      </w:r>
      <w:proofErr w:type="spellStart"/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zoled</w:t>
      </w:r>
      <w:r w:rsidR="00C64B3E" w:rsidRPr="00680378">
        <w:rPr>
          <w:rFonts w:ascii="Arial" w:eastAsia="Times New Roman" w:hAnsi="Arial" w:cs="Arial"/>
          <w:sz w:val="20"/>
          <w:szCs w:val="20"/>
          <w:lang w:eastAsia="es-AR"/>
        </w:rPr>
        <w:t>ró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nic</w:t>
      </w:r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)  y  no vertebrales  (</w:t>
      </w:r>
      <w:proofErr w:type="spellStart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alendronato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 </w:t>
      </w:r>
      <w:proofErr w:type="spellStart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risedronato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á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cido </w:t>
      </w:r>
      <w:proofErr w:type="spellStart"/>
      <w:r w:rsidR="00C64B3E" w:rsidRPr="00680378">
        <w:rPr>
          <w:rFonts w:ascii="Arial" w:eastAsia="Times New Roman" w:hAnsi="Arial" w:cs="Arial"/>
          <w:sz w:val="20"/>
          <w:szCs w:val="20"/>
          <w:lang w:eastAsia="es-AR"/>
        </w:rPr>
        <w:t>zoledrónico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), la rapidez con la que se desea evitar este efecto (</w:t>
      </w:r>
      <w:proofErr w:type="spellStart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>risedronato</w:t>
      </w:r>
      <w:proofErr w:type="spellEnd"/>
      <w:r w:rsidR="009C734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á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cido </w:t>
      </w:r>
      <w:proofErr w:type="spellStart"/>
      <w:r w:rsidR="00C64B3E" w:rsidRPr="00680378">
        <w:rPr>
          <w:rFonts w:ascii="Arial" w:eastAsia="Times New Roman" w:hAnsi="Arial" w:cs="Arial"/>
          <w:sz w:val="20"/>
          <w:szCs w:val="20"/>
          <w:lang w:eastAsia="es-AR"/>
        </w:rPr>
        <w:t>zoledrónico</w:t>
      </w:r>
      <w:proofErr w:type="spellEnd"/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: las fracturas se reducen a los 6-12 meses de inicio de la terapia) ya qu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e</w:t>
      </w:r>
      <w:r w:rsidR="00885787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particularmente las fracturas 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vertebrales, una vez ocurridas, existe un riesgo del 20% de desarrollar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otra en los próximos 12 meses</w:t>
      </w:r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; también de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las comorbilidades y las 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preferencias del paciente frente a la comodidad posológica (</w:t>
      </w:r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orales: semanal,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alendronato</w:t>
      </w:r>
      <w:proofErr w:type="spellEnd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 </w:t>
      </w:r>
      <w:proofErr w:type="spellStart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risedronato</w:t>
      </w:r>
      <w:proofErr w:type="spellEnd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, mensual,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r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isedronato</w:t>
      </w:r>
      <w:proofErr w:type="spellEnd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e </w:t>
      </w:r>
      <w:proofErr w:type="spellStart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ibandronato</w:t>
      </w:r>
      <w:proofErr w:type="spellEnd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, trimestral,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ibandro</w:t>
      </w:r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nato</w:t>
      </w:r>
      <w:proofErr w:type="spellEnd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 anual,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á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cido </w:t>
      </w:r>
      <w:proofErr w:type="spellStart"/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zoledrónico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>)</w:t>
      </w:r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C47E8D" w:rsidRPr="00680378">
        <w:rPr>
          <w:rFonts w:ascii="Arial" w:eastAsia="Times New Roman" w:hAnsi="Arial" w:cs="Arial"/>
          <w:sz w:val="20"/>
          <w:szCs w:val="20"/>
          <w:lang w:eastAsia="es-AR"/>
        </w:rPr>
        <w:t>Se debe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en </w:t>
      </w:r>
      <w:r w:rsidR="00E661D4" w:rsidRPr="00680378">
        <w:rPr>
          <w:rFonts w:ascii="Arial" w:eastAsia="Times New Roman" w:hAnsi="Arial" w:cs="Arial"/>
          <w:sz w:val="20"/>
          <w:szCs w:val="20"/>
          <w:lang w:eastAsia="es-AR"/>
        </w:rPr>
        <w:t>cuenta además el costo y la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adherencia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(Adler RA., et al 2016) (Watts NB, </w:t>
      </w:r>
      <w:proofErr w:type="spellStart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Manson</w:t>
      </w:r>
      <w:proofErr w:type="spellEnd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JE, 2017).</w:t>
      </w:r>
    </w:p>
    <w:p w14:paraId="6D70CE89" w14:textId="77777777" w:rsidR="009C7341" w:rsidRPr="00680378" w:rsidRDefault="009C7341" w:rsidP="006F4351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eastAsia="es-AR"/>
        </w:rPr>
      </w:pPr>
    </w:p>
    <w:p w14:paraId="1BB03F2E" w14:textId="28580B67" w:rsidR="00D64731" w:rsidRPr="00CD0CB8" w:rsidRDefault="00D64731" w:rsidP="00CD0CB8">
      <w:pPr>
        <w:pStyle w:val="Prrafodelista"/>
        <w:numPr>
          <w:ilvl w:val="1"/>
          <w:numId w:val="24"/>
        </w:num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lang w:eastAsia="es-AR"/>
        </w:rPr>
      </w:pPr>
      <w:proofErr w:type="spellStart"/>
      <w:r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Denosumab</w:t>
      </w:r>
      <w:proofErr w:type="spellEnd"/>
      <w:r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 xml:space="preserve"> </w:t>
      </w:r>
    </w:p>
    <w:p w14:paraId="376A2951" w14:textId="356FF78D" w:rsidR="00150305" w:rsidRPr="00680378" w:rsidRDefault="00E4751E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Es 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un anticuerpo monoclonal </w:t>
      </w:r>
      <w:r w:rsidR="00D6473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humanizado dirigido contra el RANK-L, este último desempeña un papel fundamental en la </w:t>
      </w:r>
      <w:proofErr w:type="spellStart"/>
      <w:r w:rsidR="00D64731" w:rsidRPr="00680378">
        <w:rPr>
          <w:rFonts w:ascii="Arial" w:eastAsia="Times New Roman" w:hAnsi="Arial" w:cs="Arial"/>
          <w:sz w:val="20"/>
          <w:szCs w:val="20"/>
          <w:lang w:eastAsia="es-AR"/>
        </w:rPr>
        <w:t>osteoclastogénesis</w:t>
      </w:r>
      <w:proofErr w:type="spellEnd"/>
      <w:r w:rsidR="00D6473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</w:t>
      </w:r>
      <w:r w:rsidR="00885787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Ha sido aprobado por</w:t>
      </w:r>
      <w:r w:rsidR="0015030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la FDA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para el</w:t>
      </w:r>
      <w:r w:rsidR="0015030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tratamiento de la OP postmenop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á</w:t>
      </w:r>
      <w:r w:rsidR="00150305" w:rsidRPr="00680378">
        <w:rPr>
          <w:rFonts w:ascii="Arial" w:eastAsia="Times New Roman" w:hAnsi="Arial" w:cs="Arial"/>
          <w:sz w:val="20"/>
          <w:szCs w:val="20"/>
          <w:lang w:eastAsia="es-AR"/>
        </w:rPr>
        <w:t>us</w:t>
      </w:r>
      <w:r w:rsidR="00885787" w:rsidRPr="00680378">
        <w:rPr>
          <w:rFonts w:ascii="Arial" w:eastAsia="Times New Roman" w:hAnsi="Arial" w:cs="Arial"/>
          <w:sz w:val="20"/>
          <w:szCs w:val="20"/>
          <w:lang w:eastAsia="es-AR"/>
        </w:rPr>
        <w:t>ica con alto riesgo de fractura</w:t>
      </w:r>
      <w:r w:rsidR="0015030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a una dosis de </w:t>
      </w:r>
      <w:r w:rsidR="00150305" w:rsidRPr="00680378">
        <w:rPr>
          <w:rFonts w:ascii="Arial" w:eastAsia="Times New Roman" w:hAnsi="Arial" w:cs="Arial"/>
          <w:sz w:val="20"/>
          <w:szCs w:val="20"/>
          <w:lang w:eastAsia="es-AR"/>
        </w:rPr>
        <w:t>60 mg subcu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táneo</w:t>
      </w:r>
      <w:r w:rsidR="0015030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cada 6 meses.</w:t>
      </w:r>
    </w:p>
    <w:p w14:paraId="7EBFD61F" w14:textId="38B4FCE7" w:rsidR="00D64731" w:rsidRPr="00680378" w:rsidRDefault="00150305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Reduce las </w:t>
      </w:r>
      <w:r w:rsidR="000326D7" w:rsidRPr="00680378">
        <w:rPr>
          <w:rFonts w:ascii="Arial" w:eastAsia="Times New Roman" w:hAnsi="Arial" w:cs="Arial"/>
          <w:sz w:val="20"/>
          <w:szCs w:val="20"/>
          <w:lang w:eastAsia="es-AR"/>
        </w:rPr>
        <w:t>fracturas vertebrales en un 68%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, las fracturas de cadera en un 40%</w:t>
      </w:r>
      <w:r w:rsidR="00885787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 las no vertebrales en un 20%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(estudio FREEDOM</w:t>
      </w:r>
      <w:r w:rsidR="001311F3" w:rsidRPr="00680378">
        <w:rPr>
          <w:rFonts w:ascii="Arial" w:hAnsi="Arial"/>
          <w:sz w:val="20"/>
          <w:szCs w:val="20"/>
        </w:rPr>
        <w:t xml:space="preserve"> </w:t>
      </w:r>
      <w:r w:rsidR="001311F3" w:rsidRPr="00680378">
        <w:rPr>
          <w:rFonts w:ascii="Arial" w:hAnsi="Arial" w:cs="Arial"/>
          <w:sz w:val="20"/>
          <w:szCs w:val="20"/>
        </w:rPr>
        <w:t xml:space="preserve">Fracture </w:t>
      </w:r>
      <w:proofErr w:type="spellStart"/>
      <w:r w:rsidR="001311F3" w:rsidRPr="00680378">
        <w:rPr>
          <w:rFonts w:ascii="Arial" w:hAnsi="Arial" w:cs="Arial"/>
          <w:sz w:val="20"/>
          <w:szCs w:val="20"/>
        </w:rPr>
        <w:t>REduction</w:t>
      </w:r>
      <w:proofErr w:type="spellEnd"/>
      <w:r w:rsidR="001311F3" w:rsidRPr="0068037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1311F3" w:rsidRPr="00680378">
        <w:rPr>
          <w:rFonts w:ascii="Arial" w:hAnsi="Arial" w:cs="Arial"/>
          <w:sz w:val="20"/>
          <w:szCs w:val="20"/>
        </w:rPr>
        <w:t>Evaluation</w:t>
      </w:r>
      <w:proofErr w:type="spellEnd"/>
      <w:r w:rsidR="001311F3" w:rsidRPr="00680378">
        <w:rPr>
          <w:rFonts w:ascii="Arial" w:hAnsi="Arial" w:cs="Arial"/>
          <w:sz w:val="20"/>
          <w:szCs w:val="20"/>
        </w:rPr>
        <w:t xml:space="preserve"> of </w:t>
      </w:r>
      <w:proofErr w:type="spellStart"/>
      <w:r w:rsidR="001311F3" w:rsidRPr="00680378">
        <w:rPr>
          <w:rFonts w:ascii="Arial" w:hAnsi="Arial" w:cs="Arial"/>
          <w:sz w:val="20"/>
          <w:szCs w:val="20"/>
        </w:rPr>
        <w:t>Denosumab</w:t>
      </w:r>
      <w:proofErr w:type="spellEnd"/>
      <w:r w:rsidR="001311F3" w:rsidRPr="00680378">
        <w:rPr>
          <w:rFonts w:ascii="Arial" w:hAnsi="Arial" w:cs="Arial"/>
          <w:sz w:val="20"/>
          <w:szCs w:val="20"/>
        </w:rPr>
        <w:t xml:space="preserve"> in Osteoporosis </w:t>
      </w:r>
      <w:proofErr w:type="spellStart"/>
      <w:r w:rsidR="001311F3" w:rsidRPr="00680378">
        <w:rPr>
          <w:rFonts w:ascii="Arial" w:hAnsi="Arial" w:cs="Arial"/>
          <w:sz w:val="20"/>
          <w:szCs w:val="20"/>
        </w:rPr>
        <w:t>every</w:t>
      </w:r>
      <w:proofErr w:type="spellEnd"/>
      <w:r w:rsidR="001311F3" w:rsidRPr="00680378">
        <w:rPr>
          <w:rFonts w:ascii="Arial" w:hAnsi="Arial" w:cs="Arial"/>
          <w:sz w:val="20"/>
          <w:szCs w:val="20"/>
        </w:rPr>
        <w:t xml:space="preserve"> 6 </w:t>
      </w:r>
      <w:proofErr w:type="spellStart"/>
      <w:r w:rsidR="001311F3" w:rsidRPr="00680378">
        <w:rPr>
          <w:rFonts w:ascii="Arial" w:hAnsi="Arial" w:cs="Arial"/>
          <w:sz w:val="20"/>
          <w:szCs w:val="20"/>
        </w:rPr>
        <w:t>months</w:t>
      </w:r>
      <w:proofErr w:type="spellEnd"/>
      <w:r w:rsidR="001311F3" w:rsidRPr="00680378">
        <w:rPr>
          <w:rFonts w:ascii="Arial" w:hAnsi="Arial" w:cs="Arial"/>
          <w:sz w:val="20"/>
          <w:szCs w:val="20"/>
        </w:rPr>
        <w:t>)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</w:p>
    <w:p w14:paraId="60B665FA" w14:textId="0DABBDD2" w:rsidR="00D64731" w:rsidRPr="00680378" w:rsidRDefault="00951208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Luego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de su aplicación, suprime de una</w:t>
      </w:r>
      <w:r w:rsidR="00D6473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manera dosis dependiente los marcadores de</w:t>
      </w:r>
      <w:r w:rsidR="00D6473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resorción ósea en un 81% hasta por 6 meses,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posterior a su aplicación; por </w:t>
      </w:r>
      <w:proofErr w:type="spellStart"/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histomorfometria</w:t>
      </w:r>
      <w:proofErr w:type="spellEnd"/>
      <w:r w:rsidR="00D6473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ósea se encontró ausencia de osteoclastos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en más del 50% de muestras de las biopsias</w:t>
      </w:r>
      <w:r w:rsidR="00885787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óseas; ausencia de </w:t>
      </w:r>
      <w:r w:rsidR="00D64731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formación ósea, en tan solo 19% de los pacientes en comparación con 94% de los pacientes del grupo placebo. </w:t>
      </w:r>
    </w:p>
    <w:p w14:paraId="50730614" w14:textId="300E35DB" w:rsidR="00D64731" w:rsidRPr="00680378" w:rsidRDefault="00EE6A3F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El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denosumab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puede causar hipocalcemia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, y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E4751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si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está</w:t>
      </w:r>
      <w:r w:rsidR="00E4751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presente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,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debe corregirse antes de su administración. 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Puede ser utilizado en pacientes con función renal comprometida.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Incrementa el riesgo de infecciones en piel tales como la celulitis. Ha</w:t>
      </w:r>
      <w:r w:rsidR="00164C58">
        <w:rPr>
          <w:rFonts w:ascii="Arial" w:eastAsia="Times New Roman" w:hAnsi="Arial" w:cs="Arial"/>
          <w:sz w:val="20"/>
          <w:szCs w:val="20"/>
          <w:lang w:eastAsia="es-AR"/>
        </w:rPr>
        <w:t xml:space="preserve"> sido asociado raramente con </w:t>
      </w:r>
      <w:r w:rsidR="002C3A6C">
        <w:rPr>
          <w:rFonts w:ascii="Arial" w:eastAsia="Times New Roman" w:hAnsi="Arial" w:cs="Arial"/>
          <w:sz w:val="20"/>
          <w:szCs w:val="20"/>
          <w:lang w:eastAsia="es-AR"/>
        </w:rPr>
        <w:t>o</w:t>
      </w:r>
      <w:r w:rsidR="00164C58">
        <w:rPr>
          <w:rFonts w:ascii="Arial" w:eastAsia="Times New Roman" w:hAnsi="Arial" w:cs="Arial"/>
          <w:sz w:val="20"/>
          <w:szCs w:val="20"/>
          <w:lang w:eastAsia="es-AR"/>
        </w:rPr>
        <w:t>steonecrosis mandibular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ya sea para OP o pacientes con c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á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nce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>r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También ha sido 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asociado raramente con fractura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atípica de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fémur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</w:t>
      </w:r>
    </w:p>
    <w:p w14:paraId="17A77FB0" w14:textId="011D508B" w:rsidR="00951208" w:rsidRPr="00680378" w:rsidRDefault="00EE6A3F" w:rsidP="00951208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Cuando el tratamiento es suspendido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,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puede 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disminuir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rápidamente 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la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DMO, aumentan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los marcadores 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ó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seos 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y en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algunos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casos se incrementa el riesgo de fractura vertebral, 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por lo que no es recomendado 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el uso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vacacion</w:t>
      </w:r>
      <w:r w:rsidR="001D0B3E" w:rsidRPr="00680378">
        <w:rPr>
          <w:rFonts w:ascii="Arial" w:eastAsia="Times New Roman" w:hAnsi="Arial" w:cs="Arial"/>
          <w:sz w:val="20"/>
          <w:szCs w:val="20"/>
          <w:lang w:eastAsia="es-AR"/>
        </w:rPr>
        <w:t>es con este agente,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 </w:t>
      </w:r>
      <w:r w:rsidR="00E4751E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se deben </w:t>
      </w:r>
      <w:r w:rsidR="00F8338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utilizar </w:t>
      </w:r>
      <w:r w:rsidR="001311F3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agentes alternativos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como mantenimiento. (</w:t>
      </w:r>
      <w:proofErr w:type="spellStart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Rachner</w:t>
      </w:r>
      <w:proofErr w:type="spellEnd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TD, et al, 2011) (</w:t>
      </w:r>
      <w:proofErr w:type="spellStart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Zaheer</w:t>
      </w:r>
      <w:proofErr w:type="spellEnd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S., et al 2015).</w:t>
      </w:r>
    </w:p>
    <w:p w14:paraId="5CAC071D" w14:textId="3FA0D210" w:rsidR="00D64731" w:rsidRPr="00680378" w:rsidRDefault="00951208" w:rsidP="00951208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</w:p>
    <w:p w14:paraId="7EC423DA" w14:textId="77777777" w:rsidR="005B0232" w:rsidRPr="00CD0CB8" w:rsidRDefault="005B0232" w:rsidP="006F4351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eastAsia="es-AR"/>
        </w:rPr>
      </w:pPr>
    </w:p>
    <w:p w14:paraId="34B23764" w14:textId="3D0B743D" w:rsidR="006664BA" w:rsidRPr="00CD0CB8" w:rsidRDefault="00CD0CB8" w:rsidP="006F4351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lang w:eastAsia="es-AR"/>
        </w:rPr>
      </w:pPr>
      <w:r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 xml:space="preserve">7.3 </w:t>
      </w:r>
      <w:r w:rsidR="005B0232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 xml:space="preserve">Hormona </w:t>
      </w:r>
      <w:proofErr w:type="spellStart"/>
      <w:r w:rsidR="005B0232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paratirodidea</w:t>
      </w:r>
      <w:proofErr w:type="spellEnd"/>
      <w:r w:rsidR="005B0232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 xml:space="preserve">: </w:t>
      </w:r>
      <w:proofErr w:type="spellStart"/>
      <w:r w:rsidR="005B0232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Teriparatide</w:t>
      </w:r>
      <w:proofErr w:type="spellEnd"/>
      <w:r w:rsidR="005B0232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 xml:space="preserve">: </w:t>
      </w:r>
    </w:p>
    <w:p w14:paraId="3403B705" w14:textId="77777777" w:rsidR="005B0232" w:rsidRPr="00680378" w:rsidRDefault="005B0232" w:rsidP="006F4351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0E572ACC" w14:textId="2DF2DDC4" w:rsidR="005B0232" w:rsidRPr="00680378" w:rsidRDefault="005B0232" w:rsidP="006769DC">
      <w:pPr>
        <w:shd w:val="clear" w:color="auto" w:fill="FFFFFF"/>
        <w:spacing w:line="276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El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teriparatide</w:t>
      </w:r>
      <w:proofErr w:type="spellEnd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(1-34 </w:t>
      </w:r>
      <w:proofErr w:type="spellStart"/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aminoacidos</w:t>
      </w:r>
      <w:proofErr w:type="spellEnd"/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) es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un compuesto sintetizado en forma recombinante que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está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aprobado por la FDA para el tratamiento de la OP en mujeres y hombres con alto riesgo de fractura. Reduce el riesgo de fracturas vertebrales en un 65% y </w:t>
      </w:r>
      <w:proofErr w:type="gram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la fracturas no vertebrales</w:t>
      </w:r>
      <w:proofErr w:type="gram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en el 53% en pacientes con OP luego de 18 meses de tratamiento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091E9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Se utilizan 20 </w:t>
      </w:r>
      <w:proofErr w:type="spellStart"/>
      <w:r w:rsidR="00091E9C" w:rsidRPr="00680378">
        <w:rPr>
          <w:rFonts w:ascii="Arial" w:eastAsia="Times New Roman" w:hAnsi="Arial" w:cs="Arial"/>
          <w:sz w:val="20"/>
          <w:szCs w:val="20"/>
          <w:lang w:eastAsia="es-AR"/>
        </w:rPr>
        <w:t>mc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>g</w:t>
      </w:r>
      <w:proofErr w:type="spellEnd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/</w:t>
      </w:r>
      <w:proofErr w:type="spellStart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>dia</w:t>
      </w:r>
      <w:proofErr w:type="spellEnd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subcutánea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</w:p>
    <w:p w14:paraId="5A34C406" w14:textId="55967058" w:rsidR="00F368E6" w:rsidRPr="00680378" w:rsidRDefault="005B0232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Los  mecanismos  de  acción  no  son  completamente entendidos,  pero  parecería  que  suministrada de forma intermitente y no continua, su  efecto  es  </w:t>
      </w:r>
      <w:proofErr w:type="spellStart"/>
      <w:r w:rsidR="00BC217C" w:rsidRPr="00680378">
        <w:rPr>
          <w:rFonts w:ascii="Arial" w:eastAsia="Times New Roman" w:hAnsi="Arial" w:cs="Arial"/>
          <w:sz w:val="20"/>
          <w:szCs w:val="20"/>
          <w:lang w:eastAsia="es-AR"/>
        </w:rPr>
        <w:t>osteo</w:t>
      </w:r>
      <w:proofErr w:type="spellEnd"/>
      <w:r w:rsidR="00BC217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formador,  a  través  de  la  generación de sustancias que estimulan el osteoblasto  para  la  formación  ósea  como  la  IGF-1,  las proteínas 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morfogenéticas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y  la 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Wnt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estimulando la aposición de hueso nuevo en las superficies  óseas  trabecular  y  cortical  (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endóstica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y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perióstica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) por estimulación preferencial de la actividad 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osteoblástica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sobre  la  activ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idad  </w:t>
      </w:r>
      <w:proofErr w:type="spellStart"/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>osteoclástica</w:t>
      </w:r>
      <w:proofErr w:type="spellEnd"/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</w:p>
    <w:p w14:paraId="3550F777" w14:textId="6E497E04" w:rsidR="005B0232" w:rsidRPr="00680378" w:rsidRDefault="00CD0CB8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Como monoterapia, su duración es por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>2 años</w:t>
      </w:r>
      <w:r w:rsidR="00BC217C" w:rsidRPr="00680378">
        <w:rPr>
          <w:rFonts w:ascii="Arial" w:eastAsia="Times New Roman" w:hAnsi="Arial" w:cs="Arial"/>
          <w:sz w:val="20"/>
          <w:szCs w:val="20"/>
          <w:lang w:eastAsia="es-AR"/>
        </w:rPr>
        <w:t>;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después de este periodo puede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considerarse tratamiento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antiresortivo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como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terapia de</w:t>
      </w:r>
      <w:r w:rsidR="00BC217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mantenimiento. </w:t>
      </w:r>
      <w:r w:rsidR="0095120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(Camacho P., et al, 2016) (</w:t>
      </w:r>
      <w:proofErr w:type="spellStart"/>
      <w:r w:rsidR="0095120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>Cosman</w:t>
      </w:r>
      <w:proofErr w:type="spellEnd"/>
      <w:r w:rsidR="00951208" w:rsidRPr="00680378">
        <w:rPr>
          <w:rStyle w:val="Textoennegrita"/>
          <w:rFonts w:ascii="Arial" w:hAnsi="Arial" w:cs="Arial"/>
          <w:b w:val="0"/>
          <w:sz w:val="20"/>
          <w:szCs w:val="20"/>
          <w:lang w:eastAsia="es-AR"/>
        </w:rPr>
        <w:t xml:space="preserve"> F., et al 2014) (</w:t>
      </w:r>
      <w:r w:rsidR="00951208" w:rsidRPr="00680378">
        <w:rPr>
          <w:rFonts w:ascii="Arial" w:hAnsi="Arial" w:cs="Arial"/>
          <w:sz w:val="20"/>
          <w:szCs w:val="20"/>
          <w:lang w:val="es-CO"/>
        </w:rPr>
        <w:t xml:space="preserve">Watts NB., </w:t>
      </w:r>
      <w:proofErr w:type="spellStart"/>
      <w:r w:rsidR="00951208" w:rsidRPr="00680378">
        <w:rPr>
          <w:rFonts w:ascii="Arial" w:hAnsi="Arial" w:cs="Arial"/>
          <w:sz w:val="20"/>
          <w:szCs w:val="20"/>
          <w:lang w:val="es-CO"/>
        </w:rPr>
        <w:t>Manson</w:t>
      </w:r>
      <w:proofErr w:type="spellEnd"/>
      <w:r w:rsidR="00951208" w:rsidRPr="00680378">
        <w:rPr>
          <w:rFonts w:ascii="Arial" w:hAnsi="Arial" w:cs="Arial"/>
          <w:sz w:val="20"/>
          <w:szCs w:val="20"/>
          <w:lang w:val="es-CO"/>
        </w:rPr>
        <w:t xml:space="preserve"> JE., 2017)</w:t>
      </w:r>
    </w:p>
    <w:p w14:paraId="133B511A" w14:textId="65DAB798" w:rsidR="005B0232" w:rsidRPr="00680378" w:rsidRDefault="00951208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Dentro de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sus efectos adversos se encuentran: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hipotensión </w:t>
      </w:r>
      <w:proofErr w:type="spellStart"/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ortostática</w:t>
      </w:r>
      <w:proofErr w:type="spellEnd"/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, hipercalcemia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 transitoria,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náuseas, artralgias, calambres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 Se 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encuentra 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contraindicado en 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pacientes con riesgo 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de </w:t>
      </w:r>
      <w:proofErr w:type="spellStart"/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>osteosarcoma</w:t>
      </w:r>
      <w:proofErr w:type="spellEnd"/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>, enfermedad de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>Paget</w:t>
      </w:r>
      <w:proofErr w:type="spellEnd"/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radiación 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>esquelética, y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>elevación inexplicada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 </w:t>
      </w:r>
      <w:r w:rsidR="00BC217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la </w:t>
      </w:r>
      <w:r w:rsidR="005B0232" w:rsidRPr="00680378">
        <w:rPr>
          <w:rFonts w:ascii="Arial" w:eastAsia="Times New Roman" w:hAnsi="Arial" w:cs="Arial"/>
          <w:sz w:val="20"/>
          <w:szCs w:val="20"/>
          <w:lang w:eastAsia="es-AR"/>
        </w:rPr>
        <w:t>fosfatasa alcalina.</w:t>
      </w:r>
    </w:p>
    <w:p w14:paraId="5C5CF1AF" w14:textId="1FC53076" w:rsidR="006769DC" w:rsidRPr="00680378" w:rsidRDefault="006769DC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6AE0DDF4" w14:textId="6D6E9940" w:rsidR="00E9172D" w:rsidRPr="00680378" w:rsidRDefault="00E9172D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013ED5A1" w14:textId="0290C30F" w:rsidR="00E9172D" w:rsidRPr="00CD0CB8" w:rsidRDefault="00457BCC" w:rsidP="00457BCC">
      <w:pPr>
        <w:pStyle w:val="Prrafodelista"/>
        <w:numPr>
          <w:ilvl w:val="0"/>
          <w:numId w:val="15"/>
        </w:numPr>
        <w:shd w:val="clear" w:color="auto" w:fill="FFFFFF"/>
        <w:tabs>
          <w:tab w:val="left" w:pos="994"/>
        </w:tabs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  <w:lang w:eastAsia="es-AR"/>
        </w:rPr>
      </w:pPr>
      <w:r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¿C</w:t>
      </w:r>
      <w:r w:rsidR="00861F55">
        <w:rPr>
          <w:rFonts w:ascii="Arial" w:eastAsia="Times New Roman" w:hAnsi="Arial" w:cs="Arial"/>
          <w:b/>
          <w:sz w:val="20"/>
          <w:szCs w:val="20"/>
          <w:lang w:eastAsia="es-AR"/>
        </w:rPr>
        <w:t>ómo elegir el tratamiento</w:t>
      </w:r>
      <w:r w:rsidR="00E9172D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?</w:t>
      </w:r>
    </w:p>
    <w:p w14:paraId="28E35A7F" w14:textId="739352B1" w:rsidR="00E9172D" w:rsidRDefault="00E9172D" w:rsidP="00E9172D">
      <w:pPr>
        <w:shd w:val="clear" w:color="auto" w:fill="FFFFFF"/>
        <w:tabs>
          <w:tab w:val="left" w:pos="994"/>
        </w:tabs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La decisión del tratamiento para la osteoporosis debe ser individualizado, teniendo en cuenta la condición clínica del paciente y la meta deseada en la reducción de fracturas; en la tabla </w:t>
      </w:r>
      <w:r w:rsidR="001009D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No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5 se relaciona la comparación del efecto de los diferentes medicamentos en la reducción de fracturas vertebrales, no vertebrales y de cadera. </w:t>
      </w:r>
    </w:p>
    <w:p w14:paraId="75D85538" w14:textId="1805F49D" w:rsidR="00CD0CB8" w:rsidRDefault="00CD0CB8" w:rsidP="00E9172D">
      <w:pPr>
        <w:shd w:val="clear" w:color="auto" w:fill="FFFFFF"/>
        <w:tabs>
          <w:tab w:val="left" w:pos="994"/>
        </w:tabs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3785DB37" w14:textId="77777777" w:rsidR="00CD0CB8" w:rsidRPr="00680378" w:rsidRDefault="00CD0CB8" w:rsidP="00E9172D">
      <w:pPr>
        <w:shd w:val="clear" w:color="auto" w:fill="FFFFFF"/>
        <w:tabs>
          <w:tab w:val="left" w:pos="994"/>
        </w:tabs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0B59D340" w14:textId="77777777" w:rsidR="00E9172D" w:rsidRPr="00680378" w:rsidRDefault="00E9172D" w:rsidP="00E9172D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1009F494" w14:textId="783E8760" w:rsidR="00E9172D" w:rsidRPr="00680378" w:rsidRDefault="00E9172D" w:rsidP="00E9172D">
      <w:pPr>
        <w:spacing w:line="276" w:lineRule="auto"/>
        <w:jc w:val="center"/>
        <w:rPr>
          <w:rStyle w:val="Textoennegrita"/>
          <w:rFonts w:ascii="Arial" w:hAnsi="Arial" w:cs="Arial"/>
          <w:sz w:val="20"/>
          <w:szCs w:val="20"/>
        </w:rPr>
      </w:pPr>
      <w:r w:rsidRPr="00680378">
        <w:rPr>
          <w:rStyle w:val="Textoennegrita"/>
          <w:rFonts w:ascii="Arial" w:hAnsi="Arial" w:cs="Arial"/>
          <w:sz w:val="20"/>
          <w:szCs w:val="20"/>
        </w:rPr>
        <w:lastRenderedPageBreak/>
        <w:t xml:space="preserve">Tabla </w:t>
      </w:r>
      <w:r w:rsidR="001009D8" w:rsidRPr="00680378">
        <w:rPr>
          <w:rStyle w:val="Textoennegrita"/>
          <w:rFonts w:ascii="Arial" w:hAnsi="Arial" w:cs="Arial"/>
          <w:sz w:val="20"/>
          <w:szCs w:val="20"/>
        </w:rPr>
        <w:t xml:space="preserve">No </w:t>
      </w:r>
      <w:r w:rsidRPr="00680378">
        <w:rPr>
          <w:rStyle w:val="Textoennegrita"/>
          <w:rFonts w:ascii="Arial" w:hAnsi="Arial" w:cs="Arial"/>
          <w:sz w:val="20"/>
          <w:szCs w:val="20"/>
        </w:rPr>
        <w:t>5. Comparación del efecto del tratamiento actual de la osteoporosis en fracturas vertebrales, no vertebrales y de cadera.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70"/>
        <w:gridCol w:w="2120"/>
        <w:gridCol w:w="2118"/>
        <w:gridCol w:w="2120"/>
      </w:tblGrid>
      <w:tr w:rsidR="00680378" w:rsidRPr="00680378" w14:paraId="5CDA2BF0" w14:textId="77777777" w:rsidTr="00E9172D">
        <w:trPr>
          <w:jc w:val="center"/>
        </w:trPr>
        <w:tc>
          <w:tcPr>
            <w:tcW w:w="2470" w:type="dxa"/>
            <w:vMerge w:val="restart"/>
          </w:tcPr>
          <w:p w14:paraId="68F87953" w14:textId="77777777" w:rsidR="00E9172D" w:rsidRPr="00680378" w:rsidRDefault="00E9172D" w:rsidP="0086145A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</w:rPr>
              <w:t>MEDICAMENTO</w:t>
            </w:r>
          </w:p>
        </w:tc>
        <w:tc>
          <w:tcPr>
            <w:tcW w:w="6358" w:type="dxa"/>
            <w:gridSpan w:val="3"/>
          </w:tcPr>
          <w:p w14:paraId="1F5361C3" w14:textId="77777777" w:rsidR="00E9172D" w:rsidRPr="00680378" w:rsidRDefault="00E9172D" w:rsidP="0086145A">
            <w:pPr>
              <w:spacing w:line="276" w:lineRule="auto"/>
              <w:jc w:val="center"/>
              <w:rPr>
                <w:rStyle w:val="Textoennegrita"/>
                <w:rFonts w:ascii="Arial" w:hAnsi="Arial" w:cs="Arial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</w:rPr>
              <w:t>REDUCCION DE FRACTURA %</w:t>
            </w:r>
          </w:p>
        </w:tc>
      </w:tr>
      <w:tr w:rsidR="00680378" w:rsidRPr="00680378" w14:paraId="15B4D6B9" w14:textId="77777777" w:rsidTr="00E9172D">
        <w:trPr>
          <w:jc w:val="center"/>
        </w:trPr>
        <w:tc>
          <w:tcPr>
            <w:tcW w:w="2470" w:type="dxa"/>
            <w:vMerge/>
          </w:tcPr>
          <w:p w14:paraId="38D47592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0" w:type="dxa"/>
          </w:tcPr>
          <w:p w14:paraId="49AF44A5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</w:rPr>
              <w:t>VERTEBRAL</w:t>
            </w:r>
          </w:p>
        </w:tc>
        <w:tc>
          <w:tcPr>
            <w:tcW w:w="2118" w:type="dxa"/>
          </w:tcPr>
          <w:p w14:paraId="63E94947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</w:rPr>
              <w:t>CADERA</w:t>
            </w:r>
          </w:p>
        </w:tc>
        <w:tc>
          <w:tcPr>
            <w:tcW w:w="2120" w:type="dxa"/>
          </w:tcPr>
          <w:p w14:paraId="07AD12BF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sz w:val="20"/>
                <w:szCs w:val="20"/>
              </w:rPr>
              <w:t>NO VERTEBRAL</w:t>
            </w:r>
          </w:p>
        </w:tc>
      </w:tr>
      <w:tr w:rsidR="00680378" w:rsidRPr="00680378" w14:paraId="52734B46" w14:textId="77777777" w:rsidTr="00E9172D">
        <w:trPr>
          <w:jc w:val="center"/>
        </w:trPr>
        <w:tc>
          <w:tcPr>
            <w:tcW w:w="2470" w:type="dxa"/>
          </w:tcPr>
          <w:p w14:paraId="559E2690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Estrógenos/TH</w:t>
            </w:r>
          </w:p>
        </w:tc>
        <w:tc>
          <w:tcPr>
            <w:tcW w:w="2120" w:type="dxa"/>
          </w:tcPr>
          <w:p w14:paraId="2F3A345C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33</w:t>
            </w:r>
          </w:p>
        </w:tc>
        <w:tc>
          <w:tcPr>
            <w:tcW w:w="2118" w:type="dxa"/>
          </w:tcPr>
          <w:p w14:paraId="66F7834A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27</w:t>
            </w:r>
          </w:p>
        </w:tc>
        <w:tc>
          <w:tcPr>
            <w:tcW w:w="2120" w:type="dxa"/>
          </w:tcPr>
          <w:p w14:paraId="40748DDE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-</w:t>
            </w:r>
          </w:p>
        </w:tc>
      </w:tr>
      <w:tr w:rsidR="00680378" w:rsidRPr="00680378" w14:paraId="013D25FB" w14:textId="77777777" w:rsidTr="00E9172D">
        <w:trPr>
          <w:jc w:val="center"/>
        </w:trPr>
        <w:tc>
          <w:tcPr>
            <w:tcW w:w="2470" w:type="dxa"/>
          </w:tcPr>
          <w:p w14:paraId="2C1B9D2A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Raloxifeno</w:t>
            </w:r>
            <w:proofErr w:type="spellEnd"/>
          </w:p>
        </w:tc>
        <w:tc>
          <w:tcPr>
            <w:tcW w:w="2120" w:type="dxa"/>
          </w:tcPr>
          <w:p w14:paraId="3A691AD7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50</w:t>
            </w:r>
          </w:p>
        </w:tc>
        <w:tc>
          <w:tcPr>
            <w:tcW w:w="2118" w:type="dxa"/>
          </w:tcPr>
          <w:p w14:paraId="6D3787FD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-</w:t>
            </w:r>
          </w:p>
        </w:tc>
        <w:tc>
          <w:tcPr>
            <w:tcW w:w="2120" w:type="dxa"/>
          </w:tcPr>
          <w:p w14:paraId="0668E59B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47*</w:t>
            </w:r>
          </w:p>
        </w:tc>
      </w:tr>
      <w:tr w:rsidR="00680378" w:rsidRPr="00680378" w14:paraId="20BCA653" w14:textId="77777777" w:rsidTr="00E9172D">
        <w:trPr>
          <w:jc w:val="center"/>
        </w:trPr>
        <w:tc>
          <w:tcPr>
            <w:tcW w:w="2470" w:type="dxa"/>
          </w:tcPr>
          <w:p w14:paraId="21E6CA47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Alendronato</w:t>
            </w:r>
            <w:proofErr w:type="spellEnd"/>
          </w:p>
        </w:tc>
        <w:tc>
          <w:tcPr>
            <w:tcW w:w="2120" w:type="dxa"/>
          </w:tcPr>
          <w:p w14:paraId="2DEAD332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47</w:t>
            </w:r>
          </w:p>
        </w:tc>
        <w:tc>
          <w:tcPr>
            <w:tcW w:w="2118" w:type="dxa"/>
          </w:tcPr>
          <w:p w14:paraId="24B4FC7F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50</w:t>
            </w:r>
          </w:p>
        </w:tc>
        <w:tc>
          <w:tcPr>
            <w:tcW w:w="2120" w:type="dxa"/>
          </w:tcPr>
          <w:p w14:paraId="4E474F5E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48</w:t>
            </w:r>
          </w:p>
        </w:tc>
      </w:tr>
      <w:tr w:rsidR="00680378" w:rsidRPr="00680378" w14:paraId="4D443811" w14:textId="77777777" w:rsidTr="00E9172D">
        <w:trPr>
          <w:jc w:val="center"/>
        </w:trPr>
        <w:tc>
          <w:tcPr>
            <w:tcW w:w="2470" w:type="dxa"/>
          </w:tcPr>
          <w:p w14:paraId="00457FCB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Risedronato</w:t>
            </w:r>
            <w:proofErr w:type="spellEnd"/>
          </w:p>
        </w:tc>
        <w:tc>
          <w:tcPr>
            <w:tcW w:w="2120" w:type="dxa"/>
          </w:tcPr>
          <w:p w14:paraId="054446B9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41</w:t>
            </w:r>
          </w:p>
        </w:tc>
        <w:tc>
          <w:tcPr>
            <w:tcW w:w="2118" w:type="dxa"/>
          </w:tcPr>
          <w:p w14:paraId="2759CE9F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40-60</w:t>
            </w:r>
          </w:p>
        </w:tc>
        <w:tc>
          <w:tcPr>
            <w:tcW w:w="2120" w:type="dxa"/>
          </w:tcPr>
          <w:p w14:paraId="3B588071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27</w:t>
            </w:r>
          </w:p>
        </w:tc>
      </w:tr>
      <w:tr w:rsidR="00680378" w:rsidRPr="00680378" w14:paraId="7FB59F45" w14:textId="77777777" w:rsidTr="00E9172D">
        <w:trPr>
          <w:jc w:val="center"/>
        </w:trPr>
        <w:tc>
          <w:tcPr>
            <w:tcW w:w="2470" w:type="dxa"/>
          </w:tcPr>
          <w:p w14:paraId="4D27D192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Ibandronato</w:t>
            </w:r>
            <w:proofErr w:type="spellEnd"/>
          </w:p>
        </w:tc>
        <w:tc>
          <w:tcPr>
            <w:tcW w:w="2120" w:type="dxa"/>
          </w:tcPr>
          <w:p w14:paraId="0B9FAF60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50</w:t>
            </w:r>
          </w:p>
        </w:tc>
        <w:tc>
          <w:tcPr>
            <w:tcW w:w="2118" w:type="dxa"/>
          </w:tcPr>
          <w:p w14:paraId="0817A77B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-</w:t>
            </w:r>
          </w:p>
        </w:tc>
        <w:tc>
          <w:tcPr>
            <w:tcW w:w="2120" w:type="dxa"/>
          </w:tcPr>
          <w:p w14:paraId="0E80D69B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69**</w:t>
            </w:r>
          </w:p>
        </w:tc>
      </w:tr>
      <w:tr w:rsidR="00680378" w:rsidRPr="00680378" w14:paraId="6AF4ECA6" w14:textId="77777777" w:rsidTr="00E9172D">
        <w:trPr>
          <w:trHeight w:val="233"/>
          <w:jc w:val="center"/>
        </w:trPr>
        <w:tc>
          <w:tcPr>
            <w:tcW w:w="2470" w:type="dxa"/>
          </w:tcPr>
          <w:p w14:paraId="6353BF06" w14:textId="753E0CCA" w:rsidR="00E9172D" w:rsidRPr="00680378" w:rsidRDefault="00E9172D" w:rsidP="00E9172D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Ácido </w:t>
            </w: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zoledrónico</w:t>
            </w:r>
            <w:proofErr w:type="spellEnd"/>
          </w:p>
        </w:tc>
        <w:tc>
          <w:tcPr>
            <w:tcW w:w="2120" w:type="dxa"/>
          </w:tcPr>
          <w:p w14:paraId="1ED42C9D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70</w:t>
            </w:r>
          </w:p>
        </w:tc>
        <w:tc>
          <w:tcPr>
            <w:tcW w:w="2118" w:type="dxa"/>
          </w:tcPr>
          <w:p w14:paraId="4CC037EF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41</w:t>
            </w:r>
          </w:p>
        </w:tc>
        <w:tc>
          <w:tcPr>
            <w:tcW w:w="2120" w:type="dxa"/>
          </w:tcPr>
          <w:p w14:paraId="052EAECF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25</w:t>
            </w:r>
          </w:p>
        </w:tc>
      </w:tr>
      <w:tr w:rsidR="00680378" w:rsidRPr="00680378" w14:paraId="4882F8A3" w14:textId="77777777" w:rsidTr="00E9172D">
        <w:trPr>
          <w:jc w:val="center"/>
        </w:trPr>
        <w:tc>
          <w:tcPr>
            <w:tcW w:w="2470" w:type="dxa"/>
          </w:tcPr>
          <w:p w14:paraId="51279803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Denosumab</w:t>
            </w:r>
            <w:proofErr w:type="spellEnd"/>
          </w:p>
        </w:tc>
        <w:tc>
          <w:tcPr>
            <w:tcW w:w="2120" w:type="dxa"/>
          </w:tcPr>
          <w:p w14:paraId="76FF80BB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68</w:t>
            </w:r>
          </w:p>
        </w:tc>
        <w:tc>
          <w:tcPr>
            <w:tcW w:w="2118" w:type="dxa"/>
          </w:tcPr>
          <w:p w14:paraId="42FA7760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40</w:t>
            </w:r>
          </w:p>
        </w:tc>
        <w:tc>
          <w:tcPr>
            <w:tcW w:w="2120" w:type="dxa"/>
          </w:tcPr>
          <w:p w14:paraId="1DC27804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20</w:t>
            </w:r>
          </w:p>
        </w:tc>
      </w:tr>
      <w:tr w:rsidR="00E9172D" w:rsidRPr="00680378" w14:paraId="077B69BD" w14:textId="77777777" w:rsidTr="00E9172D">
        <w:trPr>
          <w:jc w:val="center"/>
        </w:trPr>
        <w:tc>
          <w:tcPr>
            <w:tcW w:w="2470" w:type="dxa"/>
          </w:tcPr>
          <w:p w14:paraId="63894E1E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PTH 1-34</w:t>
            </w:r>
          </w:p>
        </w:tc>
        <w:tc>
          <w:tcPr>
            <w:tcW w:w="2120" w:type="dxa"/>
          </w:tcPr>
          <w:p w14:paraId="2586CAFD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65</w:t>
            </w:r>
          </w:p>
        </w:tc>
        <w:tc>
          <w:tcPr>
            <w:tcW w:w="2118" w:type="dxa"/>
          </w:tcPr>
          <w:p w14:paraId="3F260994" w14:textId="77777777" w:rsidR="00E9172D" w:rsidRPr="00680378" w:rsidRDefault="00E9172D" w:rsidP="0086145A">
            <w:pPr>
              <w:pStyle w:val="Prrafodelista"/>
              <w:numPr>
                <w:ilvl w:val="0"/>
                <w:numId w:val="10"/>
              </w:num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120" w:type="dxa"/>
          </w:tcPr>
          <w:p w14:paraId="314A390D" w14:textId="77777777" w:rsidR="00E9172D" w:rsidRPr="00680378" w:rsidRDefault="00E9172D" w:rsidP="0086145A">
            <w:pPr>
              <w:spacing w:line="276" w:lineRule="auto"/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</w:rPr>
              <w:t>53</w:t>
            </w:r>
          </w:p>
        </w:tc>
      </w:tr>
    </w:tbl>
    <w:p w14:paraId="24942C1D" w14:textId="77777777" w:rsidR="00E9172D" w:rsidRPr="00680378" w:rsidRDefault="00E9172D" w:rsidP="00E9172D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636D0DB4" w14:textId="77777777" w:rsidR="00E9172D" w:rsidRPr="00680378" w:rsidRDefault="00E9172D" w:rsidP="00E9172D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  <w:r w:rsidRPr="00680378">
        <w:rPr>
          <w:rStyle w:val="Textoennegrita"/>
          <w:rFonts w:ascii="Arial" w:hAnsi="Arial" w:cs="Arial"/>
          <w:sz w:val="20"/>
          <w:szCs w:val="20"/>
        </w:rPr>
        <w:t xml:space="preserve"> (*) En pacientes con fracturas vertebrales severas prevalentes, estudio MORE</w:t>
      </w:r>
    </w:p>
    <w:p w14:paraId="69B3A2EE" w14:textId="77777777" w:rsidR="00E9172D" w:rsidRPr="00680378" w:rsidRDefault="00E9172D" w:rsidP="00E9172D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  <w:r w:rsidRPr="00680378">
        <w:rPr>
          <w:rStyle w:val="Textoennegrita"/>
          <w:rFonts w:ascii="Arial" w:hAnsi="Arial" w:cs="Arial"/>
          <w:sz w:val="20"/>
          <w:szCs w:val="20"/>
        </w:rPr>
        <w:t>(**) En pacientes con T-score en cuello femoral &lt;-3.0, estudio BONE</w:t>
      </w:r>
    </w:p>
    <w:p w14:paraId="3EFFCCD7" w14:textId="5100652C" w:rsidR="00E9172D" w:rsidRPr="00680378" w:rsidRDefault="00E9172D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17362A05" w14:textId="77777777" w:rsidR="00E9172D" w:rsidRPr="00680378" w:rsidRDefault="00E9172D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03412369" w14:textId="28D56F78" w:rsidR="006769DC" w:rsidRPr="00CD0CB8" w:rsidRDefault="00457BCC" w:rsidP="00457BCC">
      <w:pPr>
        <w:pStyle w:val="Prrafodelista"/>
        <w:numPr>
          <w:ilvl w:val="0"/>
          <w:numId w:val="15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  <w:lang w:eastAsia="es-AR"/>
        </w:rPr>
      </w:pPr>
      <w:r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¿P</w:t>
      </w:r>
      <w:r w:rsidR="001009D8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ueden combinarse estos medicamentos</w:t>
      </w:r>
      <w:r w:rsidR="006769DC" w:rsidRPr="00CD0CB8">
        <w:rPr>
          <w:rFonts w:ascii="Arial" w:eastAsia="Times New Roman" w:hAnsi="Arial" w:cs="Arial"/>
          <w:b/>
          <w:sz w:val="20"/>
          <w:szCs w:val="20"/>
          <w:lang w:eastAsia="es-AR"/>
        </w:rPr>
        <w:t>?</w:t>
      </w:r>
    </w:p>
    <w:p w14:paraId="028F8C59" w14:textId="77777777" w:rsidR="006769DC" w:rsidRPr="00680378" w:rsidRDefault="006769DC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</w:p>
    <w:p w14:paraId="65A31CB3" w14:textId="77777777" w:rsidR="00F368E6" w:rsidRPr="00680378" w:rsidRDefault="00F368E6" w:rsidP="006F4351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  <w:r w:rsidRPr="00680378"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  <w:t>Combinación de agentes terapéuticos y terapia secuencial</w:t>
      </w:r>
    </w:p>
    <w:p w14:paraId="3D90D917" w14:textId="398435C9" w:rsidR="003C63A5" w:rsidRPr="00680378" w:rsidRDefault="003C63A5" w:rsidP="006F4351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No hay estudios que muestren que la combinación de 2 o m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á</w:t>
      </w:r>
      <w:r w:rsidR="00F206D1">
        <w:rPr>
          <w:rFonts w:ascii="Arial" w:eastAsia="Times New Roman" w:hAnsi="Arial" w:cs="Arial"/>
          <w:sz w:val="20"/>
          <w:szCs w:val="20"/>
          <w:lang w:eastAsia="es-AR"/>
        </w:rPr>
        <w:t>s medicamentos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para el tratamiento de 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la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OP tenga mayor efecto para la reducción de fractura que con un solo agente.</w:t>
      </w:r>
    </w:p>
    <w:p w14:paraId="78E52DEE" w14:textId="34B38FC6" w:rsidR="003C63A5" w:rsidRPr="00680378" w:rsidRDefault="00765CAF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La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combinación de estrógenos con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>bisfosfonatos</w:t>
      </w:r>
      <w:proofErr w:type="spellEnd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</w:t>
      </w:r>
      <w:r w:rsidR="003C63A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ha demostrado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notables incrementos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de la densidad mineral ósea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 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Similares hallazgos se han observado</w:t>
      </w:r>
      <w:r w:rsidR="006828B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con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la combinación</w:t>
      </w:r>
      <w:r w:rsidR="006828B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proofErr w:type="spellStart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>raloxifeno</w:t>
      </w:r>
      <w:proofErr w:type="spellEnd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 con   </w:t>
      </w:r>
      <w:proofErr w:type="spellStart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>bisfosfonatos</w:t>
      </w:r>
      <w:proofErr w:type="spellEnd"/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</w:t>
      </w:r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y de PTH con </w:t>
      </w:r>
      <w:proofErr w:type="spellStart"/>
      <w:r w:rsidR="00CD0CB8" w:rsidRPr="00680378">
        <w:rPr>
          <w:rFonts w:ascii="Arial" w:eastAsia="Times New Roman" w:hAnsi="Arial" w:cs="Arial"/>
          <w:sz w:val="20"/>
          <w:szCs w:val="20"/>
          <w:lang w:eastAsia="es-AR"/>
        </w:rPr>
        <w:t>zoledronato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denosumab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  <w:r w:rsidR="00F368E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 </w:t>
      </w:r>
      <w:r w:rsidR="003C63A5" w:rsidRPr="00680378">
        <w:rPr>
          <w:rFonts w:ascii="Arial" w:eastAsia="Times New Roman" w:hAnsi="Arial" w:cs="Arial"/>
          <w:sz w:val="20"/>
          <w:szCs w:val="20"/>
          <w:lang w:eastAsia="es-AR"/>
        </w:rPr>
        <w:t>Dichas combinaciones aumentan el costo del tratamiento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,</w:t>
      </w:r>
      <w:r w:rsidR="003C63A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e incrementan el potencial riesgo de eventos adversos.</w:t>
      </w:r>
    </w:p>
    <w:p w14:paraId="0B1FF6DB" w14:textId="3E3742F3" w:rsidR="00B205DD" w:rsidRPr="00680378" w:rsidRDefault="00F368E6" w:rsidP="006F4351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Para casos severos de OP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,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8916E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la terapia secuencial con anabólicos seguida de un </w:t>
      </w:r>
      <w:proofErr w:type="spellStart"/>
      <w:r w:rsidR="008916E2" w:rsidRPr="00680378">
        <w:rPr>
          <w:rFonts w:ascii="Arial" w:eastAsia="Times New Roman" w:hAnsi="Arial" w:cs="Arial"/>
          <w:sz w:val="20"/>
          <w:szCs w:val="20"/>
          <w:lang w:eastAsia="es-AR"/>
        </w:rPr>
        <w:t>antiresortivo</w:t>
      </w:r>
      <w:proofErr w:type="spellEnd"/>
      <w:r w:rsidR="008916E2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es p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>referida a la terapia combinada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</w:p>
    <w:p w14:paraId="644DD88B" w14:textId="1CC46B71" w:rsidR="00F368E6" w:rsidRPr="00680378" w:rsidRDefault="00F368E6" w:rsidP="006F4351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eastAsia="es-AR"/>
        </w:rPr>
      </w:pPr>
    </w:p>
    <w:p w14:paraId="365A9037" w14:textId="05A2EE2F" w:rsidR="006769DC" w:rsidRPr="00F206D1" w:rsidRDefault="006769DC" w:rsidP="00457BCC">
      <w:pPr>
        <w:pStyle w:val="Prrafodelista"/>
        <w:numPr>
          <w:ilvl w:val="0"/>
          <w:numId w:val="15"/>
        </w:num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lang w:eastAsia="es-AR"/>
        </w:rPr>
      </w:pPr>
      <w:r w:rsidRPr="00F206D1">
        <w:rPr>
          <w:rFonts w:ascii="Arial" w:eastAsia="Times New Roman" w:hAnsi="Arial" w:cs="Arial"/>
          <w:b/>
          <w:sz w:val="20"/>
          <w:szCs w:val="20"/>
          <w:lang w:eastAsia="es-AR"/>
        </w:rPr>
        <w:t>¿</w:t>
      </w:r>
      <w:r w:rsidR="001009D8" w:rsidRPr="00F206D1">
        <w:rPr>
          <w:rFonts w:ascii="Arial" w:eastAsia="Times New Roman" w:hAnsi="Arial" w:cs="Arial"/>
          <w:b/>
          <w:sz w:val="20"/>
          <w:szCs w:val="20"/>
          <w:lang w:eastAsia="es-AR"/>
        </w:rPr>
        <w:t>Cuál debe ser la duración del tratamiento</w:t>
      </w:r>
      <w:r w:rsidRPr="00F206D1">
        <w:rPr>
          <w:rFonts w:ascii="Arial" w:eastAsia="Times New Roman" w:hAnsi="Arial" w:cs="Arial"/>
          <w:b/>
          <w:sz w:val="20"/>
          <w:szCs w:val="20"/>
          <w:lang w:eastAsia="es-AR"/>
        </w:rPr>
        <w:t>?</w:t>
      </w:r>
    </w:p>
    <w:p w14:paraId="63C0D663" w14:textId="21F3045C" w:rsidR="008916E2" w:rsidRPr="00680378" w:rsidRDefault="008916E2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La terapia no farmacológic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a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puede ser </w:t>
      </w:r>
      <w:r w:rsidR="00292FFA" w:rsidRPr="00680378">
        <w:rPr>
          <w:rFonts w:ascii="Arial" w:eastAsia="Times New Roman" w:hAnsi="Arial" w:cs="Arial"/>
          <w:sz w:val="20"/>
          <w:szCs w:val="20"/>
          <w:lang w:eastAsia="es-AR"/>
        </w:rPr>
        <w:t>considerada en forma indefinida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.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No h</w:t>
      </w:r>
      <w:r w:rsidR="00AA7CAF" w:rsidRPr="00680378">
        <w:rPr>
          <w:rFonts w:ascii="Arial" w:eastAsia="Times New Roman" w:hAnsi="Arial" w:cs="Arial"/>
          <w:sz w:val="20"/>
          <w:szCs w:val="20"/>
          <w:lang w:eastAsia="es-AR"/>
        </w:rPr>
        <w:t>ay evidencia extensa sobre decisi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ones de duración de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l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tratamiento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farmacológico.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Después del tratamiento inicial debe medirse el riesgo de fractura a 3-5 años. Esto incluye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,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historia clínica, historia de fractura intercurrente y nuevas enfermedades 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concomitantes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y uso de medicaciones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medición de altura, 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densitometría ósea </w:t>
      </w:r>
      <w:r w:rsidR="006828B8" w:rsidRPr="00680378">
        <w:rPr>
          <w:rFonts w:ascii="Arial" w:eastAsia="Times New Roman" w:hAnsi="Arial" w:cs="Arial"/>
          <w:sz w:val="20"/>
          <w:szCs w:val="20"/>
          <w:lang w:eastAsia="es-AR"/>
        </w:rPr>
        <w:t>e imágenes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 columna. Se considera razonable suspender el tratamiento en aquellos pacientes que tengan 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bajo a moderado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riesgo de fractura. En aquellos pacientes con alto riesgo de fractura</w:t>
      </w:r>
      <w:r w:rsidR="00765CAF" w:rsidRPr="00680378">
        <w:rPr>
          <w:rFonts w:ascii="Arial" w:eastAsia="Times New Roman" w:hAnsi="Arial" w:cs="Arial"/>
          <w:sz w:val="20"/>
          <w:szCs w:val="20"/>
          <w:lang w:eastAsia="es-AR"/>
        </w:rPr>
        <w:t>,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se </w:t>
      </w:r>
      <w:r w:rsidR="006828B8" w:rsidRPr="00680378">
        <w:rPr>
          <w:rFonts w:ascii="Arial" w:eastAsia="Times New Roman" w:hAnsi="Arial" w:cs="Arial"/>
          <w:sz w:val="20"/>
          <w:szCs w:val="20"/>
          <w:lang w:eastAsia="es-AR"/>
        </w:rPr>
        <w:t>continuará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con el tratamiento o se </w:t>
      </w:r>
      <w:r w:rsidR="00F206D1" w:rsidRPr="00680378">
        <w:rPr>
          <w:rFonts w:ascii="Arial" w:eastAsia="Times New Roman" w:hAnsi="Arial" w:cs="Arial"/>
          <w:sz w:val="20"/>
          <w:szCs w:val="20"/>
          <w:lang w:eastAsia="es-AR"/>
        </w:rPr>
        <w:t>buscará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un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tratamiento alternativo.</w:t>
      </w:r>
    </w:p>
    <w:p w14:paraId="04C44192" w14:textId="7BD2D69A" w:rsidR="006769DC" w:rsidRPr="00680378" w:rsidRDefault="00E07458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vertAlign w:val="superscript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La</w:t>
      </w:r>
      <w:r w:rsidR="00B205DD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F206D1" w:rsidRPr="00680378">
        <w:rPr>
          <w:rFonts w:ascii="Arial" w:eastAsia="Times New Roman" w:hAnsi="Arial" w:cs="Arial"/>
          <w:sz w:val="20"/>
          <w:szCs w:val="20"/>
          <w:lang w:eastAsia="es-AR"/>
        </w:rPr>
        <w:t>definición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 no respondedor a la terapia es compleja. El </w:t>
      </w:r>
      <w:r w:rsidR="00F20BB2" w:rsidRPr="00680378">
        <w:rPr>
          <w:rFonts w:ascii="Arial" w:eastAsia="Times New Roman" w:hAnsi="Arial" w:cs="Arial"/>
          <w:sz w:val="20"/>
          <w:szCs w:val="20"/>
          <w:lang w:eastAsia="es-AR"/>
        </w:rPr>
        <w:t>fracaso a</w:t>
      </w:r>
      <w:r w:rsidR="00795987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l tratamiento se puede definir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>por una disminución significativa de</w:t>
      </w:r>
      <w:r w:rsidR="0014319B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la DMO o fr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>acturas recurrentes</w:t>
      </w:r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(</w:t>
      </w:r>
      <w:proofErr w:type="spellStart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Cosman</w:t>
      </w:r>
      <w:proofErr w:type="spellEnd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F., et al 2014) (</w:t>
      </w:r>
      <w:proofErr w:type="spellStart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>Bolland</w:t>
      </w:r>
      <w:proofErr w:type="spellEnd"/>
      <w:r w:rsidR="00951208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MJ., et al 2010) (Wang L., et al 2012).</w:t>
      </w:r>
      <w:r w:rsidR="00795987" w:rsidRPr="00680378">
        <w:rPr>
          <w:rFonts w:ascii="Arial" w:eastAsia="Times New Roman" w:hAnsi="Arial" w:cs="Arial"/>
          <w:sz w:val="20"/>
          <w:szCs w:val="20"/>
          <w:vertAlign w:val="superscript"/>
          <w:lang w:eastAsia="es-AR"/>
        </w:rPr>
        <w:t xml:space="preserve"> </w:t>
      </w:r>
      <w:r w:rsidR="00951208" w:rsidRPr="00680378">
        <w:rPr>
          <w:rFonts w:ascii="Arial" w:eastAsia="Times New Roman" w:hAnsi="Arial" w:cs="Arial"/>
          <w:sz w:val="20"/>
          <w:szCs w:val="20"/>
          <w:vertAlign w:val="superscript"/>
          <w:lang w:eastAsia="es-AR"/>
        </w:rPr>
        <w:t xml:space="preserve">            </w:t>
      </w:r>
    </w:p>
    <w:p w14:paraId="212ED486" w14:textId="40025341" w:rsidR="00951208" w:rsidRPr="00680378" w:rsidRDefault="00951208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vertAlign w:val="superscript"/>
          <w:lang w:eastAsia="es-AR"/>
        </w:rPr>
      </w:pPr>
    </w:p>
    <w:p w14:paraId="3440BD54" w14:textId="77777777" w:rsidR="00951208" w:rsidRPr="00680378" w:rsidRDefault="00951208" w:rsidP="006769DC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vertAlign w:val="superscript"/>
          <w:lang w:eastAsia="es-AR"/>
        </w:rPr>
      </w:pPr>
    </w:p>
    <w:p w14:paraId="0BFE6D1B" w14:textId="72863624" w:rsidR="00723BB5" w:rsidRPr="00680378" w:rsidRDefault="006769DC" w:rsidP="00457BCC">
      <w:pPr>
        <w:pStyle w:val="Prrafodelista"/>
        <w:numPr>
          <w:ilvl w:val="0"/>
          <w:numId w:val="15"/>
        </w:num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b/>
          <w:sz w:val="20"/>
          <w:szCs w:val="20"/>
          <w:lang w:eastAsia="es-AR"/>
        </w:rPr>
        <w:t>¿</w:t>
      </w:r>
      <w:r w:rsidR="00723BB5" w:rsidRPr="00680378">
        <w:rPr>
          <w:rFonts w:ascii="Arial" w:eastAsia="Times New Roman" w:hAnsi="Arial" w:cs="Arial"/>
          <w:b/>
          <w:sz w:val="20"/>
          <w:szCs w:val="20"/>
          <w:lang w:eastAsia="es-AR"/>
        </w:rPr>
        <w:t>Cuándo remitir al especialista?</w:t>
      </w:r>
    </w:p>
    <w:p w14:paraId="3AAC49C0" w14:textId="3A327807" w:rsidR="00723BB5" w:rsidRPr="00680378" w:rsidRDefault="00723BB5" w:rsidP="00951208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Remitir los pacientes al especialista, cuando la evaluación del paciente o el tratamiento se </w:t>
      </w:r>
      <w:r w:rsidR="006769DC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encuentre más allá </w:t>
      </w:r>
      <w:r w:rsidR="00E9172D" w:rsidRPr="00680378">
        <w:rPr>
          <w:rFonts w:ascii="Arial" w:eastAsia="Times New Roman" w:hAnsi="Arial" w:cs="Arial"/>
          <w:sz w:val="20"/>
          <w:szCs w:val="20"/>
          <w:lang w:eastAsia="es-AR"/>
        </w:rPr>
        <w:t>de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720620" w:rsidRPr="00680378">
        <w:rPr>
          <w:rFonts w:ascii="Arial" w:eastAsia="Times New Roman" w:hAnsi="Arial" w:cs="Arial"/>
          <w:sz w:val="20"/>
          <w:szCs w:val="20"/>
          <w:lang w:eastAsia="es-AR"/>
        </w:rPr>
        <w:t>la experticia</w:t>
      </w:r>
      <w:r w:rsidR="00306956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del 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médico. </w:t>
      </w:r>
    </w:p>
    <w:p w14:paraId="7E961347" w14:textId="0C33CB8A" w:rsidR="00723BB5" w:rsidRPr="00680378" w:rsidRDefault="00723BB5" w:rsidP="00951208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Pues en la práctica clínica son más los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bisfosfonatos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que se suspenden, que los que se inician en la consulta especializada.</w:t>
      </w:r>
    </w:p>
    <w:p w14:paraId="5E6E8466" w14:textId="0D64B8FC" w:rsidR="00723BB5" w:rsidRPr="00680378" w:rsidRDefault="00723BB5" w:rsidP="00951208">
      <w:p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Algunas de las situaciones en las cuales la re</w:t>
      </w:r>
      <w:r w:rsidR="00610845" w:rsidRPr="00680378">
        <w:rPr>
          <w:rFonts w:ascii="Arial" w:eastAsia="Times New Roman" w:hAnsi="Arial" w:cs="Arial"/>
          <w:sz w:val="20"/>
          <w:szCs w:val="20"/>
          <w:lang w:eastAsia="es-AR"/>
        </w:rPr>
        <w:t>misión puede ser apropiada son:</w:t>
      </w:r>
    </w:p>
    <w:p w14:paraId="5E4D6B94" w14:textId="5E661F52" w:rsidR="00723BB5" w:rsidRPr="00680378" w:rsidRDefault="00723BB5" w:rsidP="00951208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lastRenderedPageBreak/>
        <w:t>Pacientes con DMO normal y fracturas por fragilidad.</w:t>
      </w:r>
    </w:p>
    <w:p w14:paraId="5B2502A0" w14:textId="5A24D830" w:rsidR="00723BB5" w:rsidRPr="00680378" w:rsidRDefault="00951208" w:rsidP="00951208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Pérdida</w:t>
      </w:r>
      <w:r w:rsidR="00723BB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</w:t>
      </w:r>
      <w:r w:rsidR="00E37C3E" w:rsidRPr="00680378">
        <w:rPr>
          <w:rFonts w:ascii="Arial" w:eastAsia="Times New Roman" w:hAnsi="Arial" w:cs="Arial"/>
          <w:sz w:val="20"/>
          <w:szCs w:val="20"/>
          <w:lang w:eastAsia="es-AR"/>
        </w:rPr>
        <w:t>ó</w:t>
      </w:r>
      <w:r w:rsidR="00723BB5"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sea a pesar de la terapia sin causas que </w:t>
      </w:r>
      <w:r w:rsidR="00E37C3E" w:rsidRPr="00680378">
        <w:rPr>
          <w:rFonts w:ascii="Arial" w:eastAsia="Times New Roman" w:hAnsi="Arial" w:cs="Arial"/>
          <w:sz w:val="20"/>
          <w:szCs w:val="20"/>
          <w:lang w:eastAsia="es-AR"/>
        </w:rPr>
        <w:t>la justifiquen.</w:t>
      </w:r>
    </w:p>
    <w:p w14:paraId="35E2A99D" w14:textId="0ECC716C" w:rsidR="00723BB5" w:rsidRPr="00680378" w:rsidRDefault="00723BB5" w:rsidP="00951208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Causas secundarias de OP</w:t>
      </w:r>
      <w:r w:rsidR="00E37C3E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</w:p>
    <w:p w14:paraId="5391BEAE" w14:textId="3E3E9E30" w:rsidR="00723BB5" w:rsidRPr="00680378" w:rsidRDefault="00723BB5" w:rsidP="006F4351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eastAsia="es-AR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Aquellos con OP </w:t>
      </w:r>
      <w:r w:rsidR="00E37C3E" w:rsidRPr="00680378">
        <w:rPr>
          <w:rFonts w:ascii="Arial" w:eastAsia="Times New Roman" w:hAnsi="Arial" w:cs="Arial"/>
          <w:sz w:val="20"/>
          <w:szCs w:val="20"/>
          <w:lang w:eastAsia="es-AR"/>
        </w:rPr>
        <w:t>severa inexplicable.</w:t>
      </w:r>
    </w:p>
    <w:p w14:paraId="7C35A274" w14:textId="62655B30" w:rsidR="006769DC" w:rsidRPr="00680378" w:rsidRDefault="00723BB5" w:rsidP="006F4351">
      <w:pPr>
        <w:pStyle w:val="Prrafodelista"/>
        <w:numPr>
          <w:ilvl w:val="0"/>
          <w:numId w:val="5"/>
        </w:num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  <w:r w:rsidRPr="00680378">
        <w:rPr>
          <w:rFonts w:ascii="Arial" w:eastAsia="Times New Roman" w:hAnsi="Arial" w:cs="Arial"/>
          <w:sz w:val="20"/>
          <w:szCs w:val="20"/>
          <w:lang w:eastAsia="es-AR"/>
        </w:rPr>
        <w:t>Condiciones que complican el manejo</w:t>
      </w:r>
      <w:r w:rsidR="00E37C3E" w:rsidRPr="00680378">
        <w:rPr>
          <w:rFonts w:ascii="Arial" w:eastAsia="Times New Roman" w:hAnsi="Arial" w:cs="Arial"/>
          <w:sz w:val="20"/>
          <w:szCs w:val="20"/>
          <w:lang w:eastAsia="es-AR"/>
        </w:rPr>
        <w:t>,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 tales como insuficiencia renal cr</w:t>
      </w:r>
      <w:r w:rsidR="00E37C3E" w:rsidRPr="00680378">
        <w:rPr>
          <w:rFonts w:ascii="Arial" w:eastAsia="Times New Roman" w:hAnsi="Arial" w:cs="Arial"/>
          <w:sz w:val="20"/>
          <w:szCs w:val="20"/>
          <w:lang w:eastAsia="es-AR"/>
        </w:rPr>
        <w:t>ó</w:t>
      </w:r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nica,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eastAsia="es-AR"/>
        </w:rPr>
        <w:t>hiperparatirodismo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eastAsia="es-AR"/>
        </w:rPr>
        <w:t xml:space="preserve">, </w:t>
      </w:r>
      <w:r w:rsidR="003D3C02" w:rsidRPr="00680378">
        <w:rPr>
          <w:rFonts w:ascii="Arial" w:eastAsia="Times New Roman" w:hAnsi="Arial" w:cs="Arial"/>
          <w:sz w:val="20"/>
          <w:szCs w:val="20"/>
          <w:lang w:eastAsia="es-AR"/>
        </w:rPr>
        <w:t>malabsorción</w:t>
      </w:r>
      <w:r w:rsidR="00E37C3E" w:rsidRPr="00680378">
        <w:rPr>
          <w:rFonts w:ascii="Arial" w:eastAsia="Times New Roman" w:hAnsi="Arial" w:cs="Arial"/>
          <w:sz w:val="20"/>
          <w:szCs w:val="20"/>
          <w:lang w:eastAsia="es-AR"/>
        </w:rPr>
        <w:t>.</w:t>
      </w:r>
    </w:p>
    <w:p w14:paraId="2C329308" w14:textId="44C04E61" w:rsidR="00EC4FAC" w:rsidRPr="00680378" w:rsidRDefault="00EC4FAC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208BB5AC" w14:textId="2526C3C0" w:rsidR="00457BCC" w:rsidRPr="00597D20" w:rsidRDefault="00597D20" w:rsidP="00597D20">
      <w:pPr>
        <w:pStyle w:val="Prrafodelista"/>
        <w:numPr>
          <w:ilvl w:val="0"/>
          <w:numId w:val="15"/>
        </w:num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  <w:r>
        <w:rPr>
          <w:rStyle w:val="Textoennegrita"/>
          <w:rFonts w:ascii="Arial" w:hAnsi="Arial" w:cs="Arial"/>
          <w:sz w:val="20"/>
          <w:szCs w:val="20"/>
        </w:rPr>
        <w:t>Para recordar.</w:t>
      </w:r>
    </w:p>
    <w:p w14:paraId="2F21A5B7" w14:textId="77777777" w:rsidR="007756F9" w:rsidRPr="00680378" w:rsidRDefault="007756F9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7756F9" w:rsidRPr="00680378" w14:paraId="789B83D0" w14:textId="77777777" w:rsidTr="007756F9">
        <w:tc>
          <w:tcPr>
            <w:tcW w:w="9544" w:type="dxa"/>
          </w:tcPr>
          <w:p w14:paraId="7EAEB3D8" w14:textId="6A75234C" w:rsidR="007756F9" w:rsidRPr="00680378" w:rsidRDefault="007756F9" w:rsidP="007756F9">
            <w:pPr>
              <w:pStyle w:val="sintab"/>
              <w:numPr>
                <w:ilvl w:val="0"/>
                <w:numId w:val="19"/>
              </w:numPr>
              <w:spacing w:after="30" w:line="276" w:lineRule="auto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  <w:r w:rsidRPr="00680378">
              <w:rPr>
                <w:rFonts w:ascii="Arial" w:hAnsi="Arial" w:cs="Arial"/>
                <w:b w:val="0"/>
                <w:color w:val="auto"/>
                <w:sz w:val="20"/>
                <w:szCs w:val="20"/>
              </w:rPr>
              <w:t>El objetivo principal del tratamiento de pacientes con osteop</w:t>
            </w:r>
            <w:r w:rsidR="00E85009">
              <w:rPr>
                <w:rFonts w:ascii="Arial" w:hAnsi="Arial" w:cs="Arial"/>
                <w:b w:val="0"/>
                <w:color w:val="auto"/>
                <w:sz w:val="20"/>
                <w:szCs w:val="20"/>
              </w:rPr>
              <w:t>o</w:t>
            </w:r>
            <w:r w:rsidRPr="00680378">
              <w:rPr>
                <w:rFonts w:ascii="Arial" w:hAnsi="Arial" w:cs="Arial"/>
                <w:b w:val="0"/>
                <w:color w:val="auto"/>
                <w:sz w:val="20"/>
                <w:szCs w:val="20"/>
              </w:rPr>
              <w:t xml:space="preserve">rosis es prevenir las fracturas. </w:t>
            </w:r>
          </w:p>
          <w:p w14:paraId="5DCAACD7" w14:textId="77777777" w:rsidR="007756F9" w:rsidRPr="00680378" w:rsidRDefault="007756F9" w:rsidP="007756F9">
            <w:pPr>
              <w:pStyle w:val="sintab"/>
              <w:numPr>
                <w:ilvl w:val="0"/>
                <w:numId w:val="19"/>
              </w:numPr>
              <w:spacing w:after="30" w:line="276" w:lineRule="auto"/>
              <w:rPr>
                <w:rStyle w:val="Textoennegrita"/>
                <w:rFonts w:ascii="Arial" w:hAnsi="Arial" w:cs="Arial"/>
                <w:color w:val="auto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La osteoporosis debe ser prevenida antes de que se inicie el proceso de la pérdida de la masa ósea y ocurra la fractura.</w:t>
            </w:r>
          </w:p>
          <w:p w14:paraId="0F622FC3" w14:textId="77777777" w:rsidR="00554868" w:rsidRPr="00680378" w:rsidRDefault="00554868" w:rsidP="00554868">
            <w:pPr>
              <w:pStyle w:val="sintab"/>
              <w:numPr>
                <w:ilvl w:val="0"/>
                <w:numId w:val="19"/>
              </w:numPr>
              <w:spacing w:after="30" w:line="276" w:lineRule="auto"/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</w:rPr>
            </w:pPr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Las recomendaciones no farmacológicas incluyen: actividad física, evitar el tabaco, reducir la ingesta de alcohol y medidas para prevenir caídas.</w:t>
            </w:r>
          </w:p>
          <w:p w14:paraId="0695F115" w14:textId="0E232133" w:rsidR="00554868" w:rsidRPr="00680378" w:rsidRDefault="00554868" w:rsidP="00554868">
            <w:pPr>
              <w:pStyle w:val="sintab"/>
              <w:numPr>
                <w:ilvl w:val="0"/>
                <w:numId w:val="19"/>
              </w:numPr>
              <w:spacing w:after="30" w:line="276" w:lineRule="auto"/>
              <w:rPr>
                <w:rStyle w:val="Textoennegrita"/>
                <w:rFonts w:ascii="Arial" w:hAnsi="Arial" w:cs="Arial"/>
                <w:color w:val="auto"/>
                <w:sz w:val="20"/>
                <w:szCs w:val="20"/>
              </w:rPr>
            </w:pP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 xml:space="preserve">Los suplementos   de   calcio deben   darse cuando la dieta no aporte </w:t>
            </w:r>
            <w:r w:rsidR="00F206D1"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las cantidades suficientes</w:t>
            </w: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 xml:space="preserve">   diarias   recomendadas; </w:t>
            </w:r>
            <w:r w:rsidR="00F206D1"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la recomendación del</w:t>
            </w: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 xml:space="preserve"> </w:t>
            </w:r>
            <w:proofErr w:type="spellStart"/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Institute</w:t>
            </w:r>
            <w:proofErr w:type="spellEnd"/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 xml:space="preserve"> of Medicine (</w:t>
            </w:r>
            <w:r w:rsidR="00F206D1"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IOM) es</w:t>
            </w: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 xml:space="preserve"> 1000 mg/día para hombres entre 50-70 años, y 1200 mg/</w:t>
            </w:r>
            <w:r w:rsidR="00F206D1"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>día para</w:t>
            </w:r>
            <w:r w:rsidRPr="00680378">
              <w:rPr>
                <w:rStyle w:val="Textoennegrita"/>
                <w:rFonts w:ascii="Arial" w:hAnsi="Arial" w:cs="Arial"/>
                <w:color w:val="auto"/>
                <w:sz w:val="20"/>
                <w:szCs w:val="20"/>
                <w:lang w:eastAsia="es-AR"/>
              </w:rPr>
              <w:t xml:space="preserve"> mujeres de 51 años o mayores y hombres de 71 años o mayores. </w:t>
            </w:r>
          </w:p>
          <w:p w14:paraId="5A62F441" w14:textId="5DD7CB38" w:rsidR="00554868" w:rsidRPr="00680378" w:rsidRDefault="00554868" w:rsidP="00554868">
            <w:pPr>
              <w:pStyle w:val="sintab"/>
              <w:numPr>
                <w:ilvl w:val="0"/>
                <w:numId w:val="19"/>
              </w:numPr>
              <w:spacing w:after="30"/>
              <w:rPr>
                <w:rFonts w:ascii="Arial" w:hAnsi="Arial" w:cs="Arial"/>
                <w:b w:val="0"/>
                <w:color w:val="auto"/>
                <w:sz w:val="20"/>
                <w:szCs w:val="20"/>
                <w:lang w:val="es-AR"/>
              </w:rPr>
            </w:pPr>
            <w:r w:rsidRPr="00680378">
              <w:rPr>
                <w:rFonts w:ascii="Arial" w:hAnsi="Arial" w:cs="Arial"/>
                <w:b w:val="0"/>
                <w:color w:val="auto"/>
                <w:sz w:val="20"/>
                <w:szCs w:val="20"/>
                <w:lang w:val="es-AR"/>
              </w:rPr>
              <w:t xml:space="preserve">Se recomienda una ingesta de 800 a 1000 UI de vitamina D por día en adultos de 50 años o mayores. </w:t>
            </w:r>
          </w:p>
          <w:p w14:paraId="4DD271D9" w14:textId="26577C88" w:rsidR="00554868" w:rsidRPr="00680378" w:rsidRDefault="00215F2A" w:rsidP="00215F2A">
            <w:pPr>
              <w:pStyle w:val="sintab"/>
              <w:numPr>
                <w:ilvl w:val="0"/>
                <w:numId w:val="19"/>
              </w:numPr>
              <w:spacing w:after="30" w:line="276" w:lineRule="auto"/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</w:rPr>
            </w:pPr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Los medicamentos empleados en el tratamiento de la osteoporosis incluyen </w:t>
            </w:r>
            <w:r w:rsidR="00F206D1"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aquellos</w:t>
            </w:r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 que han demostrado claramente un efecto anti fractura: están divididos en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antiresortivos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 (reducen el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remodelamiento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 óseo: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Bisfosfonatos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,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SERMs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, estrógenos y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denosumab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) y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osteoformadores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 u anabólicos (estimulan los osteoblastos para formar nuevo hueso: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teriparatide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,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abaloparatide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). </w:t>
            </w:r>
          </w:p>
          <w:p w14:paraId="53936120" w14:textId="466460F8" w:rsidR="00215F2A" w:rsidRPr="00680378" w:rsidRDefault="00215F2A" w:rsidP="00215F2A">
            <w:pPr>
              <w:pStyle w:val="sintab"/>
              <w:numPr>
                <w:ilvl w:val="0"/>
                <w:numId w:val="19"/>
              </w:numPr>
              <w:spacing w:after="30" w:line="276" w:lineRule="auto"/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</w:rPr>
            </w:pPr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Se recomienda en general tratar con </w:t>
            </w:r>
            <w:proofErr w:type="spellStart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antiresortivos</w:t>
            </w:r>
            <w:proofErr w:type="spellEnd"/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 o anabólicos a </w:t>
            </w:r>
            <w:r w:rsidR="00F206D1"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mujeres postmenopáusicas y hombres mayores</w:t>
            </w:r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 xml:space="preserve"> de 50 años que se presentan con las </w:t>
            </w:r>
            <w:r w:rsidR="00F206D1"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siguientes condiciones</w:t>
            </w:r>
            <w:r w:rsidRPr="00680378">
              <w:rPr>
                <w:rFonts w:ascii="Arial" w:hAnsi="Arial" w:cs="Arial"/>
                <w:b w:val="0"/>
                <w:bCs w:val="0"/>
                <w:color w:val="auto"/>
                <w:sz w:val="20"/>
                <w:szCs w:val="20"/>
                <w:lang w:val="es-AR"/>
              </w:rPr>
              <w:t>:</w:t>
            </w:r>
          </w:p>
          <w:p w14:paraId="77989DC4" w14:textId="78546FA4" w:rsidR="00215F2A" w:rsidRPr="00680378" w:rsidRDefault="00215F2A" w:rsidP="00215F2A">
            <w:pPr>
              <w:pStyle w:val="Prrafodelista"/>
              <w:numPr>
                <w:ilvl w:val="0"/>
                <w:numId w:val="20"/>
              </w:numPr>
              <w:shd w:val="clear" w:color="auto" w:fill="FFFFFF"/>
              <w:spacing w:line="276" w:lineRule="auto"/>
              <w:jc w:val="both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Fractura de cadera o vertebral (clínica, radiográfica, o en </w:t>
            </w:r>
            <w:proofErr w:type="spellStart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morfometría</w:t>
            </w:r>
            <w:proofErr w:type="spellEnd"/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 ósea vertebral o asintomática).</w:t>
            </w:r>
          </w:p>
          <w:p w14:paraId="34E97299" w14:textId="74CA2ED4" w:rsidR="00215F2A" w:rsidRPr="00680378" w:rsidRDefault="00215F2A" w:rsidP="00215F2A">
            <w:pPr>
              <w:pStyle w:val="Prrafodelista"/>
              <w:numPr>
                <w:ilvl w:val="0"/>
                <w:numId w:val="20"/>
              </w:numPr>
              <w:shd w:val="clear" w:color="auto" w:fill="FFFFFF"/>
              <w:spacing w:line="276" w:lineRule="auto"/>
              <w:jc w:val="both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T-score: ≤-2,5 en cuello femoral, cadera total o columna lumbar por DXA </w:t>
            </w:r>
          </w:p>
          <w:p w14:paraId="5A9A9D90" w14:textId="53A8749A" w:rsidR="00215F2A" w:rsidRPr="00680378" w:rsidRDefault="00215F2A" w:rsidP="00215F2A">
            <w:pPr>
              <w:pStyle w:val="Prrafodelista"/>
              <w:numPr>
                <w:ilvl w:val="0"/>
                <w:numId w:val="20"/>
              </w:numPr>
              <w:shd w:val="clear" w:color="auto" w:fill="FFFFFF"/>
              <w:spacing w:line="276" w:lineRule="auto"/>
              <w:jc w:val="both"/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</w:pP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Baja masa ósea u osteopenia (T-score entre: -1,0 y -2,5 en cuello femoral, cadera total o columna lumbar por DXA y una probabilidad de fractura de </w:t>
            </w:r>
            <w:r w:rsidR="00F206D1"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cadera ≥</w:t>
            </w: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 3% o fractura mayor relacionada a osteoporosis del ≥ 20</w:t>
            </w:r>
            <w:r w:rsidR="00F206D1"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% calculada</w:t>
            </w: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 por </w:t>
            </w:r>
            <w:r w:rsidR="00F206D1"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>la herramienta</w:t>
            </w:r>
            <w:r w:rsidRPr="00680378">
              <w:rPr>
                <w:rStyle w:val="Textoennegrita"/>
                <w:rFonts w:ascii="Arial" w:hAnsi="Arial" w:cs="Arial"/>
                <w:b w:val="0"/>
                <w:sz w:val="20"/>
                <w:szCs w:val="20"/>
                <w:lang w:eastAsia="es-AR"/>
              </w:rPr>
              <w:t xml:space="preserve"> FRAX. </w:t>
            </w:r>
          </w:p>
        </w:tc>
      </w:tr>
    </w:tbl>
    <w:p w14:paraId="38DF2CD5" w14:textId="77777777" w:rsidR="007756F9" w:rsidRPr="00680378" w:rsidRDefault="007756F9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494D4D99" w14:textId="77777777" w:rsidR="0016455B" w:rsidRPr="00680378" w:rsidRDefault="0016455B" w:rsidP="006F4351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6DDE5E1C" w14:textId="77777777" w:rsidR="001009D8" w:rsidRPr="00680378" w:rsidRDefault="001009D8" w:rsidP="006F4351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677B0E8B" w14:textId="77777777" w:rsidR="001009D8" w:rsidRPr="00680378" w:rsidRDefault="001009D8" w:rsidP="006F4351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333EE245" w14:textId="1AE8D582" w:rsidR="001009D8" w:rsidRDefault="00597D20" w:rsidP="00597D20">
      <w:pPr>
        <w:pStyle w:val="Prrafodelista"/>
        <w:numPr>
          <w:ilvl w:val="0"/>
          <w:numId w:val="15"/>
        </w:num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  <w:r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  <w:t>Anexos (algoritmos de tratamiento)</w:t>
      </w:r>
    </w:p>
    <w:p w14:paraId="7153AC66" w14:textId="38B5C930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30F3FA19" w14:textId="5A962B9B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4E13CAE6" w14:textId="394C0B9E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35667874" w14:textId="044A50E8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320E9073" w14:textId="0EB92F6C" w:rsidR="00861F55" w:rsidRDefault="00861F55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715D0AB0" w14:textId="31E60C48" w:rsidR="00861F55" w:rsidRDefault="00861F55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6171E2EC" w14:textId="69C540E1" w:rsidR="00861F55" w:rsidRDefault="00861F55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4F56F026" w14:textId="5245F7AF" w:rsidR="00861F55" w:rsidRDefault="00861F55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613BDFDF" w14:textId="77777777" w:rsidR="00861F55" w:rsidRDefault="00861F55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5C162B45" w14:textId="3186AA4E" w:rsidR="00861F55" w:rsidRPr="00861F55" w:rsidRDefault="00861F55" w:rsidP="00861F55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val="en-US" w:eastAsia="es-AR"/>
        </w:rPr>
      </w:pPr>
      <w:r>
        <w:rPr>
          <w:rFonts w:ascii="Arial" w:eastAsia="Times New Roman" w:hAnsi="Arial" w:cs="Arial"/>
          <w:b/>
          <w:sz w:val="20"/>
          <w:szCs w:val="20"/>
          <w:lang w:eastAsia="es-AR"/>
        </w:rPr>
        <w:lastRenderedPageBreak/>
        <w:t xml:space="preserve">13.1. </w:t>
      </w:r>
      <w:r w:rsidRPr="00861F55">
        <w:rPr>
          <w:rFonts w:ascii="Arial" w:eastAsia="Times New Roman" w:hAnsi="Arial" w:cs="Arial"/>
          <w:b/>
          <w:sz w:val="20"/>
          <w:szCs w:val="20"/>
          <w:lang w:eastAsia="es-AR"/>
        </w:rPr>
        <w:t>Algoritmo terapéutico para osteoporosis postmenopáusica 2016 AAEC/ICE</w:t>
      </w:r>
      <w:r>
        <w:rPr>
          <w:rFonts w:ascii="Arial" w:eastAsia="Times New Roman" w:hAnsi="Arial" w:cs="Arial"/>
          <w:b/>
          <w:sz w:val="20"/>
          <w:szCs w:val="20"/>
          <w:lang w:eastAsia="es-AR"/>
        </w:rPr>
        <w:t xml:space="preserve">. </w:t>
      </w:r>
      <w:r w:rsidRPr="00861F55">
        <w:rPr>
          <w:rFonts w:ascii="Arial" w:eastAsia="Times New Roman" w:hAnsi="Arial" w:cs="Arial"/>
          <w:sz w:val="20"/>
          <w:szCs w:val="20"/>
          <w:lang w:val="en-US" w:eastAsia="es-AR"/>
        </w:rPr>
        <w:t>(</w:t>
      </w:r>
      <w:proofErr w:type="spellStart"/>
      <w:r w:rsidRPr="00861F55">
        <w:rPr>
          <w:rFonts w:ascii="Arial" w:eastAsia="Times New Roman" w:hAnsi="Arial" w:cs="Arial"/>
          <w:sz w:val="20"/>
          <w:szCs w:val="20"/>
          <w:lang w:val="en-US" w:eastAsia="es-AR"/>
        </w:rPr>
        <w:t>Tomado</w:t>
      </w:r>
      <w:proofErr w:type="spellEnd"/>
      <w:r w:rsidRPr="00861F55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y </w:t>
      </w:r>
      <w:proofErr w:type="spellStart"/>
      <w:r w:rsidRPr="00861F55">
        <w:rPr>
          <w:rFonts w:ascii="Arial" w:eastAsia="Times New Roman" w:hAnsi="Arial" w:cs="Arial"/>
          <w:sz w:val="20"/>
          <w:szCs w:val="20"/>
          <w:lang w:val="en-US" w:eastAsia="es-AR"/>
        </w:rPr>
        <w:t>traducico</w:t>
      </w:r>
      <w:proofErr w:type="spellEnd"/>
      <w:r w:rsidRPr="00861F55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de AMERICAN ASSOCIATION OF CLINICAL ENDOCRINOLOGISTS AND AMERICAN COLLEGE OF ENDOCRINOLOGY CLINICAL PRACTICE GUIDELINES FOR THE DIAGNOSIS AND TREATMENT OF POSTMENOPAUSAL OSTEOPOROSIS — 2016)</w:t>
      </w:r>
    </w:p>
    <w:p w14:paraId="20A9CA01" w14:textId="7F69F0BD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  <w:r>
        <w:rPr>
          <w:noProof/>
          <w:lang w:val="en-US"/>
        </w:rPr>
        <w:drawing>
          <wp:inline distT="0" distB="0" distL="0" distR="0" wp14:anchorId="5B26820F" wp14:editId="06FD556C">
            <wp:extent cx="6677025" cy="6962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42" r="12431" b="4445"/>
                    <a:stretch/>
                  </pic:blipFill>
                  <pic:spPr bwMode="auto">
                    <a:xfrm>
                      <a:off x="0" y="0"/>
                      <a:ext cx="6677025" cy="696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58E8E" w14:textId="67B4DE45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20BFEF8F" w14:textId="117D1D8C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7E34101" w14:textId="7F41D0B7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1AF10620" w14:textId="2DFCC361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6A28B37B" w14:textId="3DB7F400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55188089" w14:textId="2E69A1E8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2574FF8C" w14:textId="37B1A7DE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3581C4EB" w14:textId="6C72CFB6" w:rsidR="00597D20" w:rsidRPr="00421BDD" w:rsidRDefault="00421BDD" w:rsidP="00597D20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val="es-CO" w:eastAsia="es-AR"/>
        </w:rPr>
      </w:pPr>
      <w:r w:rsidRPr="00421BDD">
        <w:rPr>
          <w:rFonts w:ascii="Arial" w:eastAsia="Times New Roman" w:hAnsi="Arial" w:cs="Arial"/>
          <w:b/>
          <w:sz w:val="20"/>
          <w:szCs w:val="20"/>
          <w:lang w:val="es-CO" w:eastAsia="es-AR"/>
        </w:rPr>
        <w:t xml:space="preserve">13.2. Guía Sociedad Española de Investigación Ósea y del Metabolismo Mineral. </w:t>
      </w:r>
      <w:r w:rsidRPr="00421BDD">
        <w:rPr>
          <w:rFonts w:ascii="Arial" w:eastAsia="Times New Roman" w:hAnsi="Arial" w:cs="Arial"/>
          <w:sz w:val="20"/>
          <w:szCs w:val="20"/>
          <w:lang w:eastAsia="es-AR"/>
        </w:rPr>
        <w:t xml:space="preserve">Tomada y adaptado de (Clínica en la Osteoporosis Postmenopáusica, </w:t>
      </w:r>
      <w:proofErr w:type="spellStart"/>
      <w:r w:rsidRPr="00421BDD">
        <w:rPr>
          <w:rFonts w:ascii="Arial" w:eastAsia="Times New Roman" w:hAnsi="Arial" w:cs="Arial"/>
          <w:sz w:val="20"/>
          <w:szCs w:val="20"/>
          <w:lang w:eastAsia="es-AR"/>
        </w:rPr>
        <w:t>glucocorticoidea</w:t>
      </w:r>
      <w:proofErr w:type="spellEnd"/>
      <w:r w:rsidRPr="00421BDD">
        <w:rPr>
          <w:rFonts w:ascii="Arial" w:eastAsia="Times New Roman" w:hAnsi="Arial" w:cs="Arial"/>
          <w:sz w:val="20"/>
          <w:szCs w:val="20"/>
          <w:lang w:eastAsia="es-AR"/>
        </w:rPr>
        <w:t xml:space="preserve"> y del varón. SEIOMM 2014).</w:t>
      </w:r>
    </w:p>
    <w:p w14:paraId="5811F42C" w14:textId="269A995C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13FA2C80" w14:textId="44997D04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  <w:r>
        <w:rPr>
          <w:noProof/>
          <w:lang w:val="en-US"/>
        </w:rPr>
        <w:drawing>
          <wp:inline distT="0" distB="0" distL="0" distR="0" wp14:anchorId="39DEF5CC" wp14:editId="5430E759">
            <wp:extent cx="5915025" cy="6105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02" t="28371" r="24955" b="5946"/>
                    <a:stretch/>
                  </pic:blipFill>
                  <pic:spPr bwMode="auto">
                    <a:xfrm>
                      <a:off x="0" y="0"/>
                      <a:ext cx="5915025" cy="610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D699" w14:textId="10E9E03F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F1B8673" w14:textId="72F37129" w:rsidR="00AC61BD" w:rsidRDefault="00AC61BD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049201E" w14:textId="473CECCA" w:rsidR="00991067" w:rsidRDefault="00991067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754CBDE" w14:textId="2530C7F2" w:rsidR="00991067" w:rsidRDefault="00991067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3DE7618C" w14:textId="69324610" w:rsidR="00991067" w:rsidRDefault="00991067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6F2296F4" w14:textId="18FB8062" w:rsidR="00991067" w:rsidRDefault="00991067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378F3F1" w14:textId="6F974B13" w:rsidR="00991067" w:rsidRPr="00DB5AF0" w:rsidRDefault="00991067" w:rsidP="00DB5AF0">
      <w:p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val="es-CO" w:eastAsia="es-AR"/>
        </w:rPr>
      </w:pPr>
      <w:r w:rsidRPr="00DB5AF0">
        <w:rPr>
          <w:rFonts w:ascii="Arial" w:eastAsia="Times New Roman" w:hAnsi="Arial" w:cs="Arial"/>
          <w:b/>
          <w:sz w:val="20"/>
          <w:szCs w:val="20"/>
          <w:lang w:val="es-CO" w:eastAsia="es-AR"/>
        </w:rPr>
        <w:t xml:space="preserve">13.3.  II Consenso Colombiano para el Manejo de la Osteoporosis Posmenopáusica </w:t>
      </w:r>
      <w:r w:rsidRPr="00DB5AF0">
        <w:rPr>
          <w:rFonts w:ascii="Arial" w:eastAsia="Times New Roman" w:hAnsi="Arial" w:cs="Arial"/>
          <w:sz w:val="20"/>
          <w:szCs w:val="20"/>
          <w:lang w:val="es-CO" w:eastAsia="es-AR"/>
        </w:rPr>
        <w:t xml:space="preserve">(tomado y adaptado de </w:t>
      </w:r>
      <w:r w:rsidR="00DB5AF0" w:rsidRPr="00DB5AF0">
        <w:rPr>
          <w:rFonts w:ascii="Arial" w:eastAsia="Times New Roman" w:hAnsi="Arial" w:cs="Arial"/>
          <w:sz w:val="20"/>
          <w:szCs w:val="20"/>
          <w:lang w:val="es-CO" w:eastAsia="es-AR"/>
        </w:rPr>
        <w:t>Medina Orjuela A, et al. II Consenso Colombiano para el Manejo de la Osteoporosis Posmenopáusica. Revista Colombiana de Reumatología 2018)</w:t>
      </w:r>
    </w:p>
    <w:p w14:paraId="3FC30709" w14:textId="637F74FB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  <w:r>
        <w:rPr>
          <w:noProof/>
          <w:lang w:val="en-US"/>
        </w:rPr>
        <w:drawing>
          <wp:inline distT="0" distB="0" distL="0" distR="0" wp14:anchorId="30D5AE6E" wp14:editId="0F2ACE50">
            <wp:extent cx="6286500" cy="7172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26" t="32060" r="24873" b="9212"/>
                    <a:stretch/>
                  </pic:blipFill>
                  <pic:spPr bwMode="auto">
                    <a:xfrm>
                      <a:off x="0" y="0"/>
                      <a:ext cx="6286500" cy="717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7AA4F" w14:textId="0F8DDEAA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50A3CD77" w14:textId="3519D28E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3AAF4FC7" w14:textId="61E2F8A4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5B69A496" w14:textId="096831FF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7D52B490" w14:textId="586F4D73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40FB1822" w14:textId="26C93EDB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117D3226" w14:textId="45C200BA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3EA2B00B" w14:textId="00243C41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9283261" w14:textId="0A0F8003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FAE9CE7" w14:textId="20272C57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19DCCB4B" w14:textId="5BBA415A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136A0A8A" w14:textId="0BC6FCA5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6BD704A7" w14:textId="2EDFD3B4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5BC96DA4" w14:textId="77777777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2B7FFD0A" w14:textId="6827D72C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  <w:r>
        <w:rPr>
          <w:noProof/>
          <w:lang w:val="en-US"/>
        </w:rPr>
        <w:drawing>
          <wp:inline distT="0" distB="0" distL="0" distR="0" wp14:anchorId="5B769943" wp14:editId="157DC8F1">
            <wp:extent cx="5905500" cy="4210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66" t="22413" r="30456" b="10913"/>
                    <a:stretch/>
                  </pic:blipFill>
                  <pic:spPr bwMode="auto">
                    <a:xfrm>
                      <a:off x="0" y="0"/>
                      <a:ext cx="590550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D37F1" w14:textId="3553C8F5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6A51334C" w14:textId="4F978DDD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42A2AFC" w14:textId="7D2C738D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2D59D4CC" w14:textId="5A6312A8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25CF8DCD" w14:textId="73AAB398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76B8B385" w14:textId="2CCFD42F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3C0BE3D2" w14:textId="575B5E7B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67447FE7" w14:textId="284DD34E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4CB00C9C" w14:textId="496CFEAE" w:rsidR="00597D20" w:rsidRDefault="00597D2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75732616" w14:textId="090F12AE" w:rsidR="00DB5AF0" w:rsidRDefault="00DB5AF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224C4A52" w14:textId="07E4C4AB" w:rsidR="00DB5AF0" w:rsidRDefault="00DB5AF0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6E5995FB" w14:textId="50B409F2" w:rsidR="00DB5AF0" w:rsidRPr="00770B1B" w:rsidRDefault="00100339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lang w:val="en-US" w:eastAsia="es-AR"/>
        </w:rPr>
      </w:pPr>
      <w:r w:rsidRPr="00770B1B">
        <w:rPr>
          <w:rFonts w:ascii="Arial" w:eastAsia="Times New Roman" w:hAnsi="Arial" w:cs="Arial"/>
          <w:b/>
          <w:sz w:val="20"/>
          <w:szCs w:val="20"/>
          <w:lang w:val="en-US" w:eastAsia="es-AR"/>
        </w:rPr>
        <w:lastRenderedPageBreak/>
        <w:t xml:space="preserve">13.4. </w:t>
      </w:r>
      <w:r w:rsidR="00770B1B" w:rsidRPr="00770B1B">
        <w:rPr>
          <w:rFonts w:ascii="Arial" w:eastAsia="Times New Roman" w:hAnsi="Arial" w:cs="Arial"/>
          <w:b/>
          <w:sz w:val="20"/>
          <w:szCs w:val="20"/>
          <w:lang w:val="es-CO" w:eastAsia="es-AR"/>
        </w:rPr>
        <w:t xml:space="preserve">Algoritmo para el manejo de la osteoporosis </w:t>
      </w:r>
      <w:proofErr w:type="spellStart"/>
      <w:r w:rsidR="00770B1B" w:rsidRPr="00770B1B">
        <w:rPr>
          <w:rFonts w:ascii="Arial" w:eastAsia="Times New Roman" w:hAnsi="Arial" w:cs="Arial"/>
          <w:b/>
          <w:sz w:val="20"/>
          <w:szCs w:val="20"/>
          <w:lang w:val="es-CO" w:eastAsia="es-AR"/>
        </w:rPr>
        <w:t>postmenopausica</w:t>
      </w:r>
      <w:proofErr w:type="spellEnd"/>
      <w:r w:rsidR="00770B1B" w:rsidRPr="00770B1B">
        <w:rPr>
          <w:rFonts w:ascii="Arial" w:eastAsia="Times New Roman" w:hAnsi="Arial" w:cs="Arial"/>
          <w:b/>
          <w:sz w:val="20"/>
          <w:szCs w:val="20"/>
          <w:lang w:val="es-CO" w:eastAsia="es-AR"/>
        </w:rPr>
        <w:t xml:space="preserve"> Sociedad Europea de Endocrinología.</w:t>
      </w:r>
      <w:r w:rsidR="00770B1B" w:rsidRPr="00770B1B">
        <w:rPr>
          <w:rFonts w:ascii="Arial" w:eastAsia="Times New Roman" w:hAnsi="Arial" w:cs="Arial"/>
          <w:sz w:val="20"/>
          <w:szCs w:val="20"/>
          <w:lang w:val="es-CO" w:eastAsia="es-AR"/>
        </w:rPr>
        <w:t xml:space="preserve"> </w:t>
      </w:r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>(</w:t>
      </w:r>
      <w:proofErr w:type="spellStart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>Tomado</w:t>
      </w:r>
      <w:proofErr w:type="spellEnd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de J </w:t>
      </w:r>
      <w:proofErr w:type="spellStart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>Clin</w:t>
      </w:r>
      <w:proofErr w:type="spellEnd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</w:t>
      </w:r>
      <w:proofErr w:type="spellStart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>Endocrinol</w:t>
      </w:r>
      <w:proofErr w:type="spellEnd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</w:t>
      </w:r>
      <w:proofErr w:type="spellStart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>Metab</w:t>
      </w:r>
      <w:proofErr w:type="spellEnd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>, May 2019, 104(5):1–</w:t>
      </w:r>
      <w:proofErr w:type="gramStart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>28 )</w:t>
      </w:r>
      <w:proofErr w:type="gramEnd"/>
      <w:r w:rsidR="00770B1B" w:rsidRPr="00770B1B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</w:t>
      </w:r>
      <w:bookmarkStart w:id="0" w:name="_GoBack"/>
      <w:bookmarkEnd w:id="0"/>
    </w:p>
    <w:p w14:paraId="4B96D276" w14:textId="469E3668" w:rsidR="00100339" w:rsidRDefault="00100339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  <w:r>
        <w:rPr>
          <w:noProof/>
          <w:lang w:val="en-US"/>
        </w:rPr>
        <w:drawing>
          <wp:inline distT="0" distB="0" distL="0" distR="0" wp14:anchorId="20124640" wp14:editId="4E33375B">
            <wp:extent cx="6076950" cy="5400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129" t="24683" r="23596" b="9778"/>
                    <a:stretch/>
                  </pic:blipFill>
                  <pic:spPr bwMode="auto">
                    <a:xfrm>
                      <a:off x="0" y="0"/>
                      <a:ext cx="6076950" cy="540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9FF89" w14:textId="033293C9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465C2ACF" w14:textId="404BFD07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3E36D53A" w14:textId="76D46596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4D4A1F68" w14:textId="11187D4A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738B3933" w14:textId="099756D4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DEAC09C" w14:textId="3756F0EC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1D65621B" w14:textId="1FCBEB7C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6D15B349" w14:textId="13DC4CAD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05764684" w14:textId="6CD9004A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5BED1B5B" w14:textId="1BE7755B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198DE240" w14:textId="1EAFE24F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5C89ACCA" w14:textId="19D405ED" w:rsidR="00770B1B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75F411B6" w14:textId="77777777" w:rsidR="00770B1B" w:rsidRPr="00597D20" w:rsidRDefault="00770B1B" w:rsidP="00597D20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val="es-CO" w:eastAsia="es-AR"/>
        </w:rPr>
      </w:pPr>
    </w:p>
    <w:p w14:paraId="35A6C8AA" w14:textId="5A2FDB22" w:rsidR="0016455B" w:rsidRPr="00DB5AF0" w:rsidRDefault="00DB5AF0" w:rsidP="00DB5AF0">
      <w:pPr>
        <w:pStyle w:val="Prrafodelista"/>
        <w:numPr>
          <w:ilvl w:val="0"/>
          <w:numId w:val="15"/>
        </w:num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  <w:r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  <w:t>Bibliografía</w:t>
      </w:r>
    </w:p>
    <w:p w14:paraId="556AFF6D" w14:textId="77777777" w:rsidR="001823F0" w:rsidRPr="00680378" w:rsidRDefault="001823F0" w:rsidP="006F4351">
      <w:pPr>
        <w:shd w:val="clear" w:color="auto" w:fill="FFFFFF"/>
        <w:spacing w:line="276" w:lineRule="auto"/>
        <w:rPr>
          <w:rFonts w:ascii="Arial" w:eastAsia="Times New Roman" w:hAnsi="Arial" w:cs="Arial"/>
          <w:b/>
          <w:sz w:val="20"/>
          <w:szCs w:val="20"/>
          <w:u w:val="single"/>
          <w:lang w:eastAsia="es-AR"/>
        </w:rPr>
      </w:pPr>
    </w:p>
    <w:p w14:paraId="0447192B" w14:textId="75CFCAEF" w:rsidR="00994EDF" w:rsidRPr="00680378" w:rsidRDefault="00994EDF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val="en-US" w:eastAsia="es-AR"/>
        </w:rPr>
      </w:pPr>
      <w:r w:rsidRPr="00421BDD">
        <w:rPr>
          <w:rFonts w:ascii="Arial" w:eastAsia="Times New Roman" w:hAnsi="Arial" w:cs="Arial"/>
          <w:sz w:val="20"/>
          <w:szCs w:val="20"/>
          <w:lang w:val="es-CO" w:eastAsia="es-AR"/>
        </w:rPr>
        <w:t xml:space="preserve">Adler RA, </w:t>
      </w:r>
      <w:proofErr w:type="spellStart"/>
      <w:r w:rsidRPr="00421BDD">
        <w:rPr>
          <w:rFonts w:ascii="Arial" w:eastAsia="Times New Roman" w:hAnsi="Arial" w:cs="Arial"/>
          <w:sz w:val="20"/>
          <w:szCs w:val="20"/>
          <w:lang w:val="es-CO" w:eastAsia="es-AR"/>
        </w:rPr>
        <w:t>Fuleihan</w:t>
      </w:r>
      <w:proofErr w:type="spellEnd"/>
      <w:r w:rsidRPr="00421BDD">
        <w:rPr>
          <w:rFonts w:ascii="Arial" w:eastAsia="Times New Roman" w:hAnsi="Arial" w:cs="Arial"/>
          <w:sz w:val="20"/>
          <w:szCs w:val="20"/>
          <w:lang w:val="es-CO" w:eastAsia="es-AR"/>
        </w:rPr>
        <w:t xml:space="preserve"> GE, Bauer D, Camacho P, </w:t>
      </w:r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Clarke BL, Clines GA (2016). Managing osteoporosis patients after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longterm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bisphosphonate treatment: report of task Force of The American Society for Bone and Mineral Research. JBMR (1) 16-35.</w:t>
      </w:r>
    </w:p>
    <w:p w14:paraId="3FA918E0" w14:textId="025C7E1C" w:rsidR="00994EDF" w:rsidRPr="00680378" w:rsidRDefault="00994EDF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val="en-US" w:eastAsia="es-AR"/>
        </w:rPr>
      </w:pP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Bolland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MJ,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Avenell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A, Baron JA, et al. (2010). Effect of calcium supplements on risk of myocardial infarction and cardiovascular events: meta-analysis. BMJ</w:t>
      </w:r>
      <w:proofErr w:type="gram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;341</w:t>
      </w:r>
      <w:proofErr w:type="gram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(29):c3691.</w:t>
      </w:r>
    </w:p>
    <w:p w14:paraId="04D5E65F" w14:textId="02B74550" w:rsidR="001823F0" w:rsidRPr="00680378" w:rsidRDefault="001823F0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val="en-US" w:eastAsia="es-AR"/>
        </w:rPr>
      </w:pPr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Camacho P,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Petak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SM, Binkley N, Clarke BL, Harris ST, Hurley DL, et al. (2016). American association of clinical endocrinologists and </w:t>
      </w:r>
      <w:proofErr w:type="spellStart"/>
      <w:proofErr w:type="gram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american</w:t>
      </w:r>
      <w:proofErr w:type="spellEnd"/>
      <w:proofErr w:type="gram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college of endocrinology clinical practice guidelines for the diagnosis and treatment of postmenopausal osteoporosis. Endocrine Practice Vol 22,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suppl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4.</w:t>
      </w:r>
    </w:p>
    <w:p w14:paraId="1CF381F6" w14:textId="1139E911" w:rsidR="001823F0" w:rsidRPr="00680378" w:rsidRDefault="001823F0" w:rsidP="00E9172D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val="en-US" w:eastAsia="es-AR"/>
        </w:rPr>
      </w:pP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Cosman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F,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Beur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SJ,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LeBoff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MS,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Lewiecki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EM, Tanner B., Randall S., Lindsay S (2014). Clinician‘s guide to prevention and treatment of osteoporosis, Osteoporosis Int.</w:t>
      </w:r>
    </w:p>
    <w:p w14:paraId="34E19268" w14:textId="77777777" w:rsidR="00994EDF" w:rsidRPr="00680378" w:rsidRDefault="00994EDF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680378">
        <w:rPr>
          <w:rFonts w:ascii="Arial" w:hAnsi="Arial" w:cs="Arial"/>
          <w:sz w:val="20"/>
          <w:szCs w:val="20"/>
          <w:lang w:val="en-US"/>
        </w:rPr>
        <w:t xml:space="preserve">Dawson-Hughes B,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Mithal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A, Bonjour J. (2010). IOF position statement: Vitamin D recommendations for older adults.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Osteoporos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21:1151-4.</w:t>
      </w:r>
    </w:p>
    <w:p w14:paraId="75AEFA87" w14:textId="3C1A5103" w:rsidR="00994EDF" w:rsidRPr="00680378" w:rsidRDefault="00994EDF" w:rsidP="00E9172D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val="en-US" w:eastAsia="es-AR"/>
        </w:rPr>
      </w:pP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Holick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M (2007). Vitamin D deficiency.  N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Engl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 J Med; 357: 266-81</w:t>
      </w:r>
    </w:p>
    <w:p w14:paraId="16A609C8" w14:textId="1E7C85D5" w:rsidR="00994EDF" w:rsidRPr="00680378" w:rsidRDefault="00994EDF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val="en-US" w:eastAsia="es-AR"/>
        </w:rPr>
      </w:pP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Rachner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TD, </w:t>
      </w:r>
      <w:proofErr w:type="gram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Khosla  S</w:t>
      </w:r>
      <w:proofErr w:type="gram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, 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Hofbauer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 LC (2011). Osteoporosis: now and the future. Lancet; 377: 1276-87.</w:t>
      </w:r>
    </w:p>
    <w:p w14:paraId="59ACD7BD" w14:textId="77777777" w:rsidR="00994EDF" w:rsidRPr="00680378" w:rsidRDefault="00994EDF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rPr>
          <w:rFonts w:ascii="Arial" w:eastAsia="Times New Roman" w:hAnsi="Arial" w:cs="Arial"/>
          <w:sz w:val="20"/>
          <w:szCs w:val="20"/>
          <w:lang w:val="en-US" w:eastAsia="es-AR"/>
        </w:rPr>
      </w:pPr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Watts NB, Dima LD (2010). Long-term use for bisphosphonates in osteoporosis. J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Clin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Endocrinol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Metab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; 95: 1555-65.</w:t>
      </w:r>
    </w:p>
    <w:p w14:paraId="4E82BDDE" w14:textId="77777777" w:rsidR="00994EDF" w:rsidRPr="00680378" w:rsidRDefault="00994EDF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eastAsia="Times New Roman" w:hAnsi="Arial" w:cs="Arial"/>
          <w:sz w:val="20"/>
          <w:szCs w:val="20"/>
          <w:lang w:val="en-US" w:eastAsia="es-AR"/>
        </w:rPr>
      </w:pPr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Wang L, Manson JE,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Sesso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HD (2012). Calcium intake and risk of cardiovascular disease: a review of prospective studies and randomized clinical trials. Am J </w:t>
      </w:r>
      <w:proofErr w:type="spell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Cardiovasc</w:t>
      </w:r>
      <w:proofErr w:type="spell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 xml:space="preserve"> Drugs</w:t>
      </w:r>
      <w:proofErr w:type="gramStart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;12</w:t>
      </w:r>
      <w:proofErr w:type="gramEnd"/>
      <w:r w:rsidRPr="00680378">
        <w:rPr>
          <w:rFonts w:ascii="Arial" w:eastAsia="Times New Roman" w:hAnsi="Arial" w:cs="Arial"/>
          <w:sz w:val="20"/>
          <w:szCs w:val="20"/>
          <w:lang w:val="en-US" w:eastAsia="es-AR"/>
        </w:rPr>
        <w:t>(2):105–116.</w:t>
      </w:r>
    </w:p>
    <w:p w14:paraId="0E9B8E19" w14:textId="176F69AA" w:rsidR="00994EDF" w:rsidRPr="00680378" w:rsidRDefault="00994EDF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680378">
        <w:rPr>
          <w:rFonts w:ascii="Arial" w:hAnsi="Arial" w:cs="Arial"/>
          <w:sz w:val="20"/>
          <w:szCs w:val="20"/>
          <w:lang w:val="en-US"/>
        </w:rPr>
        <w:t xml:space="preserve">Watts NB., Manson JE (2017). Osteoporosis and fracture risk evaluation and management, Shared decision making in clinical practice. </w:t>
      </w:r>
      <w:hyperlink r:id="rId13" w:tooltip="JAMA." w:history="1">
        <w:r w:rsidRPr="00680378">
          <w:rPr>
            <w:rFonts w:ascii="Arial" w:hAnsi="Arial" w:cs="Arial"/>
            <w:sz w:val="20"/>
            <w:szCs w:val="20"/>
            <w:shd w:val="clear" w:color="auto" w:fill="FFFFFF"/>
          </w:rPr>
          <w:t>JAMA.</w:t>
        </w:r>
      </w:hyperlink>
      <w:r w:rsidRPr="00680378">
        <w:rPr>
          <w:rFonts w:ascii="Arial" w:hAnsi="Arial" w:cs="Arial"/>
          <w:sz w:val="20"/>
          <w:szCs w:val="20"/>
          <w:shd w:val="clear" w:color="auto" w:fill="FFFFFF"/>
        </w:rPr>
        <w:t>;317(3):253-254.</w:t>
      </w:r>
      <w:r w:rsidRPr="00680378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103B8BCF" w14:textId="364F54D1" w:rsidR="001823F0" w:rsidRPr="00680378" w:rsidRDefault="001823F0" w:rsidP="00994EDF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hAnsi="Arial" w:cs="Arial"/>
          <w:bCs/>
          <w:sz w:val="20"/>
          <w:szCs w:val="20"/>
          <w:lang w:val="en-US" w:eastAsia="es-AR"/>
        </w:rPr>
      </w:pPr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 xml:space="preserve">Weaver </w:t>
      </w:r>
      <w:r w:rsidR="00994EDF"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>CM, Alexander</w:t>
      </w:r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 xml:space="preserve"> DD,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>Boushey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 xml:space="preserve"> J, Hughes D,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>Lappe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 xml:space="preserve"> M,.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>LeBoff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 xml:space="preserve"> MS, et al. (2016). Calcium plus vitamin D supplementation and risk of fractures: an updated meta-analysis from the National Osteoporosis Foundation.</w:t>
      </w:r>
      <w:r w:rsidRPr="0068037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>Osteoporos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 xml:space="preserve"> </w:t>
      </w:r>
      <w:proofErr w:type="spellStart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>Int</w:t>
      </w:r>
      <w:proofErr w:type="spellEnd"/>
      <w:r w:rsidRPr="00680378">
        <w:rPr>
          <w:rStyle w:val="Textoennegrita"/>
          <w:rFonts w:ascii="Arial" w:hAnsi="Arial" w:cs="Arial"/>
          <w:b w:val="0"/>
          <w:sz w:val="20"/>
          <w:szCs w:val="20"/>
          <w:lang w:val="en-US" w:eastAsia="es-AR"/>
        </w:rPr>
        <w:t xml:space="preserve"> 27:367–376.</w:t>
      </w:r>
    </w:p>
    <w:p w14:paraId="23F28BEF" w14:textId="13C52A30" w:rsidR="001823F0" w:rsidRPr="00680378" w:rsidRDefault="001823F0" w:rsidP="00E9172D">
      <w:pPr>
        <w:pStyle w:val="Prrafodelista"/>
        <w:numPr>
          <w:ilvl w:val="0"/>
          <w:numId w:val="11"/>
        </w:numPr>
        <w:shd w:val="clear" w:color="auto" w:fill="FFFFFF"/>
        <w:spacing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680378">
        <w:rPr>
          <w:rFonts w:ascii="Arial" w:hAnsi="Arial" w:cs="Arial"/>
          <w:sz w:val="20"/>
          <w:szCs w:val="20"/>
          <w:lang w:val="en-US"/>
        </w:rPr>
        <w:t>Zaheer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 S</w:t>
      </w:r>
      <w:proofErr w:type="gramEnd"/>
      <w:r w:rsidRPr="0068037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S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LeBoff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 M and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Lewiecki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M (2015).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Denosumab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for the treatment of osteoporosis Expert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Opin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. Drug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Metab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. </w:t>
      </w:r>
      <w:proofErr w:type="spellStart"/>
      <w:r w:rsidRPr="00680378">
        <w:rPr>
          <w:rFonts w:ascii="Arial" w:hAnsi="Arial" w:cs="Arial"/>
          <w:sz w:val="20"/>
          <w:szCs w:val="20"/>
          <w:lang w:val="en-US"/>
        </w:rPr>
        <w:t>Toxicol</w:t>
      </w:r>
      <w:proofErr w:type="spellEnd"/>
      <w:r w:rsidRPr="00680378">
        <w:rPr>
          <w:rFonts w:ascii="Arial" w:hAnsi="Arial" w:cs="Arial"/>
          <w:sz w:val="20"/>
          <w:szCs w:val="20"/>
          <w:lang w:val="en-US"/>
        </w:rPr>
        <w:t xml:space="preserve"> 11(3):461-470.</w:t>
      </w:r>
    </w:p>
    <w:p w14:paraId="49E6F45B" w14:textId="77777777" w:rsidR="00716466" w:rsidRPr="00680378" w:rsidRDefault="00716466" w:rsidP="00E9172D">
      <w:pPr>
        <w:shd w:val="clear" w:color="auto" w:fill="FFFFFF"/>
        <w:spacing w:line="276" w:lineRule="auto"/>
        <w:jc w:val="both"/>
        <w:rPr>
          <w:rFonts w:ascii="Arial" w:eastAsia="Times New Roman" w:hAnsi="Arial"/>
          <w:sz w:val="20"/>
          <w:szCs w:val="20"/>
          <w:lang w:eastAsia="es-AR"/>
        </w:rPr>
      </w:pPr>
    </w:p>
    <w:p w14:paraId="3C3923F8" w14:textId="77777777" w:rsidR="00EF1FA1" w:rsidRPr="00680378" w:rsidRDefault="00EF1FA1" w:rsidP="00E9172D">
      <w:pPr>
        <w:spacing w:line="276" w:lineRule="auto"/>
        <w:jc w:val="both"/>
        <w:rPr>
          <w:rStyle w:val="Textoennegrita"/>
          <w:rFonts w:ascii="Arial" w:hAnsi="Arial" w:cs="Arial"/>
          <w:sz w:val="20"/>
          <w:szCs w:val="20"/>
        </w:rPr>
      </w:pPr>
    </w:p>
    <w:p w14:paraId="7725C3EC" w14:textId="77777777" w:rsidR="00EF1FA1" w:rsidRPr="00680378" w:rsidRDefault="00EF1FA1" w:rsidP="00E9172D">
      <w:pPr>
        <w:spacing w:line="276" w:lineRule="auto"/>
        <w:jc w:val="both"/>
        <w:rPr>
          <w:rStyle w:val="Textoennegrita"/>
          <w:rFonts w:ascii="Arial" w:hAnsi="Arial" w:cs="Arial"/>
          <w:sz w:val="20"/>
          <w:szCs w:val="20"/>
        </w:rPr>
      </w:pPr>
    </w:p>
    <w:p w14:paraId="7EDA24F9" w14:textId="77777777" w:rsidR="00EF1FA1" w:rsidRPr="00680378" w:rsidRDefault="00EF1FA1" w:rsidP="00E9172D">
      <w:pPr>
        <w:spacing w:line="276" w:lineRule="auto"/>
        <w:jc w:val="both"/>
        <w:rPr>
          <w:rStyle w:val="Textoennegrita"/>
          <w:rFonts w:ascii="Arial" w:hAnsi="Arial" w:cs="Arial"/>
          <w:sz w:val="20"/>
          <w:szCs w:val="20"/>
        </w:rPr>
      </w:pPr>
    </w:p>
    <w:p w14:paraId="11C9688F" w14:textId="77777777" w:rsidR="00EF1FA1" w:rsidRPr="00680378" w:rsidRDefault="00EF1FA1" w:rsidP="00E9172D">
      <w:pPr>
        <w:spacing w:line="276" w:lineRule="auto"/>
        <w:jc w:val="both"/>
        <w:rPr>
          <w:rStyle w:val="Textoennegrita"/>
          <w:rFonts w:ascii="Arial" w:hAnsi="Arial" w:cs="Arial"/>
          <w:sz w:val="20"/>
          <w:szCs w:val="20"/>
        </w:rPr>
      </w:pPr>
    </w:p>
    <w:p w14:paraId="105917BB" w14:textId="77777777" w:rsidR="00682954" w:rsidRPr="00680378" w:rsidRDefault="00682954" w:rsidP="00E9172D">
      <w:pPr>
        <w:spacing w:line="276" w:lineRule="auto"/>
        <w:jc w:val="both"/>
        <w:rPr>
          <w:rStyle w:val="Textoennegrita"/>
          <w:rFonts w:ascii="Arial" w:hAnsi="Arial" w:cs="Arial"/>
          <w:sz w:val="20"/>
          <w:szCs w:val="20"/>
        </w:rPr>
      </w:pPr>
    </w:p>
    <w:p w14:paraId="44F01742" w14:textId="77777777" w:rsidR="00682954" w:rsidRPr="00680378" w:rsidRDefault="00682954" w:rsidP="00E9172D">
      <w:pPr>
        <w:spacing w:line="276" w:lineRule="auto"/>
        <w:jc w:val="both"/>
        <w:rPr>
          <w:rStyle w:val="Textoennegrita"/>
          <w:rFonts w:ascii="Arial" w:hAnsi="Arial" w:cs="Arial"/>
          <w:sz w:val="20"/>
          <w:szCs w:val="20"/>
        </w:rPr>
      </w:pPr>
    </w:p>
    <w:p w14:paraId="49B90CE7" w14:textId="77777777" w:rsidR="00682954" w:rsidRPr="00680378" w:rsidRDefault="00682954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5B30D029" w14:textId="77777777" w:rsidR="00682954" w:rsidRPr="00680378" w:rsidRDefault="00682954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7AAE915A" w14:textId="77777777" w:rsidR="00682954" w:rsidRPr="00680378" w:rsidRDefault="00682954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160B2F72" w14:textId="77777777" w:rsidR="00682954" w:rsidRPr="00680378" w:rsidRDefault="00682954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4627E4BB" w14:textId="77777777" w:rsidR="00682954" w:rsidRPr="00680378" w:rsidRDefault="00682954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037EBC3E" w14:textId="77777777" w:rsidR="00682954" w:rsidRPr="00680378" w:rsidRDefault="00682954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300855FD" w14:textId="77777777" w:rsidR="00682954" w:rsidRPr="00680378" w:rsidRDefault="00682954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633117AC" w14:textId="77777777" w:rsidR="00DA408B" w:rsidRPr="00680378" w:rsidRDefault="00DA408B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6D6616AB" w14:textId="77777777" w:rsidR="00DA408B" w:rsidRPr="00680378" w:rsidRDefault="00DA408B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6FB08B83" w14:textId="33869B23" w:rsidR="00210DB5" w:rsidRPr="00680378" w:rsidRDefault="00210DB5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4DFA6C80" w14:textId="211208ED" w:rsidR="00306956" w:rsidRPr="00680378" w:rsidRDefault="00306956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p w14:paraId="4BED2365" w14:textId="021A58FF" w:rsidR="00306956" w:rsidRPr="00680378" w:rsidRDefault="00306956" w:rsidP="006F4351">
      <w:pPr>
        <w:spacing w:line="276" w:lineRule="auto"/>
        <w:rPr>
          <w:rStyle w:val="Textoennegrita"/>
          <w:rFonts w:ascii="Arial" w:hAnsi="Arial" w:cs="Arial"/>
          <w:sz w:val="20"/>
          <w:szCs w:val="20"/>
        </w:rPr>
      </w:pPr>
    </w:p>
    <w:sectPr w:rsidR="00306956" w:rsidRPr="00680378" w:rsidSect="00251E9C">
      <w:headerReference w:type="even" r:id="rId14"/>
      <w:headerReference w:type="default" r:id="rId15"/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1A08F3" w14:textId="77777777" w:rsidR="004E01D4" w:rsidRDefault="004E01D4" w:rsidP="001F3DA8">
      <w:r>
        <w:separator/>
      </w:r>
    </w:p>
  </w:endnote>
  <w:endnote w:type="continuationSeparator" w:id="0">
    <w:p w14:paraId="4FE3698A" w14:textId="77777777" w:rsidR="004E01D4" w:rsidRDefault="004E01D4" w:rsidP="001F3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rmdITC Bk BT">
    <w:altName w:val="Cambria"/>
    <w:charset w:val="00"/>
    <w:family w:val="roman"/>
    <w:pitch w:val="variable"/>
    <w:sig w:usb0="00000087" w:usb1="00000000" w:usb2="00000000" w:usb3="00000000" w:csb0="000000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26B552" w14:textId="77777777" w:rsidR="004E01D4" w:rsidRDefault="004E01D4" w:rsidP="001F3DA8">
      <w:r>
        <w:separator/>
      </w:r>
    </w:p>
  </w:footnote>
  <w:footnote w:type="continuationSeparator" w:id="0">
    <w:p w14:paraId="5EEE7AA6" w14:textId="77777777" w:rsidR="004E01D4" w:rsidRDefault="004E01D4" w:rsidP="001F3D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B92056" w14:textId="77777777" w:rsidR="00100339" w:rsidRDefault="00100339" w:rsidP="00A1576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03BA1C0" w14:textId="77777777" w:rsidR="00100339" w:rsidRDefault="00100339" w:rsidP="001F3DA8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D6CB0" w14:textId="5720381B" w:rsidR="00100339" w:rsidRDefault="00100339" w:rsidP="00A1576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70B1B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7CB128F6" w14:textId="77777777" w:rsidR="00100339" w:rsidRDefault="00100339" w:rsidP="001F3DA8">
    <w:pPr>
      <w:pStyle w:val="Encabezad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543B4"/>
    <w:multiLevelType w:val="hybridMultilevel"/>
    <w:tmpl w:val="36746D68"/>
    <w:lvl w:ilvl="0" w:tplc="0C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A366F1A"/>
    <w:multiLevelType w:val="hybridMultilevel"/>
    <w:tmpl w:val="A7DA07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D3AA3"/>
    <w:multiLevelType w:val="hybridMultilevel"/>
    <w:tmpl w:val="7EB6709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6008A"/>
    <w:multiLevelType w:val="hybridMultilevel"/>
    <w:tmpl w:val="A8823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27CD4"/>
    <w:multiLevelType w:val="multilevel"/>
    <w:tmpl w:val="44749394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63473"/>
    <w:multiLevelType w:val="hybridMultilevel"/>
    <w:tmpl w:val="D846B8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70F9A"/>
    <w:multiLevelType w:val="hybridMultilevel"/>
    <w:tmpl w:val="38DCC4E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9D696B"/>
    <w:multiLevelType w:val="hybridMultilevel"/>
    <w:tmpl w:val="EF02A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008BF"/>
    <w:multiLevelType w:val="hybridMultilevel"/>
    <w:tmpl w:val="E71EFE42"/>
    <w:lvl w:ilvl="0" w:tplc="D27A15F0">
      <w:start w:val="4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B1506"/>
    <w:multiLevelType w:val="hybridMultilevel"/>
    <w:tmpl w:val="7FF0A8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F54D5"/>
    <w:multiLevelType w:val="hybridMultilevel"/>
    <w:tmpl w:val="8B50F49C"/>
    <w:lvl w:ilvl="0" w:tplc="D27A15F0">
      <w:start w:val="40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8034A2"/>
    <w:multiLevelType w:val="hybridMultilevel"/>
    <w:tmpl w:val="C518D4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02521"/>
    <w:multiLevelType w:val="hybridMultilevel"/>
    <w:tmpl w:val="1FC07F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3F3604"/>
    <w:multiLevelType w:val="hybridMultilevel"/>
    <w:tmpl w:val="70D06A88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42533C56"/>
    <w:multiLevelType w:val="hybridMultilevel"/>
    <w:tmpl w:val="E830386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615D5"/>
    <w:multiLevelType w:val="hybridMultilevel"/>
    <w:tmpl w:val="CFAA21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9B1FAA"/>
    <w:multiLevelType w:val="hybridMultilevel"/>
    <w:tmpl w:val="21B8E38E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54B905BE"/>
    <w:multiLevelType w:val="multilevel"/>
    <w:tmpl w:val="DFD0D89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D51305"/>
    <w:multiLevelType w:val="hybridMultilevel"/>
    <w:tmpl w:val="500EAF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5529DC"/>
    <w:multiLevelType w:val="multilevel"/>
    <w:tmpl w:val="905828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48C0A8D"/>
    <w:multiLevelType w:val="hybridMultilevel"/>
    <w:tmpl w:val="028044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16CDE"/>
    <w:multiLevelType w:val="hybridMultilevel"/>
    <w:tmpl w:val="EE9671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3C6BDD"/>
    <w:multiLevelType w:val="hybridMultilevel"/>
    <w:tmpl w:val="766C94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806E9A"/>
    <w:multiLevelType w:val="hybridMultilevel"/>
    <w:tmpl w:val="049880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20"/>
  </w:num>
  <w:num w:numId="4">
    <w:abstractNumId w:val="22"/>
  </w:num>
  <w:num w:numId="5">
    <w:abstractNumId w:val="16"/>
  </w:num>
  <w:num w:numId="6">
    <w:abstractNumId w:val="2"/>
  </w:num>
  <w:num w:numId="7">
    <w:abstractNumId w:val="14"/>
  </w:num>
  <w:num w:numId="8">
    <w:abstractNumId w:val="5"/>
  </w:num>
  <w:num w:numId="9">
    <w:abstractNumId w:val="6"/>
  </w:num>
  <w:num w:numId="10">
    <w:abstractNumId w:val="8"/>
  </w:num>
  <w:num w:numId="11">
    <w:abstractNumId w:val="12"/>
  </w:num>
  <w:num w:numId="12">
    <w:abstractNumId w:val="11"/>
  </w:num>
  <w:num w:numId="13">
    <w:abstractNumId w:val="21"/>
  </w:num>
  <w:num w:numId="14">
    <w:abstractNumId w:val="15"/>
  </w:num>
  <w:num w:numId="15">
    <w:abstractNumId w:val="19"/>
  </w:num>
  <w:num w:numId="16">
    <w:abstractNumId w:val="23"/>
  </w:num>
  <w:num w:numId="17">
    <w:abstractNumId w:val="1"/>
  </w:num>
  <w:num w:numId="18">
    <w:abstractNumId w:val="3"/>
  </w:num>
  <w:num w:numId="19">
    <w:abstractNumId w:val="18"/>
  </w:num>
  <w:num w:numId="20">
    <w:abstractNumId w:val="10"/>
  </w:num>
  <w:num w:numId="21">
    <w:abstractNumId w:val="0"/>
  </w:num>
  <w:num w:numId="22">
    <w:abstractNumId w:val="7"/>
  </w:num>
  <w:num w:numId="23">
    <w:abstractNumId w:val="4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D7"/>
    <w:rsid w:val="00001B60"/>
    <w:rsid w:val="00027AC5"/>
    <w:rsid w:val="000326D7"/>
    <w:rsid w:val="000404CB"/>
    <w:rsid w:val="00043B3D"/>
    <w:rsid w:val="00043E11"/>
    <w:rsid w:val="00060069"/>
    <w:rsid w:val="000600E3"/>
    <w:rsid w:val="00060A17"/>
    <w:rsid w:val="00087179"/>
    <w:rsid w:val="00091E9C"/>
    <w:rsid w:val="000A69A2"/>
    <w:rsid w:val="000F7C73"/>
    <w:rsid w:val="00100339"/>
    <w:rsid w:val="001009D8"/>
    <w:rsid w:val="001311F3"/>
    <w:rsid w:val="00132668"/>
    <w:rsid w:val="00133EA9"/>
    <w:rsid w:val="00141CF6"/>
    <w:rsid w:val="0014319B"/>
    <w:rsid w:val="00147046"/>
    <w:rsid w:val="00150305"/>
    <w:rsid w:val="0016455B"/>
    <w:rsid w:val="00164C58"/>
    <w:rsid w:val="00170F2F"/>
    <w:rsid w:val="00176077"/>
    <w:rsid w:val="001823F0"/>
    <w:rsid w:val="0018655C"/>
    <w:rsid w:val="0019016F"/>
    <w:rsid w:val="001947B3"/>
    <w:rsid w:val="001A168B"/>
    <w:rsid w:val="001B045A"/>
    <w:rsid w:val="001D0B3E"/>
    <w:rsid w:val="001E33BA"/>
    <w:rsid w:val="001E5CC5"/>
    <w:rsid w:val="001F3DA8"/>
    <w:rsid w:val="002062B4"/>
    <w:rsid w:val="00210DB5"/>
    <w:rsid w:val="00212361"/>
    <w:rsid w:val="002141FB"/>
    <w:rsid w:val="00215F2A"/>
    <w:rsid w:val="00240A9B"/>
    <w:rsid w:val="00243098"/>
    <w:rsid w:val="00251E9C"/>
    <w:rsid w:val="00255020"/>
    <w:rsid w:val="00263FD8"/>
    <w:rsid w:val="00266CA4"/>
    <w:rsid w:val="00286BCF"/>
    <w:rsid w:val="00292FFA"/>
    <w:rsid w:val="002C3A6C"/>
    <w:rsid w:val="002C3DA0"/>
    <w:rsid w:val="002D6EEF"/>
    <w:rsid w:val="00306956"/>
    <w:rsid w:val="00310A94"/>
    <w:rsid w:val="00331534"/>
    <w:rsid w:val="00347072"/>
    <w:rsid w:val="003604E4"/>
    <w:rsid w:val="00364069"/>
    <w:rsid w:val="00375270"/>
    <w:rsid w:val="0038320A"/>
    <w:rsid w:val="003863D9"/>
    <w:rsid w:val="003B241F"/>
    <w:rsid w:val="003C0AD4"/>
    <w:rsid w:val="003C29BD"/>
    <w:rsid w:val="003C63A5"/>
    <w:rsid w:val="003C7FEE"/>
    <w:rsid w:val="003D202D"/>
    <w:rsid w:val="003D23CE"/>
    <w:rsid w:val="003D3805"/>
    <w:rsid w:val="003D3C02"/>
    <w:rsid w:val="003F15C3"/>
    <w:rsid w:val="00413866"/>
    <w:rsid w:val="00421BDD"/>
    <w:rsid w:val="00423032"/>
    <w:rsid w:val="00423E70"/>
    <w:rsid w:val="00457BCC"/>
    <w:rsid w:val="004627A8"/>
    <w:rsid w:val="0048702C"/>
    <w:rsid w:val="004E01D4"/>
    <w:rsid w:val="004E5647"/>
    <w:rsid w:val="004F2A98"/>
    <w:rsid w:val="00504D2E"/>
    <w:rsid w:val="0052169F"/>
    <w:rsid w:val="0054340F"/>
    <w:rsid w:val="00545A65"/>
    <w:rsid w:val="00554868"/>
    <w:rsid w:val="0056434B"/>
    <w:rsid w:val="00597D20"/>
    <w:rsid w:val="005A5995"/>
    <w:rsid w:val="005B0232"/>
    <w:rsid w:val="00607269"/>
    <w:rsid w:val="00610594"/>
    <w:rsid w:val="00610845"/>
    <w:rsid w:val="00647749"/>
    <w:rsid w:val="006664BA"/>
    <w:rsid w:val="006671D8"/>
    <w:rsid w:val="00673211"/>
    <w:rsid w:val="006769DC"/>
    <w:rsid w:val="00680378"/>
    <w:rsid w:val="006828B8"/>
    <w:rsid w:val="00682954"/>
    <w:rsid w:val="00694103"/>
    <w:rsid w:val="006A27B8"/>
    <w:rsid w:val="006E52A5"/>
    <w:rsid w:val="006F2F3D"/>
    <w:rsid w:val="006F4351"/>
    <w:rsid w:val="006F57B6"/>
    <w:rsid w:val="00700BF5"/>
    <w:rsid w:val="00716466"/>
    <w:rsid w:val="00720620"/>
    <w:rsid w:val="00723BB5"/>
    <w:rsid w:val="00732552"/>
    <w:rsid w:val="007400D2"/>
    <w:rsid w:val="00740BA1"/>
    <w:rsid w:val="00760807"/>
    <w:rsid w:val="007641AA"/>
    <w:rsid w:val="00765CAF"/>
    <w:rsid w:val="00770B1B"/>
    <w:rsid w:val="007723E0"/>
    <w:rsid w:val="007756F9"/>
    <w:rsid w:val="00787A69"/>
    <w:rsid w:val="00792E51"/>
    <w:rsid w:val="00795987"/>
    <w:rsid w:val="007B62FC"/>
    <w:rsid w:val="00806DF3"/>
    <w:rsid w:val="00824AC6"/>
    <w:rsid w:val="00827BCF"/>
    <w:rsid w:val="008437FF"/>
    <w:rsid w:val="00843CCF"/>
    <w:rsid w:val="0086145A"/>
    <w:rsid w:val="00861F55"/>
    <w:rsid w:val="00881C91"/>
    <w:rsid w:val="00885787"/>
    <w:rsid w:val="008916E2"/>
    <w:rsid w:val="00894D5F"/>
    <w:rsid w:val="008A0654"/>
    <w:rsid w:val="008B7C43"/>
    <w:rsid w:val="008C7040"/>
    <w:rsid w:val="008D6D2A"/>
    <w:rsid w:val="008E2FBA"/>
    <w:rsid w:val="00910CA5"/>
    <w:rsid w:val="00912D7C"/>
    <w:rsid w:val="00916909"/>
    <w:rsid w:val="00930030"/>
    <w:rsid w:val="00945C38"/>
    <w:rsid w:val="00951208"/>
    <w:rsid w:val="00953BA7"/>
    <w:rsid w:val="00957375"/>
    <w:rsid w:val="009671B4"/>
    <w:rsid w:val="00973322"/>
    <w:rsid w:val="00991067"/>
    <w:rsid w:val="00994EDF"/>
    <w:rsid w:val="009A10AB"/>
    <w:rsid w:val="009B1BE6"/>
    <w:rsid w:val="009C2736"/>
    <w:rsid w:val="009C7341"/>
    <w:rsid w:val="009E6610"/>
    <w:rsid w:val="009E7F0E"/>
    <w:rsid w:val="00A006A7"/>
    <w:rsid w:val="00A06D35"/>
    <w:rsid w:val="00A15764"/>
    <w:rsid w:val="00A3041D"/>
    <w:rsid w:val="00A33F54"/>
    <w:rsid w:val="00A41FD5"/>
    <w:rsid w:val="00A4624E"/>
    <w:rsid w:val="00A51EE4"/>
    <w:rsid w:val="00A54A26"/>
    <w:rsid w:val="00A9360F"/>
    <w:rsid w:val="00AA7CAF"/>
    <w:rsid w:val="00AA7FD9"/>
    <w:rsid w:val="00AB5B7D"/>
    <w:rsid w:val="00AC61BD"/>
    <w:rsid w:val="00AD536B"/>
    <w:rsid w:val="00AD6576"/>
    <w:rsid w:val="00AD6A4F"/>
    <w:rsid w:val="00AE4AEF"/>
    <w:rsid w:val="00B05611"/>
    <w:rsid w:val="00B205DD"/>
    <w:rsid w:val="00B213C8"/>
    <w:rsid w:val="00B5088A"/>
    <w:rsid w:val="00B6622A"/>
    <w:rsid w:val="00BC16B9"/>
    <w:rsid w:val="00BC217C"/>
    <w:rsid w:val="00BD106C"/>
    <w:rsid w:val="00BD5295"/>
    <w:rsid w:val="00C1283F"/>
    <w:rsid w:val="00C37A02"/>
    <w:rsid w:val="00C405BF"/>
    <w:rsid w:val="00C47E8D"/>
    <w:rsid w:val="00C60C78"/>
    <w:rsid w:val="00C64B3E"/>
    <w:rsid w:val="00C701D1"/>
    <w:rsid w:val="00C807B2"/>
    <w:rsid w:val="00CA03C0"/>
    <w:rsid w:val="00CA7BBF"/>
    <w:rsid w:val="00CC6869"/>
    <w:rsid w:val="00CD0CB8"/>
    <w:rsid w:val="00CD4627"/>
    <w:rsid w:val="00CF06BB"/>
    <w:rsid w:val="00D464B9"/>
    <w:rsid w:val="00D46770"/>
    <w:rsid w:val="00D46FCD"/>
    <w:rsid w:val="00D64731"/>
    <w:rsid w:val="00D66897"/>
    <w:rsid w:val="00D7519D"/>
    <w:rsid w:val="00D85F86"/>
    <w:rsid w:val="00D93CC7"/>
    <w:rsid w:val="00DA117A"/>
    <w:rsid w:val="00DA408B"/>
    <w:rsid w:val="00DB5AF0"/>
    <w:rsid w:val="00DC31A1"/>
    <w:rsid w:val="00DD2C4B"/>
    <w:rsid w:val="00DD4622"/>
    <w:rsid w:val="00DF1CCD"/>
    <w:rsid w:val="00DF69BE"/>
    <w:rsid w:val="00E07458"/>
    <w:rsid w:val="00E10EDF"/>
    <w:rsid w:val="00E13283"/>
    <w:rsid w:val="00E15C1C"/>
    <w:rsid w:val="00E24F8B"/>
    <w:rsid w:val="00E37C3E"/>
    <w:rsid w:val="00E46F53"/>
    <w:rsid w:val="00E4751E"/>
    <w:rsid w:val="00E661D4"/>
    <w:rsid w:val="00E85009"/>
    <w:rsid w:val="00E859CB"/>
    <w:rsid w:val="00E9172D"/>
    <w:rsid w:val="00EB12C6"/>
    <w:rsid w:val="00EB391D"/>
    <w:rsid w:val="00EB4C0C"/>
    <w:rsid w:val="00EB6DE7"/>
    <w:rsid w:val="00EC4FAC"/>
    <w:rsid w:val="00ED12AF"/>
    <w:rsid w:val="00ED47D7"/>
    <w:rsid w:val="00ED5DE3"/>
    <w:rsid w:val="00ED617F"/>
    <w:rsid w:val="00EE0FE5"/>
    <w:rsid w:val="00EE1E4B"/>
    <w:rsid w:val="00EE6A3F"/>
    <w:rsid w:val="00EF1FA1"/>
    <w:rsid w:val="00F12846"/>
    <w:rsid w:val="00F201D1"/>
    <w:rsid w:val="00F206D1"/>
    <w:rsid w:val="00F20BB2"/>
    <w:rsid w:val="00F3055B"/>
    <w:rsid w:val="00F355B3"/>
    <w:rsid w:val="00F368E6"/>
    <w:rsid w:val="00F6297E"/>
    <w:rsid w:val="00F66E22"/>
    <w:rsid w:val="00F72323"/>
    <w:rsid w:val="00F77C0D"/>
    <w:rsid w:val="00F8338F"/>
    <w:rsid w:val="00F86EB8"/>
    <w:rsid w:val="00F91E89"/>
    <w:rsid w:val="00FA7424"/>
    <w:rsid w:val="00FB3712"/>
    <w:rsid w:val="00FB64D8"/>
    <w:rsid w:val="00FB773E"/>
    <w:rsid w:val="00FF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602A18"/>
  <w15:docId w15:val="{E9074E3A-7FF2-49E1-8ED9-314012E11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47D7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D47D7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47D7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47D7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47D7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47D7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47D7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47D7"/>
    <w:pPr>
      <w:spacing w:before="240" w:after="60"/>
      <w:outlineLvl w:val="6"/>
    </w:pPr>
    <w:rPr>
      <w:rFonts w:cstheme="majorBid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47D7"/>
    <w:pPr>
      <w:spacing w:before="240" w:after="60"/>
      <w:outlineLvl w:val="7"/>
    </w:pPr>
    <w:rPr>
      <w:rFonts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47D7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Sinlista1">
    <w:name w:val="Sin lista1"/>
    <w:next w:val="Sinlista"/>
    <w:uiPriority w:val="99"/>
    <w:semiHidden/>
    <w:unhideWhenUsed/>
    <w:rsid w:val="00ED47D7"/>
  </w:style>
  <w:style w:type="paragraph" w:customStyle="1" w:styleId="msonormal0">
    <w:name w:val="msonormal"/>
    <w:basedOn w:val="Normal"/>
    <w:rsid w:val="00ED47D7"/>
    <w:pPr>
      <w:spacing w:before="100" w:beforeAutospacing="1" w:after="100" w:afterAutospacing="1"/>
    </w:pPr>
    <w:rPr>
      <w:rFonts w:ascii="Times New Roman" w:eastAsia="Times New Roman" w:hAnsi="Times New Roman"/>
      <w:lang w:eastAsia="es-AR"/>
    </w:rPr>
  </w:style>
  <w:style w:type="character" w:styleId="Textoennegrita">
    <w:name w:val="Strong"/>
    <w:basedOn w:val="Fuentedeprrafopredeter"/>
    <w:uiPriority w:val="22"/>
    <w:qFormat/>
    <w:rsid w:val="00ED47D7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ED47D7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D47D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47D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47D7"/>
    <w:rPr>
      <w:rFonts w:cstheme="maj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47D7"/>
    <w:rPr>
      <w:rFonts w:cstheme="maj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47D7"/>
    <w:rPr>
      <w:rFonts w:cstheme="majorBidi"/>
      <w:b/>
      <w:b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47D7"/>
    <w:rPr>
      <w:rFonts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47D7"/>
    <w:rPr>
      <w:rFonts w:cstheme="maj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47D7"/>
    <w:rPr>
      <w:rFonts w:asciiTheme="majorHAnsi" w:eastAsiaTheme="majorEastAsia" w:hAnsiTheme="majorHAnsi" w:cstheme="majorBidi"/>
    </w:rPr>
  </w:style>
  <w:style w:type="paragraph" w:styleId="Descripcin">
    <w:name w:val="caption"/>
    <w:basedOn w:val="Normal"/>
    <w:next w:val="Normal"/>
    <w:uiPriority w:val="35"/>
    <w:semiHidden/>
    <w:unhideWhenUsed/>
    <w:rsid w:val="00ED47D7"/>
    <w:rPr>
      <w:b/>
      <w:bCs/>
      <w:color w:val="5B9BD5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D47D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ED47D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D47D7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ED47D7"/>
    <w:rPr>
      <w:rFonts w:asciiTheme="majorHAnsi" w:eastAsiaTheme="majorEastAsia" w:hAnsiTheme="majorHAnsi" w:cstheme="majorBidi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ED47D7"/>
    <w:rPr>
      <w:rFonts w:asciiTheme="minorHAnsi" w:hAnsiTheme="minorHAnsi"/>
      <w:b/>
      <w:i/>
      <w:iCs/>
    </w:rPr>
  </w:style>
  <w:style w:type="paragraph" w:styleId="Sinespaciado">
    <w:name w:val="No Spacing"/>
    <w:basedOn w:val="Normal"/>
    <w:uiPriority w:val="1"/>
    <w:qFormat/>
    <w:rsid w:val="00ED47D7"/>
    <w:rPr>
      <w:szCs w:val="32"/>
    </w:rPr>
  </w:style>
  <w:style w:type="paragraph" w:styleId="Cita">
    <w:name w:val="Quote"/>
    <w:basedOn w:val="Normal"/>
    <w:next w:val="Normal"/>
    <w:link w:val="CitaCar"/>
    <w:uiPriority w:val="29"/>
    <w:qFormat/>
    <w:rsid w:val="00ED47D7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ED47D7"/>
    <w:rPr>
      <w:i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47D7"/>
    <w:pPr>
      <w:ind w:left="720" w:right="720"/>
    </w:pPr>
    <w:rPr>
      <w:b/>
      <w:i/>
      <w:szCs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47D7"/>
    <w:rPr>
      <w:b/>
      <w:i/>
      <w:sz w:val="24"/>
    </w:rPr>
  </w:style>
  <w:style w:type="character" w:styleId="nfasissutil">
    <w:name w:val="Subtle Emphasis"/>
    <w:uiPriority w:val="19"/>
    <w:qFormat/>
    <w:rsid w:val="00ED47D7"/>
    <w:rPr>
      <w:i/>
      <w:color w:val="5A5A5A" w:themeColor="text1" w:themeTint="A5"/>
    </w:rPr>
  </w:style>
  <w:style w:type="character" w:styleId="nfasisintenso">
    <w:name w:val="Intense Emphasis"/>
    <w:basedOn w:val="Fuentedeprrafopredeter"/>
    <w:uiPriority w:val="21"/>
    <w:qFormat/>
    <w:rsid w:val="00ED47D7"/>
    <w:rPr>
      <w:b/>
      <w:i/>
      <w:sz w:val="24"/>
      <w:szCs w:val="24"/>
      <w:u w:val="single"/>
    </w:rPr>
  </w:style>
  <w:style w:type="character" w:styleId="Referenciasutil">
    <w:name w:val="Subtle Reference"/>
    <w:basedOn w:val="Fuentedeprrafopredeter"/>
    <w:uiPriority w:val="31"/>
    <w:qFormat/>
    <w:rsid w:val="00ED47D7"/>
    <w:rPr>
      <w:sz w:val="24"/>
      <w:szCs w:val="24"/>
      <w:u w:val="single"/>
    </w:rPr>
  </w:style>
  <w:style w:type="character" w:styleId="Referenciaintensa">
    <w:name w:val="Intense Reference"/>
    <w:basedOn w:val="Fuentedeprrafopredeter"/>
    <w:uiPriority w:val="32"/>
    <w:qFormat/>
    <w:rsid w:val="00ED47D7"/>
    <w:rPr>
      <w:b/>
      <w:sz w:val="24"/>
      <w:u w:val="single"/>
    </w:rPr>
  </w:style>
  <w:style w:type="character" w:styleId="Ttulodellibro">
    <w:name w:val="Book Title"/>
    <w:basedOn w:val="Fuentedeprrafopredeter"/>
    <w:uiPriority w:val="33"/>
    <w:qFormat/>
    <w:rsid w:val="00ED47D7"/>
    <w:rPr>
      <w:rFonts w:asciiTheme="majorHAnsi" w:eastAsiaTheme="majorEastAsia" w:hAnsiTheme="majorHAnsi"/>
      <w:b/>
      <w:i/>
      <w:sz w:val="24"/>
      <w:szCs w:val="24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D47D7"/>
    <w:pPr>
      <w:outlineLvl w:val="9"/>
    </w:pPr>
  </w:style>
  <w:style w:type="paragraph" w:styleId="Prrafodelista">
    <w:name w:val="List Paragraph"/>
    <w:basedOn w:val="Normal"/>
    <w:uiPriority w:val="34"/>
    <w:qFormat/>
    <w:rsid w:val="00ED47D7"/>
    <w:pPr>
      <w:ind w:left="720"/>
      <w:contextualSpacing/>
    </w:pPr>
  </w:style>
  <w:style w:type="paragraph" w:customStyle="1" w:styleId="sintab">
    <w:name w:val="sin tab"/>
    <w:basedOn w:val="Normal"/>
    <w:rsid w:val="006E52A5"/>
    <w:pPr>
      <w:tabs>
        <w:tab w:val="left" w:pos="283"/>
        <w:tab w:val="left" w:pos="510"/>
        <w:tab w:val="left" w:pos="737"/>
      </w:tabs>
      <w:autoSpaceDE w:val="0"/>
      <w:autoSpaceDN w:val="0"/>
      <w:adjustRightInd w:val="0"/>
      <w:spacing w:line="288" w:lineRule="auto"/>
      <w:jc w:val="both"/>
      <w:textAlignment w:val="center"/>
    </w:pPr>
    <w:rPr>
      <w:rFonts w:ascii="GarmdITC Bk BT" w:eastAsia="Times New Roman" w:hAnsi="GarmdITC Bk BT" w:cs="GarmdITC Bk BT"/>
      <w:b/>
      <w:bCs/>
      <w:color w:val="000000"/>
      <w:sz w:val="17"/>
      <w:szCs w:val="17"/>
      <w:lang w:val="es-ES" w:eastAsia="es-ES"/>
    </w:rPr>
  </w:style>
  <w:style w:type="table" w:styleId="Tablaconcuadrcula">
    <w:name w:val="Table Grid"/>
    <w:basedOn w:val="Tablanormal"/>
    <w:uiPriority w:val="39"/>
    <w:rsid w:val="009C27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A69A2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0A69A2"/>
  </w:style>
  <w:style w:type="paragraph" w:styleId="NormalWeb">
    <w:name w:val="Normal (Web)"/>
    <w:basedOn w:val="Normal"/>
    <w:uiPriority w:val="99"/>
    <w:semiHidden/>
    <w:unhideWhenUsed/>
    <w:rsid w:val="00CC6869"/>
    <w:pPr>
      <w:spacing w:before="100" w:beforeAutospacing="1" w:after="100" w:afterAutospacing="1"/>
    </w:pPr>
    <w:rPr>
      <w:rFonts w:ascii="Times New Roman" w:eastAsia="Times New Roman" w:hAnsi="Times New Roman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737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7375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F3DA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3DA8"/>
    <w:rPr>
      <w:sz w:val="24"/>
      <w:szCs w:val="24"/>
    </w:rPr>
  </w:style>
  <w:style w:type="character" w:styleId="Nmerodepgina">
    <w:name w:val="page number"/>
    <w:basedOn w:val="Fuentedeprrafopredeter"/>
    <w:uiPriority w:val="99"/>
    <w:semiHidden/>
    <w:unhideWhenUsed/>
    <w:rsid w:val="001F3DA8"/>
  </w:style>
  <w:style w:type="character" w:styleId="Hipervnculovisitado">
    <w:name w:val="FollowedHyperlink"/>
    <w:basedOn w:val="Fuentedeprrafopredeter"/>
    <w:uiPriority w:val="99"/>
    <w:semiHidden/>
    <w:unhideWhenUsed/>
    <w:rsid w:val="00AE4AEF"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D46FC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46FCD"/>
    <w:rPr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912D7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12D7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12D7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12D7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12D7C"/>
    <w:rPr>
      <w:b/>
      <w:bCs/>
      <w:sz w:val="20"/>
      <w:szCs w:val="20"/>
    </w:rPr>
  </w:style>
  <w:style w:type="table" w:customStyle="1" w:styleId="Tabladelista3-nfasis11">
    <w:name w:val="Tabla de lista 3 - Énfasis 11"/>
    <w:basedOn w:val="Tablanormal"/>
    <w:uiPriority w:val="48"/>
    <w:rsid w:val="002D6EEF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170F2F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01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33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5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8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83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53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1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16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62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86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0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94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7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38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0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73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5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31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3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0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4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5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11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9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1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8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5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6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7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2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2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76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0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1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5755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14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3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0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8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57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7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3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0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2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8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50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8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64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7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1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3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5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45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0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5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6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62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6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23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1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4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9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9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6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6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8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9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8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8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35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0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6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0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3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7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9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9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6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4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98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9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96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7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9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52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4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2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5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0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26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1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43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4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8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8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46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9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7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1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7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95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1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9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0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32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5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65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1449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80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0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6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83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0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16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32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0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3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7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3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7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2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9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9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1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4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66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7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65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6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6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0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1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72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68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9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9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9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8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15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0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23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1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3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8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72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9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8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75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4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47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6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4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61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4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49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9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64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9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1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8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5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2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8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3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2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06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47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7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1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0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5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7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0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18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5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01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3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88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5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5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9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0849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7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3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6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5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5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4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7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95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3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9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86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5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9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01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44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9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25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8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57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4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8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06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4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14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7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82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2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4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1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5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4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9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4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6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33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3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4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2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9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5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4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6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83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97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3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53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4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5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9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32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4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2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2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24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6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98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73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21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5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53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37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4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8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9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8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8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0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7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8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1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5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7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1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73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8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18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1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7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16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5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9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7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93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1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6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0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1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53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6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6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08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8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5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3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0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5489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69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14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9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33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80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0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5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84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7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9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8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7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7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1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8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06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76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5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8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77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7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7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98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12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9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8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1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9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0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26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75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45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4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5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0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0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51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66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9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7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4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0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26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97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26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1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9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32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12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6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7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2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8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7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2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1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1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38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8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6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1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48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59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27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4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5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83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4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2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1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4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8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2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6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2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7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8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7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05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7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921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9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7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3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55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9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6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03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8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5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24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9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1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7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54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2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1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8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4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0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6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2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3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9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1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36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0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16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6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39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65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1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10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3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4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77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7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7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61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3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5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96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86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51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2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91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1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27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7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4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5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3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5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29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72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8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2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7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0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1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7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25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9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1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7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1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23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6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4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0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9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53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8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46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1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6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1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13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9692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7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2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8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9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63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2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6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51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8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1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7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6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2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6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9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8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4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7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9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4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0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71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3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45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8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7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4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9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1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7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7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59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25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8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5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7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2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8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3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8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5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7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8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2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24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42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0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1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64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1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4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8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1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2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9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7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8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8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8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3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29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72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1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2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4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7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9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5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5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3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7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2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04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2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4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9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6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74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1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8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62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4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2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0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2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9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0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94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06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55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85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7073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5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5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5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5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03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54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8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4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3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1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23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84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2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2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71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5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20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2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05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74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1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5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1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4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3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42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20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8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2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93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36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6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8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6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4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13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3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23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7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0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85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0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1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7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7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5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1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10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0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74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6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1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5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0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4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4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1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9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2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07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44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0022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9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3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59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70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8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3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8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2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5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3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0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0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9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95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2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47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1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2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1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1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9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84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2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4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77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5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30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7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6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48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4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9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0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2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75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1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19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47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7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2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7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54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50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3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44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7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6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5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9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4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0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1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0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1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5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3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46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6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2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8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1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7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8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66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7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8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5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4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5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1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5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4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2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7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6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4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47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0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6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6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65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1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30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8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5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189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7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6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1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26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13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3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7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9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9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83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0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5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60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33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56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9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0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1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2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3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59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5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1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75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50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16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2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2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4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85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3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8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24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2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6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3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58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0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5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01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07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2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7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7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0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71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2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5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23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0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9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96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1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4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56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1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5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76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6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5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37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1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6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04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35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0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1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2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02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0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2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5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6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4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9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3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3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5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6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3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2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9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8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8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97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0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1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0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36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2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25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17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0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3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7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97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5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5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0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0574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2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0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18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8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29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2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2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2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36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3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5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5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4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5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0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2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15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7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1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9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0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7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0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7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0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0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2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3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6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4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60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4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4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85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4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1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3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8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23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35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07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8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9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03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2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9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1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2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3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93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9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74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88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9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44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8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45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2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8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8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8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1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1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07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23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0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2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1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1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43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05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4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9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9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74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7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2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7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3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5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79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1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6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84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9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2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3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3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22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0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7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9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9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4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1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3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66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0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46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14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1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79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85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2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7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977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2202">
          <w:marLeft w:val="0"/>
          <w:marRight w:val="0"/>
          <w:marTop w:val="166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1106">
          <w:marLeft w:val="0"/>
          <w:marRight w:val="0"/>
          <w:marTop w:val="166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9341">
          <w:marLeft w:val="0"/>
          <w:marRight w:val="0"/>
          <w:marTop w:val="166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2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5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79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96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5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22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25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43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1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2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26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4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2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86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13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7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1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1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15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6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8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5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7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94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22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6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6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8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2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25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7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8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90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49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0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31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03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0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9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7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16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85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3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63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23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9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1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8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8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56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6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22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5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75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4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ncbi.nlm.nih.gov/pubmed/?term=Watts+NB.%2C+Manson+Je.+Osteoporosis+and+fracture+risk+evaluation+and+management%2C+Shared+decision+making+in+clinical+practice.+JAMA+December+201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FBFDA-7AD3-44EA-9460-95F948133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18</Pages>
  <Words>5687</Words>
  <Characters>32417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Marita</dc:creator>
  <cp:keywords/>
  <dc:description/>
  <cp:lastModifiedBy>alvaro fernando burbano delgado</cp:lastModifiedBy>
  <cp:revision>16</cp:revision>
  <cp:lastPrinted>2017-01-22T14:47:00Z</cp:lastPrinted>
  <dcterms:created xsi:type="dcterms:W3CDTF">2019-04-22T22:54:00Z</dcterms:created>
  <dcterms:modified xsi:type="dcterms:W3CDTF">2019-06-02T16:06:00Z</dcterms:modified>
</cp:coreProperties>
</file>