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6B6AAE" w14:textId="29C6D2B2" w:rsidR="003F4F1F" w:rsidRPr="00924B2F" w:rsidRDefault="003F4F1F" w:rsidP="00C11DAA">
      <w:pPr>
        <w:spacing w:line="360" w:lineRule="auto"/>
        <w:jc w:val="center"/>
        <w:rPr>
          <w:rFonts w:asciiTheme="majorBidi" w:hAnsiTheme="majorBidi" w:cstheme="majorBidi"/>
          <w:b/>
        </w:rPr>
      </w:pPr>
      <w:r w:rsidRPr="00924B2F">
        <w:rPr>
          <w:rFonts w:asciiTheme="majorBidi" w:hAnsiTheme="majorBidi" w:cstheme="majorBidi"/>
          <w:b/>
        </w:rPr>
        <w:t>Módulo 3</w:t>
      </w:r>
      <w:r w:rsidR="002A1858" w:rsidRPr="00924B2F">
        <w:rPr>
          <w:rFonts w:asciiTheme="majorBidi" w:hAnsiTheme="majorBidi" w:cstheme="majorBidi"/>
          <w:b/>
        </w:rPr>
        <w:t xml:space="preserve"> </w:t>
      </w:r>
      <w:r w:rsidR="00C11DAA" w:rsidRPr="00924B2F">
        <w:rPr>
          <w:rFonts w:asciiTheme="majorBidi" w:hAnsiTheme="majorBidi" w:cstheme="majorBidi"/>
          <w:b/>
        </w:rPr>
        <w:t xml:space="preserve"> </w:t>
      </w:r>
    </w:p>
    <w:p w14:paraId="4B8DC962" w14:textId="77777777" w:rsidR="002A1858" w:rsidRPr="006F296D" w:rsidRDefault="002A1858" w:rsidP="00C11DAA">
      <w:pPr>
        <w:spacing w:line="360" w:lineRule="auto"/>
        <w:jc w:val="center"/>
        <w:rPr>
          <w:rFonts w:asciiTheme="majorBidi" w:hAnsiTheme="majorBidi" w:cstheme="majorBidi"/>
        </w:rPr>
      </w:pPr>
    </w:p>
    <w:p w14:paraId="49F33CAC" w14:textId="499665A9" w:rsidR="003F4F1F" w:rsidRDefault="002A1858" w:rsidP="00924B2F">
      <w:pPr>
        <w:spacing w:line="276" w:lineRule="auto"/>
        <w:jc w:val="both"/>
        <w:rPr>
          <w:rFonts w:asciiTheme="majorBidi" w:hAnsiTheme="majorBidi" w:cstheme="majorBidi"/>
          <w:b/>
        </w:rPr>
      </w:pPr>
      <w:r>
        <w:rPr>
          <w:rFonts w:asciiTheme="majorBidi" w:hAnsiTheme="majorBidi" w:cstheme="majorBidi"/>
          <w:b/>
        </w:rPr>
        <w:t>Tratamiento del Mieloma Múltiple</w:t>
      </w:r>
    </w:p>
    <w:p w14:paraId="043A338D" w14:textId="77777777" w:rsidR="002A1858" w:rsidRDefault="002A1858" w:rsidP="00924B2F">
      <w:pPr>
        <w:spacing w:line="276" w:lineRule="auto"/>
        <w:jc w:val="both"/>
        <w:rPr>
          <w:rFonts w:asciiTheme="majorBidi" w:hAnsiTheme="majorBidi" w:cstheme="majorBidi"/>
          <w:b/>
        </w:rPr>
      </w:pPr>
    </w:p>
    <w:p w14:paraId="1E70D528" w14:textId="1973A2D3" w:rsidR="00B71FDA" w:rsidRDefault="00B71FDA" w:rsidP="00924B2F">
      <w:pPr>
        <w:spacing w:line="276" w:lineRule="auto"/>
        <w:jc w:val="both"/>
        <w:rPr>
          <w:rFonts w:asciiTheme="majorBidi" w:hAnsiTheme="majorBidi" w:cstheme="majorBidi"/>
          <w:b/>
        </w:rPr>
      </w:pPr>
      <w:r w:rsidRPr="006F296D">
        <w:rPr>
          <w:rFonts w:asciiTheme="majorBidi" w:hAnsiTheme="majorBidi" w:cstheme="majorBidi"/>
          <w:b/>
        </w:rPr>
        <w:t>Historia de los hitos de tratamiento</w:t>
      </w:r>
    </w:p>
    <w:p w14:paraId="0C8A5538" w14:textId="77777777" w:rsidR="00935505" w:rsidRPr="006F296D" w:rsidRDefault="00935505" w:rsidP="00924B2F">
      <w:pPr>
        <w:spacing w:line="276" w:lineRule="auto"/>
        <w:jc w:val="both"/>
        <w:rPr>
          <w:rFonts w:asciiTheme="majorBidi" w:hAnsiTheme="majorBidi" w:cstheme="majorBidi"/>
          <w:b/>
        </w:rPr>
      </w:pPr>
    </w:p>
    <w:p w14:paraId="465D3EDA" w14:textId="247F7DA9" w:rsidR="003B6D5E" w:rsidRPr="00045798" w:rsidRDefault="00B71FDA" w:rsidP="00C11DAA">
      <w:pPr>
        <w:spacing w:line="480" w:lineRule="auto"/>
        <w:jc w:val="both"/>
        <w:rPr>
          <w:rFonts w:asciiTheme="majorBidi" w:hAnsiTheme="majorBidi" w:cstheme="majorBidi"/>
          <w:i/>
          <w:iCs/>
        </w:rPr>
      </w:pPr>
      <w:r w:rsidRPr="00045798">
        <w:rPr>
          <w:rFonts w:asciiTheme="majorBidi" w:hAnsiTheme="majorBidi" w:cstheme="majorBidi"/>
          <w:i/>
          <w:iCs/>
        </w:rPr>
        <w:t xml:space="preserve">Terapia basada en alquilantes y corticoides </w:t>
      </w:r>
    </w:p>
    <w:p w14:paraId="13C2A0CF" w14:textId="4A32E163" w:rsidR="00B71FDA" w:rsidRPr="006F296D" w:rsidRDefault="00AD0E0E" w:rsidP="00C11DAA">
      <w:pPr>
        <w:spacing w:line="480" w:lineRule="auto"/>
        <w:jc w:val="both"/>
        <w:rPr>
          <w:rFonts w:asciiTheme="majorBidi" w:hAnsiTheme="majorBidi" w:cstheme="majorBidi"/>
        </w:rPr>
      </w:pPr>
      <w:r w:rsidRPr="006F296D">
        <w:rPr>
          <w:rFonts w:asciiTheme="majorBidi" w:hAnsiTheme="majorBidi" w:cstheme="majorBidi"/>
        </w:rPr>
        <w:t xml:space="preserve">La terapia del </w:t>
      </w:r>
      <w:r w:rsidR="00045798">
        <w:rPr>
          <w:rFonts w:asciiTheme="majorBidi" w:hAnsiTheme="majorBidi" w:cstheme="majorBidi"/>
        </w:rPr>
        <w:t>MM</w:t>
      </w:r>
      <w:r w:rsidRPr="006F296D">
        <w:rPr>
          <w:rFonts w:asciiTheme="majorBidi" w:hAnsiTheme="majorBidi" w:cstheme="majorBidi"/>
        </w:rPr>
        <w:t xml:space="preserve"> ha mejorado marcadamente desde los días de Sarah Newbury quien se trató con píldoras de ruibarbo, cascara de naranja, flebotomías, sanguijuelas, hierro, quinina y </w:t>
      </w:r>
      <w:r w:rsidR="00045798" w:rsidRPr="006F296D">
        <w:rPr>
          <w:rFonts w:asciiTheme="majorBidi" w:hAnsiTheme="majorBidi" w:cstheme="majorBidi"/>
        </w:rPr>
        <w:t>otras intervenciones</w:t>
      </w:r>
      <w:r w:rsidRPr="006F296D">
        <w:rPr>
          <w:rFonts w:asciiTheme="majorBidi" w:hAnsiTheme="majorBidi" w:cstheme="majorBidi"/>
        </w:rPr>
        <w:t xml:space="preserve"> que Tomas Mc Bean tuvo que utilizar. </w:t>
      </w:r>
    </w:p>
    <w:p w14:paraId="02411AEC" w14:textId="77777777" w:rsidR="003B6D5E" w:rsidRPr="006F296D" w:rsidRDefault="003B6D5E" w:rsidP="00C11DAA">
      <w:pPr>
        <w:spacing w:line="480" w:lineRule="auto"/>
        <w:jc w:val="both"/>
        <w:rPr>
          <w:rFonts w:asciiTheme="majorBidi" w:hAnsiTheme="majorBidi" w:cstheme="majorBidi"/>
        </w:rPr>
      </w:pPr>
    </w:p>
    <w:p w14:paraId="44C0D063" w14:textId="77777777" w:rsidR="006177C3" w:rsidRDefault="00AD0E0E" w:rsidP="00C11DAA">
      <w:pPr>
        <w:spacing w:line="480" w:lineRule="auto"/>
        <w:jc w:val="both"/>
        <w:rPr>
          <w:rFonts w:asciiTheme="majorBidi" w:hAnsiTheme="majorBidi" w:cstheme="majorBidi"/>
        </w:rPr>
      </w:pPr>
      <w:r w:rsidRPr="006F296D">
        <w:rPr>
          <w:rFonts w:asciiTheme="majorBidi" w:hAnsiTheme="majorBidi" w:cstheme="majorBidi"/>
        </w:rPr>
        <w:t>Nils Alwall que fue pionero de la hemodiálisis</w:t>
      </w:r>
      <w:r w:rsidR="00571E05" w:rsidRPr="006F296D">
        <w:rPr>
          <w:rFonts w:asciiTheme="majorBidi" w:hAnsiTheme="majorBidi" w:cstheme="majorBidi"/>
        </w:rPr>
        <w:t xml:space="preserve">, reportó en 1947 que </w:t>
      </w:r>
      <w:r w:rsidRPr="006F296D">
        <w:rPr>
          <w:rFonts w:asciiTheme="majorBidi" w:hAnsiTheme="majorBidi" w:cstheme="majorBidi"/>
        </w:rPr>
        <w:t xml:space="preserve">un paciente con </w:t>
      </w:r>
      <w:r w:rsidR="00045798">
        <w:rPr>
          <w:rFonts w:asciiTheme="majorBidi" w:hAnsiTheme="majorBidi" w:cstheme="majorBidi"/>
        </w:rPr>
        <w:t>MM</w:t>
      </w:r>
      <w:r w:rsidRPr="006F296D">
        <w:rPr>
          <w:rFonts w:asciiTheme="majorBidi" w:hAnsiTheme="majorBidi" w:cstheme="majorBidi"/>
        </w:rPr>
        <w:t xml:space="preserve"> que fue tratado con uretano tuvo un reducción de la concentración de globulinas de 5.9 a 2.2 g/dL con un incremento en el nivel de hemoglobina, desaparición de la proteinuria y una reducción de  la cantidad de células</w:t>
      </w:r>
      <w:r w:rsidR="003B6D5E" w:rsidRPr="006F296D">
        <w:rPr>
          <w:rFonts w:asciiTheme="majorBidi" w:hAnsiTheme="majorBidi" w:cstheme="majorBidi"/>
        </w:rPr>
        <w:t xml:space="preserve"> plasmáticas de la médula de 33%</w:t>
      </w:r>
      <w:r w:rsidRPr="006F296D">
        <w:rPr>
          <w:rFonts w:asciiTheme="majorBidi" w:hAnsiTheme="majorBidi" w:cstheme="majorBidi"/>
        </w:rPr>
        <w:t xml:space="preserve"> a 0%, de tal suerte que esta intervención de convirtió en el estándar de tratamiento del mieloma por </w:t>
      </w:r>
      <w:r w:rsidR="00045798" w:rsidRPr="006F296D">
        <w:rPr>
          <w:rFonts w:asciiTheme="majorBidi" w:hAnsiTheme="majorBidi" w:cstheme="majorBidi"/>
        </w:rPr>
        <w:t>más</w:t>
      </w:r>
      <w:r w:rsidRPr="006F296D">
        <w:rPr>
          <w:rFonts w:asciiTheme="majorBidi" w:hAnsiTheme="majorBidi" w:cstheme="majorBidi"/>
        </w:rPr>
        <w:t xml:space="preserve"> de 15 </w:t>
      </w:r>
      <w:r w:rsidR="00045798">
        <w:rPr>
          <w:rFonts w:asciiTheme="majorBidi" w:hAnsiTheme="majorBidi" w:cstheme="majorBidi"/>
        </w:rPr>
        <w:t xml:space="preserve">años </w:t>
      </w:r>
      <w:r w:rsidRPr="006F296D">
        <w:rPr>
          <w:rFonts w:asciiTheme="majorBidi" w:hAnsiTheme="majorBidi" w:cstheme="majorBidi"/>
        </w:rPr>
        <w:t>hasta que un ensayo clínico mostró que no fue efectivo</w:t>
      </w:r>
      <w:r w:rsidR="00045798">
        <w:rPr>
          <w:rFonts w:asciiTheme="majorBidi" w:hAnsiTheme="majorBidi" w:cstheme="majorBidi"/>
        </w:rPr>
        <w:t xml:space="preserve">. </w:t>
      </w:r>
    </w:p>
    <w:p w14:paraId="12AF2FF6" w14:textId="3831345A" w:rsidR="006177C3" w:rsidRDefault="006177C3" w:rsidP="00C11DAA">
      <w:pPr>
        <w:spacing w:line="480" w:lineRule="auto"/>
        <w:jc w:val="both"/>
        <w:rPr>
          <w:rFonts w:asciiTheme="majorBidi" w:hAnsiTheme="majorBidi" w:cstheme="majorBidi"/>
        </w:rPr>
      </w:pPr>
      <w:r>
        <w:rPr>
          <w:rFonts w:asciiTheme="majorBidi" w:hAnsiTheme="majorBidi" w:cstheme="majorBidi"/>
          <w:noProof/>
          <w:lang w:val="es-CO" w:eastAsia="es-CO"/>
        </w:rPr>
        <w:lastRenderedPageBreak/>
        <w:drawing>
          <wp:inline distT="0" distB="0" distL="0" distR="0" wp14:anchorId="037232B4" wp14:editId="2A485AB0">
            <wp:extent cx="5392420" cy="5486400"/>
            <wp:effectExtent l="0" t="0" r="0" b="0"/>
            <wp:docPr id="6" name="Imagen 6" descr="Captura%20de%20pantalla%202019-01-05%20a%20la(s)%201.05.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pantalla%202019-01-05%20a%20la(s)%201.05.53%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2420" cy="5486400"/>
                    </a:xfrm>
                    <a:prstGeom prst="rect">
                      <a:avLst/>
                    </a:prstGeom>
                    <a:noFill/>
                    <a:ln>
                      <a:noFill/>
                    </a:ln>
                  </pic:spPr>
                </pic:pic>
              </a:graphicData>
            </a:graphic>
          </wp:inline>
        </w:drawing>
      </w:r>
    </w:p>
    <w:p w14:paraId="65CFBBAB" w14:textId="480EC17A" w:rsidR="006177C3" w:rsidRDefault="0038518D" w:rsidP="00C11DAA">
      <w:pPr>
        <w:spacing w:line="480" w:lineRule="auto"/>
        <w:jc w:val="both"/>
        <w:rPr>
          <w:rFonts w:asciiTheme="majorBidi" w:hAnsiTheme="majorBidi" w:cstheme="majorBidi"/>
        </w:rPr>
      </w:pPr>
      <w:r>
        <w:rPr>
          <w:rFonts w:asciiTheme="majorBidi" w:hAnsiTheme="majorBidi" w:cstheme="majorBidi"/>
        </w:rPr>
        <w:t xml:space="preserve">         </w:t>
      </w:r>
      <w:r w:rsidR="00924B2F">
        <w:rPr>
          <w:rFonts w:asciiTheme="majorBidi" w:hAnsiTheme="majorBidi" w:cstheme="majorBidi"/>
        </w:rPr>
        <w:t>Figura 1</w:t>
      </w:r>
      <w:r w:rsidR="006177C3">
        <w:rPr>
          <w:rFonts w:asciiTheme="majorBidi" w:hAnsiTheme="majorBidi" w:cstheme="majorBidi"/>
        </w:rPr>
        <w:t>. Uretano en Mieloma Múltiple. Doctor Nils Alwall. 1952.</w:t>
      </w:r>
    </w:p>
    <w:p w14:paraId="52B22D32" w14:textId="77777777" w:rsidR="006177C3" w:rsidRDefault="006177C3" w:rsidP="00C11DAA">
      <w:pPr>
        <w:spacing w:line="480" w:lineRule="auto"/>
        <w:jc w:val="both"/>
        <w:rPr>
          <w:rFonts w:asciiTheme="majorBidi" w:hAnsiTheme="majorBidi" w:cstheme="majorBidi"/>
        </w:rPr>
      </w:pPr>
    </w:p>
    <w:p w14:paraId="11295B6B" w14:textId="34072F52" w:rsidR="00045798" w:rsidRDefault="00045798" w:rsidP="00C11DAA">
      <w:pPr>
        <w:spacing w:line="480" w:lineRule="auto"/>
        <w:jc w:val="both"/>
        <w:rPr>
          <w:rFonts w:asciiTheme="majorBidi" w:hAnsiTheme="majorBidi" w:cstheme="majorBidi"/>
        </w:rPr>
      </w:pPr>
      <w:r>
        <w:rPr>
          <w:rFonts w:asciiTheme="majorBidi" w:hAnsiTheme="majorBidi" w:cstheme="majorBidi"/>
        </w:rPr>
        <w:t xml:space="preserve">Esto se demostró en </w:t>
      </w:r>
      <w:r w:rsidR="00AD0E0E" w:rsidRPr="006F296D">
        <w:rPr>
          <w:rFonts w:asciiTheme="majorBidi" w:hAnsiTheme="majorBidi" w:cstheme="majorBidi"/>
        </w:rPr>
        <w:t>1966</w:t>
      </w:r>
      <w:r>
        <w:rPr>
          <w:rFonts w:asciiTheme="majorBidi" w:hAnsiTheme="majorBidi" w:cstheme="majorBidi"/>
        </w:rPr>
        <w:t xml:space="preserve"> cuando el pionero</w:t>
      </w:r>
      <w:r w:rsidR="00AD0E0E" w:rsidRPr="006F296D">
        <w:rPr>
          <w:rFonts w:asciiTheme="majorBidi" w:hAnsiTheme="majorBidi" w:cstheme="majorBidi"/>
        </w:rPr>
        <w:t xml:space="preserve"> de la quimioterapia James F. Holland y sus colegas aleatorizaron 83 pacientes con </w:t>
      </w:r>
      <w:r>
        <w:rPr>
          <w:rFonts w:asciiTheme="majorBidi" w:hAnsiTheme="majorBidi" w:cstheme="majorBidi"/>
        </w:rPr>
        <w:t>MM</w:t>
      </w:r>
      <w:r w:rsidR="00AD0E0E" w:rsidRPr="006F296D">
        <w:rPr>
          <w:rFonts w:asciiTheme="majorBidi" w:hAnsiTheme="majorBidi" w:cstheme="majorBidi"/>
        </w:rPr>
        <w:t xml:space="preserve"> tratado y no tratado</w:t>
      </w:r>
      <w:r>
        <w:rPr>
          <w:rFonts w:asciiTheme="majorBidi" w:hAnsiTheme="majorBidi" w:cstheme="majorBidi"/>
        </w:rPr>
        <w:t>,</w:t>
      </w:r>
      <w:r w:rsidR="00AD0E0E" w:rsidRPr="006F296D">
        <w:rPr>
          <w:rFonts w:asciiTheme="majorBidi" w:hAnsiTheme="majorBidi" w:cstheme="majorBidi"/>
        </w:rPr>
        <w:t xml:space="preserve"> a</w:t>
      </w:r>
      <w:r w:rsidR="003B6D5E" w:rsidRPr="006F296D">
        <w:rPr>
          <w:rFonts w:asciiTheme="majorBidi" w:hAnsiTheme="majorBidi" w:cstheme="majorBidi"/>
        </w:rPr>
        <w:t xml:space="preserve"> recibir uretano o placebo cons</w:t>
      </w:r>
      <w:r w:rsidR="00AD0E0E" w:rsidRPr="006F296D">
        <w:rPr>
          <w:rFonts w:asciiTheme="majorBidi" w:hAnsiTheme="majorBidi" w:cstheme="majorBidi"/>
        </w:rPr>
        <w:t xml:space="preserve">istente en jarabe de </w:t>
      </w:r>
      <w:r>
        <w:rPr>
          <w:rFonts w:asciiTheme="majorBidi" w:hAnsiTheme="majorBidi" w:cstheme="majorBidi"/>
        </w:rPr>
        <w:t>cherry y cola; n</w:t>
      </w:r>
      <w:r w:rsidR="00AD0E0E" w:rsidRPr="006F296D">
        <w:rPr>
          <w:rFonts w:asciiTheme="majorBidi" w:hAnsiTheme="majorBidi" w:cstheme="majorBidi"/>
        </w:rPr>
        <w:t xml:space="preserve">o hubo </w:t>
      </w:r>
      <w:r w:rsidRPr="006F296D">
        <w:rPr>
          <w:rFonts w:asciiTheme="majorBidi" w:hAnsiTheme="majorBidi" w:cstheme="majorBidi"/>
        </w:rPr>
        <w:t>diferencias</w:t>
      </w:r>
      <w:r w:rsidR="00AD0E0E" w:rsidRPr="006F296D">
        <w:rPr>
          <w:rFonts w:asciiTheme="majorBidi" w:hAnsiTheme="majorBidi" w:cstheme="majorBidi"/>
        </w:rPr>
        <w:t xml:space="preserve"> </w:t>
      </w:r>
      <w:r>
        <w:rPr>
          <w:rFonts w:asciiTheme="majorBidi" w:hAnsiTheme="majorBidi" w:cstheme="majorBidi"/>
        </w:rPr>
        <w:t xml:space="preserve">en supervivencia </w:t>
      </w:r>
      <w:r w:rsidR="00AD0E0E" w:rsidRPr="006F296D">
        <w:rPr>
          <w:rFonts w:asciiTheme="majorBidi" w:hAnsiTheme="majorBidi" w:cstheme="majorBidi"/>
        </w:rPr>
        <w:t xml:space="preserve">entre los dos grupos.  </w:t>
      </w:r>
    </w:p>
    <w:p w14:paraId="5EB514F2" w14:textId="77777777" w:rsidR="0038518D" w:rsidRDefault="0038518D" w:rsidP="00C11DAA">
      <w:pPr>
        <w:spacing w:line="480" w:lineRule="auto"/>
        <w:jc w:val="both"/>
        <w:rPr>
          <w:rFonts w:asciiTheme="majorBidi" w:hAnsiTheme="majorBidi" w:cstheme="majorBidi"/>
        </w:rPr>
      </w:pPr>
    </w:p>
    <w:p w14:paraId="63F174EF" w14:textId="154CA9D9" w:rsidR="0038518D" w:rsidRDefault="00FD0619" w:rsidP="00C11DAA">
      <w:pPr>
        <w:spacing w:line="480" w:lineRule="auto"/>
        <w:jc w:val="both"/>
        <w:rPr>
          <w:rFonts w:asciiTheme="majorBidi" w:hAnsiTheme="majorBidi" w:cstheme="majorBidi"/>
        </w:rPr>
      </w:pPr>
      <w:r>
        <w:rPr>
          <w:rFonts w:asciiTheme="majorBidi" w:hAnsiTheme="majorBidi" w:cstheme="majorBidi"/>
          <w:noProof/>
          <w:lang w:val="es-CO" w:eastAsia="es-CO"/>
        </w:rPr>
        <w:lastRenderedPageBreak/>
        <w:drawing>
          <wp:inline distT="0" distB="0" distL="0" distR="0" wp14:anchorId="4CD63300" wp14:editId="4FEEC01B">
            <wp:extent cx="5392420" cy="3087370"/>
            <wp:effectExtent l="0" t="0" r="0" b="11430"/>
            <wp:docPr id="9" name="Imagen 9" descr="Captura%20de%20pantalla%202019-01-05%20a%20la(s)%201.36.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20de%20pantalla%202019-01-05%20a%20la(s)%201.36.21%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2420" cy="3087370"/>
                    </a:xfrm>
                    <a:prstGeom prst="rect">
                      <a:avLst/>
                    </a:prstGeom>
                    <a:noFill/>
                    <a:ln>
                      <a:noFill/>
                    </a:ln>
                  </pic:spPr>
                </pic:pic>
              </a:graphicData>
            </a:graphic>
          </wp:inline>
        </w:drawing>
      </w:r>
    </w:p>
    <w:p w14:paraId="0AD3E8FD" w14:textId="7EED0196" w:rsidR="0038518D" w:rsidRDefault="00924B2F" w:rsidP="00C11DAA">
      <w:pPr>
        <w:jc w:val="both"/>
        <w:rPr>
          <w:rFonts w:asciiTheme="majorBidi" w:hAnsiTheme="majorBidi" w:cstheme="majorBidi"/>
        </w:rPr>
      </w:pPr>
      <w:r>
        <w:rPr>
          <w:rFonts w:asciiTheme="majorBidi" w:hAnsiTheme="majorBidi" w:cstheme="majorBidi"/>
        </w:rPr>
        <w:t>Figura 2</w:t>
      </w:r>
      <w:r w:rsidR="0038518D">
        <w:rPr>
          <w:rFonts w:asciiTheme="majorBidi" w:hAnsiTheme="majorBidi" w:cstheme="majorBidi"/>
        </w:rPr>
        <w:t>. Supervivencia desde el inicio del tratamiento en pacientes con Mieloma Múltiple de acuerdo a la categoría de tratamiento. Doctor Holland. Blood marzo de 1966.</w:t>
      </w:r>
    </w:p>
    <w:p w14:paraId="156EDFAC" w14:textId="77777777" w:rsidR="0038518D" w:rsidRDefault="0038518D" w:rsidP="00C11DAA">
      <w:pPr>
        <w:spacing w:line="480" w:lineRule="auto"/>
        <w:jc w:val="both"/>
        <w:rPr>
          <w:rFonts w:asciiTheme="majorBidi" w:hAnsiTheme="majorBidi" w:cstheme="majorBidi"/>
        </w:rPr>
      </w:pPr>
    </w:p>
    <w:p w14:paraId="74483AB8" w14:textId="00E2C877" w:rsidR="00AD338C" w:rsidRDefault="00AD0E0E" w:rsidP="00C11DAA">
      <w:pPr>
        <w:spacing w:line="480" w:lineRule="auto"/>
        <w:jc w:val="both"/>
        <w:rPr>
          <w:rFonts w:asciiTheme="majorBidi" w:hAnsiTheme="majorBidi" w:cstheme="majorBidi"/>
        </w:rPr>
      </w:pPr>
      <w:r w:rsidRPr="006F296D">
        <w:rPr>
          <w:rFonts w:asciiTheme="majorBidi" w:hAnsiTheme="majorBidi" w:cstheme="majorBidi"/>
        </w:rPr>
        <w:t xml:space="preserve">En 1958 Nikolai Nikolaevich y sus colegas en Moscú reportaron tres de seis pacientes con MM </w:t>
      </w:r>
      <w:r w:rsidR="00045798">
        <w:rPr>
          <w:rFonts w:asciiTheme="majorBidi" w:hAnsiTheme="majorBidi" w:cstheme="majorBidi"/>
        </w:rPr>
        <w:t>que tuvieron beneficio del uso de la</w:t>
      </w:r>
      <w:r w:rsidR="00AD338C" w:rsidRPr="006F296D">
        <w:rPr>
          <w:rFonts w:asciiTheme="majorBidi" w:hAnsiTheme="majorBidi" w:cstheme="majorBidi"/>
        </w:rPr>
        <w:t xml:space="preserve"> sacrolisina</w:t>
      </w:r>
      <w:r w:rsidR="00045798">
        <w:rPr>
          <w:rFonts w:asciiTheme="majorBidi" w:hAnsiTheme="majorBidi" w:cstheme="majorBidi"/>
        </w:rPr>
        <w:t xml:space="preserve"> </w:t>
      </w:r>
      <w:r w:rsidR="00AD338C" w:rsidRPr="006F296D">
        <w:rPr>
          <w:rFonts w:asciiTheme="majorBidi" w:hAnsiTheme="majorBidi" w:cstheme="majorBidi"/>
        </w:rPr>
        <w:t xml:space="preserve">(L fenilalanina mostaza, </w:t>
      </w:r>
      <w:r w:rsidR="00045798" w:rsidRPr="006F296D">
        <w:rPr>
          <w:rFonts w:asciiTheme="majorBidi" w:hAnsiTheme="majorBidi" w:cstheme="majorBidi"/>
        </w:rPr>
        <w:t>melfalán</w:t>
      </w:r>
      <w:r w:rsidR="00AD338C" w:rsidRPr="006F296D">
        <w:rPr>
          <w:rFonts w:asciiTheme="majorBidi" w:hAnsiTheme="majorBidi" w:cstheme="majorBidi"/>
        </w:rPr>
        <w:t xml:space="preserve">). Cuatro años </w:t>
      </w:r>
      <w:r w:rsidR="00045798" w:rsidRPr="006F296D">
        <w:rPr>
          <w:rFonts w:asciiTheme="majorBidi" w:hAnsiTheme="majorBidi" w:cstheme="majorBidi"/>
        </w:rPr>
        <w:t>después,</w:t>
      </w:r>
      <w:r w:rsidR="00AD338C" w:rsidRPr="006F296D">
        <w:rPr>
          <w:rFonts w:asciiTheme="majorBidi" w:hAnsiTheme="majorBidi" w:cstheme="majorBidi"/>
        </w:rPr>
        <w:t xml:space="preserve"> Daniel Bergsagel, del MD Anderson y sus colegas confirmaron este hallazgo reportando una significativa mejoría en 8 de 24 pacientes en MM quienes fueron tratados con </w:t>
      </w:r>
      <w:r w:rsidR="00045798" w:rsidRPr="006F296D">
        <w:rPr>
          <w:rFonts w:asciiTheme="majorBidi" w:hAnsiTheme="majorBidi" w:cstheme="majorBidi"/>
        </w:rPr>
        <w:t>melfalán</w:t>
      </w:r>
      <w:r w:rsidR="00AD338C" w:rsidRPr="006F296D">
        <w:rPr>
          <w:rFonts w:asciiTheme="majorBidi" w:hAnsiTheme="majorBidi" w:cstheme="majorBidi"/>
        </w:rPr>
        <w:t xml:space="preserve">, otros 6 pacientes </w:t>
      </w:r>
      <w:r w:rsidR="00045798">
        <w:rPr>
          <w:rFonts w:asciiTheme="majorBidi" w:hAnsiTheme="majorBidi" w:cstheme="majorBidi"/>
        </w:rPr>
        <w:t>tuvieron una</w:t>
      </w:r>
      <w:r w:rsidR="00AD338C" w:rsidRPr="006F296D">
        <w:rPr>
          <w:rFonts w:asciiTheme="majorBidi" w:hAnsiTheme="majorBidi" w:cstheme="majorBidi"/>
        </w:rPr>
        <w:t xml:space="preserve"> respuesta un poco </w:t>
      </w:r>
      <w:r w:rsidR="00924B2F" w:rsidRPr="006F296D">
        <w:rPr>
          <w:rFonts w:asciiTheme="majorBidi" w:hAnsiTheme="majorBidi" w:cstheme="majorBidi"/>
        </w:rPr>
        <w:t>más</w:t>
      </w:r>
      <w:r w:rsidR="00AD338C" w:rsidRPr="006F296D">
        <w:rPr>
          <w:rFonts w:asciiTheme="majorBidi" w:hAnsiTheme="majorBidi" w:cstheme="majorBidi"/>
        </w:rPr>
        <w:t xml:space="preserve"> modesta. </w:t>
      </w:r>
      <w:r w:rsidR="00E4260B">
        <w:rPr>
          <w:rFonts w:asciiTheme="majorBidi" w:hAnsiTheme="majorBidi" w:cstheme="majorBidi"/>
        </w:rPr>
        <w:t>Dos reportes</w:t>
      </w:r>
      <w:r w:rsidR="00AD338C" w:rsidRPr="006F296D">
        <w:rPr>
          <w:rFonts w:asciiTheme="majorBidi" w:hAnsiTheme="majorBidi" w:cstheme="majorBidi"/>
        </w:rPr>
        <w:t xml:space="preserve"> posterior</w:t>
      </w:r>
      <w:r w:rsidR="00E4260B">
        <w:rPr>
          <w:rFonts w:asciiTheme="majorBidi" w:hAnsiTheme="majorBidi" w:cstheme="majorBidi"/>
        </w:rPr>
        <w:t>es</w:t>
      </w:r>
      <w:r w:rsidR="00121960">
        <w:rPr>
          <w:rFonts w:asciiTheme="majorBidi" w:hAnsiTheme="majorBidi" w:cstheme="majorBidi"/>
        </w:rPr>
        <w:t xml:space="preserve"> también de MD Anderson del grupo del doctor Bergsagel</w:t>
      </w:r>
      <w:r w:rsidR="00E4260B">
        <w:rPr>
          <w:rFonts w:asciiTheme="majorBidi" w:hAnsiTheme="majorBidi" w:cstheme="majorBidi"/>
        </w:rPr>
        <w:t>; uno</w:t>
      </w:r>
      <w:r w:rsidR="00AD338C" w:rsidRPr="006F296D">
        <w:rPr>
          <w:rFonts w:asciiTheme="majorBidi" w:hAnsiTheme="majorBidi" w:cstheme="majorBidi"/>
        </w:rPr>
        <w:t xml:space="preserve"> con </w:t>
      </w:r>
      <w:r w:rsidR="00045798" w:rsidRPr="006F296D">
        <w:rPr>
          <w:rFonts w:asciiTheme="majorBidi" w:hAnsiTheme="majorBidi" w:cstheme="majorBidi"/>
        </w:rPr>
        <w:t>melfalán</w:t>
      </w:r>
      <w:r w:rsidR="00AD338C" w:rsidRPr="006F296D">
        <w:rPr>
          <w:rFonts w:asciiTheme="majorBidi" w:hAnsiTheme="majorBidi" w:cstheme="majorBidi"/>
        </w:rPr>
        <w:t xml:space="preserve"> </w:t>
      </w:r>
      <w:r w:rsidR="00E4260B">
        <w:rPr>
          <w:rFonts w:asciiTheme="majorBidi" w:hAnsiTheme="majorBidi" w:cstheme="majorBidi"/>
        </w:rPr>
        <w:t>en pacientes de reciente diagnóstico o previamente tratados produjo respuestas</w:t>
      </w:r>
      <w:r w:rsidR="00AD338C" w:rsidRPr="006F296D">
        <w:rPr>
          <w:rFonts w:asciiTheme="majorBidi" w:hAnsiTheme="majorBidi" w:cstheme="majorBidi"/>
        </w:rPr>
        <w:t xml:space="preserve"> de 78% en 64 pacientes con MM </w:t>
      </w:r>
      <w:r w:rsidR="00E4260B">
        <w:rPr>
          <w:rFonts w:asciiTheme="majorBidi" w:hAnsiTheme="majorBidi" w:cstheme="majorBidi"/>
        </w:rPr>
        <w:t xml:space="preserve">y otro en 82 pacientes </w:t>
      </w:r>
      <w:r w:rsidR="00330238">
        <w:rPr>
          <w:rFonts w:asciiTheme="majorBidi" w:hAnsiTheme="majorBidi" w:cstheme="majorBidi"/>
        </w:rPr>
        <w:t>en donde se documentó diferencias marcadas en la supervivenc</w:t>
      </w:r>
      <w:r w:rsidR="00F61AB0">
        <w:rPr>
          <w:rFonts w:asciiTheme="majorBidi" w:hAnsiTheme="majorBidi" w:cstheme="majorBidi"/>
        </w:rPr>
        <w:t xml:space="preserve">ia con respecto a la respuesta siendo mayor a 2 años en los pacientes respondedores. </w:t>
      </w:r>
    </w:p>
    <w:p w14:paraId="4138025A" w14:textId="77777777" w:rsidR="0038518D" w:rsidRDefault="0038518D" w:rsidP="00C11DAA">
      <w:pPr>
        <w:spacing w:line="480" w:lineRule="auto"/>
        <w:jc w:val="both"/>
        <w:rPr>
          <w:rFonts w:asciiTheme="majorBidi" w:hAnsiTheme="majorBidi" w:cstheme="majorBidi"/>
        </w:rPr>
      </w:pPr>
    </w:p>
    <w:p w14:paraId="6B3D2EAB" w14:textId="77777777" w:rsidR="0038518D" w:rsidRDefault="0038518D" w:rsidP="00C11DAA">
      <w:pPr>
        <w:spacing w:line="480" w:lineRule="auto"/>
        <w:jc w:val="both"/>
        <w:rPr>
          <w:rFonts w:asciiTheme="majorBidi" w:hAnsiTheme="majorBidi" w:cstheme="majorBidi"/>
        </w:rPr>
      </w:pPr>
    </w:p>
    <w:p w14:paraId="1CBF200C" w14:textId="206F0F90" w:rsidR="0038518D" w:rsidRDefault="00F61AB0" w:rsidP="00C11DAA">
      <w:pPr>
        <w:spacing w:line="480" w:lineRule="auto"/>
        <w:jc w:val="both"/>
        <w:rPr>
          <w:rFonts w:asciiTheme="majorBidi" w:hAnsiTheme="majorBidi" w:cstheme="majorBidi"/>
        </w:rPr>
      </w:pPr>
      <w:r>
        <w:rPr>
          <w:rFonts w:asciiTheme="majorBidi" w:hAnsiTheme="majorBidi" w:cstheme="majorBidi"/>
          <w:noProof/>
          <w:lang w:val="es-CO" w:eastAsia="es-CO"/>
        </w:rPr>
        <w:lastRenderedPageBreak/>
        <w:drawing>
          <wp:inline distT="0" distB="0" distL="0" distR="0" wp14:anchorId="0062D3AD" wp14:editId="13DD00A9">
            <wp:extent cx="5392420" cy="3712210"/>
            <wp:effectExtent l="0" t="0" r="0" b="0"/>
            <wp:docPr id="8" name="Imagen 8" descr="Captura%20de%20pantalla%202019-01-05%20a%20la(s)%201.34.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pantalla%202019-01-05%20a%20la(s)%201.34.51%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2420" cy="3712210"/>
                    </a:xfrm>
                    <a:prstGeom prst="rect">
                      <a:avLst/>
                    </a:prstGeom>
                    <a:noFill/>
                    <a:ln>
                      <a:noFill/>
                    </a:ln>
                  </pic:spPr>
                </pic:pic>
              </a:graphicData>
            </a:graphic>
          </wp:inline>
        </w:drawing>
      </w:r>
    </w:p>
    <w:p w14:paraId="5FB4DBAE" w14:textId="16242E6E" w:rsidR="00F61AB0" w:rsidRDefault="00924B2F" w:rsidP="00C11DAA">
      <w:pPr>
        <w:jc w:val="both"/>
        <w:rPr>
          <w:rFonts w:asciiTheme="majorBidi" w:hAnsiTheme="majorBidi" w:cstheme="majorBidi"/>
        </w:rPr>
      </w:pPr>
      <w:r>
        <w:rPr>
          <w:rFonts w:asciiTheme="majorBidi" w:hAnsiTheme="majorBidi" w:cstheme="majorBidi"/>
        </w:rPr>
        <w:t>Figura 3</w:t>
      </w:r>
      <w:r w:rsidR="00FD0619">
        <w:rPr>
          <w:rFonts w:asciiTheme="majorBidi" w:hAnsiTheme="majorBidi" w:cstheme="majorBidi"/>
        </w:rPr>
        <w:t xml:space="preserve">. Supervivencia de acuerdo a la respuesta al Melfalán en pacientes de reciente diagnóstico. Doctor Alexanian. Blood 1968. </w:t>
      </w:r>
    </w:p>
    <w:p w14:paraId="4AAE1E1B" w14:textId="77777777" w:rsidR="00FD0619" w:rsidRDefault="00FD0619" w:rsidP="00C11DAA">
      <w:pPr>
        <w:spacing w:line="480" w:lineRule="auto"/>
        <w:jc w:val="both"/>
        <w:rPr>
          <w:rFonts w:asciiTheme="majorBidi" w:hAnsiTheme="majorBidi" w:cstheme="majorBidi"/>
        </w:rPr>
      </w:pPr>
    </w:p>
    <w:p w14:paraId="45326F19" w14:textId="3471AC03" w:rsidR="00E002E2" w:rsidRDefault="00547C15" w:rsidP="00C11DAA">
      <w:pPr>
        <w:spacing w:line="480" w:lineRule="auto"/>
        <w:jc w:val="both"/>
        <w:rPr>
          <w:rFonts w:asciiTheme="majorBidi" w:hAnsiTheme="majorBidi" w:cstheme="majorBidi"/>
        </w:rPr>
      </w:pPr>
      <w:r>
        <w:rPr>
          <w:rFonts w:asciiTheme="majorBidi" w:hAnsiTheme="majorBidi" w:cstheme="majorBidi"/>
        </w:rPr>
        <w:t xml:space="preserve">En las décadas de 1950 y de 1960 se sintetizaron la mayoría de los glucocorticoides y se estudiaron su metabolismo y su vida media incluida la prednisona. Todo esto precedido por el descubrimiento de la cortisona por el Mayo Team conformado por los doctores Philip Hench, Edward Kendall </w:t>
      </w:r>
      <w:r w:rsidR="003746EE">
        <w:rPr>
          <w:rFonts w:asciiTheme="majorBidi" w:hAnsiTheme="majorBidi" w:cstheme="majorBidi"/>
        </w:rPr>
        <w:t xml:space="preserve">quienes recibieron el premio Nobel de fisiología y medicina en 1950 dados los beneficios en el tratamiento de las enfermedades autoinmunes. </w:t>
      </w:r>
    </w:p>
    <w:p w14:paraId="76EF896C" w14:textId="77672807" w:rsidR="003746EE" w:rsidRDefault="003746EE" w:rsidP="00C11DAA">
      <w:pPr>
        <w:spacing w:line="480" w:lineRule="auto"/>
        <w:jc w:val="both"/>
        <w:rPr>
          <w:rFonts w:asciiTheme="majorBidi" w:hAnsiTheme="majorBidi" w:cstheme="majorBidi"/>
        </w:rPr>
      </w:pPr>
      <w:r>
        <w:rPr>
          <w:rFonts w:asciiTheme="majorBidi" w:hAnsiTheme="majorBidi" w:cstheme="majorBidi"/>
          <w:noProof/>
          <w:lang w:val="es-CO" w:eastAsia="es-CO"/>
        </w:rPr>
        <w:lastRenderedPageBreak/>
        <w:drawing>
          <wp:inline distT="0" distB="0" distL="0" distR="0" wp14:anchorId="3C285028" wp14:editId="6FA711EA">
            <wp:extent cx="4470400" cy="4227830"/>
            <wp:effectExtent l="0" t="0" r="0" b="0"/>
            <wp:docPr id="10" name="Imagen 10" descr="Captura%20de%20pantalla%202019-01-05%20a%20la(s)%202.04.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20de%20pantalla%202019-01-05%20a%20la(s)%202.04.34%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0400" cy="4227830"/>
                    </a:xfrm>
                    <a:prstGeom prst="rect">
                      <a:avLst/>
                    </a:prstGeom>
                    <a:noFill/>
                    <a:ln>
                      <a:noFill/>
                    </a:ln>
                  </pic:spPr>
                </pic:pic>
              </a:graphicData>
            </a:graphic>
          </wp:inline>
        </w:drawing>
      </w:r>
    </w:p>
    <w:p w14:paraId="015B7A9D" w14:textId="006C8E09" w:rsidR="003746EE" w:rsidRPr="003746EE" w:rsidRDefault="00924B2F" w:rsidP="00C11DAA">
      <w:pPr>
        <w:jc w:val="both"/>
        <w:rPr>
          <w:rFonts w:asciiTheme="majorBidi" w:hAnsiTheme="majorBidi" w:cstheme="majorBidi"/>
        </w:rPr>
      </w:pPr>
      <w:r>
        <w:rPr>
          <w:rFonts w:asciiTheme="majorBidi" w:hAnsiTheme="majorBidi" w:cstheme="majorBidi"/>
        </w:rPr>
        <w:t>Figura 4</w:t>
      </w:r>
      <w:r w:rsidR="00152FFF">
        <w:rPr>
          <w:rFonts w:asciiTheme="majorBidi" w:hAnsiTheme="majorBidi" w:cstheme="majorBidi"/>
        </w:rPr>
        <w:t xml:space="preserve">. Doctores </w:t>
      </w:r>
      <w:r w:rsidR="003746EE">
        <w:rPr>
          <w:rFonts w:asciiTheme="majorBidi" w:hAnsiTheme="majorBidi" w:cstheme="majorBidi"/>
        </w:rPr>
        <w:t>Charles H. Slocumb</w:t>
      </w:r>
      <w:r w:rsidR="003746EE" w:rsidRPr="003746EE">
        <w:rPr>
          <w:rFonts w:asciiTheme="majorBidi" w:hAnsiTheme="majorBidi" w:cstheme="majorBidi"/>
        </w:rPr>
        <w:t xml:space="preserve">, Howard F. Polley, Edward C. Kendall and Philip S. Hench en el laboratorio donde se descubrió la prednisona. Los doctores Kendall y Hench compartieron el premio nobel de Medicina en 1950, por el aislamiento y primer uso de la cortisona. </w:t>
      </w:r>
    </w:p>
    <w:p w14:paraId="405A3066" w14:textId="77777777" w:rsidR="003746EE" w:rsidRPr="006F296D" w:rsidRDefault="003746EE" w:rsidP="00C11DAA">
      <w:pPr>
        <w:spacing w:line="480" w:lineRule="auto"/>
        <w:jc w:val="both"/>
        <w:rPr>
          <w:rFonts w:asciiTheme="majorBidi" w:hAnsiTheme="majorBidi" w:cstheme="majorBidi"/>
        </w:rPr>
      </w:pPr>
    </w:p>
    <w:p w14:paraId="4D2676F6" w14:textId="77777777" w:rsidR="00BA18D2" w:rsidRDefault="00AD338C" w:rsidP="00C11DAA">
      <w:pPr>
        <w:spacing w:line="480" w:lineRule="auto"/>
        <w:jc w:val="both"/>
        <w:rPr>
          <w:rFonts w:asciiTheme="majorBidi" w:hAnsiTheme="majorBidi" w:cstheme="majorBidi"/>
        </w:rPr>
      </w:pPr>
      <w:r w:rsidRPr="006F296D">
        <w:rPr>
          <w:rFonts w:asciiTheme="majorBidi" w:hAnsiTheme="majorBidi" w:cstheme="majorBidi"/>
        </w:rPr>
        <w:t xml:space="preserve">La prednisona se encontró efectiva en el tratamiento del mieloma múltiple casi al mismo tiempo que el </w:t>
      </w:r>
      <w:r w:rsidR="00BA18D2">
        <w:rPr>
          <w:rFonts w:asciiTheme="majorBidi" w:hAnsiTheme="majorBidi" w:cstheme="majorBidi"/>
        </w:rPr>
        <w:t xml:space="preserve">debut del </w:t>
      </w:r>
      <w:r w:rsidR="00045798" w:rsidRPr="006F296D">
        <w:rPr>
          <w:rFonts w:asciiTheme="majorBidi" w:hAnsiTheme="majorBidi" w:cstheme="majorBidi"/>
        </w:rPr>
        <w:t>melfalán</w:t>
      </w:r>
      <w:r w:rsidRPr="006F296D">
        <w:rPr>
          <w:rFonts w:asciiTheme="majorBidi" w:hAnsiTheme="majorBidi" w:cstheme="majorBidi"/>
        </w:rPr>
        <w:t xml:space="preserve">. En un estudio placebo controlado doble ciego publicado en 1962, la prednisona como agente único produjo significativa disminución de las globulinas séricas e incremento en el hematocrito cuando se comparó con el placebo. En otro estudio la prednisona como agente único a 200 mg cada tercer día produjo beneficios en 8 de 10 pacientes con mieloma múltiple de riesgo adverso. En un análisis de dos protocolos del CALGB, la prednisona como agente único produjo un 44% de respuesta objetiva. El régimen clásico de </w:t>
      </w:r>
      <w:r w:rsidR="00BA18D2" w:rsidRPr="006F296D">
        <w:rPr>
          <w:rFonts w:asciiTheme="majorBidi" w:hAnsiTheme="majorBidi" w:cstheme="majorBidi"/>
        </w:rPr>
        <w:t>melfalán</w:t>
      </w:r>
      <w:r w:rsidRPr="006F296D">
        <w:rPr>
          <w:rFonts w:asciiTheme="majorBidi" w:hAnsiTheme="majorBidi" w:cstheme="majorBidi"/>
        </w:rPr>
        <w:t xml:space="preserve"> con prednisona fue establecido en un ensayo </w:t>
      </w:r>
      <w:r w:rsidR="00BA18D2" w:rsidRPr="006F296D">
        <w:rPr>
          <w:rFonts w:asciiTheme="majorBidi" w:hAnsiTheme="majorBidi" w:cstheme="majorBidi"/>
        </w:rPr>
        <w:t>clínico de</w:t>
      </w:r>
      <w:r w:rsidRPr="006F296D">
        <w:rPr>
          <w:rFonts w:asciiTheme="majorBidi" w:hAnsiTheme="majorBidi" w:cstheme="majorBidi"/>
        </w:rPr>
        <w:t xml:space="preserve"> 183 pacientes con mieloma múltiple publicado en 1969. </w:t>
      </w:r>
    </w:p>
    <w:p w14:paraId="61095E64" w14:textId="0102F728" w:rsidR="00AD338C" w:rsidRDefault="00AD338C" w:rsidP="00C11DAA">
      <w:pPr>
        <w:spacing w:line="480" w:lineRule="auto"/>
        <w:jc w:val="both"/>
        <w:rPr>
          <w:rFonts w:asciiTheme="majorBidi" w:hAnsiTheme="majorBidi" w:cstheme="majorBidi"/>
        </w:rPr>
      </w:pPr>
      <w:r w:rsidRPr="006F296D">
        <w:rPr>
          <w:rFonts w:asciiTheme="majorBidi" w:hAnsiTheme="majorBidi" w:cstheme="majorBidi"/>
        </w:rPr>
        <w:lastRenderedPageBreak/>
        <w:t xml:space="preserve">Este estudio, llevado por Raymond Alexanian y sus colegas encontró que la supervivencia fue 6 meses </w:t>
      </w:r>
      <w:r w:rsidR="00CB7387" w:rsidRPr="006F296D">
        <w:rPr>
          <w:rFonts w:asciiTheme="majorBidi" w:hAnsiTheme="majorBidi" w:cstheme="majorBidi"/>
        </w:rPr>
        <w:t>más</w:t>
      </w:r>
      <w:r w:rsidRPr="006F296D">
        <w:rPr>
          <w:rFonts w:asciiTheme="majorBidi" w:hAnsiTheme="majorBidi" w:cstheme="majorBidi"/>
        </w:rPr>
        <w:t xml:space="preserve"> larga con MP comparado solo con </w:t>
      </w:r>
      <w:r w:rsidR="00BA18D2" w:rsidRPr="006F296D">
        <w:rPr>
          <w:rFonts w:asciiTheme="majorBidi" w:hAnsiTheme="majorBidi" w:cstheme="majorBidi"/>
        </w:rPr>
        <w:t>melfalán</w:t>
      </w:r>
      <w:r w:rsidRPr="006F296D">
        <w:rPr>
          <w:rFonts w:asciiTheme="majorBidi" w:hAnsiTheme="majorBidi" w:cstheme="majorBidi"/>
        </w:rPr>
        <w:t xml:space="preserve">. Luego la dexametasona demostró que </w:t>
      </w:r>
      <w:r w:rsidR="00BA18D2" w:rsidRPr="006F296D">
        <w:rPr>
          <w:rFonts w:asciiTheme="majorBidi" w:hAnsiTheme="majorBidi" w:cstheme="majorBidi"/>
        </w:rPr>
        <w:t>tenía</w:t>
      </w:r>
      <w:r w:rsidRPr="006F296D">
        <w:rPr>
          <w:rFonts w:asciiTheme="majorBidi" w:hAnsiTheme="majorBidi" w:cstheme="majorBidi"/>
        </w:rPr>
        <w:t xml:space="preserve"> algunos beneficios adicionales sobre la prednisona. </w:t>
      </w:r>
    </w:p>
    <w:p w14:paraId="5E5732AB" w14:textId="77777777" w:rsidR="00BA18D2" w:rsidRPr="006F296D" w:rsidRDefault="00BA18D2" w:rsidP="00C11DAA">
      <w:pPr>
        <w:spacing w:line="480" w:lineRule="auto"/>
        <w:jc w:val="both"/>
        <w:rPr>
          <w:rFonts w:asciiTheme="majorBidi" w:hAnsiTheme="majorBidi" w:cstheme="majorBidi"/>
        </w:rPr>
      </w:pPr>
    </w:p>
    <w:p w14:paraId="747783A8" w14:textId="41956A73" w:rsidR="00FB211F" w:rsidRDefault="00AD338C" w:rsidP="00C11DAA">
      <w:pPr>
        <w:spacing w:line="480" w:lineRule="auto"/>
        <w:jc w:val="both"/>
        <w:rPr>
          <w:rFonts w:asciiTheme="majorBidi" w:hAnsiTheme="majorBidi" w:cstheme="majorBidi"/>
        </w:rPr>
      </w:pPr>
      <w:r w:rsidRPr="006F296D">
        <w:rPr>
          <w:rFonts w:asciiTheme="majorBidi" w:hAnsiTheme="majorBidi" w:cstheme="majorBidi"/>
        </w:rPr>
        <w:t xml:space="preserve">Harley reportó inicialmente la combinación de agentes alquilantes, </w:t>
      </w:r>
      <w:r w:rsidR="00BA18D2" w:rsidRPr="006F296D">
        <w:rPr>
          <w:rFonts w:asciiTheme="majorBidi" w:hAnsiTheme="majorBidi" w:cstheme="majorBidi"/>
        </w:rPr>
        <w:t>melfalán</w:t>
      </w:r>
      <w:r w:rsidRPr="006F296D">
        <w:rPr>
          <w:rFonts w:asciiTheme="majorBidi" w:hAnsiTheme="majorBidi" w:cstheme="majorBidi"/>
        </w:rPr>
        <w:t>, ciclofosfamida, y carmustine (BCNU) en 1972</w:t>
      </w:r>
      <w:r w:rsidR="00FB211F" w:rsidRPr="006F296D">
        <w:rPr>
          <w:rFonts w:asciiTheme="majorBidi" w:hAnsiTheme="majorBidi" w:cstheme="majorBidi"/>
        </w:rPr>
        <w:t>. El protocolo M2 que es una combinación de carmustine, ciclofosfamida, melfalan, vincristina y prednisona produjo excelentes respuestas subjetivas en 60% de 36 pacientes con MM.  Luego hubo un ensayo clínico que comparó este régimen con el clásico de MP en 252 pacientes y no se encontraron diferencias en términos de supervivencia.  Otros ensayos demostraron resultados negativos en términos de supervivencia incluso cuando las respuestas objetivas mejoraron. El grupo llamado The Myeloma trialists collaborative group describió un metanálisis de datos individuales de 4930 personas de 20 ensayos clínicos comparando MP con varias combinaciones terapéuticas. Aunque las tasas de respuesta fueron mejores con las combinaciones 60% vs 53% no hubo diferencia en la duración de la respuesta o en la</w:t>
      </w:r>
      <w:r w:rsidR="00BA18D2">
        <w:rPr>
          <w:rFonts w:asciiTheme="majorBidi" w:hAnsiTheme="majorBidi" w:cstheme="majorBidi"/>
        </w:rPr>
        <w:t xml:space="preserve"> supervivencia global. El MP permaneció</w:t>
      </w:r>
      <w:r w:rsidR="00FB211F" w:rsidRPr="006F296D">
        <w:rPr>
          <w:rFonts w:asciiTheme="majorBidi" w:hAnsiTheme="majorBidi" w:cstheme="majorBidi"/>
        </w:rPr>
        <w:t xml:space="preserve"> como la terapia estándar por años. </w:t>
      </w:r>
    </w:p>
    <w:p w14:paraId="523FACF3" w14:textId="77777777" w:rsidR="00BA18D2" w:rsidRDefault="00BA18D2" w:rsidP="00C11DAA">
      <w:pPr>
        <w:spacing w:line="480" w:lineRule="auto"/>
        <w:jc w:val="both"/>
        <w:rPr>
          <w:rFonts w:asciiTheme="majorBidi" w:hAnsiTheme="majorBidi" w:cstheme="majorBidi"/>
        </w:rPr>
      </w:pPr>
    </w:p>
    <w:p w14:paraId="7BD4E003" w14:textId="30A2D5FE" w:rsidR="00935505" w:rsidRPr="00935505" w:rsidRDefault="00935505" w:rsidP="00C11DAA">
      <w:pPr>
        <w:spacing w:line="480" w:lineRule="auto"/>
        <w:jc w:val="both"/>
        <w:rPr>
          <w:rFonts w:asciiTheme="majorBidi" w:hAnsiTheme="majorBidi" w:cstheme="majorBidi"/>
          <w:i/>
          <w:iCs/>
        </w:rPr>
      </w:pPr>
      <w:r w:rsidRPr="00935505">
        <w:rPr>
          <w:rFonts w:asciiTheme="majorBidi" w:hAnsiTheme="majorBidi" w:cstheme="majorBidi"/>
          <w:i/>
          <w:iCs/>
        </w:rPr>
        <w:t xml:space="preserve">Trasplante </w:t>
      </w:r>
    </w:p>
    <w:p w14:paraId="3A2C4677" w14:textId="17311D4D" w:rsidR="00BA18D2" w:rsidRDefault="00FB211F" w:rsidP="00C11DAA">
      <w:pPr>
        <w:spacing w:line="480" w:lineRule="auto"/>
        <w:jc w:val="both"/>
        <w:rPr>
          <w:rFonts w:asciiTheme="majorBidi" w:hAnsiTheme="majorBidi" w:cstheme="majorBidi"/>
        </w:rPr>
      </w:pPr>
      <w:r w:rsidRPr="006F296D">
        <w:rPr>
          <w:rFonts w:asciiTheme="majorBidi" w:hAnsiTheme="majorBidi" w:cstheme="majorBidi"/>
        </w:rPr>
        <w:t>E. Donall Thomas y sus colegas en Cooperstown Nueva York trataron 6 pacientes (uno con MM) con irradiación corporal total o quimioterapia seguido de infusión endovenosa de células de médula ósea en 1957 pero obstáculos técnicos no permitieron resultados satisfactorios</w:t>
      </w:r>
      <w:r w:rsidR="00BA18D2">
        <w:rPr>
          <w:rFonts w:asciiTheme="majorBidi" w:hAnsiTheme="majorBidi" w:cstheme="majorBidi"/>
        </w:rPr>
        <w:t xml:space="preserve"> sin embargo </w:t>
      </w:r>
      <w:r w:rsidR="000833D0" w:rsidRPr="006F296D">
        <w:rPr>
          <w:rFonts w:asciiTheme="majorBidi" w:hAnsiTheme="majorBidi" w:cstheme="majorBidi"/>
        </w:rPr>
        <w:t>en 1990 recibió el premio Nobel después de varios años de tra</w:t>
      </w:r>
      <w:r w:rsidR="00BA18D2">
        <w:rPr>
          <w:rFonts w:asciiTheme="majorBidi" w:hAnsiTheme="majorBidi" w:cstheme="majorBidi"/>
        </w:rPr>
        <w:t xml:space="preserve">bajo. </w:t>
      </w:r>
    </w:p>
    <w:p w14:paraId="523DE2EC" w14:textId="77777777" w:rsidR="00924B2F" w:rsidRDefault="00924B2F" w:rsidP="00C11DAA">
      <w:pPr>
        <w:spacing w:line="480" w:lineRule="auto"/>
        <w:jc w:val="both"/>
        <w:rPr>
          <w:rFonts w:asciiTheme="majorBidi" w:hAnsiTheme="majorBidi" w:cstheme="majorBidi"/>
        </w:rPr>
      </w:pPr>
    </w:p>
    <w:p w14:paraId="61D53A61" w14:textId="4C2D8B2E" w:rsidR="00CC7AA6" w:rsidRDefault="00BA18D2" w:rsidP="00C11DAA">
      <w:pPr>
        <w:spacing w:line="480" w:lineRule="auto"/>
        <w:jc w:val="both"/>
        <w:rPr>
          <w:rFonts w:asciiTheme="majorBidi" w:hAnsiTheme="majorBidi" w:cstheme="majorBidi"/>
        </w:rPr>
      </w:pPr>
      <w:r>
        <w:rPr>
          <w:rFonts w:asciiTheme="majorBidi" w:hAnsiTheme="majorBidi" w:cstheme="majorBidi"/>
        </w:rPr>
        <w:lastRenderedPageBreak/>
        <w:t>El primer trasplante singénico se realizó en 1982. D</w:t>
      </w:r>
      <w:r w:rsidR="000833D0" w:rsidRPr="006F296D">
        <w:rPr>
          <w:rFonts w:asciiTheme="majorBidi" w:hAnsiTheme="majorBidi" w:cstheme="majorBidi"/>
        </w:rPr>
        <w:t xml:space="preserve">os médicos hermanos fueron los pacientes.  En 1986 Alexander Fefer y colegas en Seattle describieron 5 pacientes con MM que recibieron trasplante singénico, luego en el año siguiente Gosta Gharton y colegas en Suecia reportaron 10 de 14 pacientes con mieloma múltiple que recibieron trasplante alogénico de hermanos HLA compatibles con supervivencia de 12 meses en mediana. El primer trasplante autólogo en un paciente con leucemia de células plasmáticas se reportó en 1983 por Timothy Mc Elwain y Ray Powles en Inglaterra. El paciente recibió </w:t>
      </w:r>
      <w:r w:rsidRPr="006F296D">
        <w:rPr>
          <w:rFonts w:asciiTheme="majorBidi" w:hAnsiTheme="majorBidi" w:cstheme="majorBidi"/>
        </w:rPr>
        <w:t>melfalán</w:t>
      </w:r>
      <w:r w:rsidR="000833D0" w:rsidRPr="006F296D">
        <w:rPr>
          <w:rFonts w:asciiTheme="majorBidi" w:hAnsiTheme="majorBidi" w:cstheme="majorBidi"/>
        </w:rPr>
        <w:t xml:space="preserve"> 140mg/m2 seguido de transfusiones plaquetarias y antibióticos, recae 16 meses después y se dio nuevamente 140 mg/m2 de </w:t>
      </w:r>
      <w:r w:rsidRPr="006F296D">
        <w:rPr>
          <w:rFonts w:asciiTheme="majorBidi" w:hAnsiTheme="majorBidi" w:cstheme="majorBidi"/>
        </w:rPr>
        <w:t>melfalán</w:t>
      </w:r>
      <w:r w:rsidR="000833D0" w:rsidRPr="006F296D">
        <w:rPr>
          <w:rFonts w:asciiTheme="majorBidi" w:hAnsiTheme="majorBidi" w:cstheme="majorBidi"/>
        </w:rPr>
        <w:t xml:space="preserve"> seguido de células autólogas obteniendo remisión medular. Dos de cuatro pacientes con MM no tratado de igual manera tuvieron respuesta completa, mientras que uno previamente tratado tuvo respuesta completa. Onc</w:t>
      </w:r>
      <w:r w:rsidR="00426925" w:rsidRPr="006F296D">
        <w:rPr>
          <w:rFonts w:asciiTheme="majorBidi" w:hAnsiTheme="majorBidi" w:cstheme="majorBidi"/>
        </w:rPr>
        <w:t>e</w:t>
      </w:r>
      <w:r w:rsidR="000833D0" w:rsidRPr="006F296D">
        <w:rPr>
          <w:rFonts w:asciiTheme="majorBidi" w:hAnsiTheme="majorBidi" w:cstheme="majorBidi"/>
        </w:rPr>
        <w:t xml:space="preserve"> pacientes 27% de 41 pacientes con MM no tratado previamente obtuvieron remisión completa después de la administración endovenosa de </w:t>
      </w:r>
      <w:r w:rsidRPr="006F296D">
        <w:rPr>
          <w:rFonts w:asciiTheme="majorBidi" w:hAnsiTheme="majorBidi" w:cstheme="majorBidi"/>
        </w:rPr>
        <w:t>melfalán</w:t>
      </w:r>
      <w:r w:rsidR="000833D0" w:rsidRPr="006F296D">
        <w:rPr>
          <w:rFonts w:asciiTheme="majorBidi" w:hAnsiTheme="majorBidi" w:cstheme="majorBidi"/>
        </w:rPr>
        <w:t xml:space="preserve"> 140 mg/m2. La mayoría recayeron con una mediana de 19 meses.  </w:t>
      </w:r>
    </w:p>
    <w:p w14:paraId="0A414BCA" w14:textId="77777777" w:rsidR="00CC7AA6" w:rsidRDefault="00CC7AA6" w:rsidP="00C11DAA">
      <w:pPr>
        <w:spacing w:line="480" w:lineRule="auto"/>
        <w:jc w:val="both"/>
        <w:rPr>
          <w:rFonts w:asciiTheme="majorBidi" w:hAnsiTheme="majorBidi" w:cstheme="majorBidi"/>
        </w:rPr>
      </w:pPr>
    </w:p>
    <w:p w14:paraId="795AFE5E" w14:textId="0D5A17EF" w:rsidR="00AD338C" w:rsidRDefault="000833D0" w:rsidP="00C11DAA">
      <w:pPr>
        <w:spacing w:line="480" w:lineRule="auto"/>
        <w:jc w:val="both"/>
        <w:rPr>
          <w:rFonts w:asciiTheme="majorBidi" w:hAnsiTheme="majorBidi" w:cstheme="majorBidi"/>
        </w:rPr>
      </w:pPr>
      <w:r w:rsidRPr="006F296D">
        <w:rPr>
          <w:rFonts w:asciiTheme="majorBidi" w:hAnsiTheme="majorBidi" w:cstheme="majorBidi"/>
        </w:rPr>
        <w:t>En 1987</w:t>
      </w:r>
      <w:r w:rsidR="00E01EB4" w:rsidRPr="006F296D">
        <w:rPr>
          <w:rFonts w:asciiTheme="majorBidi" w:hAnsiTheme="majorBidi" w:cstheme="majorBidi"/>
        </w:rPr>
        <w:t xml:space="preserve"> Bart Barlogie y sus colegas del MD Anderson en Houston reportaron el uso de 140 mg/m2 de </w:t>
      </w:r>
      <w:r w:rsidR="00BA18D2" w:rsidRPr="006F296D">
        <w:rPr>
          <w:rFonts w:asciiTheme="majorBidi" w:hAnsiTheme="majorBidi" w:cstheme="majorBidi"/>
        </w:rPr>
        <w:t>melfalán e</w:t>
      </w:r>
      <w:r w:rsidR="00E55970" w:rsidRPr="006F296D">
        <w:rPr>
          <w:rFonts w:asciiTheme="majorBidi" w:hAnsiTheme="majorBidi" w:cstheme="majorBidi"/>
        </w:rPr>
        <w:t xml:space="preserve"> irradiación corporal total</w:t>
      </w:r>
      <w:r w:rsidR="00D74FC7">
        <w:rPr>
          <w:rFonts w:asciiTheme="majorBidi" w:hAnsiTheme="majorBidi" w:cstheme="majorBidi"/>
        </w:rPr>
        <w:t xml:space="preserve"> </w:t>
      </w:r>
      <w:r w:rsidR="00D74FC7" w:rsidRPr="00D74FC7">
        <w:rPr>
          <w:rFonts w:asciiTheme="majorBidi" w:hAnsiTheme="majorBidi" w:cstheme="majorBidi"/>
        </w:rPr>
        <w:t xml:space="preserve">(850 cGy) </w:t>
      </w:r>
      <w:r w:rsidR="00E55970" w:rsidRPr="006F296D">
        <w:rPr>
          <w:rFonts w:asciiTheme="majorBidi" w:hAnsiTheme="majorBidi" w:cstheme="majorBidi"/>
        </w:rPr>
        <w:t>seguido de trasplante autólogo o alogénico en 6 pacientes con MM re</w:t>
      </w:r>
      <w:r w:rsidR="00BA18D2">
        <w:rPr>
          <w:rFonts w:asciiTheme="majorBidi" w:hAnsiTheme="majorBidi" w:cstheme="majorBidi"/>
        </w:rPr>
        <w:t>fractarios a la quimioterapia. É</w:t>
      </w:r>
      <w:r w:rsidR="00E55970" w:rsidRPr="006F296D">
        <w:rPr>
          <w:rFonts w:asciiTheme="majorBidi" w:hAnsiTheme="majorBidi" w:cstheme="majorBidi"/>
        </w:rPr>
        <w:t xml:space="preserve">l mismo subsecuentemente desarrolló programas de tratamiento intensivo usando células autólogas llamado Total Therapy que estableció finalmente las dosis altas de quimioterapia y el rescate celular autólogo como terapia estándar del mieloma múltiple. </w:t>
      </w:r>
    </w:p>
    <w:p w14:paraId="5D5A5F7E" w14:textId="47B93717" w:rsidR="00D74FC7" w:rsidRDefault="00D417D2" w:rsidP="00C11DAA">
      <w:pPr>
        <w:spacing w:line="480" w:lineRule="auto"/>
        <w:jc w:val="both"/>
        <w:rPr>
          <w:rFonts w:asciiTheme="majorBidi" w:hAnsiTheme="majorBidi" w:cstheme="majorBidi"/>
        </w:rPr>
      </w:pPr>
      <w:r>
        <w:rPr>
          <w:rFonts w:asciiTheme="majorBidi" w:hAnsiTheme="majorBidi" w:cstheme="majorBidi"/>
          <w:noProof/>
          <w:lang w:val="es-CO" w:eastAsia="es-CO"/>
        </w:rPr>
        <w:lastRenderedPageBreak/>
        <w:drawing>
          <wp:inline distT="0" distB="0" distL="0" distR="0" wp14:anchorId="0A1C2260" wp14:editId="58F19A4C">
            <wp:extent cx="3719830" cy="3775075"/>
            <wp:effectExtent l="0" t="0" r="0" b="9525"/>
            <wp:docPr id="11" name="Imagen 11" descr="Captura%20de%20pantalla%202019-01-05%20a%20la(s)%202.31.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a%20de%20pantalla%202019-01-05%20a%20la(s)%202.31.00%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9830" cy="3775075"/>
                    </a:xfrm>
                    <a:prstGeom prst="rect">
                      <a:avLst/>
                    </a:prstGeom>
                    <a:noFill/>
                    <a:ln>
                      <a:noFill/>
                    </a:ln>
                  </pic:spPr>
                </pic:pic>
              </a:graphicData>
            </a:graphic>
          </wp:inline>
        </w:drawing>
      </w:r>
    </w:p>
    <w:p w14:paraId="27835342" w14:textId="78732357" w:rsidR="00D417D2" w:rsidRDefault="00924B2F" w:rsidP="00C11DAA">
      <w:pPr>
        <w:spacing w:line="480" w:lineRule="auto"/>
        <w:jc w:val="both"/>
        <w:rPr>
          <w:rFonts w:asciiTheme="majorBidi" w:hAnsiTheme="majorBidi" w:cstheme="majorBidi"/>
        </w:rPr>
      </w:pPr>
      <w:r>
        <w:rPr>
          <w:rFonts w:asciiTheme="majorBidi" w:hAnsiTheme="majorBidi" w:cstheme="majorBidi"/>
        </w:rPr>
        <w:t>Figura 5</w:t>
      </w:r>
      <w:r w:rsidR="00D417D2">
        <w:rPr>
          <w:rFonts w:asciiTheme="majorBidi" w:hAnsiTheme="majorBidi" w:cstheme="majorBidi"/>
        </w:rPr>
        <w:t xml:space="preserve">. Bart Barlogie. </w:t>
      </w:r>
    </w:p>
    <w:p w14:paraId="52B9334B" w14:textId="77777777" w:rsidR="00BA18D2" w:rsidRPr="006F296D" w:rsidRDefault="00BA18D2" w:rsidP="00C11DAA">
      <w:pPr>
        <w:spacing w:line="480" w:lineRule="auto"/>
        <w:jc w:val="both"/>
        <w:rPr>
          <w:rFonts w:asciiTheme="majorBidi" w:hAnsiTheme="majorBidi" w:cstheme="majorBidi"/>
        </w:rPr>
      </w:pPr>
    </w:p>
    <w:p w14:paraId="45C74394" w14:textId="30CDB939" w:rsidR="00935505" w:rsidRPr="00935505" w:rsidRDefault="00935505" w:rsidP="00C11DAA">
      <w:pPr>
        <w:spacing w:line="480" w:lineRule="auto"/>
        <w:jc w:val="both"/>
        <w:rPr>
          <w:rFonts w:asciiTheme="majorBidi" w:hAnsiTheme="majorBidi" w:cstheme="majorBidi"/>
          <w:i/>
          <w:iCs/>
        </w:rPr>
      </w:pPr>
      <w:r w:rsidRPr="00935505">
        <w:rPr>
          <w:rFonts w:asciiTheme="majorBidi" w:hAnsiTheme="majorBidi" w:cstheme="majorBidi"/>
          <w:i/>
          <w:iCs/>
        </w:rPr>
        <w:t>Antia</w:t>
      </w:r>
      <w:r>
        <w:rPr>
          <w:rFonts w:asciiTheme="majorBidi" w:hAnsiTheme="majorBidi" w:cstheme="majorBidi"/>
          <w:i/>
          <w:iCs/>
        </w:rPr>
        <w:t>-a</w:t>
      </w:r>
      <w:r w:rsidRPr="00935505">
        <w:rPr>
          <w:rFonts w:asciiTheme="majorBidi" w:hAnsiTheme="majorBidi" w:cstheme="majorBidi"/>
          <w:i/>
          <w:iCs/>
        </w:rPr>
        <w:t>ngiogénicos</w:t>
      </w:r>
    </w:p>
    <w:p w14:paraId="08785CBC" w14:textId="77777777" w:rsidR="00935505" w:rsidRDefault="00935505" w:rsidP="00C11DAA">
      <w:pPr>
        <w:spacing w:line="480" w:lineRule="auto"/>
        <w:jc w:val="both"/>
        <w:rPr>
          <w:rFonts w:asciiTheme="majorBidi" w:hAnsiTheme="majorBidi" w:cstheme="majorBidi"/>
        </w:rPr>
      </w:pPr>
    </w:p>
    <w:p w14:paraId="57512CB7" w14:textId="76D9FB22" w:rsidR="00935505" w:rsidRDefault="00E55970" w:rsidP="00C11DAA">
      <w:pPr>
        <w:spacing w:line="480" w:lineRule="auto"/>
        <w:jc w:val="both"/>
        <w:rPr>
          <w:rFonts w:asciiTheme="majorBidi" w:hAnsiTheme="majorBidi" w:cstheme="majorBidi"/>
        </w:rPr>
      </w:pPr>
      <w:r w:rsidRPr="006F296D">
        <w:rPr>
          <w:rFonts w:asciiTheme="majorBidi" w:hAnsiTheme="majorBidi" w:cstheme="majorBidi"/>
        </w:rPr>
        <w:t xml:space="preserve">El desarrollo de agentes novedosos inicia por la utilización de </w:t>
      </w:r>
      <w:r w:rsidR="00AA4A0C" w:rsidRPr="006F296D">
        <w:rPr>
          <w:rFonts w:asciiTheme="majorBidi" w:hAnsiTheme="majorBidi" w:cstheme="majorBidi"/>
        </w:rPr>
        <w:t xml:space="preserve">Talidomida introducida en Alemania como agente sedante y como tratamiento de las </w:t>
      </w:r>
      <w:r w:rsidR="00924B2F" w:rsidRPr="006F296D">
        <w:rPr>
          <w:rFonts w:asciiTheme="majorBidi" w:hAnsiTheme="majorBidi" w:cstheme="majorBidi"/>
        </w:rPr>
        <w:t>náuseas</w:t>
      </w:r>
      <w:r w:rsidR="00AA4A0C" w:rsidRPr="006F296D">
        <w:rPr>
          <w:rFonts w:asciiTheme="majorBidi" w:hAnsiTheme="majorBidi" w:cstheme="majorBidi"/>
        </w:rPr>
        <w:t xml:space="preserve"> y vómito inducidos por el embarazo que luego se conocería su efecto teratogénico en noviembre de 1961. Se conoció que si se exponían los pacientes a este medicamento en el prime</w:t>
      </w:r>
      <w:r w:rsidR="00D67158" w:rsidRPr="006F296D">
        <w:rPr>
          <w:rFonts w:asciiTheme="majorBidi" w:hAnsiTheme="majorBidi" w:cstheme="majorBidi"/>
        </w:rPr>
        <w:t>r trimestre del embarazo producí</w:t>
      </w:r>
      <w:r w:rsidR="00AA4A0C" w:rsidRPr="006F296D">
        <w:rPr>
          <w:rFonts w:asciiTheme="majorBidi" w:hAnsiTheme="majorBidi" w:cstheme="majorBidi"/>
        </w:rPr>
        <w:t>a malformaciones fetales</w:t>
      </w:r>
      <w:r w:rsidR="00D67158" w:rsidRPr="006F296D">
        <w:rPr>
          <w:rFonts w:asciiTheme="majorBidi" w:hAnsiTheme="majorBidi" w:cstheme="majorBidi"/>
        </w:rPr>
        <w:t>, por tal razón fue removida de la mayorí</w:t>
      </w:r>
      <w:r w:rsidR="00935505">
        <w:rPr>
          <w:rFonts w:asciiTheme="majorBidi" w:hAnsiTheme="majorBidi" w:cstheme="majorBidi"/>
        </w:rPr>
        <w:t>a de países al final de 19</w:t>
      </w:r>
      <w:r w:rsidR="00CB7387">
        <w:rPr>
          <w:rFonts w:asciiTheme="majorBidi" w:hAnsiTheme="majorBidi" w:cstheme="majorBidi"/>
        </w:rPr>
        <w:t>9</w:t>
      </w:r>
      <w:r w:rsidR="00935505">
        <w:rPr>
          <w:rFonts w:asciiTheme="majorBidi" w:hAnsiTheme="majorBidi" w:cstheme="majorBidi"/>
        </w:rPr>
        <w:t>1, sin embargo,</w:t>
      </w:r>
      <w:r w:rsidR="00D67158" w:rsidRPr="006F296D">
        <w:rPr>
          <w:rFonts w:asciiTheme="majorBidi" w:hAnsiTheme="majorBidi" w:cstheme="majorBidi"/>
        </w:rPr>
        <w:t xml:space="preserve"> cerca de 10.000 </w:t>
      </w:r>
      <w:r w:rsidR="00935505" w:rsidRPr="006F296D">
        <w:rPr>
          <w:rFonts w:asciiTheme="majorBidi" w:hAnsiTheme="majorBidi" w:cstheme="majorBidi"/>
        </w:rPr>
        <w:t>recién</w:t>
      </w:r>
      <w:r w:rsidR="00D67158" w:rsidRPr="006F296D">
        <w:rPr>
          <w:rFonts w:asciiTheme="majorBidi" w:hAnsiTheme="majorBidi" w:cstheme="majorBidi"/>
        </w:rPr>
        <w:t xml:space="preserve"> nacidos fueron afectados. A pesar de esto se siguió usando en </w:t>
      </w:r>
      <w:r w:rsidR="00935505" w:rsidRPr="006F296D">
        <w:rPr>
          <w:rFonts w:asciiTheme="majorBidi" w:hAnsiTheme="majorBidi" w:cstheme="majorBidi"/>
        </w:rPr>
        <w:t>otras entidades</w:t>
      </w:r>
      <w:r w:rsidR="00935505">
        <w:rPr>
          <w:rFonts w:asciiTheme="majorBidi" w:hAnsiTheme="majorBidi" w:cstheme="majorBidi"/>
        </w:rPr>
        <w:t xml:space="preserve">. </w:t>
      </w:r>
    </w:p>
    <w:p w14:paraId="29D894D6" w14:textId="77777777" w:rsidR="00924B2F" w:rsidRDefault="00924B2F" w:rsidP="00C11DAA">
      <w:pPr>
        <w:spacing w:line="480" w:lineRule="auto"/>
        <w:jc w:val="both"/>
        <w:rPr>
          <w:rFonts w:asciiTheme="majorBidi" w:hAnsiTheme="majorBidi" w:cstheme="majorBidi"/>
        </w:rPr>
      </w:pPr>
    </w:p>
    <w:p w14:paraId="6CC65820" w14:textId="69D07AB7" w:rsidR="00E55970" w:rsidRDefault="00935505" w:rsidP="00C11DAA">
      <w:pPr>
        <w:spacing w:line="480" w:lineRule="auto"/>
        <w:jc w:val="both"/>
        <w:rPr>
          <w:rFonts w:asciiTheme="majorBidi" w:hAnsiTheme="majorBidi" w:cstheme="majorBidi"/>
        </w:rPr>
      </w:pPr>
      <w:r>
        <w:rPr>
          <w:rFonts w:asciiTheme="majorBidi" w:hAnsiTheme="majorBidi" w:cstheme="majorBidi"/>
        </w:rPr>
        <w:t xml:space="preserve">En </w:t>
      </w:r>
      <w:r w:rsidR="00D67158" w:rsidRPr="006F296D">
        <w:rPr>
          <w:rFonts w:asciiTheme="majorBidi" w:hAnsiTheme="majorBidi" w:cstheme="majorBidi"/>
        </w:rPr>
        <w:t xml:space="preserve">1980 se encontró que era efectiva en la enfermedad de Behcet, injerto contra huésped y en las ulceras y desgaste asociado al VIH. La FDA la aprobó para el </w:t>
      </w:r>
      <w:r w:rsidR="00D67158" w:rsidRPr="006F296D">
        <w:rPr>
          <w:rFonts w:asciiTheme="majorBidi" w:hAnsiTheme="majorBidi" w:cstheme="majorBidi"/>
        </w:rPr>
        <w:lastRenderedPageBreak/>
        <w:t>tratamiento del eritema nodoso leproso en 1998 bajo el STEPS que significa “The system for t</w:t>
      </w:r>
      <w:r w:rsidR="00CB7387">
        <w:rPr>
          <w:rFonts w:asciiTheme="majorBidi" w:hAnsiTheme="majorBidi" w:cstheme="majorBidi"/>
        </w:rPr>
        <w:t>ha</w:t>
      </w:r>
      <w:r w:rsidR="00D67158" w:rsidRPr="006F296D">
        <w:rPr>
          <w:rFonts w:asciiTheme="majorBidi" w:hAnsiTheme="majorBidi" w:cstheme="majorBidi"/>
        </w:rPr>
        <w:t>lidomide education and prescribing safety”.</w:t>
      </w:r>
    </w:p>
    <w:p w14:paraId="4EEDA829" w14:textId="77777777" w:rsidR="00924B2F" w:rsidRPr="006F296D" w:rsidRDefault="00924B2F" w:rsidP="00C11DAA">
      <w:pPr>
        <w:spacing w:line="480" w:lineRule="auto"/>
        <w:jc w:val="both"/>
        <w:rPr>
          <w:rFonts w:asciiTheme="majorBidi" w:hAnsiTheme="majorBidi" w:cstheme="majorBidi"/>
        </w:rPr>
      </w:pPr>
    </w:p>
    <w:p w14:paraId="62BECEA3" w14:textId="77777777" w:rsidR="00935505" w:rsidRDefault="00935505" w:rsidP="00C11DAA">
      <w:pPr>
        <w:spacing w:line="480" w:lineRule="auto"/>
        <w:jc w:val="both"/>
        <w:rPr>
          <w:rFonts w:asciiTheme="majorBidi" w:hAnsiTheme="majorBidi" w:cstheme="majorBidi"/>
        </w:rPr>
      </w:pPr>
      <w:r>
        <w:rPr>
          <w:rFonts w:asciiTheme="majorBidi" w:hAnsiTheme="majorBidi" w:cstheme="majorBidi"/>
        </w:rPr>
        <w:t>Las propiedades anti-</w:t>
      </w:r>
      <w:r w:rsidR="00D67158" w:rsidRPr="006F296D">
        <w:rPr>
          <w:rFonts w:asciiTheme="majorBidi" w:hAnsiTheme="majorBidi" w:cstheme="majorBidi"/>
        </w:rPr>
        <w:t>angiogénicas de la talid</w:t>
      </w:r>
      <w:r>
        <w:rPr>
          <w:rFonts w:asciiTheme="majorBidi" w:hAnsiTheme="majorBidi" w:cstheme="majorBidi"/>
        </w:rPr>
        <w:t xml:space="preserve">omida en la córnea de conejo da pie al </w:t>
      </w:r>
      <w:r w:rsidR="00D67158" w:rsidRPr="006F296D">
        <w:rPr>
          <w:rFonts w:asciiTheme="majorBidi" w:hAnsiTheme="majorBidi" w:cstheme="majorBidi"/>
        </w:rPr>
        <w:t>estudio de este medicamento en la angiogénesis del mieloma por Barlogie y colegas en la universidad de Arkansas con el nombre de “terapia antiangiogénica”</w:t>
      </w:r>
      <w:r w:rsidR="007733E8" w:rsidRPr="006F296D">
        <w:rPr>
          <w:rFonts w:asciiTheme="majorBidi" w:hAnsiTheme="majorBidi" w:cstheme="majorBidi"/>
        </w:rPr>
        <w:t xml:space="preserve">. </w:t>
      </w:r>
    </w:p>
    <w:p w14:paraId="0A55E0E8" w14:textId="7E00BFBB" w:rsidR="00D67158" w:rsidRDefault="00935505" w:rsidP="00C11DAA">
      <w:pPr>
        <w:spacing w:line="480" w:lineRule="auto"/>
        <w:jc w:val="both"/>
        <w:rPr>
          <w:rFonts w:asciiTheme="majorBidi" w:hAnsiTheme="majorBidi" w:cstheme="majorBidi"/>
        </w:rPr>
      </w:pPr>
      <w:r w:rsidRPr="006F296D">
        <w:rPr>
          <w:rFonts w:asciiTheme="majorBidi" w:hAnsiTheme="majorBidi" w:cstheme="majorBidi"/>
        </w:rPr>
        <w:t>Después</w:t>
      </w:r>
      <w:r w:rsidR="007733E8" w:rsidRPr="006F296D">
        <w:rPr>
          <w:rFonts w:asciiTheme="majorBidi" w:hAnsiTheme="majorBidi" w:cstheme="majorBidi"/>
        </w:rPr>
        <w:t xml:space="preserve"> de una conversación telefónica con Folkman, Barlogie y colegas diseñaron un ensayo que incluyó 84 pacientes para quienes el esquema con MP</w:t>
      </w:r>
      <w:r>
        <w:rPr>
          <w:rFonts w:asciiTheme="majorBidi" w:hAnsiTheme="majorBidi" w:cstheme="majorBidi"/>
        </w:rPr>
        <w:t xml:space="preserve"> había fallado</w:t>
      </w:r>
      <w:r w:rsidR="007733E8" w:rsidRPr="006F296D">
        <w:rPr>
          <w:rFonts w:asciiTheme="majorBidi" w:hAnsiTheme="majorBidi" w:cstheme="majorBidi"/>
        </w:rPr>
        <w:t xml:space="preserve">. </w:t>
      </w:r>
      <w:r>
        <w:rPr>
          <w:rFonts w:asciiTheme="majorBidi" w:hAnsiTheme="majorBidi" w:cstheme="majorBidi"/>
        </w:rPr>
        <w:t xml:space="preserve">En este estudio piloto </w:t>
      </w:r>
      <w:r w:rsidR="007733E8" w:rsidRPr="006F296D">
        <w:rPr>
          <w:rFonts w:asciiTheme="majorBidi" w:hAnsiTheme="majorBidi" w:cstheme="majorBidi"/>
        </w:rPr>
        <w:t xml:space="preserve">32% de los pacientes </w:t>
      </w:r>
      <w:r>
        <w:rPr>
          <w:rFonts w:asciiTheme="majorBidi" w:hAnsiTheme="majorBidi" w:cstheme="majorBidi"/>
        </w:rPr>
        <w:t xml:space="preserve">respondieron a la </w:t>
      </w:r>
      <w:r w:rsidR="00CB7387">
        <w:rPr>
          <w:rFonts w:asciiTheme="majorBidi" w:hAnsiTheme="majorBidi" w:cstheme="majorBidi"/>
        </w:rPr>
        <w:t>t</w:t>
      </w:r>
      <w:r w:rsidR="007733E8" w:rsidRPr="006F296D">
        <w:rPr>
          <w:rFonts w:asciiTheme="majorBidi" w:hAnsiTheme="majorBidi" w:cstheme="majorBidi"/>
        </w:rPr>
        <w:t xml:space="preserve">alidomida haciéndola el nuevo medicamento agente único con actividad para el MM en </w:t>
      </w:r>
      <w:r w:rsidR="00924B2F" w:rsidRPr="006F296D">
        <w:rPr>
          <w:rFonts w:asciiTheme="majorBidi" w:hAnsiTheme="majorBidi" w:cstheme="majorBidi"/>
        </w:rPr>
        <w:t>más</w:t>
      </w:r>
      <w:r w:rsidR="007733E8" w:rsidRPr="006F296D">
        <w:rPr>
          <w:rFonts w:asciiTheme="majorBidi" w:hAnsiTheme="majorBidi" w:cstheme="majorBidi"/>
        </w:rPr>
        <w:t xml:space="preserve"> de tres décadas. </w:t>
      </w:r>
    </w:p>
    <w:p w14:paraId="7CDAAA11" w14:textId="77777777" w:rsidR="00B423A5" w:rsidRDefault="00B423A5" w:rsidP="00C11DAA">
      <w:pPr>
        <w:spacing w:line="480" w:lineRule="auto"/>
        <w:jc w:val="both"/>
        <w:rPr>
          <w:rFonts w:asciiTheme="majorBidi" w:hAnsiTheme="majorBidi" w:cstheme="majorBidi"/>
        </w:rPr>
      </w:pPr>
    </w:p>
    <w:p w14:paraId="18C4A368" w14:textId="633FD5E3" w:rsidR="00B423A5" w:rsidRDefault="00B423A5" w:rsidP="00C11DAA">
      <w:pPr>
        <w:spacing w:line="480" w:lineRule="auto"/>
        <w:jc w:val="both"/>
        <w:rPr>
          <w:rFonts w:asciiTheme="majorBidi" w:hAnsiTheme="majorBidi" w:cstheme="majorBidi"/>
        </w:rPr>
      </w:pPr>
      <w:r w:rsidRPr="006F296D">
        <w:rPr>
          <w:rFonts w:asciiTheme="majorBidi" w:hAnsiTheme="majorBidi" w:cstheme="majorBidi"/>
        </w:rPr>
        <w:t>Varios análogos de la talidomida fueron sintetizados para minimizar algunos eventos adversos incluyendo la teratogenicidad. La lenalidomida fue evaluada en ensayos fase I en pacientes con MM refractario o recaído en el Dana Farber de Boston estudio conducido por Paul Richardson y sus colegas, el medicamento fue prometedor. Un ensayo desarrollado por el mismo en 102 pacientes que fue fase II con una respuesta global del 17%. En un estudio fase II de la clínica Mayo</w:t>
      </w:r>
      <w:r>
        <w:rPr>
          <w:rFonts w:asciiTheme="majorBidi" w:hAnsiTheme="majorBidi" w:cstheme="majorBidi"/>
        </w:rPr>
        <w:t>,</w:t>
      </w:r>
      <w:r w:rsidRPr="006F296D">
        <w:rPr>
          <w:rFonts w:asciiTheme="majorBidi" w:hAnsiTheme="majorBidi" w:cstheme="majorBidi"/>
        </w:rPr>
        <w:t xml:space="preserve"> 91% de los pacientes tuvieron respuesta objetiva a la combinación de lenalidomida y dexametasona. 2 estudios fase III han mostrado un mejor tiempo a la progresión con lenalidomida y dexametasona comparado con placebo y dexametasona en pacientes con MM refractario recaído. La combinación de lenalidomida y dexametasona fue aprobada por la FDA en junio de 2006 para el tratamiento del mieloma múltiple que hayan fallado a una primera línea de tratamiento. La lenalidomida es parcialmente eliminada por la orina por lo que requiere ajustes</w:t>
      </w:r>
      <w:r w:rsidR="0018380D">
        <w:rPr>
          <w:rFonts w:asciiTheme="majorBidi" w:hAnsiTheme="majorBidi" w:cstheme="majorBidi"/>
        </w:rPr>
        <w:t>. T</w:t>
      </w:r>
      <w:r w:rsidRPr="006F296D">
        <w:rPr>
          <w:rFonts w:asciiTheme="majorBidi" w:hAnsiTheme="majorBidi" w:cstheme="majorBidi"/>
        </w:rPr>
        <w:t>res medicamentos</w:t>
      </w:r>
      <w:r w:rsidR="0018380D">
        <w:rPr>
          <w:rFonts w:asciiTheme="majorBidi" w:hAnsiTheme="majorBidi" w:cstheme="majorBidi"/>
        </w:rPr>
        <w:t xml:space="preserve"> usados en la pasada </w:t>
      </w:r>
      <w:r w:rsidR="007F2417">
        <w:rPr>
          <w:rFonts w:asciiTheme="majorBidi" w:hAnsiTheme="majorBidi" w:cstheme="majorBidi"/>
        </w:rPr>
        <w:t>década (T</w:t>
      </w:r>
      <w:r w:rsidRPr="006F296D">
        <w:rPr>
          <w:rFonts w:asciiTheme="majorBidi" w:hAnsiTheme="majorBidi" w:cstheme="majorBidi"/>
        </w:rPr>
        <w:t xml:space="preserve">alidomida, </w:t>
      </w:r>
      <w:r w:rsidR="0018380D" w:rsidRPr="006F296D">
        <w:rPr>
          <w:rFonts w:asciiTheme="majorBidi" w:hAnsiTheme="majorBidi" w:cstheme="majorBidi"/>
        </w:rPr>
        <w:t>Bortezomib</w:t>
      </w:r>
      <w:r w:rsidR="007F2417">
        <w:rPr>
          <w:rFonts w:asciiTheme="majorBidi" w:hAnsiTheme="majorBidi" w:cstheme="majorBidi"/>
        </w:rPr>
        <w:t xml:space="preserve"> y L</w:t>
      </w:r>
      <w:r w:rsidRPr="006F296D">
        <w:rPr>
          <w:rFonts w:asciiTheme="majorBidi" w:hAnsiTheme="majorBidi" w:cstheme="majorBidi"/>
        </w:rPr>
        <w:t xml:space="preserve">enalidomida) </w:t>
      </w:r>
      <w:r w:rsidR="007F2417">
        <w:rPr>
          <w:rFonts w:asciiTheme="majorBidi" w:hAnsiTheme="majorBidi" w:cstheme="majorBidi"/>
        </w:rPr>
        <w:t>constituyen</w:t>
      </w:r>
      <w:r w:rsidRPr="006F296D">
        <w:rPr>
          <w:rFonts w:asciiTheme="majorBidi" w:hAnsiTheme="majorBidi" w:cstheme="majorBidi"/>
        </w:rPr>
        <w:t xml:space="preserve"> los primeros tres agentes novedosos</w:t>
      </w:r>
      <w:r w:rsidR="0018380D">
        <w:rPr>
          <w:rFonts w:asciiTheme="majorBidi" w:hAnsiTheme="majorBidi" w:cstheme="majorBidi"/>
        </w:rPr>
        <w:t xml:space="preserve"> en el manejo del MM </w:t>
      </w:r>
      <w:r w:rsidR="007F2417">
        <w:rPr>
          <w:rFonts w:asciiTheme="majorBidi" w:hAnsiTheme="majorBidi" w:cstheme="majorBidi"/>
        </w:rPr>
        <w:lastRenderedPageBreak/>
        <w:t xml:space="preserve">tanto en primera línea como en enfermedad refractaria y/o recaída </w:t>
      </w:r>
      <w:r w:rsidR="0018380D">
        <w:rPr>
          <w:rFonts w:asciiTheme="majorBidi" w:hAnsiTheme="majorBidi" w:cstheme="majorBidi"/>
        </w:rPr>
        <w:t xml:space="preserve">que han resultado en mayores </w:t>
      </w:r>
      <w:r w:rsidRPr="006F296D">
        <w:rPr>
          <w:rFonts w:asciiTheme="majorBidi" w:hAnsiTheme="majorBidi" w:cstheme="majorBidi"/>
        </w:rPr>
        <w:t xml:space="preserve">beneficios </w:t>
      </w:r>
      <w:r w:rsidR="0018380D">
        <w:rPr>
          <w:rFonts w:asciiTheme="majorBidi" w:hAnsiTheme="majorBidi" w:cstheme="majorBidi"/>
        </w:rPr>
        <w:t xml:space="preserve">que lo usado </w:t>
      </w:r>
      <w:r w:rsidRPr="006F296D">
        <w:rPr>
          <w:rFonts w:asciiTheme="majorBidi" w:hAnsiTheme="majorBidi" w:cstheme="majorBidi"/>
        </w:rPr>
        <w:t>en décadas pasadas</w:t>
      </w:r>
      <w:r w:rsidR="007F2417">
        <w:rPr>
          <w:rFonts w:asciiTheme="majorBidi" w:hAnsiTheme="majorBidi" w:cstheme="majorBidi"/>
        </w:rPr>
        <w:t xml:space="preserve">. </w:t>
      </w:r>
    </w:p>
    <w:p w14:paraId="51D7009B" w14:textId="77777777" w:rsidR="007F2417" w:rsidRDefault="007F2417" w:rsidP="00C11DAA">
      <w:pPr>
        <w:spacing w:line="480" w:lineRule="auto"/>
        <w:jc w:val="both"/>
        <w:rPr>
          <w:rFonts w:asciiTheme="majorBidi" w:hAnsiTheme="majorBidi" w:cstheme="majorBidi"/>
        </w:rPr>
      </w:pPr>
    </w:p>
    <w:p w14:paraId="6D57AC9F" w14:textId="77777777" w:rsidR="007F2417" w:rsidRDefault="007F2417" w:rsidP="00C11DAA">
      <w:pPr>
        <w:spacing w:line="480" w:lineRule="auto"/>
        <w:jc w:val="both"/>
        <w:rPr>
          <w:rFonts w:asciiTheme="majorBidi" w:hAnsiTheme="majorBidi" w:cstheme="majorBidi"/>
        </w:rPr>
      </w:pPr>
      <w:r w:rsidRPr="006F296D">
        <w:rPr>
          <w:rFonts w:asciiTheme="majorBidi" w:hAnsiTheme="majorBidi" w:cstheme="majorBidi"/>
        </w:rPr>
        <w:t xml:space="preserve">Un estudio llevado a cabo por el SWOG comparó lenalidomida con dexametasona con placebo y dexametasona en pacientes con mieloma de reciente diagnóstico. Los resultados fueron mejor supervivencia libre de progresión a un año, mejor tasa de respuesta, sugiriendo además que es seguro y efectivo como terapia inicial del MM de reciente diagnóstico.  En el 2015 la FDA le dio esta nueva indicación a la lenalidomida.  </w:t>
      </w:r>
      <w:r>
        <w:rPr>
          <w:rFonts w:asciiTheme="majorBidi" w:hAnsiTheme="majorBidi" w:cstheme="majorBidi"/>
        </w:rPr>
        <w:t xml:space="preserve">Actualmente existe controversia sobre el tratamiento con Inmunomoduladores en el tratamiento del </w:t>
      </w:r>
      <w:r w:rsidRPr="006F296D">
        <w:rPr>
          <w:rFonts w:asciiTheme="majorBidi" w:hAnsiTheme="majorBidi" w:cstheme="majorBidi"/>
        </w:rPr>
        <w:t xml:space="preserve">MM asintomático </w:t>
      </w:r>
      <w:r>
        <w:rPr>
          <w:rFonts w:asciiTheme="majorBidi" w:hAnsiTheme="majorBidi" w:cstheme="majorBidi"/>
        </w:rPr>
        <w:t xml:space="preserve">dado que parece retrasar la progresión a enfermedad sintomática. Esto debe verse con precaución dado que parece que el beneficio está dado para los pacientes de alto riesgo. </w:t>
      </w:r>
      <w:r w:rsidRPr="006F296D">
        <w:rPr>
          <w:rFonts w:asciiTheme="majorBidi" w:hAnsiTheme="majorBidi" w:cstheme="majorBidi"/>
        </w:rPr>
        <w:t xml:space="preserve"> </w:t>
      </w:r>
    </w:p>
    <w:p w14:paraId="403F0C21" w14:textId="77777777" w:rsidR="007F2417" w:rsidRPr="006F296D" w:rsidRDefault="007F2417" w:rsidP="00C11DAA">
      <w:pPr>
        <w:spacing w:line="480" w:lineRule="auto"/>
        <w:jc w:val="both"/>
        <w:rPr>
          <w:rFonts w:asciiTheme="majorBidi" w:hAnsiTheme="majorBidi" w:cstheme="majorBidi"/>
        </w:rPr>
      </w:pPr>
    </w:p>
    <w:p w14:paraId="57862F72" w14:textId="241DC3DF" w:rsidR="007F2417" w:rsidRPr="006F296D" w:rsidRDefault="007F2417" w:rsidP="00C11DAA">
      <w:pPr>
        <w:spacing w:line="480" w:lineRule="auto"/>
        <w:jc w:val="both"/>
        <w:rPr>
          <w:rFonts w:asciiTheme="majorBidi" w:hAnsiTheme="majorBidi" w:cstheme="majorBidi"/>
        </w:rPr>
      </w:pPr>
      <w:r>
        <w:rPr>
          <w:rFonts w:asciiTheme="majorBidi" w:hAnsiTheme="majorBidi" w:cstheme="majorBidi"/>
        </w:rPr>
        <w:t>La P</w:t>
      </w:r>
      <w:r w:rsidRPr="006F296D">
        <w:rPr>
          <w:rFonts w:asciiTheme="majorBidi" w:hAnsiTheme="majorBidi" w:cstheme="majorBidi"/>
        </w:rPr>
        <w:t xml:space="preserve">omalidomida es un nuevo análogo de la talidomida. Estudios han demostrado efectividad en MMRR </w:t>
      </w:r>
      <w:r w:rsidR="00D03BA5">
        <w:rPr>
          <w:rFonts w:asciiTheme="majorBidi" w:hAnsiTheme="majorBidi" w:cstheme="majorBidi"/>
        </w:rPr>
        <w:t xml:space="preserve">(Mieloma Múltiple Refractario) </w:t>
      </w:r>
      <w:r w:rsidRPr="006F296D">
        <w:rPr>
          <w:rFonts w:asciiTheme="majorBidi" w:hAnsiTheme="majorBidi" w:cstheme="majorBidi"/>
        </w:rPr>
        <w:t xml:space="preserve">como agente único o en combinación con bajas dosis de dexametasona incluso en pacientes refractarios a Bortezomib e IMIDs en ensayos fase III con la ventaja de que no tiene eliminación renal. </w:t>
      </w:r>
    </w:p>
    <w:p w14:paraId="22FD5FFA" w14:textId="77777777" w:rsidR="007F2417" w:rsidRPr="006F296D" w:rsidRDefault="007F2417" w:rsidP="00C11DAA">
      <w:pPr>
        <w:spacing w:line="480" w:lineRule="auto"/>
        <w:jc w:val="both"/>
        <w:rPr>
          <w:rFonts w:asciiTheme="majorBidi" w:hAnsiTheme="majorBidi" w:cstheme="majorBidi"/>
        </w:rPr>
      </w:pPr>
    </w:p>
    <w:p w14:paraId="4ABD8521" w14:textId="4516A120" w:rsidR="00B423A5" w:rsidRPr="006F296D" w:rsidRDefault="007F2417" w:rsidP="00C11DAA">
      <w:pPr>
        <w:spacing w:line="480" w:lineRule="auto"/>
        <w:jc w:val="both"/>
        <w:rPr>
          <w:rFonts w:asciiTheme="majorBidi" w:hAnsiTheme="majorBidi" w:cstheme="majorBidi"/>
        </w:rPr>
      </w:pPr>
      <w:r>
        <w:rPr>
          <w:rFonts w:asciiTheme="majorBidi" w:hAnsiTheme="majorBidi" w:cstheme="majorBidi"/>
        </w:rPr>
        <w:t>Vale la pena decir que l</w:t>
      </w:r>
      <w:r w:rsidR="00B423A5" w:rsidRPr="006F296D">
        <w:rPr>
          <w:rFonts w:asciiTheme="majorBidi" w:hAnsiTheme="majorBidi" w:cstheme="majorBidi"/>
        </w:rPr>
        <w:t>os pacientes tratados con Inmunomoduladores</w:t>
      </w:r>
      <w:r>
        <w:rPr>
          <w:rFonts w:asciiTheme="majorBidi" w:hAnsiTheme="majorBidi" w:cstheme="majorBidi"/>
        </w:rPr>
        <w:t xml:space="preserve"> tienen un gran riesgo de desarrollar eventos tromboembólicos, por tal razón, </w:t>
      </w:r>
      <w:r w:rsidR="00B423A5" w:rsidRPr="006F296D">
        <w:rPr>
          <w:rFonts w:asciiTheme="majorBidi" w:hAnsiTheme="majorBidi" w:cstheme="majorBidi"/>
        </w:rPr>
        <w:t xml:space="preserve">varios investigadores han recomendado la anticoagulación para mitigar estos efectos. Un estudio llevado a cabo en Italia por Palumbo determinó que la aspirina y las dosis bajas de warfarina tenían efecto similar en reducir los eventos tromboembólicos venosos, eventos cardiovasculares agudos, muerte súbita en pacientes recibiendo regímenes con </w:t>
      </w:r>
      <w:r w:rsidR="00B423A5" w:rsidRPr="006F296D">
        <w:rPr>
          <w:rFonts w:asciiTheme="majorBidi" w:hAnsiTheme="majorBidi" w:cstheme="majorBidi"/>
        </w:rPr>
        <w:lastRenderedPageBreak/>
        <w:t xml:space="preserve">talidomida comparados con heparinas de bajo peso molecular excepto en pacientes ancianos. </w:t>
      </w:r>
    </w:p>
    <w:p w14:paraId="451257EA" w14:textId="77777777" w:rsidR="00935505" w:rsidRDefault="00935505" w:rsidP="00C11DAA">
      <w:pPr>
        <w:spacing w:line="480" w:lineRule="auto"/>
        <w:jc w:val="both"/>
        <w:rPr>
          <w:rFonts w:asciiTheme="majorBidi" w:hAnsiTheme="majorBidi" w:cstheme="majorBidi"/>
        </w:rPr>
      </w:pPr>
    </w:p>
    <w:p w14:paraId="39B8720D" w14:textId="73FC2F84" w:rsidR="00935505" w:rsidRPr="00935505" w:rsidRDefault="00935505" w:rsidP="00C11DAA">
      <w:pPr>
        <w:spacing w:line="480" w:lineRule="auto"/>
        <w:jc w:val="both"/>
        <w:rPr>
          <w:rFonts w:asciiTheme="majorBidi" w:hAnsiTheme="majorBidi" w:cstheme="majorBidi"/>
          <w:i/>
          <w:iCs/>
        </w:rPr>
      </w:pPr>
      <w:r w:rsidRPr="00935505">
        <w:rPr>
          <w:rFonts w:asciiTheme="majorBidi" w:hAnsiTheme="majorBidi" w:cstheme="majorBidi"/>
          <w:i/>
          <w:iCs/>
        </w:rPr>
        <w:t>Inhibidores del proteosoma</w:t>
      </w:r>
    </w:p>
    <w:p w14:paraId="07075701" w14:textId="23096CF5" w:rsidR="00385991" w:rsidRDefault="007733E8" w:rsidP="00C11DAA">
      <w:pPr>
        <w:spacing w:line="480" w:lineRule="auto"/>
        <w:jc w:val="both"/>
        <w:rPr>
          <w:rFonts w:asciiTheme="majorBidi" w:hAnsiTheme="majorBidi" w:cstheme="majorBidi"/>
        </w:rPr>
      </w:pPr>
      <w:r w:rsidRPr="006F296D">
        <w:rPr>
          <w:rFonts w:asciiTheme="majorBidi" w:hAnsiTheme="majorBidi" w:cstheme="majorBidi"/>
        </w:rPr>
        <w:t xml:space="preserve">La ordenada degradación de las proteínas celulares eucariotas esta medida por la </w:t>
      </w:r>
      <w:r w:rsidR="00935505" w:rsidRPr="006F296D">
        <w:rPr>
          <w:rFonts w:asciiTheme="majorBidi" w:hAnsiTheme="majorBidi" w:cstheme="majorBidi"/>
        </w:rPr>
        <w:t>vía</w:t>
      </w:r>
      <w:r w:rsidRPr="006F296D">
        <w:rPr>
          <w:rFonts w:asciiTheme="majorBidi" w:hAnsiTheme="majorBidi" w:cstheme="majorBidi"/>
        </w:rPr>
        <w:t xml:space="preserve"> del </w:t>
      </w:r>
      <w:r w:rsidR="00935505" w:rsidRPr="006F296D">
        <w:rPr>
          <w:rFonts w:asciiTheme="majorBidi" w:hAnsiTheme="majorBidi" w:cstheme="majorBidi"/>
        </w:rPr>
        <w:t>ubiquitina</w:t>
      </w:r>
      <w:r w:rsidRPr="006F296D">
        <w:rPr>
          <w:rFonts w:asciiTheme="majorBidi" w:hAnsiTheme="majorBidi" w:cstheme="majorBidi"/>
        </w:rPr>
        <w:t xml:space="preserve"> proteosoma. El proteosoma 26S consiste de un centro de un complejo catalizador 20S y un complejo regulador 19S. La inhibición de este sistema lleva a la apoptosis celular </w:t>
      </w:r>
      <w:r w:rsidR="009131F2" w:rsidRPr="006F296D">
        <w:rPr>
          <w:rFonts w:asciiTheme="majorBidi" w:hAnsiTheme="majorBidi" w:cstheme="majorBidi"/>
        </w:rPr>
        <w:t xml:space="preserve">siendo las células malignas, transformadas y proliferantes las </w:t>
      </w:r>
      <w:r w:rsidR="00924B2F" w:rsidRPr="006F296D">
        <w:rPr>
          <w:rFonts w:asciiTheme="majorBidi" w:hAnsiTheme="majorBidi" w:cstheme="majorBidi"/>
        </w:rPr>
        <w:t>má</w:t>
      </w:r>
      <w:r w:rsidR="00924B2F">
        <w:rPr>
          <w:rFonts w:asciiTheme="majorBidi" w:hAnsiTheme="majorBidi" w:cstheme="majorBidi"/>
        </w:rPr>
        <w:t>s</w:t>
      </w:r>
      <w:r w:rsidR="00935505">
        <w:rPr>
          <w:rFonts w:asciiTheme="majorBidi" w:hAnsiTheme="majorBidi" w:cstheme="majorBidi"/>
        </w:rPr>
        <w:t xml:space="preserve"> susceptibles. </w:t>
      </w:r>
      <w:r w:rsidR="009131F2" w:rsidRPr="006F296D">
        <w:rPr>
          <w:rFonts w:asciiTheme="majorBidi" w:hAnsiTheme="majorBidi" w:cstheme="majorBidi"/>
        </w:rPr>
        <w:t xml:space="preserve">Varios compuestos derivados del ácido borónico incluyendo el </w:t>
      </w:r>
      <w:r w:rsidR="00935505" w:rsidRPr="006F296D">
        <w:rPr>
          <w:rFonts w:asciiTheme="majorBidi" w:hAnsiTheme="majorBidi" w:cstheme="majorBidi"/>
        </w:rPr>
        <w:t>Bortezomib</w:t>
      </w:r>
      <w:r w:rsidR="009131F2" w:rsidRPr="006F296D">
        <w:rPr>
          <w:rFonts w:asciiTheme="majorBidi" w:hAnsiTheme="majorBidi" w:cstheme="majorBidi"/>
        </w:rPr>
        <w:t xml:space="preserve"> fueron diseñados para inhibir la vía del proteosoma de una manera específica</w:t>
      </w:r>
      <w:r w:rsidR="00385991" w:rsidRPr="006F296D">
        <w:rPr>
          <w:rFonts w:asciiTheme="majorBidi" w:hAnsiTheme="majorBidi" w:cstheme="majorBidi"/>
        </w:rPr>
        <w:t xml:space="preserve">. El primer estudio con Bortezomib en neoplasias hematológicas avanzadas lo desarrolló el Dr. Orlowski en la universidad de Carolina del Norte. En estudio fase I demostró alta actividad, lo que fue confirmado además en estudios preclínicos en Dana Farber de Boston.  Aproximadamente un tercio de los pacientes con mieloma múltiple refractario y recaído respondieron al </w:t>
      </w:r>
      <w:r w:rsidR="00935505" w:rsidRPr="006F296D">
        <w:rPr>
          <w:rFonts w:asciiTheme="majorBidi" w:hAnsiTheme="majorBidi" w:cstheme="majorBidi"/>
        </w:rPr>
        <w:t>Bortezomib</w:t>
      </w:r>
      <w:r w:rsidR="00385991" w:rsidRPr="006F296D">
        <w:rPr>
          <w:rFonts w:asciiTheme="majorBidi" w:hAnsiTheme="majorBidi" w:cstheme="majorBidi"/>
        </w:rPr>
        <w:t xml:space="preserve">. Estos resultados llevaron a la aprobación del medicamento por la FDA en mayo de 2003. En un ensayo subsecuente, tiempo a la progresión fue superior con </w:t>
      </w:r>
      <w:r w:rsidR="00935505" w:rsidRPr="006F296D">
        <w:rPr>
          <w:rFonts w:asciiTheme="majorBidi" w:hAnsiTheme="majorBidi" w:cstheme="majorBidi"/>
        </w:rPr>
        <w:t>Bortezomib</w:t>
      </w:r>
      <w:r w:rsidR="00385991" w:rsidRPr="006F296D">
        <w:rPr>
          <w:rFonts w:asciiTheme="majorBidi" w:hAnsiTheme="majorBidi" w:cstheme="majorBidi"/>
        </w:rPr>
        <w:t xml:space="preserve"> comparado con dexametasona sola en pacientes con MM refractario o recaído. </w:t>
      </w:r>
    </w:p>
    <w:p w14:paraId="47CB17CE" w14:textId="77777777" w:rsidR="003F4F1F" w:rsidRDefault="003F4F1F" w:rsidP="00C11DAA">
      <w:pPr>
        <w:spacing w:line="480" w:lineRule="auto"/>
        <w:jc w:val="both"/>
        <w:rPr>
          <w:rFonts w:asciiTheme="majorBidi" w:hAnsiTheme="majorBidi" w:cstheme="majorBidi"/>
        </w:rPr>
      </w:pPr>
    </w:p>
    <w:p w14:paraId="1E106482" w14:textId="3A8F43C7" w:rsidR="0029404B" w:rsidRDefault="007F2417" w:rsidP="00C11DAA">
      <w:pPr>
        <w:spacing w:line="480" w:lineRule="auto"/>
        <w:jc w:val="both"/>
        <w:rPr>
          <w:rFonts w:asciiTheme="majorBidi" w:hAnsiTheme="majorBidi" w:cstheme="majorBidi"/>
        </w:rPr>
      </w:pPr>
      <w:r>
        <w:rPr>
          <w:rFonts w:asciiTheme="majorBidi" w:hAnsiTheme="majorBidi" w:cstheme="majorBidi"/>
        </w:rPr>
        <w:t xml:space="preserve">Varios estudios en la actualidad documentan el beneficio de Bortezomib combinado con quimioterapia en pacientes elegibles y no elegibles a trasplante con beneficios tanto en terapia de inducción como de mantenimiento inclusive superando algunas alteraciones citogenéticas de alto riesgo. En la actualidad se recomienda el uso de Bortezomib en la mayoría de escenarios clínicos en primera línea. </w:t>
      </w:r>
    </w:p>
    <w:p w14:paraId="333CB241" w14:textId="77777777" w:rsidR="007F2417" w:rsidRPr="006F296D" w:rsidRDefault="007F2417" w:rsidP="00C11DAA">
      <w:pPr>
        <w:spacing w:line="480" w:lineRule="auto"/>
        <w:jc w:val="both"/>
        <w:rPr>
          <w:rFonts w:asciiTheme="majorBidi" w:hAnsiTheme="majorBidi" w:cstheme="majorBidi"/>
        </w:rPr>
      </w:pPr>
    </w:p>
    <w:p w14:paraId="31ACAB10" w14:textId="5DEF2B66" w:rsidR="007F2417" w:rsidRDefault="00426925" w:rsidP="00C11DAA">
      <w:pPr>
        <w:spacing w:line="480" w:lineRule="auto"/>
        <w:jc w:val="both"/>
        <w:rPr>
          <w:rFonts w:asciiTheme="majorBidi" w:hAnsiTheme="majorBidi" w:cstheme="majorBidi"/>
        </w:rPr>
      </w:pPr>
      <w:r w:rsidRPr="006F296D">
        <w:rPr>
          <w:rFonts w:asciiTheme="majorBidi" w:hAnsiTheme="majorBidi" w:cstheme="majorBidi"/>
        </w:rPr>
        <w:lastRenderedPageBreak/>
        <w:t>Es important</w:t>
      </w:r>
      <w:r w:rsidR="007F2417">
        <w:rPr>
          <w:rFonts w:asciiTheme="majorBidi" w:hAnsiTheme="majorBidi" w:cstheme="majorBidi"/>
        </w:rPr>
        <w:t xml:space="preserve">e mencionar el carfilzomib, un </w:t>
      </w:r>
      <w:r w:rsidRPr="006F296D">
        <w:rPr>
          <w:rFonts w:asciiTheme="majorBidi" w:hAnsiTheme="majorBidi" w:cstheme="majorBidi"/>
        </w:rPr>
        <w:t xml:space="preserve">inhibidor del proteosoma de segunda </w:t>
      </w:r>
      <w:r w:rsidR="007F2417" w:rsidRPr="006F296D">
        <w:rPr>
          <w:rFonts w:asciiTheme="majorBidi" w:hAnsiTheme="majorBidi" w:cstheme="majorBidi"/>
        </w:rPr>
        <w:t>generación que</w:t>
      </w:r>
      <w:r w:rsidRPr="006F296D">
        <w:rPr>
          <w:rFonts w:asciiTheme="majorBidi" w:hAnsiTheme="majorBidi" w:cstheme="majorBidi"/>
        </w:rPr>
        <w:t xml:space="preserve"> se une </w:t>
      </w:r>
      <w:r w:rsidR="007F2417" w:rsidRPr="006F296D">
        <w:rPr>
          <w:rFonts w:asciiTheme="majorBidi" w:hAnsiTheme="majorBidi" w:cstheme="majorBidi"/>
        </w:rPr>
        <w:t>selectivamente al</w:t>
      </w:r>
      <w:r w:rsidRPr="006F296D">
        <w:rPr>
          <w:rFonts w:asciiTheme="majorBidi" w:hAnsiTheme="majorBidi" w:cstheme="majorBidi"/>
        </w:rPr>
        <w:t xml:space="preserve"> </w:t>
      </w:r>
      <w:r w:rsidR="007F2417" w:rsidRPr="006F296D">
        <w:rPr>
          <w:rFonts w:asciiTheme="majorBidi" w:hAnsiTheme="majorBidi" w:cstheme="majorBidi"/>
        </w:rPr>
        <w:t>sitio similar</w:t>
      </w:r>
      <w:r w:rsidRPr="006F296D">
        <w:rPr>
          <w:rFonts w:asciiTheme="majorBidi" w:hAnsiTheme="majorBidi" w:cstheme="majorBidi"/>
        </w:rPr>
        <w:t xml:space="preserve"> a la quimiotripsina del centro </w:t>
      </w:r>
      <w:r w:rsidR="004B51F9">
        <w:rPr>
          <w:rFonts w:asciiTheme="majorBidi" w:hAnsiTheme="majorBidi" w:cstheme="majorBidi"/>
        </w:rPr>
        <w:t>proteolítico y está</w:t>
      </w:r>
      <w:r w:rsidRPr="006F296D">
        <w:rPr>
          <w:rFonts w:asciiTheme="majorBidi" w:hAnsiTheme="majorBidi" w:cstheme="majorBidi"/>
        </w:rPr>
        <w:t xml:space="preserve"> actualmente evaluándose en diferentes dosis y diferentes regímenes tanto en recaída como en nuevo diagnóstico.</w:t>
      </w:r>
      <w:r w:rsidR="0029404B" w:rsidRPr="006F296D">
        <w:rPr>
          <w:rFonts w:asciiTheme="majorBidi" w:hAnsiTheme="majorBidi" w:cstheme="majorBidi"/>
        </w:rPr>
        <w:t xml:space="preserve"> Los principales efectos adversos que se han documentado son la posibilidad de desarrollar falla cardíaca pero menor p</w:t>
      </w:r>
      <w:r w:rsidR="007F2417">
        <w:rPr>
          <w:rFonts w:asciiTheme="majorBidi" w:hAnsiTheme="majorBidi" w:cstheme="majorBidi"/>
        </w:rPr>
        <w:t xml:space="preserve">robabilidad </w:t>
      </w:r>
      <w:r w:rsidR="0029404B" w:rsidRPr="006F296D">
        <w:rPr>
          <w:rFonts w:asciiTheme="majorBidi" w:hAnsiTheme="majorBidi" w:cstheme="majorBidi"/>
        </w:rPr>
        <w:t xml:space="preserve">de desarrollar neuropatía. </w:t>
      </w:r>
    </w:p>
    <w:p w14:paraId="4298E151" w14:textId="77777777" w:rsidR="007F2417" w:rsidRDefault="007F2417" w:rsidP="00C11DAA">
      <w:pPr>
        <w:spacing w:line="480" w:lineRule="auto"/>
        <w:jc w:val="both"/>
        <w:rPr>
          <w:rFonts w:asciiTheme="majorBidi" w:hAnsiTheme="majorBidi" w:cstheme="majorBidi"/>
        </w:rPr>
      </w:pPr>
    </w:p>
    <w:p w14:paraId="6C24E8B7" w14:textId="2CC25833" w:rsidR="00426925" w:rsidRDefault="0029404B" w:rsidP="00C11DAA">
      <w:pPr>
        <w:spacing w:line="480" w:lineRule="auto"/>
        <w:jc w:val="both"/>
        <w:rPr>
          <w:rFonts w:asciiTheme="majorBidi" w:hAnsiTheme="majorBidi" w:cstheme="majorBidi"/>
        </w:rPr>
      </w:pPr>
      <w:r w:rsidRPr="006F296D">
        <w:rPr>
          <w:rFonts w:asciiTheme="majorBidi" w:hAnsiTheme="majorBidi" w:cstheme="majorBidi"/>
        </w:rPr>
        <w:t>Además</w:t>
      </w:r>
      <w:r w:rsidR="007F2417">
        <w:rPr>
          <w:rFonts w:asciiTheme="majorBidi" w:hAnsiTheme="majorBidi" w:cstheme="majorBidi"/>
        </w:rPr>
        <w:t xml:space="preserve"> del carfilzomib se ha desarrollado el I</w:t>
      </w:r>
      <w:r w:rsidRPr="006F296D">
        <w:rPr>
          <w:rFonts w:asciiTheme="majorBidi" w:hAnsiTheme="majorBidi" w:cstheme="majorBidi"/>
        </w:rPr>
        <w:t xml:space="preserve">xazomib que tiene aprobación también por las agencias regulatorias y que tiene la ventaja de ser una terapia oral con alta actividad en MMRR con riesgo citogenético adverso. </w:t>
      </w:r>
    </w:p>
    <w:p w14:paraId="36BE6CA0" w14:textId="77777777" w:rsidR="007F2417" w:rsidRDefault="007F2417" w:rsidP="00C11DAA">
      <w:pPr>
        <w:spacing w:line="480" w:lineRule="auto"/>
        <w:jc w:val="both"/>
        <w:rPr>
          <w:rFonts w:asciiTheme="majorBidi" w:hAnsiTheme="majorBidi" w:cstheme="majorBidi"/>
        </w:rPr>
      </w:pPr>
    </w:p>
    <w:p w14:paraId="60856578" w14:textId="2AE84338" w:rsidR="007F2417" w:rsidRPr="007F2417" w:rsidRDefault="007F2417" w:rsidP="00C11DAA">
      <w:pPr>
        <w:spacing w:line="480" w:lineRule="auto"/>
        <w:jc w:val="both"/>
        <w:rPr>
          <w:rFonts w:asciiTheme="majorBidi" w:hAnsiTheme="majorBidi" w:cstheme="majorBidi"/>
          <w:i/>
          <w:iCs/>
        </w:rPr>
      </w:pPr>
      <w:r w:rsidRPr="007F2417">
        <w:rPr>
          <w:rFonts w:asciiTheme="majorBidi" w:hAnsiTheme="majorBidi" w:cstheme="majorBidi"/>
          <w:i/>
          <w:iCs/>
        </w:rPr>
        <w:t>Anticuerpos monoclonales</w:t>
      </w:r>
    </w:p>
    <w:p w14:paraId="78929843" w14:textId="77777777" w:rsidR="007F2417" w:rsidRPr="006F296D" w:rsidRDefault="007F2417" w:rsidP="00C11DAA">
      <w:pPr>
        <w:spacing w:line="480" w:lineRule="auto"/>
        <w:jc w:val="both"/>
        <w:rPr>
          <w:rFonts w:asciiTheme="majorBidi" w:hAnsiTheme="majorBidi" w:cstheme="majorBidi"/>
        </w:rPr>
      </w:pPr>
    </w:p>
    <w:p w14:paraId="21137880" w14:textId="09B461D7" w:rsidR="0029404B" w:rsidRDefault="007F2417" w:rsidP="00C11DAA">
      <w:pPr>
        <w:spacing w:line="480" w:lineRule="auto"/>
        <w:jc w:val="both"/>
        <w:rPr>
          <w:rFonts w:asciiTheme="majorBidi" w:hAnsiTheme="majorBidi" w:cstheme="majorBidi"/>
        </w:rPr>
      </w:pPr>
      <w:r>
        <w:rPr>
          <w:rFonts w:asciiTheme="majorBidi" w:hAnsiTheme="majorBidi" w:cstheme="majorBidi"/>
        </w:rPr>
        <w:t>En</w:t>
      </w:r>
      <w:r w:rsidR="0029404B" w:rsidRPr="006F296D">
        <w:rPr>
          <w:rFonts w:asciiTheme="majorBidi" w:hAnsiTheme="majorBidi" w:cstheme="majorBidi"/>
        </w:rPr>
        <w:t xml:space="preserve"> la última década se han desar</w:t>
      </w:r>
      <w:r w:rsidR="00F2753F">
        <w:rPr>
          <w:rFonts w:asciiTheme="majorBidi" w:hAnsiTheme="majorBidi" w:cstheme="majorBidi"/>
        </w:rPr>
        <w:t>rollado nuevos medicamentos como</w:t>
      </w:r>
      <w:r w:rsidR="0029404B" w:rsidRPr="006F296D">
        <w:rPr>
          <w:rFonts w:asciiTheme="majorBidi" w:hAnsiTheme="majorBidi" w:cstheme="majorBidi"/>
        </w:rPr>
        <w:t xml:space="preserve"> lo</w:t>
      </w:r>
      <w:r w:rsidR="00F2753F">
        <w:rPr>
          <w:rFonts w:asciiTheme="majorBidi" w:hAnsiTheme="majorBidi" w:cstheme="majorBidi"/>
        </w:rPr>
        <w:t xml:space="preserve">s anticuerpos monoclonales incluyendo </w:t>
      </w:r>
      <w:r w:rsidR="0029404B" w:rsidRPr="006F296D">
        <w:rPr>
          <w:rFonts w:asciiTheme="majorBidi" w:hAnsiTheme="majorBidi" w:cstheme="majorBidi"/>
        </w:rPr>
        <w:t>Daratumumab</w:t>
      </w:r>
      <w:r w:rsidR="00F2753F">
        <w:rPr>
          <w:rFonts w:asciiTheme="majorBidi" w:hAnsiTheme="majorBidi" w:cstheme="majorBidi"/>
        </w:rPr>
        <w:t xml:space="preserve"> y Elotuzumab</w:t>
      </w:r>
      <w:r w:rsidR="0029404B" w:rsidRPr="006F296D">
        <w:rPr>
          <w:rFonts w:asciiTheme="majorBidi" w:hAnsiTheme="majorBidi" w:cstheme="majorBidi"/>
        </w:rPr>
        <w:t xml:space="preserve"> que ha</w:t>
      </w:r>
      <w:r w:rsidR="00F2753F">
        <w:rPr>
          <w:rFonts w:asciiTheme="majorBidi" w:hAnsiTheme="majorBidi" w:cstheme="majorBidi"/>
        </w:rPr>
        <w:t>n</w:t>
      </w:r>
      <w:r w:rsidR="0029404B" w:rsidRPr="006F296D">
        <w:rPr>
          <w:rFonts w:asciiTheme="majorBidi" w:hAnsiTheme="majorBidi" w:cstheme="majorBidi"/>
        </w:rPr>
        <w:t xml:space="preserve"> demostrado </w:t>
      </w:r>
      <w:r w:rsidR="00F2753F">
        <w:rPr>
          <w:rFonts w:asciiTheme="majorBidi" w:hAnsiTheme="majorBidi" w:cstheme="majorBidi"/>
        </w:rPr>
        <w:t xml:space="preserve">ser medicamentos efectivos y seguros en el manejo del </w:t>
      </w:r>
      <w:r w:rsidR="0029404B" w:rsidRPr="006F296D">
        <w:rPr>
          <w:rFonts w:asciiTheme="majorBidi" w:hAnsiTheme="majorBidi" w:cstheme="majorBidi"/>
        </w:rPr>
        <w:t>MM</w:t>
      </w:r>
      <w:r w:rsidR="00F2753F">
        <w:rPr>
          <w:rFonts w:asciiTheme="majorBidi" w:hAnsiTheme="majorBidi" w:cstheme="majorBidi"/>
        </w:rPr>
        <w:t xml:space="preserve"> </w:t>
      </w:r>
      <w:r w:rsidR="0029404B" w:rsidRPr="006F296D">
        <w:rPr>
          <w:rFonts w:asciiTheme="majorBidi" w:hAnsiTheme="majorBidi" w:cstheme="majorBidi"/>
        </w:rPr>
        <w:t>RR y ahora esta</w:t>
      </w:r>
      <w:r w:rsidR="00F2753F">
        <w:rPr>
          <w:rFonts w:asciiTheme="majorBidi" w:hAnsiTheme="majorBidi" w:cstheme="majorBidi"/>
        </w:rPr>
        <w:t>n</w:t>
      </w:r>
      <w:r w:rsidR="0029404B" w:rsidRPr="006F296D">
        <w:rPr>
          <w:rFonts w:asciiTheme="majorBidi" w:hAnsiTheme="majorBidi" w:cstheme="majorBidi"/>
        </w:rPr>
        <w:t xml:space="preserve"> siendo investigado</w:t>
      </w:r>
      <w:r w:rsidR="00F2753F">
        <w:rPr>
          <w:rFonts w:asciiTheme="majorBidi" w:hAnsiTheme="majorBidi" w:cstheme="majorBidi"/>
        </w:rPr>
        <w:t xml:space="preserve">s en terapia de primera línea.  De </w:t>
      </w:r>
      <w:r w:rsidR="005F2455">
        <w:rPr>
          <w:rFonts w:asciiTheme="majorBidi" w:hAnsiTheme="majorBidi" w:cstheme="majorBidi"/>
        </w:rPr>
        <w:t>hecho,</w:t>
      </w:r>
      <w:r w:rsidR="00F2753F">
        <w:rPr>
          <w:rFonts w:asciiTheme="majorBidi" w:hAnsiTheme="majorBidi" w:cstheme="majorBidi"/>
        </w:rPr>
        <w:t xml:space="preserve"> Daratumumab</w:t>
      </w:r>
      <w:r w:rsidR="0029404B" w:rsidRPr="006F296D">
        <w:rPr>
          <w:rFonts w:asciiTheme="majorBidi" w:hAnsiTheme="majorBidi" w:cstheme="majorBidi"/>
        </w:rPr>
        <w:t xml:space="preserve"> tiene aprobación</w:t>
      </w:r>
      <w:r w:rsidR="00F2753F">
        <w:rPr>
          <w:rFonts w:asciiTheme="majorBidi" w:hAnsiTheme="majorBidi" w:cstheme="majorBidi"/>
        </w:rPr>
        <w:t xml:space="preserve"> para uso en </w:t>
      </w:r>
      <w:r w:rsidR="0029404B" w:rsidRPr="006F296D">
        <w:rPr>
          <w:rFonts w:asciiTheme="majorBidi" w:hAnsiTheme="majorBidi" w:cstheme="majorBidi"/>
        </w:rPr>
        <w:t>primera línea por la FDA</w:t>
      </w:r>
      <w:r w:rsidR="00F2753F">
        <w:rPr>
          <w:rFonts w:asciiTheme="majorBidi" w:hAnsiTheme="majorBidi" w:cstheme="majorBidi"/>
        </w:rPr>
        <w:t xml:space="preserve"> para pacientes no elegibles a trasplante</w:t>
      </w:r>
      <w:r w:rsidR="0029404B" w:rsidRPr="006F296D">
        <w:rPr>
          <w:rFonts w:asciiTheme="majorBidi" w:hAnsiTheme="majorBidi" w:cstheme="majorBidi"/>
        </w:rPr>
        <w:t xml:space="preserve">. </w:t>
      </w:r>
    </w:p>
    <w:p w14:paraId="6653828B" w14:textId="77777777" w:rsidR="00F2753F" w:rsidRDefault="00F2753F" w:rsidP="00C11DAA">
      <w:pPr>
        <w:spacing w:line="480" w:lineRule="auto"/>
        <w:jc w:val="both"/>
        <w:rPr>
          <w:rFonts w:asciiTheme="majorBidi" w:hAnsiTheme="majorBidi" w:cstheme="majorBidi"/>
        </w:rPr>
      </w:pPr>
    </w:p>
    <w:p w14:paraId="2CC404BC" w14:textId="76F66BE6" w:rsidR="00F2753F" w:rsidRPr="00F2753F" w:rsidRDefault="00F2753F" w:rsidP="00C11DAA">
      <w:pPr>
        <w:spacing w:line="480" w:lineRule="auto"/>
        <w:jc w:val="both"/>
        <w:rPr>
          <w:rFonts w:asciiTheme="majorBidi" w:hAnsiTheme="majorBidi" w:cstheme="majorBidi"/>
          <w:i/>
          <w:iCs/>
        </w:rPr>
      </w:pPr>
      <w:r w:rsidRPr="00F2753F">
        <w:rPr>
          <w:rFonts w:asciiTheme="majorBidi" w:hAnsiTheme="majorBidi" w:cstheme="majorBidi"/>
          <w:i/>
          <w:iCs/>
        </w:rPr>
        <w:t>Otras terapias</w:t>
      </w:r>
    </w:p>
    <w:p w14:paraId="5E936AFD" w14:textId="161D5AD8" w:rsidR="006072DF" w:rsidRPr="006F296D" w:rsidRDefault="00F2753F" w:rsidP="00C11DAA">
      <w:pPr>
        <w:spacing w:line="480" w:lineRule="auto"/>
        <w:jc w:val="both"/>
        <w:rPr>
          <w:rFonts w:asciiTheme="majorBidi" w:hAnsiTheme="majorBidi" w:cstheme="majorBidi"/>
        </w:rPr>
      </w:pPr>
      <w:r>
        <w:rPr>
          <w:rFonts w:asciiTheme="majorBidi" w:hAnsiTheme="majorBidi" w:cstheme="majorBidi"/>
        </w:rPr>
        <w:t>T</w:t>
      </w:r>
      <w:r w:rsidR="006072DF" w:rsidRPr="006F296D">
        <w:rPr>
          <w:rFonts w:asciiTheme="majorBidi" w:hAnsiTheme="majorBidi" w:cstheme="majorBidi"/>
        </w:rPr>
        <w:t xml:space="preserve">erapias como los inhibidores de histona deacetilasa (HDAC), inhibidores de BCL2 </w:t>
      </w:r>
      <w:r w:rsidRPr="006F296D">
        <w:rPr>
          <w:rFonts w:asciiTheme="majorBidi" w:hAnsiTheme="majorBidi" w:cstheme="majorBidi"/>
        </w:rPr>
        <w:t>están</w:t>
      </w:r>
      <w:r w:rsidR="006072DF" w:rsidRPr="006F296D">
        <w:rPr>
          <w:rFonts w:asciiTheme="majorBidi" w:hAnsiTheme="majorBidi" w:cstheme="majorBidi"/>
        </w:rPr>
        <w:t xml:space="preserve"> siendo investigados actualmente. </w:t>
      </w:r>
      <w:r w:rsidR="00B77F21">
        <w:rPr>
          <w:rFonts w:asciiTheme="majorBidi" w:hAnsiTheme="majorBidi" w:cstheme="majorBidi"/>
        </w:rPr>
        <w:t xml:space="preserve"> </w:t>
      </w:r>
      <w:r w:rsidR="006072DF" w:rsidRPr="006F296D">
        <w:rPr>
          <w:rFonts w:asciiTheme="majorBidi" w:hAnsiTheme="majorBidi" w:cstheme="majorBidi"/>
        </w:rPr>
        <w:t xml:space="preserve">Las terapias adicionales incluyen además la radioterapia, los antibióticos, los bisfosfonatos, el </w:t>
      </w:r>
      <w:r w:rsidRPr="006F296D">
        <w:rPr>
          <w:rFonts w:asciiTheme="majorBidi" w:hAnsiTheme="majorBidi" w:cstheme="majorBidi"/>
        </w:rPr>
        <w:t>Denosumab</w:t>
      </w:r>
      <w:r w:rsidR="006072DF" w:rsidRPr="006F296D">
        <w:rPr>
          <w:rFonts w:asciiTheme="majorBidi" w:hAnsiTheme="majorBidi" w:cstheme="majorBidi"/>
        </w:rPr>
        <w:t xml:space="preserve"> y la cirugía con indicaciones y adelantos que se han dilucidado en la última década. </w:t>
      </w:r>
    </w:p>
    <w:p w14:paraId="5AF31016" w14:textId="77777777" w:rsidR="00C11DAA" w:rsidRDefault="00F2753F" w:rsidP="00C11DAA">
      <w:pPr>
        <w:spacing w:line="480" w:lineRule="auto"/>
        <w:jc w:val="both"/>
        <w:rPr>
          <w:rFonts w:asciiTheme="majorBidi" w:hAnsiTheme="majorBidi" w:cstheme="majorBidi"/>
        </w:rPr>
      </w:pPr>
      <w:r>
        <w:rPr>
          <w:rFonts w:asciiTheme="majorBidi" w:hAnsiTheme="majorBidi" w:cstheme="majorBidi"/>
        </w:rPr>
        <w:lastRenderedPageBreak/>
        <w:t>A pesar de todo lo anterior, en el MM</w:t>
      </w:r>
      <w:r w:rsidR="006072DF" w:rsidRPr="006F296D">
        <w:rPr>
          <w:rFonts w:asciiTheme="majorBidi" w:hAnsiTheme="majorBidi" w:cstheme="majorBidi"/>
        </w:rPr>
        <w:t xml:space="preserve"> las recaídas son inevitables en la mayoría de los </w:t>
      </w:r>
      <w:r w:rsidRPr="006F296D">
        <w:rPr>
          <w:rFonts w:asciiTheme="majorBidi" w:hAnsiTheme="majorBidi" w:cstheme="majorBidi"/>
        </w:rPr>
        <w:t>pacientes haciendo</w:t>
      </w:r>
      <w:r w:rsidR="006072DF" w:rsidRPr="006F296D">
        <w:rPr>
          <w:rFonts w:asciiTheme="majorBidi" w:hAnsiTheme="majorBidi" w:cstheme="majorBidi"/>
        </w:rPr>
        <w:t xml:space="preserve"> que esta enfermedad permanezca sustancialmente incurable.  El arsenal terapéutico como pudimos ver en este pequeño recuento histórico es amplio y </w:t>
      </w:r>
      <w:r w:rsidRPr="006F296D">
        <w:rPr>
          <w:rFonts w:asciiTheme="majorBidi" w:hAnsiTheme="majorBidi" w:cstheme="majorBidi"/>
        </w:rPr>
        <w:t>continúa</w:t>
      </w:r>
      <w:r w:rsidR="006072DF" w:rsidRPr="006F296D">
        <w:rPr>
          <w:rFonts w:asciiTheme="majorBidi" w:hAnsiTheme="majorBidi" w:cstheme="majorBidi"/>
        </w:rPr>
        <w:t xml:space="preserve"> ampliándose</w:t>
      </w:r>
      <w:r>
        <w:rPr>
          <w:rFonts w:asciiTheme="majorBidi" w:hAnsiTheme="majorBidi" w:cstheme="majorBidi"/>
        </w:rPr>
        <w:t>,</w:t>
      </w:r>
      <w:r w:rsidR="006072DF" w:rsidRPr="006F296D">
        <w:rPr>
          <w:rFonts w:asciiTheme="majorBidi" w:hAnsiTheme="majorBidi" w:cstheme="majorBidi"/>
        </w:rPr>
        <w:t xml:space="preserve"> sin embargo</w:t>
      </w:r>
      <w:r>
        <w:rPr>
          <w:rFonts w:asciiTheme="majorBidi" w:hAnsiTheme="majorBidi" w:cstheme="majorBidi"/>
        </w:rPr>
        <w:t>,</w:t>
      </w:r>
      <w:r w:rsidR="006072DF" w:rsidRPr="006F296D">
        <w:rPr>
          <w:rFonts w:asciiTheme="majorBidi" w:hAnsiTheme="majorBidi" w:cstheme="majorBidi"/>
        </w:rPr>
        <w:t xml:space="preserve"> </w:t>
      </w:r>
      <w:r>
        <w:rPr>
          <w:rFonts w:asciiTheme="majorBidi" w:hAnsiTheme="majorBidi" w:cstheme="majorBidi"/>
        </w:rPr>
        <w:t xml:space="preserve">cada medicamento tiene un perfil de </w:t>
      </w:r>
      <w:r w:rsidR="006072DF" w:rsidRPr="006F296D">
        <w:rPr>
          <w:rFonts w:asciiTheme="majorBidi" w:hAnsiTheme="majorBidi" w:cstheme="majorBidi"/>
        </w:rPr>
        <w:t xml:space="preserve">eventos adversos propios </w:t>
      </w:r>
      <w:r>
        <w:rPr>
          <w:rFonts w:asciiTheme="majorBidi" w:hAnsiTheme="majorBidi" w:cstheme="majorBidi"/>
        </w:rPr>
        <w:t>considerándose</w:t>
      </w:r>
      <w:r w:rsidR="006072DF" w:rsidRPr="006F296D">
        <w:rPr>
          <w:rFonts w:asciiTheme="majorBidi" w:hAnsiTheme="majorBidi" w:cstheme="majorBidi"/>
        </w:rPr>
        <w:t xml:space="preserve"> que la mayoría de estos benef</w:t>
      </w:r>
      <w:r>
        <w:rPr>
          <w:rFonts w:asciiTheme="majorBidi" w:hAnsiTheme="majorBidi" w:cstheme="majorBidi"/>
        </w:rPr>
        <w:t xml:space="preserve">ician solo a una minoría de </w:t>
      </w:r>
      <w:r w:rsidR="006072DF" w:rsidRPr="006F296D">
        <w:rPr>
          <w:rFonts w:asciiTheme="majorBidi" w:hAnsiTheme="majorBidi" w:cstheme="majorBidi"/>
        </w:rPr>
        <w:t>pacientes.  La habilidad</w:t>
      </w:r>
      <w:r>
        <w:rPr>
          <w:rFonts w:asciiTheme="majorBidi" w:hAnsiTheme="majorBidi" w:cstheme="majorBidi"/>
        </w:rPr>
        <w:t xml:space="preserve"> de nosotros los clínicos</w:t>
      </w:r>
      <w:r w:rsidR="006072DF" w:rsidRPr="006F296D">
        <w:rPr>
          <w:rFonts w:asciiTheme="majorBidi" w:hAnsiTheme="majorBidi" w:cstheme="majorBidi"/>
        </w:rPr>
        <w:t xml:space="preserve"> para identificar los subgrupos de pacientes que van a tener el mayor beneficio con el mejor perfil de toxicidad es un importante requerimiento para mejorar las tasas de respuesta, seguridad y supervivencia. </w:t>
      </w:r>
    </w:p>
    <w:p w14:paraId="205B07A0" w14:textId="77777777" w:rsidR="00C11DAA" w:rsidRDefault="00C11DAA" w:rsidP="00C11DAA">
      <w:pPr>
        <w:spacing w:line="480" w:lineRule="auto"/>
        <w:jc w:val="both"/>
        <w:rPr>
          <w:rFonts w:asciiTheme="majorBidi" w:hAnsiTheme="majorBidi" w:cstheme="majorBidi"/>
        </w:rPr>
      </w:pPr>
    </w:p>
    <w:p w14:paraId="531494B9" w14:textId="39BCF04A" w:rsidR="00321864" w:rsidRPr="006F296D" w:rsidRDefault="00321864" w:rsidP="00C11DAA">
      <w:pPr>
        <w:spacing w:line="480" w:lineRule="auto"/>
        <w:jc w:val="both"/>
        <w:rPr>
          <w:rFonts w:asciiTheme="majorBidi" w:hAnsiTheme="majorBidi" w:cstheme="majorBidi"/>
          <w:b/>
        </w:rPr>
      </w:pPr>
      <w:r w:rsidRPr="006F296D">
        <w:rPr>
          <w:rFonts w:asciiTheme="majorBidi" w:hAnsiTheme="majorBidi" w:cstheme="majorBidi"/>
          <w:b/>
        </w:rPr>
        <w:t xml:space="preserve">Tratamiento de primera línea del Mieloma múltiple </w:t>
      </w:r>
    </w:p>
    <w:p w14:paraId="59C28F88" w14:textId="77777777" w:rsidR="00321864" w:rsidRPr="006F296D" w:rsidRDefault="00321864" w:rsidP="00C11DAA">
      <w:pPr>
        <w:spacing w:line="360" w:lineRule="auto"/>
        <w:jc w:val="both"/>
        <w:rPr>
          <w:rFonts w:asciiTheme="majorBidi" w:hAnsiTheme="majorBidi" w:cstheme="majorBidi"/>
        </w:rPr>
      </w:pPr>
    </w:p>
    <w:p w14:paraId="3878F923" w14:textId="6848E56C" w:rsidR="00146D11" w:rsidRDefault="00152FFF" w:rsidP="00C11DAA">
      <w:pPr>
        <w:spacing w:line="480" w:lineRule="auto"/>
        <w:jc w:val="both"/>
        <w:rPr>
          <w:rFonts w:asciiTheme="majorBidi" w:hAnsiTheme="majorBidi" w:cstheme="majorBidi"/>
        </w:rPr>
      </w:pPr>
      <w:r>
        <w:rPr>
          <w:rFonts w:asciiTheme="majorBidi" w:hAnsiTheme="majorBidi" w:cstheme="majorBidi"/>
        </w:rPr>
        <w:t>Muchos años han pasado desde el caso de Sarah Newbury, sin embargo, e</w:t>
      </w:r>
      <w:r w:rsidR="003E714C" w:rsidRPr="006F296D">
        <w:rPr>
          <w:rFonts w:asciiTheme="majorBidi" w:hAnsiTheme="majorBidi" w:cstheme="majorBidi"/>
        </w:rPr>
        <w:t xml:space="preserve">l tratamiento del </w:t>
      </w:r>
      <w:r w:rsidR="003A5757">
        <w:rPr>
          <w:rFonts w:asciiTheme="majorBidi" w:hAnsiTheme="majorBidi" w:cstheme="majorBidi"/>
        </w:rPr>
        <w:t>MM</w:t>
      </w:r>
      <w:r w:rsidR="003E714C" w:rsidRPr="006F296D">
        <w:rPr>
          <w:rFonts w:asciiTheme="majorBidi" w:hAnsiTheme="majorBidi" w:cstheme="majorBidi"/>
        </w:rPr>
        <w:t xml:space="preserve"> </w:t>
      </w:r>
      <w:r w:rsidR="00C91496">
        <w:rPr>
          <w:rFonts w:asciiTheme="majorBidi" w:hAnsiTheme="majorBidi" w:cstheme="majorBidi"/>
        </w:rPr>
        <w:t>ha cambiado dramáticamente durante los últimos años</w:t>
      </w:r>
      <w:r>
        <w:rPr>
          <w:rFonts w:asciiTheme="majorBidi" w:hAnsiTheme="majorBidi" w:cstheme="majorBidi"/>
        </w:rPr>
        <w:t xml:space="preserve"> diez años</w:t>
      </w:r>
      <w:r w:rsidR="00C91496">
        <w:rPr>
          <w:rFonts w:asciiTheme="majorBidi" w:hAnsiTheme="majorBidi" w:cstheme="majorBidi"/>
        </w:rPr>
        <w:t xml:space="preserve"> </w:t>
      </w:r>
      <w:r w:rsidR="003E714C" w:rsidRPr="006F296D">
        <w:rPr>
          <w:rFonts w:asciiTheme="majorBidi" w:hAnsiTheme="majorBidi" w:cstheme="majorBidi"/>
        </w:rPr>
        <w:t>gracias a la aparición de nuevos medicamentos que</w:t>
      </w:r>
      <w:r w:rsidR="00C91496">
        <w:rPr>
          <w:rFonts w:asciiTheme="majorBidi" w:hAnsiTheme="majorBidi" w:cstheme="majorBidi"/>
        </w:rPr>
        <w:t xml:space="preserve"> definitivamente</w:t>
      </w:r>
      <w:r w:rsidR="003E714C" w:rsidRPr="006F296D">
        <w:rPr>
          <w:rFonts w:asciiTheme="majorBidi" w:hAnsiTheme="majorBidi" w:cstheme="majorBidi"/>
        </w:rPr>
        <w:t xml:space="preserve"> han mejorado la</w:t>
      </w:r>
      <w:r w:rsidR="00146D11">
        <w:rPr>
          <w:rFonts w:asciiTheme="majorBidi" w:hAnsiTheme="majorBidi" w:cstheme="majorBidi"/>
        </w:rPr>
        <w:t xml:space="preserve"> respuesta al tratamiento, </w:t>
      </w:r>
      <w:r w:rsidR="005F5617">
        <w:rPr>
          <w:rFonts w:asciiTheme="majorBidi" w:hAnsiTheme="majorBidi" w:cstheme="majorBidi"/>
        </w:rPr>
        <w:t xml:space="preserve">la </w:t>
      </w:r>
      <w:r w:rsidR="00146D11">
        <w:rPr>
          <w:rFonts w:asciiTheme="majorBidi" w:hAnsiTheme="majorBidi" w:cstheme="majorBidi"/>
        </w:rPr>
        <w:t>supervivencia libre</w:t>
      </w:r>
      <w:r w:rsidR="005F5617">
        <w:rPr>
          <w:rFonts w:asciiTheme="majorBidi" w:hAnsiTheme="majorBidi" w:cstheme="majorBidi"/>
        </w:rPr>
        <w:t xml:space="preserve"> de progresión y </w:t>
      </w:r>
      <w:r w:rsidR="00146D11">
        <w:rPr>
          <w:rFonts w:asciiTheme="majorBidi" w:hAnsiTheme="majorBidi" w:cstheme="majorBidi"/>
        </w:rPr>
        <w:t xml:space="preserve">la supervivencia </w:t>
      </w:r>
      <w:r w:rsidR="005F5617">
        <w:rPr>
          <w:rFonts w:asciiTheme="majorBidi" w:hAnsiTheme="majorBidi" w:cstheme="majorBidi"/>
        </w:rPr>
        <w:t>global</w:t>
      </w:r>
      <w:r w:rsidR="003A5757">
        <w:rPr>
          <w:rFonts w:asciiTheme="majorBidi" w:hAnsiTheme="majorBidi" w:cstheme="majorBidi"/>
        </w:rPr>
        <w:t xml:space="preserve">. </w:t>
      </w:r>
    </w:p>
    <w:p w14:paraId="1CCBA53F" w14:textId="77777777" w:rsidR="004C454B" w:rsidRDefault="004C454B" w:rsidP="00C11DAA">
      <w:pPr>
        <w:spacing w:line="480" w:lineRule="auto"/>
        <w:jc w:val="both"/>
        <w:rPr>
          <w:rFonts w:asciiTheme="majorBidi" w:hAnsiTheme="majorBidi" w:cstheme="majorBidi"/>
        </w:rPr>
      </w:pPr>
    </w:p>
    <w:p w14:paraId="4A96F0B9" w14:textId="13FA87F0" w:rsidR="003E714C" w:rsidRPr="006F296D" w:rsidRDefault="003A5757" w:rsidP="00C11DAA">
      <w:pPr>
        <w:spacing w:line="480" w:lineRule="auto"/>
        <w:jc w:val="both"/>
        <w:rPr>
          <w:rFonts w:asciiTheme="majorBidi" w:hAnsiTheme="majorBidi" w:cstheme="majorBidi"/>
        </w:rPr>
      </w:pPr>
      <w:r>
        <w:rPr>
          <w:rFonts w:asciiTheme="majorBidi" w:hAnsiTheme="majorBidi" w:cstheme="majorBidi"/>
        </w:rPr>
        <w:t>En la mayoría de</w:t>
      </w:r>
      <w:r w:rsidR="003E714C" w:rsidRPr="006F296D">
        <w:rPr>
          <w:rFonts w:asciiTheme="majorBidi" w:hAnsiTheme="majorBidi" w:cstheme="majorBidi"/>
        </w:rPr>
        <w:t xml:space="preserve"> países en </w:t>
      </w:r>
      <w:r w:rsidR="00C91496" w:rsidRPr="006F296D">
        <w:rPr>
          <w:rFonts w:asciiTheme="majorBidi" w:hAnsiTheme="majorBidi" w:cstheme="majorBidi"/>
        </w:rPr>
        <w:t>desarrollo</w:t>
      </w:r>
      <w:r w:rsidR="00C7372B">
        <w:rPr>
          <w:rFonts w:asciiTheme="majorBidi" w:hAnsiTheme="majorBidi" w:cstheme="majorBidi"/>
        </w:rPr>
        <w:t xml:space="preserve"> </w:t>
      </w:r>
      <w:r>
        <w:rPr>
          <w:rFonts w:asciiTheme="majorBidi" w:hAnsiTheme="majorBidi" w:cstheme="majorBidi"/>
        </w:rPr>
        <w:t xml:space="preserve">estas nuevas tecnologías anti-MM </w:t>
      </w:r>
      <w:r w:rsidR="003E714C" w:rsidRPr="006F296D">
        <w:rPr>
          <w:rFonts w:asciiTheme="majorBidi" w:hAnsiTheme="majorBidi" w:cstheme="majorBidi"/>
        </w:rPr>
        <w:t>no están disponibles o tienen aprobación para etapas tardías de la enfermedad en donde su efectividad se ve reducida</w:t>
      </w:r>
      <w:r>
        <w:rPr>
          <w:rFonts w:asciiTheme="majorBidi" w:hAnsiTheme="majorBidi" w:cstheme="majorBidi"/>
        </w:rPr>
        <w:t xml:space="preserve">, sin </w:t>
      </w:r>
      <w:r w:rsidR="00146D11">
        <w:rPr>
          <w:rFonts w:asciiTheme="majorBidi" w:hAnsiTheme="majorBidi" w:cstheme="majorBidi"/>
        </w:rPr>
        <w:t>embargo,</w:t>
      </w:r>
      <w:r>
        <w:rPr>
          <w:rFonts w:asciiTheme="majorBidi" w:hAnsiTheme="majorBidi" w:cstheme="majorBidi"/>
        </w:rPr>
        <w:t xml:space="preserve"> en Colombia contamos con la mayoría de medicamentos disponibles en la actualidad</w:t>
      </w:r>
      <w:r w:rsidR="003E714C" w:rsidRPr="006F296D">
        <w:rPr>
          <w:rFonts w:asciiTheme="majorBidi" w:hAnsiTheme="majorBidi" w:cstheme="majorBidi"/>
        </w:rPr>
        <w:t xml:space="preserve">. </w:t>
      </w:r>
    </w:p>
    <w:p w14:paraId="0D3DBBF6" w14:textId="77777777" w:rsidR="00146D11" w:rsidRDefault="00146D11" w:rsidP="00C11DAA">
      <w:pPr>
        <w:spacing w:line="480" w:lineRule="auto"/>
        <w:jc w:val="both"/>
        <w:rPr>
          <w:rFonts w:asciiTheme="majorBidi" w:hAnsiTheme="majorBidi" w:cstheme="majorBidi"/>
        </w:rPr>
      </w:pPr>
    </w:p>
    <w:p w14:paraId="0A3A3272" w14:textId="54A2D584" w:rsidR="00A12B6D" w:rsidRDefault="003E714C" w:rsidP="00C11DAA">
      <w:pPr>
        <w:spacing w:line="480" w:lineRule="auto"/>
        <w:jc w:val="both"/>
        <w:rPr>
          <w:rFonts w:asciiTheme="majorBidi" w:hAnsiTheme="majorBidi" w:cstheme="majorBidi"/>
        </w:rPr>
      </w:pPr>
      <w:r w:rsidRPr="006F296D">
        <w:rPr>
          <w:rFonts w:asciiTheme="majorBidi" w:hAnsiTheme="majorBidi" w:cstheme="majorBidi"/>
        </w:rPr>
        <w:t xml:space="preserve">El </w:t>
      </w:r>
      <w:r w:rsidR="00152FFF">
        <w:rPr>
          <w:rFonts w:asciiTheme="majorBidi" w:hAnsiTheme="majorBidi" w:cstheme="majorBidi"/>
        </w:rPr>
        <w:t>MM</w:t>
      </w:r>
      <w:r w:rsidRPr="006F296D">
        <w:rPr>
          <w:rFonts w:asciiTheme="majorBidi" w:hAnsiTheme="majorBidi" w:cstheme="majorBidi"/>
        </w:rPr>
        <w:t xml:space="preserve"> sigue siendo una enfermedad incurable</w:t>
      </w:r>
      <w:r w:rsidR="00FF5694">
        <w:rPr>
          <w:rFonts w:asciiTheme="majorBidi" w:hAnsiTheme="majorBidi" w:cstheme="majorBidi"/>
        </w:rPr>
        <w:t xml:space="preserve">. </w:t>
      </w:r>
      <w:r w:rsidRPr="006F296D">
        <w:rPr>
          <w:rFonts w:asciiTheme="majorBidi" w:hAnsiTheme="majorBidi" w:cstheme="majorBidi"/>
        </w:rPr>
        <w:t xml:space="preserve"> </w:t>
      </w:r>
      <w:r w:rsidR="00A12B6D">
        <w:rPr>
          <w:rFonts w:asciiTheme="majorBidi" w:hAnsiTheme="majorBidi" w:cstheme="majorBidi"/>
        </w:rPr>
        <w:t xml:space="preserve">Como se revisó ya en los aspectos históricos, la supervivencia ha mejorado a través del tiempo debido al uso de medicamentos cada vez más efectivos y seguros pero la tendencia en la mayoría de pacientes es a recaer. </w:t>
      </w:r>
    </w:p>
    <w:p w14:paraId="2E5A13BD" w14:textId="77777777" w:rsidR="00A12B6D" w:rsidRDefault="00A12B6D" w:rsidP="00C11DAA">
      <w:pPr>
        <w:spacing w:line="480" w:lineRule="auto"/>
        <w:jc w:val="both"/>
        <w:rPr>
          <w:rFonts w:asciiTheme="majorBidi" w:hAnsiTheme="majorBidi" w:cstheme="majorBidi"/>
        </w:rPr>
      </w:pPr>
    </w:p>
    <w:p w14:paraId="4B8F13DD" w14:textId="77777777" w:rsidR="004C454B" w:rsidRDefault="00A12B6D" w:rsidP="00C11DAA">
      <w:pPr>
        <w:spacing w:line="480" w:lineRule="auto"/>
        <w:jc w:val="both"/>
        <w:rPr>
          <w:rFonts w:asciiTheme="majorBidi" w:hAnsiTheme="majorBidi" w:cstheme="majorBidi"/>
        </w:rPr>
      </w:pPr>
      <w:r w:rsidRPr="006F296D">
        <w:rPr>
          <w:rFonts w:asciiTheme="majorBidi" w:hAnsiTheme="majorBidi" w:cstheme="majorBidi"/>
        </w:rPr>
        <w:lastRenderedPageBreak/>
        <w:t>Actualmente se considera que dos principios fundamentales han cambiado la historia del mieloma múltiple en los últimos años</w:t>
      </w:r>
      <w:r w:rsidR="004C454B">
        <w:rPr>
          <w:rFonts w:asciiTheme="majorBidi" w:hAnsiTheme="majorBidi" w:cstheme="majorBidi"/>
        </w:rPr>
        <w:t xml:space="preserve">: </w:t>
      </w:r>
    </w:p>
    <w:p w14:paraId="452A9F9A" w14:textId="77777777" w:rsidR="004C454B" w:rsidRDefault="004C454B" w:rsidP="00C11DAA">
      <w:pPr>
        <w:pStyle w:val="Prrafodelista"/>
        <w:numPr>
          <w:ilvl w:val="0"/>
          <w:numId w:val="25"/>
        </w:numPr>
        <w:spacing w:line="480" w:lineRule="auto"/>
        <w:jc w:val="both"/>
        <w:rPr>
          <w:rFonts w:asciiTheme="majorBidi" w:hAnsiTheme="majorBidi" w:cstheme="majorBidi"/>
        </w:rPr>
      </w:pPr>
      <w:r>
        <w:rPr>
          <w:rFonts w:asciiTheme="majorBidi" w:hAnsiTheme="majorBidi" w:cstheme="majorBidi"/>
        </w:rPr>
        <w:t>T</w:t>
      </w:r>
      <w:r w:rsidR="00A12B6D" w:rsidRPr="004C454B">
        <w:rPr>
          <w:rFonts w:asciiTheme="majorBidi" w:hAnsiTheme="majorBidi" w:cstheme="majorBidi"/>
        </w:rPr>
        <w:t>ratamiento con tripletas en la inducción</w:t>
      </w:r>
      <w:r>
        <w:rPr>
          <w:rFonts w:asciiTheme="majorBidi" w:hAnsiTheme="majorBidi" w:cstheme="majorBidi"/>
        </w:rPr>
        <w:t xml:space="preserve"> de la remisión</w:t>
      </w:r>
    </w:p>
    <w:p w14:paraId="43D5B806" w14:textId="77777777" w:rsidR="004C454B" w:rsidRDefault="004C454B" w:rsidP="00C11DAA">
      <w:pPr>
        <w:pStyle w:val="Prrafodelista"/>
        <w:numPr>
          <w:ilvl w:val="0"/>
          <w:numId w:val="25"/>
        </w:numPr>
        <w:spacing w:line="480" w:lineRule="auto"/>
        <w:jc w:val="both"/>
        <w:rPr>
          <w:rFonts w:asciiTheme="majorBidi" w:hAnsiTheme="majorBidi" w:cstheme="majorBidi"/>
        </w:rPr>
      </w:pPr>
      <w:r>
        <w:rPr>
          <w:rFonts w:asciiTheme="majorBidi" w:hAnsiTheme="majorBidi" w:cstheme="majorBidi"/>
        </w:rPr>
        <w:t>T</w:t>
      </w:r>
      <w:r w:rsidR="00A12B6D" w:rsidRPr="004C454B">
        <w:rPr>
          <w:rFonts w:asciiTheme="majorBidi" w:hAnsiTheme="majorBidi" w:cstheme="majorBidi"/>
        </w:rPr>
        <w:t xml:space="preserve">ratamiento de mantenimiento post trasplante o el tratamiento continuo sin trasplante en los pacientes no elegibles. </w:t>
      </w:r>
    </w:p>
    <w:p w14:paraId="76FB904E" w14:textId="77777777" w:rsidR="004C454B" w:rsidRDefault="004C454B" w:rsidP="00C11DAA">
      <w:pPr>
        <w:spacing w:line="480" w:lineRule="auto"/>
        <w:jc w:val="both"/>
        <w:rPr>
          <w:rFonts w:asciiTheme="majorBidi" w:hAnsiTheme="majorBidi" w:cstheme="majorBidi"/>
        </w:rPr>
      </w:pPr>
    </w:p>
    <w:p w14:paraId="2BDBFE4B" w14:textId="05E617C7" w:rsidR="004C454B" w:rsidRDefault="00A12B6D" w:rsidP="00C11DAA">
      <w:pPr>
        <w:spacing w:line="480" w:lineRule="auto"/>
        <w:jc w:val="both"/>
        <w:rPr>
          <w:rFonts w:asciiTheme="majorBidi" w:hAnsiTheme="majorBidi" w:cstheme="majorBidi"/>
        </w:rPr>
      </w:pPr>
      <w:r w:rsidRPr="004C454B">
        <w:rPr>
          <w:rFonts w:asciiTheme="majorBidi" w:hAnsiTheme="majorBidi" w:cstheme="majorBidi"/>
        </w:rPr>
        <w:t xml:space="preserve">Con esta aproximación la mediana de supervivencia global de estos pacientes ha llegado a ser hasta de 10 años para pacientes de bajo riesgo, pero los pacientes de alto riesgo siguen teniendo un pronóstico desfavorable a pesar de este enfoque. Nos referimos a los pacientes clasificados como ultra alto riesgo </w:t>
      </w:r>
      <w:r w:rsidR="00152FFF">
        <w:rPr>
          <w:rFonts w:asciiTheme="majorBidi" w:hAnsiTheme="majorBidi" w:cstheme="majorBidi"/>
        </w:rPr>
        <w:t>y/</w:t>
      </w:r>
      <w:r w:rsidRPr="004C454B">
        <w:rPr>
          <w:rFonts w:asciiTheme="majorBidi" w:hAnsiTheme="majorBidi" w:cstheme="majorBidi"/>
        </w:rPr>
        <w:t xml:space="preserve">o MM doble hit. </w:t>
      </w:r>
    </w:p>
    <w:p w14:paraId="5EAF5260" w14:textId="77777777" w:rsidR="004C454B" w:rsidRDefault="004C454B" w:rsidP="00C11DAA">
      <w:pPr>
        <w:spacing w:line="480" w:lineRule="auto"/>
        <w:jc w:val="both"/>
        <w:rPr>
          <w:rFonts w:asciiTheme="majorBidi" w:hAnsiTheme="majorBidi" w:cstheme="majorBidi"/>
        </w:rPr>
      </w:pPr>
    </w:p>
    <w:p w14:paraId="0645A81E" w14:textId="752996D9" w:rsidR="00A12B6D" w:rsidRPr="004C454B" w:rsidRDefault="00A12B6D" w:rsidP="00C11DAA">
      <w:pPr>
        <w:spacing w:line="480" w:lineRule="auto"/>
        <w:jc w:val="both"/>
        <w:rPr>
          <w:rFonts w:asciiTheme="majorBidi" w:hAnsiTheme="majorBidi" w:cstheme="majorBidi"/>
        </w:rPr>
      </w:pPr>
      <w:r w:rsidRPr="004C454B">
        <w:rPr>
          <w:rFonts w:asciiTheme="majorBidi" w:hAnsiTheme="majorBidi" w:cstheme="majorBidi"/>
        </w:rPr>
        <w:t>Han sido 6 los medicamentos nuevos se han desarrollado en los últimos años en el tratamiento de</w:t>
      </w:r>
      <w:r w:rsidR="004C454B">
        <w:rPr>
          <w:rFonts w:asciiTheme="majorBidi" w:hAnsiTheme="majorBidi" w:cstheme="majorBidi"/>
        </w:rPr>
        <w:t>l</w:t>
      </w:r>
      <w:r w:rsidRPr="004C454B">
        <w:rPr>
          <w:rFonts w:asciiTheme="majorBidi" w:hAnsiTheme="majorBidi" w:cstheme="majorBidi"/>
        </w:rPr>
        <w:t xml:space="preserve"> </w:t>
      </w:r>
      <w:r w:rsidR="004C454B">
        <w:rPr>
          <w:rFonts w:asciiTheme="majorBidi" w:hAnsiTheme="majorBidi" w:cstheme="majorBidi"/>
        </w:rPr>
        <w:t xml:space="preserve">MM recientemente diagnosticado, así como el escenario de refractariedad y/o recaída. Estos medicamentos sin la </w:t>
      </w:r>
      <w:r w:rsidR="004C454B" w:rsidRPr="004C454B">
        <w:rPr>
          <w:rFonts w:asciiTheme="majorBidi" w:hAnsiTheme="majorBidi" w:cstheme="majorBidi"/>
        </w:rPr>
        <w:t>Pomalidomida</w:t>
      </w:r>
      <w:r w:rsidR="004C454B">
        <w:rPr>
          <w:rFonts w:asciiTheme="majorBidi" w:hAnsiTheme="majorBidi" w:cstheme="majorBidi"/>
        </w:rPr>
        <w:t>, el Carfilzomib, D</w:t>
      </w:r>
      <w:r w:rsidRPr="004C454B">
        <w:rPr>
          <w:rFonts w:asciiTheme="majorBidi" w:hAnsiTheme="majorBidi" w:cstheme="majorBidi"/>
        </w:rPr>
        <w:t xml:space="preserve">aratumumab, </w:t>
      </w:r>
      <w:r w:rsidR="004C454B" w:rsidRPr="004C454B">
        <w:rPr>
          <w:rFonts w:asciiTheme="majorBidi" w:hAnsiTheme="majorBidi" w:cstheme="majorBidi"/>
        </w:rPr>
        <w:t>Panobinostat</w:t>
      </w:r>
      <w:r w:rsidR="004C454B">
        <w:rPr>
          <w:rFonts w:asciiTheme="majorBidi" w:hAnsiTheme="majorBidi" w:cstheme="majorBidi"/>
        </w:rPr>
        <w:t>, Elotuzumab y el I</w:t>
      </w:r>
      <w:r w:rsidRPr="004C454B">
        <w:rPr>
          <w:rFonts w:asciiTheme="majorBidi" w:hAnsiTheme="majorBidi" w:cstheme="majorBidi"/>
        </w:rPr>
        <w:t xml:space="preserve">xazomib. </w:t>
      </w:r>
    </w:p>
    <w:p w14:paraId="7DEA943B" w14:textId="77777777" w:rsidR="00A12B6D" w:rsidRDefault="00A12B6D" w:rsidP="00C11DAA">
      <w:pPr>
        <w:spacing w:line="480" w:lineRule="auto"/>
        <w:jc w:val="both"/>
        <w:rPr>
          <w:rFonts w:asciiTheme="majorBidi" w:hAnsiTheme="majorBidi" w:cstheme="majorBidi"/>
        </w:rPr>
      </w:pPr>
    </w:p>
    <w:p w14:paraId="35DFC4CB" w14:textId="3BA5C6A0" w:rsidR="00A12B6D" w:rsidRDefault="00A12B6D" w:rsidP="00C11DAA">
      <w:pPr>
        <w:spacing w:line="480" w:lineRule="auto"/>
        <w:jc w:val="both"/>
        <w:rPr>
          <w:rFonts w:asciiTheme="majorBidi" w:hAnsiTheme="majorBidi" w:cstheme="majorBidi"/>
        </w:rPr>
      </w:pPr>
      <w:r>
        <w:rPr>
          <w:rFonts w:asciiTheme="majorBidi" w:hAnsiTheme="majorBidi" w:cstheme="majorBidi"/>
        </w:rPr>
        <w:t xml:space="preserve">Debido a la efectividad del trasplante y la importante diferencia en cuanto a supervivencia de los pacientes sometidos a altas dosis de quimioterapia el primer paso fundamental es determinar la elegibilidad </w:t>
      </w:r>
      <w:r w:rsidR="004C454B">
        <w:rPr>
          <w:rFonts w:asciiTheme="majorBidi" w:hAnsiTheme="majorBidi" w:cstheme="majorBidi"/>
        </w:rPr>
        <w:t xml:space="preserve">de determinado paciente para </w:t>
      </w:r>
      <w:r>
        <w:rPr>
          <w:rFonts w:asciiTheme="majorBidi" w:hAnsiTheme="majorBidi" w:cstheme="majorBidi"/>
        </w:rPr>
        <w:t xml:space="preserve">ser trasplantado. </w:t>
      </w:r>
    </w:p>
    <w:p w14:paraId="61C1B6DF" w14:textId="77777777" w:rsidR="00924B2F" w:rsidRDefault="00924B2F" w:rsidP="00C11DAA">
      <w:pPr>
        <w:spacing w:line="480" w:lineRule="auto"/>
        <w:jc w:val="both"/>
        <w:rPr>
          <w:rFonts w:asciiTheme="majorBidi" w:hAnsiTheme="majorBidi" w:cstheme="majorBidi"/>
        </w:rPr>
      </w:pPr>
    </w:p>
    <w:p w14:paraId="1B338DD0" w14:textId="5244CAE9" w:rsidR="00C16C51" w:rsidRDefault="00C16C51" w:rsidP="00C11DAA">
      <w:pPr>
        <w:spacing w:line="480" w:lineRule="auto"/>
        <w:jc w:val="both"/>
        <w:rPr>
          <w:rFonts w:asciiTheme="majorBidi" w:hAnsiTheme="majorBidi" w:cstheme="majorBidi"/>
        </w:rPr>
      </w:pPr>
      <w:r>
        <w:rPr>
          <w:rFonts w:asciiTheme="majorBidi" w:hAnsiTheme="majorBidi" w:cstheme="majorBidi"/>
        </w:rPr>
        <w:t xml:space="preserve">Cuando se compara con la quimioterapia sola, el trasplante autólogo de MO parece prolongar la supervivencia libre de evento y la supervivencia global. Es importante determinar la elegibilidad para limitar la exposición a medicamentos que puedan deteriorar la colecta de progenitores hematopoyéticos. Una minoría de pacientes podrían </w:t>
      </w:r>
      <w:r>
        <w:rPr>
          <w:rFonts w:asciiTheme="majorBidi" w:hAnsiTheme="majorBidi" w:cstheme="majorBidi"/>
        </w:rPr>
        <w:lastRenderedPageBreak/>
        <w:t xml:space="preserve">ser elegibles para trasplante alogénico sin embargo esta estrategia permanece investigacional y controversial, aunque puede ser una alternativa de curación. </w:t>
      </w:r>
    </w:p>
    <w:p w14:paraId="4EBF32A8" w14:textId="77777777" w:rsidR="00C16C51" w:rsidRDefault="00C16C51" w:rsidP="00C11DAA">
      <w:pPr>
        <w:spacing w:line="480" w:lineRule="auto"/>
        <w:jc w:val="both"/>
        <w:rPr>
          <w:rFonts w:asciiTheme="majorBidi" w:hAnsiTheme="majorBidi" w:cstheme="majorBidi"/>
        </w:rPr>
      </w:pPr>
    </w:p>
    <w:p w14:paraId="4E1F2E74" w14:textId="727DDDDE" w:rsidR="00CB09E0" w:rsidRDefault="00C16C51" w:rsidP="00C11DAA">
      <w:pPr>
        <w:spacing w:line="480" w:lineRule="auto"/>
        <w:jc w:val="both"/>
        <w:rPr>
          <w:rFonts w:asciiTheme="majorBidi" w:hAnsiTheme="majorBidi" w:cstheme="majorBidi"/>
        </w:rPr>
      </w:pPr>
      <w:r>
        <w:rPr>
          <w:rFonts w:asciiTheme="majorBidi" w:hAnsiTheme="majorBidi" w:cstheme="majorBidi"/>
        </w:rPr>
        <w:t xml:space="preserve">La elegibilidad al trasplante varía entre países </w:t>
      </w:r>
      <w:r w:rsidR="00CB09E0">
        <w:rPr>
          <w:rFonts w:asciiTheme="majorBidi" w:hAnsiTheme="majorBidi" w:cstheme="majorBidi"/>
        </w:rPr>
        <w:t>e inclusive entre instituciones. En Europa el trasplante únicamente es ofrecido a pacientes menores de 65 años en contraste con Estados Unidos donde la edad no es una limitación. En este país el trasplante no es ofrecido a pacientes mayores de 77 años, cirrosis hepática avanzada, ECOG de 3 o 4 y clase funcional de NYHA de III o IV. El deterioro de la función renal no es contraindicación</w:t>
      </w:r>
      <w:r w:rsidR="00F87F60">
        <w:rPr>
          <w:rFonts w:asciiTheme="majorBidi" w:hAnsiTheme="majorBidi" w:cstheme="majorBidi"/>
        </w:rPr>
        <w:t xml:space="preserve"> absoluta</w:t>
      </w:r>
      <w:r w:rsidR="00CB09E0">
        <w:rPr>
          <w:rFonts w:asciiTheme="majorBidi" w:hAnsiTheme="majorBidi" w:cstheme="majorBidi"/>
        </w:rPr>
        <w:t xml:space="preserve"> para llevar a cabo un trasplante</w:t>
      </w:r>
      <w:r w:rsidR="00F87F60">
        <w:rPr>
          <w:rFonts w:asciiTheme="majorBidi" w:hAnsiTheme="majorBidi" w:cstheme="majorBidi"/>
        </w:rPr>
        <w:t xml:space="preserve">, esto debe individualizarse. </w:t>
      </w:r>
    </w:p>
    <w:p w14:paraId="6C53E5DB" w14:textId="77777777" w:rsidR="00FD6979" w:rsidRDefault="00FD6979" w:rsidP="00C11DAA">
      <w:pPr>
        <w:spacing w:line="480" w:lineRule="auto"/>
        <w:jc w:val="both"/>
        <w:rPr>
          <w:rFonts w:asciiTheme="majorBidi" w:hAnsiTheme="majorBidi" w:cstheme="majorBidi"/>
        </w:rPr>
      </w:pPr>
    </w:p>
    <w:p w14:paraId="1F51F559" w14:textId="45123CC1" w:rsidR="00FD6979" w:rsidRPr="006F296D" w:rsidRDefault="00FD6979" w:rsidP="00C11DAA">
      <w:pPr>
        <w:spacing w:line="480" w:lineRule="auto"/>
        <w:jc w:val="both"/>
        <w:rPr>
          <w:rFonts w:asciiTheme="majorBidi" w:hAnsiTheme="majorBidi" w:cstheme="majorBidi"/>
        </w:rPr>
      </w:pPr>
      <w:r w:rsidRPr="006F296D">
        <w:rPr>
          <w:rFonts w:asciiTheme="majorBidi" w:hAnsiTheme="majorBidi" w:cstheme="majorBidi"/>
        </w:rPr>
        <w:t xml:space="preserve">Cuando exista duda de que un paciente sea elegible para trasplante recomendamos realizar de forma detallada la valoración geriátrica integral o la utilización del </w:t>
      </w:r>
      <w:r>
        <w:rPr>
          <w:rFonts w:asciiTheme="majorBidi" w:hAnsiTheme="majorBidi" w:cstheme="majorBidi"/>
        </w:rPr>
        <w:t>índice de comorbilidad en MM (</w:t>
      </w:r>
      <w:r w:rsidRPr="006F296D">
        <w:rPr>
          <w:rFonts w:asciiTheme="majorBidi" w:hAnsiTheme="majorBidi" w:cstheme="majorBidi"/>
        </w:rPr>
        <w:t>MMCI</w:t>
      </w:r>
      <w:r>
        <w:rPr>
          <w:rFonts w:asciiTheme="majorBidi" w:hAnsiTheme="majorBidi" w:cstheme="majorBidi"/>
        </w:rPr>
        <w:t>)</w:t>
      </w:r>
      <w:r w:rsidRPr="006F296D">
        <w:rPr>
          <w:rFonts w:asciiTheme="majorBidi" w:hAnsiTheme="majorBidi" w:cstheme="majorBidi"/>
        </w:rPr>
        <w:t xml:space="preserve">. </w:t>
      </w:r>
    </w:p>
    <w:p w14:paraId="6529A86D" w14:textId="77777777" w:rsidR="003E714C" w:rsidRPr="006F296D" w:rsidRDefault="003E714C" w:rsidP="00C11DAA">
      <w:pPr>
        <w:spacing w:line="480" w:lineRule="auto"/>
        <w:jc w:val="both"/>
        <w:rPr>
          <w:rFonts w:asciiTheme="majorBidi" w:hAnsiTheme="majorBidi" w:cstheme="majorBidi"/>
        </w:rPr>
      </w:pPr>
    </w:p>
    <w:p w14:paraId="0A2F39FD" w14:textId="071FE496" w:rsidR="003E714C" w:rsidRPr="006F296D" w:rsidRDefault="00F87F60" w:rsidP="00C11DAA">
      <w:pPr>
        <w:spacing w:line="480" w:lineRule="auto"/>
        <w:jc w:val="both"/>
        <w:rPr>
          <w:rFonts w:asciiTheme="majorBidi" w:hAnsiTheme="majorBidi" w:cstheme="majorBidi"/>
        </w:rPr>
      </w:pPr>
      <w:r>
        <w:rPr>
          <w:rFonts w:asciiTheme="majorBidi" w:hAnsiTheme="majorBidi" w:cstheme="majorBidi"/>
        </w:rPr>
        <w:t>Terapia de inducción</w:t>
      </w:r>
      <w:r w:rsidR="004C454B">
        <w:rPr>
          <w:rFonts w:asciiTheme="majorBidi" w:hAnsiTheme="majorBidi" w:cstheme="majorBidi"/>
        </w:rPr>
        <w:t xml:space="preserve"> </w:t>
      </w:r>
    </w:p>
    <w:p w14:paraId="3E1AD00C" w14:textId="651D5265" w:rsidR="00F87F60" w:rsidRDefault="003E714C" w:rsidP="00C11DAA">
      <w:pPr>
        <w:spacing w:line="480" w:lineRule="auto"/>
        <w:jc w:val="both"/>
        <w:rPr>
          <w:rFonts w:asciiTheme="majorBidi" w:hAnsiTheme="majorBidi" w:cstheme="majorBidi"/>
        </w:rPr>
      </w:pPr>
      <w:r w:rsidRPr="006F296D">
        <w:rPr>
          <w:rFonts w:asciiTheme="majorBidi" w:hAnsiTheme="majorBidi" w:cstheme="majorBidi"/>
        </w:rPr>
        <w:t>Todos los pacientes</w:t>
      </w:r>
      <w:r w:rsidR="00F87F60">
        <w:rPr>
          <w:rFonts w:asciiTheme="majorBidi" w:hAnsiTheme="majorBidi" w:cstheme="majorBidi"/>
        </w:rPr>
        <w:t xml:space="preserve"> con diagnóstico de MM</w:t>
      </w:r>
      <w:r w:rsidRPr="006F296D">
        <w:rPr>
          <w:rFonts w:asciiTheme="majorBidi" w:hAnsiTheme="majorBidi" w:cstheme="majorBidi"/>
        </w:rPr>
        <w:t xml:space="preserve"> deberían ingresar a un ensayo clínico</w:t>
      </w:r>
      <w:r w:rsidR="00DE1261">
        <w:rPr>
          <w:rFonts w:asciiTheme="majorBidi" w:hAnsiTheme="majorBidi" w:cstheme="majorBidi"/>
        </w:rPr>
        <w:t xml:space="preserve"> y todos deberían tener la estratificación del riesgo citogenético</w:t>
      </w:r>
      <w:r w:rsidRPr="006F296D">
        <w:rPr>
          <w:rFonts w:asciiTheme="majorBidi" w:hAnsiTheme="majorBidi" w:cstheme="majorBidi"/>
        </w:rPr>
        <w:t xml:space="preserve"> </w:t>
      </w:r>
      <w:r w:rsidR="00F87F60">
        <w:rPr>
          <w:rFonts w:asciiTheme="majorBidi" w:hAnsiTheme="majorBidi" w:cstheme="majorBidi"/>
        </w:rPr>
        <w:t>dadas las ca</w:t>
      </w:r>
      <w:r w:rsidR="00DE1261">
        <w:rPr>
          <w:rFonts w:asciiTheme="majorBidi" w:hAnsiTheme="majorBidi" w:cstheme="majorBidi"/>
        </w:rPr>
        <w:t xml:space="preserve">racterísticas de la enfermedad </w:t>
      </w:r>
      <w:r w:rsidR="00F87F60">
        <w:rPr>
          <w:rFonts w:asciiTheme="majorBidi" w:hAnsiTheme="majorBidi" w:cstheme="majorBidi"/>
        </w:rPr>
        <w:t xml:space="preserve">sin embargo no todos los centros cuentan con esta posibilidad. </w:t>
      </w:r>
    </w:p>
    <w:p w14:paraId="6B54C46A" w14:textId="2AE6ABFA" w:rsidR="00F87F60" w:rsidRDefault="00F87F60" w:rsidP="00C11DAA">
      <w:pPr>
        <w:spacing w:line="480" w:lineRule="auto"/>
        <w:jc w:val="both"/>
        <w:rPr>
          <w:rFonts w:asciiTheme="majorBidi" w:hAnsiTheme="majorBidi" w:cstheme="majorBidi"/>
        </w:rPr>
      </w:pPr>
      <w:r>
        <w:rPr>
          <w:rFonts w:asciiTheme="majorBidi" w:hAnsiTheme="majorBidi" w:cstheme="majorBidi"/>
        </w:rPr>
        <w:t xml:space="preserve">No hay un régimen de inducción que se prefiera sobre el otro y los expertos usan diferentes </w:t>
      </w:r>
      <w:r w:rsidR="001B62BE">
        <w:rPr>
          <w:rFonts w:asciiTheme="majorBidi" w:hAnsiTheme="majorBidi" w:cstheme="majorBidi"/>
        </w:rPr>
        <w:t>regímenes</w:t>
      </w:r>
      <w:r>
        <w:rPr>
          <w:rFonts w:asciiTheme="majorBidi" w:hAnsiTheme="majorBidi" w:cstheme="majorBidi"/>
        </w:rPr>
        <w:t xml:space="preserve">. </w:t>
      </w:r>
      <w:r w:rsidR="00DE1261">
        <w:rPr>
          <w:rFonts w:asciiTheme="majorBidi" w:hAnsiTheme="majorBidi" w:cstheme="majorBidi"/>
        </w:rPr>
        <w:t>La duración de la inducción depende del régimen usado y si el paciente procederá o no al trasplante.</w:t>
      </w:r>
    </w:p>
    <w:p w14:paraId="5E2CCCBD" w14:textId="183F3D99" w:rsidR="00152FFF" w:rsidRDefault="00EA251C" w:rsidP="00C11DAA">
      <w:pPr>
        <w:spacing w:line="480" w:lineRule="auto"/>
        <w:jc w:val="both"/>
        <w:rPr>
          <w:rFonts w:asciiTheme="majorBidi" w:hAnsiTheme="majorBidi" w:cstheme="majorBidi"/>
        </w:rPr>
      </w:pPr>
      <w:r>
        <w:rPr>
          <w:rFonts w:asciiTheme="majorBidi" w:hAnsiTheme="majorBidi" w:cstheme="majorBidi"/>
        </w:rPr>
        <w:t>En general se considera que una línea de tratamiento corresponde a la terapia de inducción, colecta de progenitores, trasplante sea uno o en tándem y mantenimiento para los pacientes elegibles y para los pacientes no elegibles inducción y mantenimiento.</w:t>
      </w:r>
    </w:p>
    <w:p w14:paraId="3A0F8A20" w14:textId="5F91858A" w:rsidR="001B62BE" w:rsidRDefault="001B62BE" w:rsidP="00C11DAA">
      <w:pPr>
        <w:spacing w:line="480" w:lineRule="auto"/>
        <w:jc w:val="both"/>
        <w:rPr>
          <w:rFonts w:asciiTheme="majorBidi" w:hAnsiTheme="majorBidi" w:cstheme="majorBidi"/>
        </w:rPr>
      </w:pPr>
    </w:p>
    <w:p w14:paraId="6CBCFAFD" w14:textId="28F59F6B" w:rsidR="00924B2F" w:rsidRDefault="00924B2F" w:rsidP="00C11DAA">
      <w:pPr>
        <w:spacing w:line="480" w:lineRule="auto"/>
        <w:jc w:val="both"/>
        <w:rPr>
          <w:rFonts w:asciiTheme="majorBidi" w:hAnsiTheme="majorBidi" w:cstheme="majorBidi"/>
        </w:rPr>
      </w:pPr>
    </w:p>
    <w:p w14:paraId="71F187BC" w14:textId="59F13C85" w:rsidR="00924B2F" w:rsidRDefault="00924B2F" w:rsidP="00C11DAA">
      <w:pPr>
        <w:spacing w:line="480" w:lineRule="auto"/>
        <w:jc w:val="both"/>
        <w:rPr>
          <w:rFonts w:asciiTheme="majorBidi" w:hAnsiTheme="majorBidi" w:cstheme="majorBidi"/>
        </w:rPr>
      </w:pPr>
    </w:p>
    <w:p w14:paraId="16AB92A9" w14:textId="77777777" w:rsidR="00924B2F" w:rsidRDefault="00924B2F" w:rsidP="00C11DAA">
      <w:pPr>
        <w:spacing w:line="480" w:lineRule="auto"/>
        <w:jc w:val="both"/>
        <w:rPr>
          <w:rFonts w:asciiTheme="majorBidi" w:hAnsiTheme="majorBidi" w:cstheme="majorBidi"/>
        </w:rPr>
      </w:pPr>
    </w:p>
    <w:tbl>
      <w:tblPr>
        <w:tblStyle w:val="Tablaconcuadrcula"/>
        <w:tblW w:w="0" w:type="auto"/>
        <w:tblLook w:val="04A0" w:firstRow="1" w:lastRow="0" w:firstColumn="1" w:lastColumn="0" w:noHBand="0" w:noVBand="1"/>
      </w:tblPr>
      <w:tblGrid>
        <w:gridCol w:w="1252"/>
        <w:gridCol w:w="1096"/>
        <w:gridCol w:w="1316"/>
        <w:gridCol w:w="1561"/>
        <w:gridCol w:w="1027"/>
        <w:gridCol w:w="1561"/>
        <w:gridCol w:w="901"/>
      </w:tblGrid>
      <w:tr w:rsidR="00BC470C" w14:paraId="25C3D93B" w14:textId="77777777" w:rsidTr="00BC470C">
        <w:tc>
          <w:tcPr>
            <w:tcW w:w="1268" w:type="dxa"/>
            <w:vMerge w:val="restart"/>
          </w:tcPr>
          <w:p w14:paraId="626D9F33" w14:textId="77777777" w:rsidR="00BC470C" w:rsidRDefault="00BC470C" w:rsidP="00C11DAA">
            <w:pPr>
              <w:jc w:val="both"/>
              <w:rPr>
                <w:rFonts w:asciiTheme="majorBidi" w:hAnsiTheme="majorBidi" w:cstheme="majorBidi"/>
              </w:rPr>
            </w:pPr>
          </w:p>
          <w:p w14:paraId="22814890" w14:textId="77777777" w:rsidR="00BC470C" w:rsidRDefault="00BC470C" w:rsidP="00C11DAA">
            <w:pPr>
              <w:jc w:val="both"/>
              <w:rPr>
                <w:rFonts w:asciiTheme="majorBidi" w:hAnsiTheme="majorBidi" w:cstheme="majorBidi"/>
              </w:rPr>
            </w:pPr>
          </w:p>
          <w:p w14:paraId="54C97867" w14:textId="77777777" w:rsidR="00BC470C" w:rsidRDefault="00BC470C" w:rsidP="00C11DAA">
            <w:pPr>
              <w:jc w:val="both"/>
              <w:rPr>
                <w:rFonts w:asciiTheme="majorBidi" w:hAnsiTheme="majorBidi" w:cstheme="majorBidi"/>
              </w:rPr>
            </w:pPr>
          </w:p>
          <w:p w14:paraId="0493ABBE" w14:textId="665EB014" w:rsidR="00BC470C" w:rsidRDefault="00BC470C" w:rsidP="00C11DAA">
            <w:pPr>
              <w:jc w:val="both"/>
              <w:rPr>
                <w:rFonts w:asciiTheme="majorBidi" w:hAnsiTheme="majorBidi" w:cstheme="majorBidi"/>
              </w:rPr>
            </w:pPr>
            <w:r>
              <w:rPr>
                <w:rFonts w:asciiTheme="majorBidi" w:hAnsiTheme="majorBidi" w:cstheme="majorBidi"/>
              </w:rPr>
              <w:t>Pacientes elegibles a trasplante</w:t>
            </w:r>
          </w:p>
        </w:tc>
        <w:tc>
          <w:tcPr>
            <w:tcW w:w="1096" w:type="dxa"/>
            <w:vMerge w:val="restart"/>
          </w:tcPr>
          <w:p w14:paraId="2961B3F2" w14:textId="77777777" w:rsidR="00BC470C" w:rsidRDefault="00BC470C" w:rsidP="00C11DAA">
            <w:pPr>
              <w:spacing w:line="480" w:lineRule="auto"/>
              <w:jc w:val="both"/>
              <w:rPr>
                <w:rFonts w:asciiTheme="majorBidi" w:hAnsiTheme="majorBidi" w:cstheme="majorBidi"/>
              </w:rPr>
            </w:pPr>
          </w:p>
          <w:p w14:paraId="244105BC" w14:textId="77777777" w:rsidR="00BC470C" w:rsidRDefault="00BC470C" w:rsidP="00C11DAA">
            <w:pPr>
              <w:spacing w:line="480" w:lineRule="auto"/>
              <w:jc w:val="both"/>
              <w:rPr>
                <w:rFonts w:asciiTheme="majorBidi" w:hAnsiTheme="majorBidi" w:cstheme="majorBidi"/>
              </w:rPr>
            </w:pPr>
          </w:p>
          <w:p w14:paraId="30304475" w14:textId="2882E61F" w:rsidR="00BC470C" w:rsidRDefault="00BC470C" w:rsidP="00C11DAA">
            <w:pPr>
              <w:spacing w:line="480" w:lineRule="auto"/>
              <w:jc w:val="both"/>
              <w:rPr>
                <w:rFonts w:asciiTheme="majorBidi" w:hAnsiTheme="majorBidi" w:cstheme="majorBidi"/>
              </w:rPr>
            </w:pPr>
            <w:r>
              <w:rPr>
                <w:rFonts w:asciiTheme="majorBidi" w:hAnsiTheme="majorBidi" w:cstheme="majorBidi"/>
              </w:rPr>
              <w:t>Inducción</w:t>
            </w:r>
          </w:p>
        </w:tc>
        <w:tc>
          <w:tcPr>
            <w:tcW w:w="1316" w:type="dxa"/>
            <w:vMerge w:val="restart"/>
          </w:tcPr>
          <w:p w14:paraId="6D85C753" w14:textId="77777777" w:rsidR="00BC470C" w:rsidRDefault="00BC470C" w:rsidP="00C11DAA">
            <w:pPr>
              <w:jc w:val="both"/>
              <w:rPr>
                <w:rFonts w:asciiTheme="majorBidi" w:hAnsiTheme="majorBidi" w:cstheme="majorBidi"/>
              </w:rPr>
            </w:pPr>
          </w:p>
          <w:p w14:paraId="403CA6AD" w14:textId="77777777" w:rsidR="00BC470C" w:rsidRDefault="00BC470C" w:rsidP="00C11DAA">
            <w:pPr>
              <w:jc w:val="both"/>
              <w:rPr>
                <w:rFonts w:asciiTheme="majorBidi" w:hAnsiTheme="majorBidi" w:cstheme="majorBidi"/>
              </w:rPr>
            </w:pPr>
          </w:p>
          <w:p w14:paraId="71D3077F" w14:textId="77777777" w:rsidR="00BC470C" w:rsidRDefault="00BC470C" w:rsidP="00C11DAA">
            <w:pPr>
              <w:jc w:val="both"/>
              <w:rPr>
                <w:rFonts w:asciiTheme="majorBidi" w:hAnsiTheme="majorBidi" w:cstheme="majorBidi"/>
              </w:rPr>
            </w:pPr>
          </w:p>
          <w:p w14:paraId="47D38C5F" w14:textId="77777777" w:rsidR="00BC470C" w:rsidRDefault="00BC470C" w:rsidP="00C11DAA">
            <w:pPr>
              <w:jc w:val="both"/>
              <w:rPr>
                <w:rFonts w:asciiTheme="majorBidi" w:hAnsiTheme="majorBidi" w:cstheme="majorBidi"/>
              </w:rPr>
            </w:pPr>
          </w:p>
          <w:p w14:paraId="46BF0B54" w14:textId="08FC76B3" w:rsidR="00BC470C" w:rsidRDefault="00BC470C" w:rsidP="00C11DAA">
            <w:pPr>
              <w:jc w:val="both"/>
              <w:rPr>
                <w:rFonts w:asciiTheme="majorBidi" w:hAnsiTheme="majorBidi" w:cstheme="majorBidi"/>
              </w:rPr>
            </w:pPr>
            <w:r>
              <w:rPr>
                <w:rFonts w:asciiTheme="majorBidi" w:hAnsiTheme="majorBidi" w:cstheme="majorBidi"/>
              </w:rPr>
              <w:t xml:space="preserve">Colecta de progenitores </w:t>
            </w:r>
          </w:p>
        </w:tc>
        <w:tc>
          <w:tcPr>
            <w:tcW w:w="1561" w:type="dxa"/>
          </w:tcPr>
          <w:p w14:paraId="2A2272A7" w14:textId="0CA18077" w:rsidR="00BC470C" w:rsidRDefault="00BC470C" w:rsidP="00C11DAA">
            <w:pPr>
              <w:jc w:val="both"/>
              <w:rPr>
                <w:rFonts w:asciiTheme="majorBidi" w:hAnsiTheme="majorBidi" w:cstheme="majorBidi"/>
              </w:rPr>
            </w:pPr>
            <w:r>
              <w:rPr>
                <w:rFonts w:asciiTheme="majorBidi" w:hAnsiTheme="majorBidi" w:cstheme="majorBidi"/>
              </w:rPr>
              <w:t>Auto TPH1</w:t>
            </w:r>
          </w:p>
        </w:tc>
        <w:tc>
          <w:tcPr>
            <w:tcW w:w="1051" w:type="dxa"/>
          </w:tcPr>
          <w:p w14:paraId="0695420B" w14:textId="0DC11953" w:rsidR="00BC470C" w:rsidRDefault="00BC470C" w:rsidP="00C11DAA">
            <w:pPr>
              <w:jc w:val="both"/>
              <w:rPr>
                <w:rFonts w:asciiTheme="majorBidi" w:hAnsiTheme="majorBidi" w:cstheme="majorBidi"/>
              </w:rPr>
            </w:pPr>
            <w:r>
              <w:rPr>
                <w:rFonts w:asciiTheme="majorBidi" w:hAnsiTheme="majorBidi" w:cstheme="majorBidi"/>
              </w:rPr>
              <w:t>Auto TPH2</w:t>
            </w:r>
          </w:p>
        </w:tc>
        <w:tc>
          <w:tcPr>
            <w:tcW w:w="1561" w:type="dxa"/>
          </w:tcPr>
          <w:p w14:paraId="27135D84" w14:textId="73A6D2CE" w:rsidR="00BC470C" w:rsidRDefault="00BC470C" w:rsidP="00C11DAA">
            <w:pPr>
              <w:spacing w:line="480" w:lineRule="auto"/>
              <w:jc w:val="both"/>
              <w:rPr>
                <w:rFonts w:asciiTheme="majorBidi" w:hAnsiTheme="majorBidi" w:cstheme="majorBidi"/>
              </w:rPr>
            </w:pPr>
            <w:r>
              <w:rPr>
                <w:rFonts w:asciiTheme="majorBidi" w:hAnsiTheme="majorBidi" w:cstheme="majorBidi"/>
              </w:rPr>
              <w:t>Mantenimiento</w:t>
            </w:r>
          </w:p>
        </w:tc>
        <w:tc>
          <w:tcPr>
            <w:tcW w:w="861" w:type="dxa"/>
            <w:vMerge w:val="restart"/>
          </w:tcPr>
          <w:p w14:paraId="59D048FF" w14:textId="77777777" w:rsidR="00BC470C" w:rsidRDefault="00BC470C" w:rsidP="00C11DAA">
            <w:pPr>
              <w:spacing w:line="480" w:lineRule="auto"/>
              <w:jc w:val="both"/>
              <w:rPr>
                <w:rFonts w:asciiTheme="majorBidi" w:hAnsiTheme="majorBidi" w:cstheme="majorBidi"/>
              </w:rPr>
            </w:pPr>
          </w:p>
          <w:p w14:paraId="268D4391" w14:textId="77777777" w:rsidR="00BC470C" w:rsidRDefault="00BC470C" w:rsidP="00C11DAA">
            <w:pPr>
              <w:spacing w:line="480" w:lineRule="auto"/>
              <w:jc w:val="both"/>
              <w:rPr>
                <w:rFonts w:asciiTheme="majorBidi" w:hAnsiTheme="majorBidi" w:cstheme="majorBidi"/>
              </w:rPr>
            </w:pPr>
          </w:p>
          <w:p w14:paraId="2CF7494D" w14:textId="0F317E9D" w:rsidR="00BC470C" w:rsidRDefault="00BC470C" w:rsidP="00C11DAA">
            <w:pPr>
              <w:spacing w:line="480" w:lineRule="auto"/>
              <w:jc w:val="both"/>
              <w:rPr>
                <w:rFonts w:asciiTheme="majorBidi" w:hAnsiTheme="majorBidi" w:cstheme="majorBidi"/>
              </w:rPr>
            </w:pPr>
            <w:r>
              <w:rPr>
                <w:rFonts w:asciiTheme="majorBidi" w:hAnsiTheme="majorBidi" w:cstheme="majorBidi"/>
              </w:rPr>
              <w:t>Rescate</w:t>
            </w:r>
          </w:p>
        </w:tc>
      </w:tr>
      <w:tr w:rsidR="00BC470C" w14:paraId="4F87D929" w14:textId="77777777" w:rsidTr="00BC470C">
        <w:tc>
          <w:tcPr>
            <w:tcW w:w="1268" w:type="dxa"/>
            <w:vMerge/>
          </w:tcPr>
          <w:p w14:paraId="65716022" w14:textId="77777777" w:rsidR="00BC470C" w:rsidRDefault="00BC470C" w:rsidP="00C11DAA">
            <w:pPr>
              <w:spacing w:line="480" w:lineRule="auto"/>
              <w:jc w:val="both"/>
              <w:rPr>
                <w:rFonts w:asciiTheme="majorBidi" w:hAnsiTheme="majorBidi" w:cstheme="majorBidi"/>
              </w:rPr>
            </w:pPr>
          </w:p>
        </w:tc>
        <w:tc>
          <w:tcPr>
            <w:tcW w:w="1096" w:type="dxa"/>
            <w:vMerge/>
          </w:tcPr>
          <w:p w14:paraId="4981DEEE" w14:textId="77777777" w:rsidR="00BC470C" w:rsidRDefault="00BC470C" w:rsidP="00C11DAA">
            <w:pPr>
              <w:spacing w:line="480" w:lineRule="auto"/>
              <w:jc w:val="both"/>
              <w:rPr>
                <w:rFonts w:asciiTheme="majorBidi" w:hAnsiTheme="majorBidi" w:cstheme="majorBidi"/>
              </w:rPr>
            </w:pPr>
          </w:p>
        </w:tc>
        <w:tc>
          <w:tcPr>
            <w:tcW w:w="1316" w:type="dxa"/>
            <w:vMerge/>
          </w:tcPr>
          <w:p w14:paraId="16521D7D" w14:textId="77777777" w:rsidR="00BC470C" w:rsidRDefault="00BC470C" w:rsidP="00C11DAA">
            <w:pPr>
              <w:spacing w:line="480" w:lineRule="auto"/>
              <w:jc w:val="both"/>
              <w:rPr>
                <w:rFonts w:asciiTheme="majorBidi" w:hAnsiTheme="majorBidi" w:cstheme="majorBidi"/>
              </w:rPr>
            </w:pPr>
          </w:p>
        </w:tc>
        <w:tc>
          <w:tcPr>
            <w:tcW w:w="2612" w:type="dxa"/>
            <w:gridSpan w:val="2"/>
          </w:tcPr>
          <w:p w14:paraId="6CFCE106" w14:textId="4874D725" w:rsidR="00BC470C" w:rsidRDefault="00BC470C" w:rsidP="00C11DAA">
            <w:pPr>
              <w:spacing w:line="480" w:lineRule="auto"/>
              <w:jc w:val="both"/>
              <w:rPr>
                <w:rFonts w:asciiTheme="majorBidi" w:hAnsiTheme="majorBidi" w:cstheme="majorBidi"/>
              </w:rPr>
            </w:pPr>
            <w:r>
              <w:rPr>
                <w:rFonts w:asciiTheme="majorBidi" w:hAnsiTheme="majorBidi" w:cstheme="majorBidi"/>
              </w:rPr>
              <w:t>Auto TPH</w:t>
            </w:r>
          </w:p>
        </w:tc>
        <w:tc>
          <w:tcPr>
            <w:tcW w:w="1561" w:type="dxa"/>
          </w:tcPr>
          <w:p w14:paraId="3C51A46E" w14:textId="617FD76D" w:rsidR="00BC470C" w:rsidRDefault="00BC470C" w:rsidP="00C11DAA">
            <w:pPr>
              <w:spacing w:line="480" w:lineRule="auto"/>
              <w:jc w:val="both"/>
              <w:rPr>
                <w:rFonts w:asciiTheme="majorBidi" w:hAnsiTheme="majorBidi" w:cstheme="majorBidi"/>
              </w:rPr>
            </w:pPr>
            <w:r>
              <w:rPr>
                <w:rFonts w:asciiTheme="majorBidi" w:hAnsiTheme="majorBidi" w:cstheme="majorBidi"/>
              </w:rPr>
              <w:t>Observación</w:t>
            </w:r>
          </w:p>
        </w:tc>
        <w:tc>
          <w:tcPr>
            <w:tcW w:w="861" w:type="dxa"/>
            <w:vMerge/>
          </w:tcPr>
          <w:p w14:paraId="231DF68A" w14:textId="77777777" w:rsidR="00BC470C" w:rsidRDefault="00BC470C" w:rsidP="00C11DAA">
            <w:pPr>
              <w:spacing w:line="480" w:lineRule="auto"/>
              <w:jc w:val="both"/>
              <w:rPr>
                <w:rFonts w:asciiTheme="majorBidi" w:hAnsiTheme="majorBidi" w:cstheme="majorBidi"/>
              </w:rPr>
            </w:pPr>
          </w:p>
        </w:tc>
      </w:tr>
      <w:tr w:rsidR="00BC470C" w14:paraId="7115BE55" w14:textId="77777777" w:rsidTr="00BC470C">
        <w:tc>
          <w:tcPr>
            <w:tcW w:w="1268" w:type="dxa"/>
            <w:vMerge/>
          </w:tcPr>
          <w:p w14:paraId="29A2C93F" w14:textId="77777777" w:rsidR="00BC470C" w:rsidRDefault="00BC470C" w:rsidP="00C11DAA">
            <w:pPr>
              <w:spacing w:line="480" w:lineRule="auto"/>
              <w:jc w:val="both"/>
              <w:rPr>
                <w:rFonts w:asciiTheme="majorBidi" w:hAnsiTheme="majorBidi" w:cstheme="majorBidi"/>
              </w:rPr>
            </w:pPr>
          </w:p>
        </w:tc>
        <w:tc>
          <w:tcPr>
            <w:tcW w:w="1096" w:type="dxa"/>
            <w:vMerge/>
          </w:tcPr>
          <w:p w14:paraId="650F3713" w14:textId="77777777" w:rsidR="00BC470C" w:rsidRDefault="00BC470C" w:rsidP="00C11DAA">
            <w:pPr>
              <w:spacing w:line="480" w:lineRule="auto"/>
              <w:jc w:val="both"/>
              <w:rPr>
                <w:rFonts w:asciiTheme="majorBidi" w:hAnsiTheme="majorBidi" w:cstheme="majorBidi"/>
              </w:rPr>
            </w:pPr>
          </w:p>
        </w:tc>
        <w:tc>
          <w:tcPr>
            <w:tcW w:w="1316" w:type="dxa"/>
            <w:vMerge/>
          </w:tcPr>
          <w:p w14:paraId="13C0AECB" w14:textId="77777777" w:rsidR="00BC470C" w:rsidRDefault="00BC470C" w:rsidP="00C11DAA">
            <w:pPr>
              <w:spacing w:line="480" w:lineRule="auto"/>
              <w:jc w:val="both"/>
              <w:rPr>
                <w:rFonts w:asciiTheme="majorBidi" w:hAnsiTheme="majorBidi" w:cstheme="majorBidi"/>
              </w:rPr>
            </w:pPr>
          </w:p>
        </w:tc>
        <w:tc>
          <w:tcPr>
            <w:tcW w:w="1561" w:type="dxa"/>
          </w:tcPr>
          <w:p w14:paraId="61FE61E2" w14:textId="47CDB531" w:rsidR="00BC470C" w:rsidRDefault="00BC470C" w:rsidP="00C11DAA">
            <w:pPr>
              <w:spacing w:line="480" w:lineRule="auto"/>
              <w:jc w:val="both"/>
              <w:rPr>
                <w:rFonts w:asciiTheme="majorBidi" w:hAnsiTheme="majorBidi" w:cstheme="majorBidi"/>
              </w:rPr>
            </w:pPr>
            <w:r>
              <w:rPr>
                <w:rFonts w:asciiTheme="majorBidi" w:hAnsiTheme="majorBidi" w:cstheme="majorBidi"/>
              </w:rPr>
              <w:t>Mantenimiento</w:t>
            </w:r>
          </w:p>
        </w:tc>
        <w:tc>
          <w:tcPr>
            <w:tcW w:w="1051" w:type="dxa"/>
            <w:vMerge w:val="restart"/>
          </w:tcPr>
          <w:p w14:paraId="4C8DB6B3" w14:textId="77777777" w:rsidR="00BC470C" w:rsidRDefault="00BC470C" w:rsidP="00C11DAA">
            <w:pPr>
              <w:spacing w:line="480" w:lineRule="auto"/>
              <w:jc w:val="both"/>
              <w:rPr>
                <w:rFonts w:asciiTheme="majorBidi" w:hAnsiTheme="majorBidi" w:cstheme="majorBidi"/>
              </w:rPr>
            </w:pPr>
          </w:p>
          <w:p w14:paraId="76FE0785" w14:textId="7568B251" w:rsidR="00BC470C" w:rsidRDefault="00BC470C" w:rsidP="00C11DAA">
            <w:pPr>
              <w:jc w:val="both"/>
              <w:rPr>
                <w:rFonts w:asciiTheme="majorBidi" w:hAnsiTheme="majorBidi" w:cstheme="majorBidi"/>
              </w:rPr>
            </w:pPr>
            <w:r>
              <w:rPr>
                <w:rFonts w:asciiTheme="majorBidi" w:hAnsiTheme="majorBidi" w:cstheme="majorBidi"/>
              </w:rPr>
              <w:t>Auto TPH</w:t>
            </w:r>
          </w:p>
        </w:tc>
        <w:tc>
          <w:tcPr>
            <w:tcW w:w="1561" w:type="dxa"/>
          </w:tcPr>
          <w:p w14:paraId="0A737327" w14:textId="3FDEC84D" w:rsidR="00BC470C" w:rsidRDefault="00BC470C" w:rsidP="00C11DAA">
            <w:pPr>
              <w:spacing w:line="480" w:lineRule="auto"/>
              <w:jc w:val="both"/>
              <w:rPr>
                <w:rFonts w:asciiTheme="majorBidi" w:hAnsiTheme="majorBidi" w:cstheme="majorBidi"/>
              </w:rPr>
            </w:pPr>
            <w:r>
              <w:rPr>
                <w:rFonts w:asciiTheme="majorBidi" w:hAnsiTheme="majorBidi" w:cstheme="majorBidi"/>
              </w:rPr>
              <w:t xml:space="preserve">Mantenimiento </w:t>
            </w:r>
          </w:p>
        </w:tc>
        <w:tc>
          <w:tcPr>
            <w:tcW w:w="861" w:type="dxa"/>
            <w:vMerge/>
          </w:tcPr>
          <w:p w14:paraId="0A156022" w14:textId="77777777" w:rsidR="00BC470C" w:rsidRDefault="00BC470C" w:rsidP="00C11DAA">
            <w:pPr>
              <w:spacing w:line="480" w:lineRule="auto"/>
              <w:jc w:val="both"/>
              <w:rPr>
                <w:rFonts w:asciiTheme="majorBidi" w:hAnsiTheme="majorBidi" w:cstheme="majorBidi"/>
              </w:rPr>
            </w:pPr>
          </w:p>
        </w:tc>
      </w:tr>
      <w:tr w:rsidR="00BC470C" w14:paraId="3B140CD8" w14:textId="77777777" w:rsidTr="00BC470C">
        <w:tc>
          <w:tcPr>
            <w:tcW w:w="1268" w:type="dxa"/>
            <w:vMerge/>
          </w:tcPr>
          <w:p w14:paraId="6A33B5BE" w14:textId="77777777" w:rsidR="00BC470C" w:rsidRDefault="00BC470C" w:rsidP="00C11DAA">
            <w:pPr>
              <w:spacing w:line="480" w:lineRule="auto"/>
              <w:jc w:val="both"/>
              <w:rPr>
                <w:rFonts w:asciiTheme="majorBidi" w:hAnsiTheme="majorBidi" w:cstheme="majorBidi"/>
              </w:rPr>
            </w:pPr>
          </w:p>
        </w:tc>
        <w:tc>
          <w:tcPr>
            <w:tcW w:w="1096" w:type="dxa"/>
            <w:vMerge/>
          </w:tcPr>
          <w:p w14:paraId="5CD02565" w14:textId="77777777" w:rsidR="00BC470C" w:rsidRDefault="00BC470C" w:rsidP="00C11DAA">
            <w:pPr>
              <w:spacing w:line="480" w:lineRule="auto"/>
              <w:jc w:val="both"/>
              <w:rPr>
                <w:rFonts w:asciiTheme="majorBidi" w:hAnsiTheme="majorBidi" w:cstheme="majorBidi"/>
              </w:rPr>
            </w:pPr>
          </w:p>
        </w:tc>
        <w:tc>
          <w:tcPr>
            <w:tcW w:w="1316" w:type="dxa"/>
            <w:vMerge/>
          </w:tcPr>
          <w:p w14:paraId="383778B2" w14:textId="77777777" w:rsidR="00BC470C" w:rsidRDefault="00BC470C" w:rsidP="00C11DAA">
            <w:pPr>
              <w:spacing w:line="480" w:lineRule="auto"/>
              <w:jc w:val="both"/>
              <w:rPr>
                <w:rFonts w:asciiTheme="majorBidi" w:hAnsiTheme="majorBidi" w:cstheme="majorBidi"/>
              </w:rPr>
            </w:pPr>
          </w:p>
        </w:tc>
        <w:tc>
          <w:tcPr>
            <w:tcW w:w="1561" w:type="dxa"/>
          </w:tcPr>
          <w:p w14:paraId="431E18CF" w14:textId="38FAA83E" w:rsidR="00BC470C" w:rsidRDefault="00BC470C" w:rsidP="00C11DAA">
            <w:pPr>
              <w:spacing w:line="480" w:lineRule="auto"/>
              <w:jc w:val="both"/>
              <w:rPr>
                <w:rFonts w:asciiTheme="majorBidi" w:hAnsiTheme="majorBidi" w:cstheme="majorBidi"/>
              </w:rPr>
            </w:pPr>
            <w:r>
              <w:rPr>
                <w:rFonts w:asciiTheme="majorBidi" w:hAnsiTheme="majorBidi" w:cstheme="majorBidi"/>
              </w:rPr>
              <w:t>Observación</w:t>
            </w:r>
          </w:p>
        </w:tc>
        <w:tc>
          <w:tcPr>
            <w:tcW w:w="1051" w:type="dxa"/>
            <w:vMerge/>
          </w:tcPr>
          <w:p w14:paraId="74AA965C" w14:textId="77777777" w:rsidR="00BC470C" w:rsidRDefault="00BC470C" w:rsidP="00C11DAA">
            <w:pPr>
              <w:spacing w:line="480" w:lineRule="auto"/>
              <w:jc w:val="both"/>
              <w:rPr>
                <w:rFonts w:asciiTheme="majorBidi" w:hAnsiTheme="majorBidi" w:cstheme="majorBidi"/>
              </w:rPr>
            </w:pPr>
          </w:p>
        </w:tc>
        <w:tc>
          <w:tcPr>
            <w:tcW w:w="1561" w:type="dxa"/>
          </w:tcPr>
          <w:p w14:paraId="4F574D78" w14:textId="7346EBBF" w:rsidR="00BC470C" w:rsidRDefault="00BC470C" w:rsidP="00C11DAA">
            <w:pPr>
              <w:spacing w:line="480" w:lineRule="auto"/>
              <w:jc w:val="both"/>
              <w:rPr>
                <w:rFonts w:asciiTheme="majorBidi" w:hAnsiTheme="majorBidi" w:cstheme="majorBidi"/>
              </w:rPr>
            </w:pPr>
            <w:r>
              <w:rPr>
                <w:rFonts w:asciiTheme="majorBidi" w:hAnsiTheme="majorBidi" w:cstheme="majorBidi"/>
              </w:rPr>
              <w:t>Observación</w:t>
            </w:r>
          </w:p>
        </w:tc>
        <w:tc>
          <w:tcPr>
            <w:tcW w:w="861" w:type="dxa"/>
            <w:vMerge/>
          </w:tcPr>
          <w:p w14:paraId="6343CCC8" w14:textId="77777777" w:rsidR="00BC470C" w:rsidRDefault="00BC470C" w:rsidP="00C11DAA">
            <w:pPr>
              <w:spacing w:line="480" w:lineRule="auto"/>
              <w:jc w:val="both"/>
              <w:rPr>
                <w:rFonts w:asciiTheme="majorBidi" w:hAnsiTheme="majorBidi" w:cstheme="majorBidi"/>
              </w:rPr>
            </w:pPr>
          </w:p>
        </w:tc>
      </w:tr>
      <w:tr w:rsidR="00BC470C" w14:paraId="3CED767E" w14:textId="77777777" w:rsidTr="00BC470C">
        <w:tc>
          <w:tcPr>
            <w:tcW w:w="1268" w:type="dxa"/>
            <w:vMerge w:val="restart"/>
          </w:tcPr>
          <w:p w14:paraId="0B3D7B6F" w14:textId="137C6723" w:rsidR="00BC470C" w:rsidRDefault="00BC470C" w:rsidP="00C11DAA">
            <w:pPr>
              <w:jc w:val="both"/>
              <w:rPr>
                <w:rFonts w:asciiTheme="majorBidi" w:hAnsiTheme="majorBidi" w:cstheme="majorBidi"/>
              </w:rPr>
            </w:pPr>
            <w:r>
              <w:rPr>
                <w:rFonts w:asciiTheme="majorBidi" w:hAnsiTheme="majorBidi" w:cstheme="majorBidi"/>
              </w:rPr>
              <w:t>Pacientes no elegibles a trasplante</w:t>
            </w:r>
          </w:p>
        </w:tc>
        <w:tc>
          <w:tcPr>
            <w:tcW w:w="1096" w:type="dxa"/>
            <w:vMerge w:val="restart"/>
          </w:tcPr>
          <w:p w14:paraId="50B5174E" w14:textId="3B816E59" w:rsidR="00BC470C" w:rsidRDefault="00BC470C" w:rsidP="00C11DAA">
            <w:pPr>
              <w:spacing w:line="480" w:lineRule="auto"/>
              <w:jc w:val="both"/>
              <w:rPr>
                <w:rFonts w:asciiTheme="majorBidi" w:hAnsiTheme="majorBidi" w:cstheme="majorBidi"/>
              </w:rPr>
            </w:pPr>
            <w:r>
              <w:rPr>
                <w:rFonts w:asciiTheme="majorBidi" w:hAnsiTheme="majorBidi" w:cstheme="majorBidi"/>
              </w:rPr>
              <w:t>Inducción</w:t>
            </w:r>
          </w:p>
        </w:tc>
        <w:tc>
          <w:tcPr>
            <w:tcW w:w="5489" w:type="dxa"/>
            <w:gridSpan w:val="4"/>
          </w:tcPr>
          <w:p w14:paraId="765B8133" w14:textId="6F7321BF" w:rsidR="00BC470C" w:rsidRDefault="00BC470C" w:rsidP="00C11DAA">
            <w:pPr>
              <w:spacing w:line="480" w:lineRule="auto"/>
              <w:jc w:val="both"/>
              <w:rPr>
                <w:rFonts w:asciiTheme="majorBidi" w:hAnsiTheme="majorBidi" w:cstheme="majorBidi"/>
              </w:rPr>
            </w:pPr>
            <w:r>
              <w:rPr>
                <w:rFonts w:asciiTheme="majorBidi" w:hAnsiTheme="majorBidi" w:cstheme="majorBidi"/>
              </w:rPr>
              <w:t>Mantenimiento</w:t>
            </w:r>
          </w:p>
        </w:tc>
        <w:tc>
          <w:tcPr>
            <w:tcW w:w="861" w:type="dxa"/>
            <w:vMerge w:val="restart"/>
          </w:tcPr>
          <w:p w14:paraId="1465DEDB" w14:textId="77777777" w:rsidR="00BC470C" w:rsidRDefault="00BC470C" w:rsidP="00C11DAA">
            <w:pPr>
              <w:spacing w:line="480" w:lineRule="auto"/>
              <w:jc w:val="both"/>
              <w:rPr>
                <w:rFonts w:asciiTheme="majorBidi" w:hAnsiTheme="majorBidi" w:cstheme="majorBidi"/>
              </w:rPr>
            </w:pPr>
          </w:p>
          <w:p w14:paraId="2F7880AF" w14:textId="78EDE753" w:rsidR="00BC470C" w:rsidRDefault="00BC470C" w:rsidP="00C11DAA">
            <w:pPr>
              <w:spacing w:line="480" w:lineRule="auto"/>
              <w:jc w:val="both"/>
              <w:rPr>
                <w:rFonts w:asciiTheme="majorBidi" w:hAnsiTheme="majorBidi" w:cstheme="majorBidi"/>
              </w:rPr>
            </w:pPr>
            <w:r>
              <w:rPr>
                <w:rFonts w:asciiTheme="majorBidi" w:hAnsiTheme="majorBidi" w:cstheme="majorBidi"/>
              </w:rPr>
              <w:t xml:space="preserve">Rescate </w:t>
            </w:r>
          </w:p>
        </w:tc>
      </w:tr>
      <w:tr w:rsidR="00BC470C" w14:paraId="5603AF08" w14:textId="77777777" w:rsidTr="00BC470C">
        <w:tc>
          <w:tcPr>
            <w:tcW w:w="1268" w:type="dxa"/>
            <w:vMerge/>
          </w:tcPr>
          <w:p w14:paraId="7CE78D19" w14:textId="3ADB8B51" w:rsidR="00BC470C" w:rsidRDefault="00BC470C" w:rsidP="00C11DAA">
            <w:pPr>
              <w:jc w:val="both"/>
              <w:rPr>
                <w:rFonts w:asciiTheme="majorBidi" w:hAnsiTheme="majorBidi" w:cstheme="majorBidi"/>
              </w:rPr>
            </w:pPr>
          </w:p>
        </w:tc>
        <w:tc>
          <w:tcPr>
            <w:tcW w:w="1096" w:type="dxa"/>
            <w:vMerge/>
          </w:tcPr>
          <w:p w14:paraId="5A1CE34E" w14:textId="77777777" w:rsidR="00BC470C" w:rsidRDefault="00BC470C" w:rsidP="00C11DAA">
            <w:pPr>
              <w:spacing w:line="480" w:lineRule="auto"/>
              <w:jc w:val="both"/>
              <w:rPr>
                <w:rFonts w:asciiTheme="majorBidi" w:hAnsiTheme="majorBidi" w:cstheme="majorBidi"/>
              </w:rPr>
            </w:pPr>
          </w:p>
        </w:tc>
        <w:tc>
          <w:tcPr>
            <w:tcW w:w="5489" w:type="dxa"/>
            <w:gridSpan w:val="4"/>
          </w:tcPr>
          <w:p w14:paraId="22E1222E" w14:textId="2EE29F4A" w:rsidR="00BC470C" w:rsidRDefault="00BC470C" w:rsidP="00C11DAA">
            <w:pPr>
              <w:spacing w:line="480" w:lineRule="auto"/>
              <w:jc w:val="both"/>
              <w:rPr>
                <w:rFonts w:asciiTheme="majorBidi" w:hAnsiTheme="majorBidi" w:cstheme="majorBidi"/>
              </w:rPr>
            </w:pPr>
            <w:r>
              <w:rPr>
                <w:rFonts w:asciiTheme="majorBidi" w:hAnsiTheme="majorBidi" w:cstheme="majorBidi"/>
              </w:rPr>
              <w:t>Observación</w:t>
            </w:r>
          </w:p>
        </w:tc>
        <w:tc>
          <w:tcPr>
            <w:tcW w:w="861" w:type="dxa"/>
            <w:vMerge/>
          </w:tcPr>
          <w:p w14:paraId="31E91627" w14:textId="77777777" w:rsidR="00BC470C" w:rsidRDefault="00BC470C" w:rsidP="00C11DAA">
            <w:pPr>
              <w:spacing w:line="480" w:lineRule="auto"/>
              <w:jc w:val="both"/>
              <w:rPr>
                <w:rFonts w:asciiTheme="majorBidi" w:hAnsiTheme="majorBidi" w:cstheme="majorBidi"/>
              </w:rPr>
            </w:pPr>
          </w:p>
        </w:tc>
      </w:tr>
    </w:tbl>
    <w:p w14:paraId="146F5001" w14:textId="0D5CE187" w:rsidR="00D861E6" w:rsidRDefault="00BC470C" w:rsidP="00C11DAA">
      <w:pPr>
        <w:spacing w:line="480" w:lineRule="auto"/>
        <w:jc w:val="both"/>
        <w:rPr>
          <w:rFonts w:asciiTheme="majorBidi" w:hAnsiTheme="majorBidi" w:cstheme="majorBidi"/>
        </w:rPr>
      </w:pPr>
      <w:r>
        <w:rPr>
          <w:rFonts w:asciiTheme="majorBidi" w:hAnsiTheme="majorBidi" w:cstheme="majorBidi"/>
        </w:rPr>
        <w:t xml:space="preserve">Gráfico 1. Línea de tratamiento en Mieloma Múltiple. </w:t>
      </w:r>
    </w:p>
    <w:p w14:paraId="0307D2C0" w14:textId="77777777" w:rsidR="00152FFF" w:rsidRDefault="00152FFF" w:rsidP="00C11DAA">
      <w:pPr>
        <w:spacing w:line="480" w:lineRule="auto"/>
        <w:jc w:val="both"/>
        <w:rPr>
          <w:rFonts w:asciiTheme="majorBidi" w:hAnsiTheme="majorBidi" w:cstheme="majorBidi"/>
        </w:rPr>
      </w:pPr>
    </w:p>
    <w:p w14:paraId="464CF7D2" w14:textId="63368FD8" w:rsidR="00D861E6" w:rsidRDefault="00D861E6" w:rsidP="00C11DAA">
      <w:pPr>
        <w:spacing w:line="480" w:lineRule="auto"/>
        <w:jc w:val="both"/>
        <w:rPr>
          <w:rFonts w:asciiTheme="majorBidi" w:hAnsiTheme="majorBidi" w:cstheme="majorBidi"/>
        </w:rPr>
      </w:pPr>
      <w:r>
        <w:rPr>
          <w:rFonts w:asciiTheme="majorBidi" w:hAnsiTheme="majorBidi" w:cstheme="majorBidi"/>
        </w:rPr>
        <w:t>Una nueva línea de tratamiento inicia cuando se modifica el curso planeado para incluir otro agente (solo o en combinación) por progresión primaria, recaída o toxicidad inaceptable</w:t>
      </w:r>
      <w:r w:rsidR="00F36B33">
        <w:rPr>
          <w:rFonts w:asciiTheme="majorBidi" w:hAnsiTheme="majorBidi" w:cstheme="majorBidi"/>
        </w:rPr>
        <w:t xml:space="preserve"> o cuando hay necesidad de un nuevo tratamiento luego de observación.</w:t>
      </w:r>
    </w:p>
    <w:p w14:paraId="633A45B8" w14:textId="77777777" w:rsidR="00EA31C7" w:rsidRDefault="00EA31C7" w:rsidP="00C11DAA">
      <w:pPr>
        <w:spacing w:line="480" w:lineRule="auto"/>
        <w:jc w:val="both"/>
        <w:rPr>
          <w:rFonts w:asciiTheme="majorBidi" w:hAnsiTheme="majorBidi" w:cstheme="majorBidi"/>
        </w:rPr>
      </w:pPr>
    </w:p>
    <w:p w14:paraId="00AEE5DA" w14:textId="50B49045" w:rsidR="001B62BE" w:rsidRPr="001B62BE" w:rsidRDefault="001B62BE" w:rsidP="00C11DAA">
      <w:pPr>
        <w:spacing w:line="480" w:lineRule="auto"/>
        <w:jc w:val="both"/>
        <w:rPr>
          <w:rFonts w:asciiTheme="majorBidi" w:hAnsiTheme="majorBidi" w:cstheme="majorBidi"/>
          <w:i/>
          <w:iCs/>
        </w:rPr>
      </w:pPr>
      <w:r w:rsidRPr="001B62BE">
        <w:rPr>
          <w:rFonts w:asciiTheme="majorBidi" w:hAnsiTheme="majorBidi" w:cstheme="majorBidi"/>
          <w:i/>
          <w:iCs/>
        </w:rPr>
        <w:t xml:space="preserve">Pacientes elegibles a trasplante </w:t>
      </w:r>
    </w:p>
    <w:p w14:paraId="10DDCCCB" w14:textId="72EF4734" w:rsidR="00DE1261" w:rsidRDefault="00DE1261" w:rsidP="00C11DAA">
      <w:pPr>
        <w:spacing w:line="480" w:lineRule="auto"/>
        <w:jc w:val="both"/>
        <w:rPr>
          <w:rFonts w:asciiTheme="majorBidi" w:hAnsiTheme="majorBidi" w:cstheme="majorBidi"/>
        </w:rPr>
      </w:pPr>
      <w:r>
        <w:rPr>
          <w:rFonts w:asciiTheme="majorBidi" w:hAnsiTheme="majorBidi" w:cstheme="majorBidi"/>
        </w:rPr>
        <w:t xml:space="preserve">Los pacientes elegibles a trasplante reciben una inducción con una triple terapia por tres a cuatro meses antes de la colecta de progenitores hematopoyéticos con el fin de reducir la cantidad de células tumorales en la MO y la sangre periférica, disminuir los síntomas y mitigar el daño orgánico. La colecta se realiza después de este momento sin importar si va a proceder con el trasplante inmediato o diferido. En los pacientes en los que se difiere el trasplante se deben completar 8 a 12 ciclos seguidos de una terapia de mantenimiento. </w:t>
      </w:r>
    </w:p>
    <w:p w14:paraId="4DF9D2D2" w14:textId="0E591B6B" w:rsidR="00832931" w:rsidRDefault="00763316" w:rsidP="00C11DAA">
      <w:pPr>
        <w:spacing w:line="480" w:lineRule="auto"/>
        <w:jc w:val="both"/>
        <w:rPr>
          <w:rFonts w:asciiTheme="majorBidi" w:hAnsiTheme="majorBidi" w:cstheme="majorBidi"/>
        </w:rPr>
      </w:pPr>
      <w:r>
        <w:rPr>
          <w:rFonts w:asciiTheme="majorBidi" w:hAnsiTheme="majorBidi" w:cstheme="majorBidi"/>
        </w:rPr>
        <w:t xml:space="preserve">La triple terapia en los pacientes elegibles a trasplante consiste constantemente en un inhibidor del proteosoma, esencialmente Bortezomib combinado con un glucocorticoide </w:t>
      </w:r>
      <w:r>
        <w:rPr>
          <w:rFonts w:asciiTheme="majorBidi" w:hAnsiTheme="majorBidi" w:cstheme="majorBidi"/>
        </w:rPr>
        <w:lastRenderedPageBreak/>
        <w:t>y el tercer agente puede escogerse entre Talidomida,</w:t>
      </w:r>
      <w:r w:rsidR="006B2CBA">
        <w:rPr>
          <w:rFonts w:asciiTheme="majorBidi" w:hAnsiTheme="majorBidi" w:cstheme="majorBidi"/>
        </w:rPr>
        <w:t xml:space="preserve"> Lenalidomida,</w:t>
      </w:r>
      <w:r>
        <w:rPr>
          <w:rFonts w:asciiTheme="majorBidi" w:hAnsiTheme="majorBidi" w:cstheme="majorBidi"/>
        </w:rPr>
        <w:t xml:space="preserve"> Ciclofosfamida, Doxorrubicina, Doxorrubicina liposomal. </w:t>
      </w:r>
    </w:p>
    <w:p w14:paraId="0B7D8847" w14:textId="77777777" w:rsidR="00924B2F" w:rsidRDefault="00924B2F" w:rsidP="00C11DAA">
      <w:pPr>
        <w:spacing w:line="480" w:lineRule="auto"/>
        <w:jc w:val="both"/>
        <w:rPr>
          <w:rFonts w:asciiTheme="majorBidi" w:hAnsiTheme="majorBidi" w:cstheme="majorBidi"/>
        </w:rPr>
      </w:pPr>
    </w:p>
    <w:p w14:paraId="4AB9301E" w14:textId="29D6CED4" w:rsidR="006B2CBA" w:rsidRDefault="00FD6979" w:rsidP="00C11DAA">
      <w:pPr>
        <w:spacing w:line="480" w:lineRule="auto"/>
        <w:jc w:val="both"/>
        <w:rPr>
          <w:rFonts w:asciiTheme="majorBidi" w:hAnsiTheme="majorBidi" w:cstheme="majorBidi"/>
        </w:rPr>
      </w:pPr>
      <w:r>
        <w:rPr>
          <w:rFonts w:asciiTheme="majorBidi" w:hAnsiTheme="majorBidi" w:cstheme="majorBidi"/>
        </w:rPr>
        <w:t xml:space="preserve">Varios documentos dan cuenta </w:t>
      </w:r>
      <w:r w:rsidRPr="006F296D">
        <w:rPr>
          <w:rFonts w:asciiTheme="majorBidi" w:hAnsiTheme="majorBidi" w:cstheme="majorBidi"/>
        </w:rPr>
        <w:t xml:space="preserve">de la efectividad de Bortezomib en la </w:t>
      </w:r>
      <w:r w:rsidR="006B2CBA" w:rsidRPr="006F296D">
        <w:rPr>
          <w:rFonts w:asciiTheme="majorBidi" w:hAnsiTheme="majorBidi" w:cstheme="majorBidi"/>
        </w:rPr>
        <w:t>translocación</w:t>
      </w:r>
      <w:r w:rsidRPr="006F296D">
        <w:rPr>
          <w:rFonts w:asciiTheme="majorBidi" w:hAnsiTheme="majorBidi" w:cstheme="majorBidi"/>
        </w:rPr>
        <w:t xml:space="preserve"> </w:t>
      </w:r>
      <w:r w:rsidR="006B2CBA">
        <w:rPr>
          <w:rFonts w:asciiTheme="majorBidi" w:hAnsiTheme="majorBidi" w:cstheme="majorBidi"/>
        </w:rPr>
        <w:t>(</w:t>
      </w:r>
      <w:r w:rsidRPr="006F296D">
        <w:rPr>
          <w:rFonts w:asciiTheme="majorBidi" w:hAnsiTheme="majorBidi" w:cstheme="majorBidi"/>
        </w:rPr>
        <w:t>4;14</w:t>
      </w:r>
      <w:r w:rsidR="006B2CBA">
        <w:rPr>
          <w:rFonts w:asciiTheme="majorBidi" w:hAnsiTheme="majorBidi" w:cstheme="majorBidi"/>
        </w:rPr>
        <w:t>)</w:t>
      </w:r>
      <w:r w:rsidRPr="006F296D">
        <w:rPr>
          <w:rFonts w:asciiTheme="majorBidi" w:hAnsiTheme="majorBidi" w:cstheme="majorBidi"/>
        </w:rPr>
        <w:t xml:space="preserve"> </w:t>
      </w:r>
      <w:r w:rsidR="006B2CBA" w:rsidRPr="006F296D">
        <w:rPr>
          <w:rFonts w:asciiTheme="majorBidi" w:hAnsiTheme="majorBidi" w:cstheme="majorBidi"/>
        </w:rPr>
        <w:t>superándola</w:t>
      </w:r>
      <w:r w:rsidR="00832931">
        <w:rPr>
          <w:rFonts w:asciiTheme="majorBidi" w:hAnsiTheme="majorBidi" w:cstheme="majorBidi"/>
        </w:rPr>
        <w:t>, convirtiendo pacientes de alto riesgo en pacientes de riesgo intermedio o estándar</w:t>
      </w:r>
      <w:r w:rsidRPr="006F296D">
        <w:rPr>
          <w:rFonts w:asciiTheme="majorBidi" w:hAnsiTheme="majorBidi" w:cstheme="majorBidi"/>
        </w:rPr>
        <w:t xml:space="preserve">. </w:t>
      </w:r>
      <w:r w:rsidR="006B2CBA">
        <w:rPr>
          <w:rFonts w:asciiTheme="majorBidi" w:hAnsiTheme="majorBidi" w:cstheme="majorBidi"/>
        </w:rPr>
        <w:t xml:space="preserve">En la mayoría de pacientes usaremos este medicamento en la terapia de inducción </w:t>
      </w:r>
      <w:r w:rsidR="00832931">
        <w:rPr>
          <w:rFonts w:asciiTheme="majorBidi" w:hAnsiTheme="majorBidi" w:cstheme="majorBidi"/>
        </w:rPr>
        <w:t xml:space="preserve">lo cual es ventajoso en sitios donde no se cuenta con la posibilidad de realizar un adecuado estudio citogenético. </w:t>
      </w:r>
    </w:p>
    <w:p w14:paraId="53D1B2FE" w14:textId="77777777" w:rsidR="00EA31C7" w:rsidRDefault="00EA31C7" w:rsidP="00C11DAA">
      <w:pPr>
        <w:spacing w:line="480" w:lineRule="auto"/>
        <w:jc w:val="both"/>
        <w:rPr>
          <w:rFonts w:asciiTheme="majorBidi" w:hAnsiTheme="majorBidi" w:cstheme="majorBidi"/>
        </w:rPr>
      </w:pPr>
    </w:p>
    <w:p w14:paraId="14A0296D" w14:textId="7FED3307" w:rsidR="00D60AB1" w:rsidRDefault="00EA31C7" w:rsidP="00C11DAA">
      <w:pPr>
        <w:spacing w:line="480" w:lineRule="auto"/>
        <w:jc w:val="both"/>
        <w:rPr>
          <w:rFonts w:asciiTheme="majorBidi" w:hAnsiTheme="majorBidi" w:cstheme="majorBidi"/>
        </w:rPr>
      </w:pPr>
      <w:r>
        <w:rPr>
          <w:rFonts w:asciiTheme="majorBidi" w:hAnsiTheme="majorBidi" w:cstheme="majorBidi"/>
        </w:rPr>
        <w:t>Los principales esquemas de inducción son los que se muestran a continuación. Nuestro esquema estándar es el régimen VTD.</w:t>
      </w:r>
    </w:p>
    <w:p w14:paraId="49CB983E" w14:textId="77777777" w:rsidR="00497A04" w:rsidRDefault="00497A04" w:rsidP="00C11DAA">
      <w:pPr>
        <w:spacing w:line="480" w:lineRule="auto"/>
        <w:jc w:val="both"/>
        <w:rPr>
          <w:rFonts w:asciiTheme="majorBidi" w:hAnsiTheme="majorBidi" w:cstheme="majorBidi"/>
        </w:rPr>
      </w:pPr>
    </w:p>
    <w:tbl>
      <w:tblPr>
        <w:tblStyle w:val="Tablaconcuadrcula"/>
        <w:tblW w:w="8732" w:type="dxa"/>
        <w:tblLayout w:type="fixed"/>
        <w:tblLook w:val="04A0" w:firstRow="1" w:lastRow="0" w:firstColumn="1" w:lastColumn="0" w:noHBand="0" w:noVBand="1"/>
      </w:tblPr>
      <w:tblGrid>
        <w:gridCol w:w="3421"/>
        <w:gridCol w:w="5311"/>
      </w:tblGrid>
      <w:tr w:rsidR="00D60AB1" w14:paraId="5759578E" w14:textId="77777777" w:rsidTr="00D60AB1">
        <w:tc>
          <w:tcPr>
            <w:tcW w:w="3421" w:type="dxa"/>
          </w:tcPr>
          <w:p w14:paraId="750FE5A3" w14:textId="77777777" w:rsidR="00DA1540" w:rsidRDefault="00DA1540" w:rsidP="00C11DAA">
            <w:pPr>
              <w:jc w:val="both"/>
              <w:rPr>
                <w:rFonts w:asciiTheme="majorBidi" w:hAnsiTheme="majorBidi" w:cstheme="majorBidi"/>
              </w:rPr>
            </w:pPr>
            <w:r>
              <w:rPr>
                <w:rFonts w:asciiTheme="majorBidi" w:hAnsiTheme="majorBidi" w:cstheme="majorBidi"/>
              </w:rPr>
              <w:t>Bortezomib/Ciclofosfamida/</w:t>
            </w:r>
          </w:p>
          <w:p w14:paraId="2FFD17AA" w14:textId="5C3A05E6" w:rsidR="00DA1540" w:rsidRDefault="00DA1540" w:rsidP="00C11DAA">
            <w:pPr>
              <w:jc w:val="both"/>
              <w:rPr>
                <w:rFonts w:asciiTheme="majorBidi" w:hAnsiTheme="majorBidi" w:cstheme="majorBidi"/>
              </w:rPr>
            </w:pPr>
            <w:r>
              <w:rPr>
                <w:rFonts w:asciiTheme="majorBidi" w:hAnsiTheme="majorBidi" w:cstheme="majorBidi"/>
              </w:rPr>
              <w:t>Dexametasona VCD/CyBorD</w:t>
            </w:r>
          </w:p>
        </w:tc>
        <w:tc>
          <w:tcPr>
            <w:tcW w:w="5311" w:type="dxa"/>
          </w:tcPr>
          <w:p w14:paraId="1B81A310" w14:textId="678EC849" w:rsidR="00DA1540" w:rsidRDefault="00D60AB1" w:rsidP="00C11DAA">
            <w:pPr>
              <w:jc w:val="both"/>
              <w:rPr>
                <w:rFonts w:asciiTheme="majorBidi" w:hAnsiTheme="majorBidi" w:cstheme="majorBidi"/>
              </w:rPr>
            </w:pPr>
            <w:r>
              <w:rPr>
                <w:rFonts w:asciiTheme="majorBidi" w:hAnsiTheme="majorBidi" w:cstheme="majorBidi"/>
              </w:rPr>
              <w:t>Ciclofosfamida 300 mg/m2 oral días 1,8,15,22; Bortezomib 1,3 mg/m2 (IV o SC) días 1,8,15,22; Dexametasona 40 mg IV u oral días 1,8,15,22 cada 4 semanas</w:t>
            </w:r>
          </w:p>
        </w:tc>
      </w:tr>
      <w:tr w:rsidR="00D60AB1" w14:paraId="368E00B7" w14:textId="77777777" w:rsidTr="00D60AB1">
        <w:tc>
          <w:tcPr>
            <w:tcW w:w="3421" w:type="dxa"/>
          </w:tcPr>
          <w:p w14:paraId="12B2B3F1" w14:textId="77777777" w:rsidR="00DA1540" w:rsidRDefault="00DA1540" w:rsidP="00C11DAA">
            <w:pPr>
              <w:jc w:val="both"/>
              <w:rPr>
                <w:rFonts w:asciiTheme="majorBidi" w:hAnsiTheme="majorBidi" w:cstheme="majorBidi"/>
              </w:rPr>
            </w:pPr>
            <w:r>
              <w:rPr>
                <w:rFonts w:asciiTheme="majorBidi" w:hAnsiTheme="majorBidi" w:cstheme="majorBidi"/>
              </w:rPr>
              <w:t>Bortezomib/Talidomida/</w:t>
            </w:r>
          </w:p>
          <w:p w14:paraId="1980CC03" w14:textId="63ACFD11" w:rsidR="00DA1540" w:rsidRDefault="00DA1540" w:rsidP="00C11DAA">
            <w:pPr>
              <w:jc w:val="both"/>
              <w:rPr>
                <w:rFonts w:asciiTheme="majorBidi" w:hAnsiTheme="majorBidi" w:cstheme="majorBidi"/>
              </w:rPr>
            </w:pPr>
            <w:r>
              <w:rPr>
                <w:rFonts w:asciiTheme="majorBidi" w:hAnsiTheme="majorBidi" w:cstheme="majorBidi"/>
              </w:rPr>
              <w:t>Dexametasona VTD</w:t>
            </w:r>
          </w:p>
        </w:tc>
        <w:tc>
          <w:tcPr>
            <w:tcW w:w="5311" w:type="dxa"/>
          </w:tcPr>
          <w:p w14:paraId="7D1F585E" w14:textId="41183E0B" w:rsidR="00DA1540" w:rsidRDefault="000063AC" w:rsidP="00C11DAA">
            <w:pPr>
              <w:jc w:val="both"/>
              <w:rPr>
                <w:rFonts w:asciiTheme="majorBidi" w:hAnsiTheme="majorBidi" w:cstheme="majorBidi"/>
              </w:rPr>
            </w:pPr>
            <w:r>
              <w:rPr>
                <w:rFonts w:asciiTheme="majorBidi" w:hAnsiTheme="majorBidi" w:cstheme="majorBidi"/>
              </w:rPr>
              <w:t>Bortezomib 1,3 mg SC dí</w:t>
            </w:r>
            <w:r w:rsidR="00D60AB1">
              <w:rPr>
                <w:rFonts w:asciiTheme="majorBidi" w:hAnsiTheme="majorBidi" w:cstheme="majorBidi"/>
              </w:rPr>
              <w:t>as 1,8,15,22;Talidomida 100</w:t>
            </w:r>
            <w:r>
              <w:rPr>
                <w:rFonts w:asciiTheme="majorBidi" w:hAnsiTheme="majorBidi" w:cstheme="majorBidi"/>
              </w:rPr>
              <w:t xml:space="preserve"> por los primeros 14 días leugo </w:t>
            </w:r>
            <w:r w:rsidR="00D60AB1">
              <w:rPr>
                <w:rFonts w:asciiTheme="majorBidi" w:hAnsiTheme="majorBidi" w:cstheme="majorBidi"/>
              </w:rPr>
              <w:t>200 mg oral días 1 al 21, dexametasona 20 mg el día de bortezomib y el día despues (o 40 mg 1,8,15,22) repetido cada 4 semanas por 4 ciclos como pretrasplante.</w:t>
            </w:r>
          </w:p>
        </w:tc>
      </w:tr>
      <w:tr w:rsidR="00D60AB1" w14:paraId="045D385A" w14:textId="77777777" w:rsidTr="00D60AB1">
        <w:tc>
          <w:tcPr>
            <w:tcW w:w="3421" w:type="dxa"/>
          </w:tcPr>
          <w:p w14:paraId="7E75693C" w14:textId="795330DC" w:rsidR="00DA1540" w:rsidRDefault="00DA1540" w:rsidP="00C11DAA">
            <w:pPr>
              <w:jc w:val="both"/>
              <w:rPr>
                <w:rFonts w:asciiTheme="majorBidi" w:hAnsiTheme="majorBidi" w:cstheme="majorBidi"/>
              </w:rPr>
            </w:pPr>
            <w:r>
              <w:rPr>
                <w:rFonts w:asciiTheme="majorBidi" w:hAnsiTheme="majorBidi" w:cstheme="majorBidi"/>
              </w:rPr>
              <w:t>Bortezomib/Doxorrubicina/</w:t>
            </w:r>
          </w:p>
          <w:p w14:paraId="00BE3BFC" w14:textId="078650C0" w:rsidR="00DA1540" w:rsidRDefault="00DA1540" w:rsidP="00C11DAA">
            <w:pPr>
              <w:jc w:val="both"/>
              <w:rPr>
                <w:rFonts w:asciiTheme="majorBidi" w:hAnsiTheme="majorBidi" w:cstheme="majorBidi"/>
              </w:rPr>
            </w:pPr>
            <w:r>
              <w:rPr>
                <w:rFonts w:asciiTheme="majorBidi" w:hAnsiTheme="majorBidi" w:cstheme="majorBidi"/>
              </w:rPr>
              <w:t xml:space="preserve">Dexametasona PAD </w:t>
            </w:r>
          </w:p>
        </w:tc>
        <w:tc>
          <w:tcPr>
            <w:tcW w:w="5311" w:type="dxa"/>
          </w:tcPr>
          <w:p w14:paraId="1D0FDB4F" w14:textId="75B35DFD" w:rsidR="00DA1540" w:rsidRDefault="00346989" w:rsidP="00C11DAA">
            <w:pPr>
              <w:jc w:val="both"/>
              <w:rPr>
                <w:rFonts w:asciiTheme="majorBidi" w:hAnsiTheme="majorBidi" w:cstheme="majorBidi"/>
              </w:rPr>
            </w:pPr>
            <w:r>
              <w:rPr>
                <w:rFonts w:asciiTheme="majorBidi" w:hAnsiTheme="majorBidi" w:cstheme="majorBidi"/>
              </w:rPr>
              <w:t>Bortezomib 1,3 mg/m2 dìas 1,4,8,11;Doxorrubicina 9 mg/m2 IV días 1 al 4, Dexametasona 20 mg día 1 al 4, 9 al 12 y 17 al 20 (240 mg por ciclo, repetido cada 28 días).</w:t>
            </w:r>
          </w:p>
        </w:tc>
      </w:tr>
      <w:tr w:rsidR="00D60AB1" w14:paraId="7EFBB40B" w14:textId="77777777" w:rsidTr="00D60AB1">
        <w:tc>
          <w:tcPr>
            <w:tcW w:w="3421" w:type="dxa"/>
          </w:tcPr>
          <w:p w14:paraId="46D48DB9" w14:textId="634DBFFB" w:rsidR="00DA1540" w:rsidRDefault="00DA1540" w:rsidP="00C11DAA">
            <w:pPr>
              <w:jc w:val="both"/>
              <w:rPr>
                <w:rFonts w:asciiTheme="majorBidi" w:hAnsiTheme="majorBidi" w:cstheme="majorBidi"/>
              </w:rPr>
            </w:pPr>
            <w:r>
              <w:rPr>
                <w:rFonts w:asciiTheme="majorBidi" w:hAnsiTheme="majorBidi" w:cstheme="majorBidi"/>
              </w:rPr>
              <w:t>Bortezomib/Lenalidomida/</w:t>
            </w:r>
          </w:p>
          <w:p w14:paraId="07477ABA" w14:textId="3E64DCA0" w:rsidR="00DA1540" w:rsidRDefault="00DA1540" w:rsidP="00C11DAA">
            <w:pPr>
              <w:jc w:val="both"/>
              <w:rPr>
                <w:rFonts w:asciiTheme="majorBidi" w:hAnsiTheme="majorBidi" w:cstheme="majorBidi"/>
              </w:rPr>
            </w:pPr>
            <w:r>
              <w:rPr>
                <w:rFonts w:asciiTheme="majorBidi" w:hAnsiTheme="majorBidi" w:cstheme="majorBidi"/>
              </w:rPr>
              <w:t>Dexametasona VRd</w:t>
            </w:r>
          </w:p>
        </w:tc>
        <w:tc>
          <w:tcPr>
            <w:tcW w:w="5311" w:type="dxa"/>
          </w:tcPr>
          <w:p w14:paraId="5C3BD8DE" w14:textId="551DE83C" w:rsidR="00DA1540" w:rsidRDefault="00D60AB1" w:rsidP="00C11DAA">
            <w:pPr>
              <w:jc w:val="both"/>
              <w:rPr>
                <w:rFonts w:asciiTheme="majorBidi" w:hAnsiTheme="majorBidi" w:cstheme="majorBidi"/>
              </w:rPr>
            </w:pPr>
            <w:r>
              <w:rPr>
                <w:rFonts w:asciiTheme="majorBidi" w:hAnsiTheme="majorBidi" w:cstheme="majorBidi"/>
              </w:rPr>
              <w:t>Bortezomib 1,3 mg SC</w:t>
            </w:r>
            <w:r w:rsidR="00745A31">
              <w:rPr>
                <w:rFonts w:asciiTheme="majorBidi" w:hAnsiTheme="majorBidi" w:cstheme="majorBidi"/>
              </w:rPr>
              <w:t xml:space="preserve"> o IV</w:t>
            </w:r>
            <w:r>
              <w:rPr>
                <w:rFonts w:asciiTheme="majorBidi" w:hAnsiTheme="majorBidi" w:cstheme="majorBidi"/>
              </w:rPr>
              <w:t xml:space="preserve"> día 1,8,15; Lenalidomida 25 mg oral 1 al 14; dexametasona 20 mg el día de bortezomib y el día posterior (o 40 mg días 1,8,15,22) repetido cada 3 semanas. </w:t>
            </w:r>
          </w:p>
        </w:tc>
      </w:tr>
    </w:tbl>
    <w:p w14:paraId="73710FDB" w14:textId="34C7D749" w:rsidR="00832931" w:rsidRDefault="00DA1540" w:rsidP="00C11DAA">
      <w:pPr>
        <w:jc w:val="both"/>
        <w:rPr>
          <w:rFonts w:asciiTheme="majorBidi" w:hAnsiTheme="majorBidi" w:cstheme="majorBidi"/>
        </w:rPr>
      </w:pPr>
      <w:r>
        <w:rPr>
          <w:rFonts w:asciiTheme="majorBidi" w:hAnsiTheme="majorBidi" w:cstheme="majorBidi"/>
        </w:rPr>
        <w:t>Tabla 1</w:t>
      </w:r>
      <w:r w:rsidR="00832931">
        <w:rPr>
          <w:rFonts w:asciiTheme="majorBidi" w:hAnsiTheme="majorBidi" w:cstheme="majorBidi"/>
        </w:rPr>
        <w:t xml:space="preserve">. Esquemas de inducción de remisión en MM </w:t>
      </w:r>
      <w:r w:rsidR="001460A3">
        <w:rPr>
          <w:rFonts w:asciiTheme="majorBidi" w:hAnsiTheme="majorBidi" w:cstheme="majorBidi"/>
        </w:rPr>
        <w:t xml:space="preserve">elegibles a trasplante </w:t>
      </w:r>
      <w:r w:rsidR="00832931">
        <w:rPr>
          <w:rFonts w:asciiTheme="majorBidi" w:hAnsiTheme="majorBidi" w:cstheme="majorBidi"/>
        </w:rPr>
        <w:t>en primera línea.</w:t>
      </w:r>
    </w:p>
    <w:p w14:paraId="09F19860" w14:textId="77777777" w:rsidR="00D861E6" w:rsidRDefault="00D861E6" w:rsidP="00C11DAA">
      <w:pPr>
        <w:spacing w:line="480" w:lineRule="auto"/>
        <w:jc w:val="both"/>
        <w:rPr>
          <w:rFonts w:asciiTheme="majorBidi" w:hAnsiTheme="majorBidi" w:cstheme="majorBidi"/>
        </w:rPr>
      </w:pPr>
    </w:p>
    <w:p w14:paraId="4B50ACAE" w14:textId="537A485B" w:rsidR="00763316" w:rsidRDefault="00763316" w:rsidP="00C11DAA">
      <w:pPr>
        <w:spacing w:line="480" w:lineRule="auto"/>
        <w:jc w:val="both"/>
        <w:rPr>
          <w:rFonts w:asciiTheme="majorBidi" w:hAnsiTheme="majorBidi" w:cstheme="majorBidi"/>
        </w:rPr>
      </w:pPr>
      <w:r>
        <w:rPr>
          <w:rFonts w:asciiTheme="majorBidi" w:hAnsiTheme="majorBidi" w:cstheme="majorBidi"/>
        </w:rPr>
        <w:br/>
      </w:r>
      <w:r w:rsidR="00FD6979">
        <w:rPr>
          <w:rFonts w:asciiTheme="majorBidi" w:hAnsiTheme="majorBidi" w:cstheme="majorBidi"/>
        </w:rPr>
        <w:t>D</w:t>
      </w:r>
      <w:r>
        <w:rPr>
          <w:rFonts w:asciiTheme="majorBidi" w:hAnsiTheme="majorBidi" w:cstheme="majorBidi"/>
        </w:rPr>
        <w:t>espués de la terapia de inducción se debe escoger una de tres estrategias.</w:t>
      </w:r>
    </w:p>
    <w:p w14:paraId="3B559ED5" w14:textId="7F4D5E28" w:rsidR="00763316" w:rsidRDefault="00467B78" w:rsidP="00C11DAA">
      <w:pPr>
        <w:pStyle w:val="Prrafodelista"/>
        <w:numPr>
          <w:ilvl w:val="0"/>
          <w:numId w:val="26"/>
        </w:numPr>
        <w:spacing w:line="480" w:lineRule="auto"/>
        <w:jc w:val="both"/>
        <w:rPr>
          <w:rFonts w:asciiTheme="majorBidi" w:hAnsiTheme="majorBidi" w:cstheme="majorBidi"/>
        </w:rPr>
      </w:pPr>
      <w:r>
        <w:rPr>
          <w:rFonts w:asciiTheme="majorBidi" w:hAnsiTheme="majorBidi" w:cstheme="majorBidi"/>
        </w:rPr>
        <w:lastRenderedPageBreak/>
        <w:t xml:space="preserve">Trasplante temprano, doble o en tándem inmediatamente después de la colecta. La estrategia de trasplante en tándem usualmente se realiza con una diferencia de pocos meses 4 a 6. </w:t>
      </w:r>
    </w:p>
    <w:p w14:paraId="2EA15BD9" w14:textId="772F3E21" w:rsidR="00467B78" w:rsidRDefault="00467B78" w:rsidP="00C11DAA">
      <w:pPr>
        <w:pStyle w:val="Prrafodelista"/>
        <w:numPr>
          <w:ilvl w:val="0"/>
          <w:numId w:val="26"/>
        </w:numPr>
        <w:spacing w:line="480" w:lineRule="auto"/>
        <w:jc w:val="both"/>
        <w:rPr>
          <w:rFonts w:asciiTheme="majorBidi" w:hAnsiTheme="majorBidi" w:cstheme="majorBidi"/>
        </w:rPr>
      </w:pPr>
      <w:r>
        <w:rPr>
          <w:rFonts w:asciiTheme="majorBidi" w:hAnsiTheme="majorBidi" w:cstheme="majorBidi"/>
        </w:rPr>
        <w:t>Trasplante diferido. Se continua con la terapia de inducción reservando el trasplante para la recaída.</w:t>
      </w:r>
    </w:p>
    <w:p w14:paraId="78D75044" w14:textId="41A58DBF" w:rsidR="00467B78" w:rsidRDefault="00467B78" w:rsidP="00C11DAA">
      <w:pPr>
        <w:pStyle w:val="Prrafodelista"/>
        <w:numPr>
          <w:ilvl w:val="0"/>
          <w:numId w:val="26"/>
        </w:numPr>
        <w:spacing w:line="480" w:lineRule="auto"/>
        <w:jc w:val="both"/>
        <w:rPr>
          <w:rFonts w:asciiTheme="majorBidi" w:hAnsiTheme="majorBidi" w:cstheme="majorBidi"/>
        </w:rPr>
      </w:pPr>
      <w:r>
        <w:rPr>
          <w:rFonts w:asciiTheme="majorBidi" w:hAnsiTheme="majorBidi" w:cstheme="majorBidi"/>
        </w:rPr>
        <w:t xml:space="preserve">Trasplante alogénico. </w:t>
      </w:r>
    </w:p>
    <w:p w14:paraId="39F3996C" w14:textId="77777777" w:rsidR="00ED1CDB" w:rsidRPr="00072953" w:rsidRDefault="00ED1CDB" w:rsidP="00C11DAA">
      <w:pPr>
        <w:spacing w:line="480" w:lineRule="auto"/>
        <w:jc w:val="both"/>
        <w:rPr>
          <w:rFonts w:asciiTheme="majorBidi" w:hAnsiTheme="majorBidi" w:cstheme="majorBidi"/>
        </w:rPr>
      </w:pPr>
    </w:p>
    <w:p w14:paraId="77BABCBB" w14:textId="7D8492A9" w:rsidR="00ED1CDB" w:rsidRDefault="00467B78" w:rsidP="00C11DAA">
      <w:pPr>
        <w:spacing w:line="480" w:lineRule="auto"/>
        <w:jc w:val="both"/>
        <w:rPr>
          <w:rFonts w:asciiTheme="majorBidi" w:hAnsiTheme="majorBidi" w:cstheme="majorBidi"/>
        </w:rPr>
      </w:pPr>
      <w:r>
        <w:rPr>
          <w:rFonts w:asciiTheme="majorBidi" w:hAnsiTheme="majorBidi" w:cstheme="majorBidi"/>
        </w:rPr>
        <w:t xml:space="preserve">La terapia más recomendada en la actualidad es el trasplante temprano. Ya hemos comentado que el trasplante ha sido un hito en la mejoría de la supervivencia libre de progresión y supervivencia global. </w:t>
      </w:r>
      <w:r w:rsidR="006F0788">
        <w:rPr>
          <w:rFonts w:asciiTheme="majorBidi" w:hAnsiTheme="majorBidi" w:cstheme="majorBidi"/>
        </w:rPr>
        <w:t>Algunos estudios han mostrado que la estrategia de diferir el trasplante no impacta en la superviv</w:t>
      </w:r>
      <w:r w:rsidR="00EA31C7">
        <w:rPr>
          <w:rFonts w:asciiTheme="majorBidi" w:hAnsiTheme="majorBidi" w:cstheme="majorBidi"/>
        </w:rPr>
        <w:t>encia, por esto, esta modalidad de tratamiento</w:t>
      </w:r>
      <w:r w:rsidR="006F0788">
        <w:rPr>
          <w:rFonts w:asciiTheme="majorBidi" w:hAnsiTheme="majorBidi" w:cstheme="majorBidi"/>
        </w:rPr>
        <w:t xml:space="preserve"> también es </w:t>
      </w:r>
      <w:r w:rsidR="00ED1CDB">
        <w:rPr>
          <w:rFonts w:asciiTheme="majorBidi" w:hAnsiTheme="majorBidi" w:cstheme="majorBidi"/>
        </w:rPr>
        <w:t>aceptada</w:t>
      </w:r>
      <w:r w:rsidR="00EA31C7">
        <w:rPr>
          <w:rFonts w:asciiTheme="majorBidi" w:hAnsiTheme="majorBidi" w:cstheme="majorBidi"/>
        </w:rPr>
        <w:t xml:space="preserve">. No </w:t>
      </w:r>
      <w:r w:rsidR="004B51F9">
        <w:rPr>
          <w:rFonts w:asciiTheme="majorBidi" w:hAnsiTheme="majorBidi" w:cstheme="majorBidi"/>
        </w:rPr>
        <w:t>obstante</w:t>
      </w:r>
      <w:r w:rsidR="00EA31C7">
        <w:rPr>
          <w:rFonts w:asciiTheme="majorBidi" w:hAnsiTheme="majorBidi" w:cstheme="majorBidi"/>
        </w:rPr>
        <w:t xml:space="preserve"> </w:t>
      </w:r>
      <w:r w:rsidR="00477F72">
        <w:rPr>
          <w:rFonts w:asciiTheme="majorBidi" w:hAnsiTheme="majorBidi" w:cstheme="majorBidi"/>
        </w:rPr>
        <w:t xml:space="preserve">de </w:t>
      </w:r>
      <w:r w:rsidR="00EA31C7">
        <w:rPr>
          <w:rFonts w:asciiTheme="majorBidi" w:hAnsiTheme="majorBidi" w:cstheme="majorBidi"/>
        </w:rPr>
        <w:t>lo anterior</w:t>
      </w:r>
      <w:r w:rsidR="00ED1CDB">
        <w:rPr>
          <w:rFonts w:asciiTheme="majorBidi" w:hAnsiTheme="majorBidi" w:cstheme="majorBidi"/>
        </w:rPr>
        <w:t xml:space="preserve"> hay que tener en cuenta que en el momento de la recaída un paciente determinado puede no ser ya elegible a trasplante</w:t>
      </w:r>
      <w:r w:rsidR="006F0788">
        <w:rPr>
          <w:rFonts w:asciiTheme="majorBidi" w:hAnsiTheme="majorBidi" w:cstheme="majorBidi"/>
        </w:rPr>
        <w:t xml:space="preserve">. </w:t>
      </w:r>
      <w:r w:rsidR="00EA31C7">
        <w:rPr>
          <w:rFonts w:asciiTheme="majorBidi" w:hAnsiTheme="majorBidi" w:cstheme="majorBidi"/>
        </w:rPr>
        <w:t>Nosotros preferimos el trasplante inmediato en los pacientes que son elegibles.</w:t>
      </w:r>
    </w:p>
    <w:p w14:paraId="18266E04" w14:textId="77777777" w:rsidR="00FD6979" w:rsidRDefault="00FD6979" w:rsidP="00C11DAA">
      <w:pPr>
        <w:spacing w:line="480" w:lineRule="auto"/>
        <w:jc w:val="both"/>
        <w:rPr>
          <w:rFonts w:asciiTheme="majorBidi" w:hAnsiTheme="majorBidi" w:cstheme="majorBidi"/>
        </w:rPr>
      </w:pPr>
    </w:p>
    <w:p w14:paraId="7367CA97" w14:textId="5FA526C4" w:rsidR="00ED1CDB" w:rsidRDefault="00ED1CDB" w:rsidP="00C11DAA">
      <w:pPr>
        <w:spacing w:line="480" w:lineRule="auto"/>
        <w:jc w:val="both"/>
        <w:rPr>
          <w:rFonts w:asciiTheme="majorBidi" w:hAnsiTheme="majorBidi" w:cstheme="majorBidi"/>
        </w:rPr>
      </w:pPr>
      <w:r>
        <w:rPr>
          <w:rFonts w:asciiTheme="majorBidi" w:hAnsiTheme="majorBidi" w:cstheme="majorBidi"/>
        </w:rPr>
        <w:t>El trasplante en tándem no es una estrategia estándar</w:t>
      </w:r>
      <w:r w:rsidR="00072953">
        <w:rPr>
          <w:rFonts w:asciiTheme="majorBidi" w:hAnsiTheme="majorBidi" w:cstheme="majorBidi"/>
        </w:rPr>
        <w:t xml:space="preserve"> dado que los estudios no han mostrado beneficio en los pacientes de riesgo estándar, sin embargo,</w:t>
      </w:r>
      <w:r>
        <w:rPr>
          <w:rFonts w:asciiTheme="majorBidi" w:hAnsiTheme="majorBidi" w:cstheme="majorBidi"/>
        </w:rPr>
        <w:t xml:space="preserve"> puede ser considerado</w:t>
      </w:r>
      <w:r w:rsidR="00072953">
        <w:rPr>
          <w:rFonts w:asciiTheme="majorBidi" w:hAnsiTheme="majorBidi" w:cstheme="majorBidi"/>
        </w:rPr>
        <w:t xml:space="preserve"> en algunos escenarios clínicos como </w:t>
      </w:r>
      <w:r>
        <w:rPr>
          <w:rFonts w:asciiTheme="majorBidi" w:hAnsiTheme="majorBidi" w:cstheme="majorBidi"/>
        </w:rPr>
        <w:t xml:space="preserve">enfermedad de alto riesgo especialmente pacientes con delección del 17p dado que estos pacientes tienen desenlaces más adversos que los de riesgo </w:t>
      </w:r>
      <w:r w:rsidR="00477F72">
        <w:rPr>
          <w:rFonts w:asciiTheme="majorBidi" w:hAnsiTheme="majorBidi" w:cstheme="majorBidi"/>
        </w:rPr>
        <w:t>estándar,</w:t>
      </w:r>
      <w:r w:rsidR="00EA31C7">
        <w:rPr>
          <w:rFonts w:asciiTheme="majorBidi" w:hAnsiTheme="majorBidi" w:cstheme="majorBidi"/>
        </w:rPr>
        <w:t xml:space="preserve"> pero h</w:t>
      </w:r>
      <w:r w:rsidR="00072953">
        <w:rPr>
          <w:rFonts w:asciiTheme="majorBidi" w:hAnsiTheme="majorBidi" w:cstheme="majorBidi"/>
        </w:rPr>
        <w:t xml:space="preserve">ay que tener en cuenta que los estudios que soportan esta estrategia son de baja calidad. </w:t>
      </w:r>
    </w:p>
    <w:p w14:paraId="2FABF877" w14:textId="77777777" w:rsidR="00ED1CDB" w:rsidRDefault="00ED1CDB" w:rsidP="00C11DAA">
      <w:pPr>
        <w:spacing w:line="480" w:lineRule="auto"/>
        <w:jc w:val="both"/>
        <w:rPr>
          <w:rFonts w:asciiTheme="majorBidi" w:hAnsiTheme="majorBidi" w:cstheme="majorBidi"/>
        </w:rPr>
      </w:pPr>
    </w:p>
    <w:p w14:paraId="568EDC48" w14:textId="7D3E7D60" w:rsidR="00467B78" w:rsidRDefault="006F0788" w:rsidP="00C11DAA">
      <w:pPr>
        <w:spacing w:line="480" w:lineRule="auto"/>
        <w:jc w:val="both"/>
        <w:rPr>
          <w:rFonts w:asciiTheme="majorBidi" w:hAnsiTheme="majorBidi" w:cstheme="majorBidi"/>
        </w:rPr>
      </w:pPr>
      <w:r>
        <w:rPr>
          <w:rFonts w:asciiTheme="majorBidi" w:hAnsiTheme="majorBidi" w:cstheme="majorBidi"/>
        </w:rPr>
        <w:t xml:space="preserve">El trasplante alogénico puede brindar una alternativa </w:t>
      </w:r>
      <w:r w:rsidR="00FD6979">
        <w:rPr>
          <w:rFonts w:asciiTheme="majorBidi" w:hAnsiTheme="majorBidi" w:cstheme="majorBidi"/>
        </w:rPr>
        <w:t>curativa,</w:t>
      </w:r>
      <w:r w:rsidR="006A1034">
        <w:rPr>
          <w:rFonts w:asciiTheme="majorBidi" w:hAnsiTheme="majorBidi" w:cstheme="majorBidi"/>
        </w:rPr>
        <w:t xml:space="preserve"> pero </w:t>
      </w:r>
      <w:r w:rsidR="00EA31C7">
        <w:rPr>
          <w:rFonts w:asciiTheme="majorBidi" w:hAnsiTheme="majorBidi" w:cstheme="majorBidi"/>
        </w:rPr>
        <w:t>persiste</w:t>
      </w:r>
      <w:r w:rsidR="006A1034">
        <w:rPr>
          <w:rFonts w:asciiTheme="majorBidi" w:hAnsiTheme="majorBidi" w:cstheme="majorBidi"/>
        </w:rPr>
        <w:t xml:space="preserve"> como una estrategia en investigación, es decir, los pacientes candidatos deberían ser incluidos en </w:t>
      </w:r>
      <w:r w:rsidR="006A1034">
        <w:rPr>
          <w:rFonts w:asciiTheme="majorBidi" w:hAnsiTheme="majorBidi" w:cstheme="majorBidi"/>
        </w:rPr>
        <w:lastRenderedPageBreak/>
        <w:t>un ensayo clínico dado que se ha demostrado</w:t>
      </w:r>
      <w:r>
        <w:rPr>
          <w:rFonts w:asciiTheme="majorBidi" w:hAnsiTheme="majorBidi" w:cstheme="majorBidi"/>
        </w:rPr>
        <w:t xml:space="preserve"> una alta mortalidad temprana y altas tasas de morbilidad</w:t>
      </w:r>
      <w:r w:rsidR="006A1034">
        <w:rPr>
          <w:rFonts w:asciiTheme="majorBidi" w:hAnsiTheme="majorBidi" w:cstheme="majorBidi"/>
        </w:rPr>
        <w:t xml:space="preserve">. Los pacientes incluidos en los ensayos clínicos deberían ser </w:t>
      </w:r>
      <w:r>
        <w:rPr>
          <w:rFonts w:asciiTheme="majorBidi" w:hAnsiTheme="majorBidi" w:cstheme="majorBidi"/>
        </w:rPr>
        <w:t xml:space="preserve">pacientes jóvenes, quimiosensibles con enfermedad de muy alto riesgo. </w:t>
      </w:r>
    </w:p>
    <w:p w14:paraId="6E605522" w14:textId="77777777" w:rsidR="001B62BE" w:rsidRPr="00467B78" w:rsidRDefault="001B62BE" w:rsidP="00C11DAA">
      <w:pPr>
        <w:spacing w:line="480" w:lineRule="auto"/>
        <w:jc w:val="both"/>
        <w:rPr>
          <w:rFonts w:asciiTheme="majorBidi" w:hAnsiTheme="majorBidi" w:cstheme="majorBidi"/>
        </w:rPr>
      </w:pPr>
    </w:p>
    <w:p w14:paraId="495918EA" w14:textId="2E95FFA9" w:rsidR="00CF1697" w:rsidRPr="00D03BA5" w:rsidRDefault="00EA31C7" w:rsidP="00C11DAA">
      <w:pPr>
        <w:spacing w:line="480" w:lineRule="auto"/>
        <w:jc w:val="both"/>
        <w:rPr>
          <w:rFonts w:asciiTheme="majorBidi" w:hAnsiTheme="majorBidi" w:cstheme="majorBidi"/>
          <w:color w:val="000000" w:themeColor="text1"/>
        </w:rPr>
      </w:pPr>
      <w:r>
        <w:rPr>
          <w:rFonts w:asciiTheme="majorBidi" w:hAnsiTheme="majorBidi" w:cstheme="majorBidi"/>
        </w:rPr>
        <w:t>V</w:t>
      </w:r>
      <w:r w:rsidR="00CF1697">
        <w:rPr>
          <w:rFonts w:asciiTheme="majorBidi" w:hAnsiTheme="majorBidi" w:cstheme="majorBidi"/>
        </w:rPr>
        <w:t>irtualmente todos los pacientes llevados a trasplante autólogo recaerán. Por lo anterior se ha establecido que una de las estrategias para eliminar la enfermedad mínima residual es el ma</w:t>
      </w:r>
      <w:r w:rsidR="00766ED1">
        <w:rPr>
          <w:rFonts w:asciiTheme="majorBidi" w:hAnsiTheme="majorBidi" w:cstheme="majorBidi"/>
        </w:rPr>
        <w:t>ntenimiento post trasplante. Tres</w:t>
      </w:r>
      <w:r w:rsidR="00CF1697">
        <w:rPr>
          <w:rFonts w:asciiTheme="majorBidi" w:hAnsiTheme="majorBidi" w:cstheme="majorBidi"/>
        </w:rPr>
        <w:t xml:space="preserve"> agentes han sido estudiados; </w:t>
      </w:r>
      <w:r w:rsidR="00766ED1">
        <w:rPr>
          <w:rFonts w:asciiTheme="majorBidi" w:hAnsiTheme="majorBidi" w:cstheme="majorBidi"/>
        </w:rPr>
        <w:t>L</w:t>
      </w:r>
      <w:r w:rsidR="00CF1697">
        <w:rPr>
          <w:rFonts w:asciiTheme="majorBidi" w:hAnsiTheme="majorBidi" w:cstheme="majorBidi"/>
        </w:rPr>
        <w:t>enalidomida</w:t>
      </w:r>
      <w:r w:rsidR="00766ED1">
        <w:rPr>
          <w:rFonts w:asciiTheme="majorBidi" w:hAnsiTheme="majorBidi" w:cstheme="majorBidi"/>
        </w:rPr>
        <w:t xml:space="preserve">, </w:t>
      </w:r>
      <w:r w:rsidR="00CF1697">
        <w:rPr>
          <w:rFonts w:asciiTheme="majorBidi" w:hAnsiTheme="majorBidi" w:cstheme="majorBidi"/>
        </w:rPr>
        <w:t>Bortezomib</w:t>
      </w:r>
      <w:r w:rsidR="00766ED1">
        <w:rPr>
          <w:rFonts w:asciiTheme="majorBidi" w:hAnsiTheme="majorBidi" w:cstheme="majorBidi"/>
        </w:rPr>
        <w:t xml:space="preserve"> e Ixazomib</w:t>
      </w:r>
      <w:r w:rsidR="00CF1697">
        <w:rPr>
          <w:rFonts w:asciiTheme="majorBidi" w:hAnsiTheme="majorBidi" w:cstheme="majorBidi"/>
        </w:rPr>
        <w:t xml:space="preserve">. </w:t>
      </w:r>
      <w:r w:rsidR="00766ED1">
        <w:rPr>
          <w:rFonts w:asciiTheme="majorBidi" w:hAnsiTheme="majorBidi" w:cstheme="majorBidi"/>
        </w:rPr>
        <w:t xml:space="preserve">Basados en la prolongación de la supervivencia libre de progresión y supervivencia global en la mayoría de los estudios, se recomienda el mantenimiento como terapia estándar. Para pacientes de riesgo estándar se sugiere dos años de </w:t>
      </w:r>
      <w:r w:rsidR="00766ED1" w:rsidRPr="00D03BA5">
        <w:rPr>
          <w:rFonts w:asciiTheme="majorBidi" w:hAnsiTheme="majorBidi" w:cstheme="majorBidi"/>
          <w:color w:val="000000" w:themeColor="text1"/>
        </w:rPr>
        <w:t xml:space="preserve">mantenimiento con lenalidomida 10 mg día con el riesgo de segundas malignidades. El Ixazomib parece tener menor beneficio que la lenalidomida en este escenario. Se reserva para pacientes que no tengan acceso a lenalidomida o no la toleren. </w:t>
      </w:r>
    </w:p>
    <w:p w14:paraId="51A3FAEB" w14:textId="3DC4F350" w:rsidR="00766ED1" w:rsidRPr="00D03BA5" w:rsidRDefault="00766ED1" w:rsidP="00C11DAA">
      <w:pPr>
        <w:spacing w:line="480" w:lineRule="auto"/>
        <w:jc w:val="both"/>
        <w:rPr>
          <w:rFonts w:asciiTheme="majorBidi" w:hAnsiTheme="majorBidi" w:cstheme="majorBidi"/>
          <w:color w:val="000000" w:themeColor="text1"/>
        </w:rPr>
      </w:pPr>
      <w:r w:rsidRPr="00D03BA5">
        <w:rPr>
          <w:rFonts w:asciiTheme="majorBidi" w:hAnsiTheme="majorBidi" w:cstheme="majorBidi"/>
          <w:color w:val="000000" w:themeColor="text1"/>
        </w:rPr>
        <w:t>Para los pacientes de riesgo alto el Bortezomib se asocia con mejoría en supervivencia libre de progresión y supervivencia global</w:t>
      </w:r>
      <w:r w:rsidR="002E0F7E" w:rsidRPr="00D03BA5">
        <w:rPr>
          <w:rFonts w:asciiTheme="majorBidi" w:hAnsiTheme="majorBidi" w:cstheme="majorBidi"/>
          <w:color w:val="000000" w:themeColor="text1"/>
        </w:rPr>
        <w:t xml:space="preserve"> por lo que se recomienda fuertemente en este escenario reservando Ixazomib para los pacientes que no toleran el Bortezomib. La duración de la terapia no está bien establecida, pero se sugiere por lo menos dos años. </w:t>
      </w:r>
    </w:p>
    <w:p w14:paraId="5F620287" w14:textId="77777777" w:rsidR="00F36B33" w:rsidRDefault="00F36B33" w:rsidP="00C11DAA">
      <w:pPr>
        <w:spacing w:line="480" w:lineRule="auto"/>
        <w:jc w:val="both"/>
        <w:rPr>
          <w:rFonts w:asciiTheme="majorBidi" w:hAnsiTheme="majorBidi" w:cstheme="majorBidi"/>
        </w:rPr>
      </w:pPr>
    </w:p>
    <w:p w14:paraId="3994AA9A" w14:textId="1761A2F9" w:rsidR="002E0F7E" w:rsidRDefault="002E0F7E" w:rsidP="00C11DAA">
      <w:pPr>
        <w:spacing w:line="480" w:lineRule="auto"/>
        <w:jc w:val="both"/>
        <w:rPr>
          <w:rFonts w:asciiTheme="majorBidi" w:hAnsiTheme="majorBidi" w:cstheme="majorBidi"/>
          <w:i/>
          <w:iCs/>
        </w:rPr>
      </w:pPr>
      <w:r w:rsidRPr="002E0F7E">
        <w:rPr>
          <w:rFonts w:asciiTheme="majorBidi" w:hAnsiTheme="majorBidi" w:cstheme="majorBidi"/>
          <w:i/>
          <w:iCs/>
        </w:rPr>
        <w:t>Pacientes no elegibles a trasplante</w:t>
      </w:r>
    </w:p>
    <w:p w14:paraId="17B5F9CF" w14:textId="77777777" w:rsidR="002E0F7E" w:rsidRPr="002E0F7E" w:rsidRDefault="002E0F7E" w:rsidP="00C11DAA">
      <w:pPr>
        <w:spacing w:line="480" w:lineRule="auto"/>
        <w:jc w:val="both"/>
        <w:rPr>
          <w:rFonts w:asciiTheme="majorBidi" w:hAnsiTheme="majorBidi" w:cstheme="majorBidi"/>
          <w:i/>
          <w:iCs/>
        </w:rPr>
      </w:pPr>
    </w:p>
    <w:p w14:paraId="6D6BF76F" w14:textId="1AB298B9" w:rsidR="003E714C" w:rsidRDefault="00DE1261" w:rsidP="00C11DAA">
      <w:pPr>
        <w:spacing w:line="480" w:lineRule="auto"/>
        <w:jc w:val="both"/>
        <w:rPr>
          <w:rFonts w:asciiTheme="majorBidi" w:hAnsiTheme="majorBidi" w:cstheme="majorBidi"/>
        </w:rPr>
      </w:pPr>
      <w:r>
        <w:rPr>
          <w:rFonts w:asciiTheme="majorBidi" w:hAnsiTheme="majorBidi" w:cstheme="majorBidi"/>
        </w:rPr>
        <w:t xml:space="preserve">Los pacientes no elegibles a trasplante reciben 8 a 12 ciclos de terapia inicial con una terapia triple seguido de mantenimiento hasta progresión o toxicidad. Los pacientes que son frágiles y no son buenos candidatos a triple terapia pueden tener tratamiento con un esquema libre de quimioterapia como lenalidomida combinado con dosis bajas de dexametasona. </w:t>
      </w:r>
      <w:r w:rsidR="002E0F7E">
        <w:rPr>
          <w:rFonts w:asciiTheme="majorBidi" w:hAnsiTheme="majorBidi" w:cstheme="majorBidi"/>
        </w:rPr>
        <w:t xml:space="preserve">Se incluyen dentro de los esquemas utilizados el uso de tripletas como el </w:t>
      </w:r>
      <w:r w:rsidR="002E0F7E">
        <w:rPr>
          <w:rFonts w:asciiTheme="majorBidi" w:hAnsiTheme="majorBidi" w:cstheme="majorBidi"/>
        </w:rPr>
        <w:lastRenderedPageBreak/>
        <w:t xml:space="preserve">protocolo </w:t>
      </w:r>
      <w:r w:rsidR="003E714C" w:rsidRPr="006F296D">
        <w:rPr>
          <w:rFonts w:asciiTheme="majorBidi" w:hAnsiTheme="majorBidi" w:cstheme="majorBidi"/>
        </w:rPr>
        <w:t xml:space="preserve">VISTA </w:t>
      </w:r>
      <w:r w:rsidR="002E0F7E">
        <w:rPr>
          <w:rFonts w:asciiTheme="majorBidi" w:hAnsiTheme="majorBidi" w:cstheme="majorBidi"/>
        </w:rPr>
        <w:t xml:space="preserve">usando Bortezomib y prednisona combinado con melfalán, el esquema VCD de pacientes no elegibles a trasplante combinando Bortezomib y dexametasona con ciclofosfamida y el esquema VRd con lenalidomida. </w:t>
      </w:r>
    </w:p>
    <w:p w14:paraId="5099BBD6" w14:textId="77777777" w:rsidR="001460A3" w:rsidRDefault="001460A3" w:rsidP="00C11DAA">
      <w:pPr>
        <w:spacing w:line="480" w:lineRule="auto"/>
        <w:jc w:val="both"/>
        <w:rPr>
          <w:rFonts w:asciiTheme="majorBidi" w:hAnsiTheme="majorBidi" w:cstheme="majorBidi"/>
        </w:rPr>
      </w:pPr>
    </w:p>
    <w:tbl>
      <w:tblPr>
        <w:tblStyle w:val="Tablaconcuadrcula"/>
        <w:tblW w:w="8732" w:type="dxa"/>
        <w:tblLayout w:type="fixed"/>
        <w:tblLook w:val="04A0" w:firstRow="1" w:lastRow="0" w:firstColumn="1" w:lastColumn="0" w:noHBand="0" w:noVBand="1"/>
      </w:tblPr>
      <w:tblGrid>
        <w:gridCol w:w="3421"/>
        <w:gridCol w:w="5311"/>
      </w:tblGrid>
      <w:tr w:rsidR="001460A3" w14:paraId="3719594F" w14:textId="77777777" w:rsidTr="00A94671">
        <w:tc>
          <w:tcPr>
            <w:tcW w:w="3421" w:type="dxa"/>
          </w:tcPr>
          <w:p w14:paraId="17197F3A" w14:textId="5AFE9979" w:rsidR="001460A3" w:rsidRDefault="001460A3" w:rsidP="00C11DAA">
            <w:pPr>
              <w:jc w:val="both"/>
              <w:rPr>
                <w:rFonts w:asciiTheme="majorBidi" w:hAnsiTheme="majorBidi" w:cstheme="majorBidi"/>
              </w:rPr>
            </w:pPr>
            <w:r>
              <w:rPr>
                <w:rFonts w:asciiTheme="majorBidi" w:hAnsiTheme="majorBidi" w:cstheme="majorBidi"/>
              </w:rPr>
              <w:t>Bortezomib/Melfalán/</w:t>
            </w:r>
          </w:p>
          <w:p w14:paraId="48328107" w14:textId="052C5C63" w:rsidR="001460A3" w:rsidRDefault="001460A3" w:rsidP="00C11DAA">
            <w:pPr>
              <w:jc w:val="both"/>
              <w:rPr>
                <w:rFonts w:asciiTheme="majorBidi" w:hAnsiTheme="majorBidi" w:cstheme="majorBidi"/>
              </w:rPr>
            </w:pPr>
            <w:r>
              <w:rPr>
                <w:rFonts w:asciiTheme="majorBidi" w:hAnsiTheme="majorBidi" w:cstheme="majorBidi"/>
              </w:rPr>
              <w:t xml:space="preserve">Prednisona   VISTA </w:t>
            </w:r>
          </w:p>
        </w:tc>
        <w:tc>
          <w:tcPr>
            <w:tcW w:w="5311" w:type="dxa"/>
          </w:tcPr>
          <w:p w14:paraId="548CC2C8" w14:textId="131599DE" w:rsidR="001460A3" w:rsidRDefault="001460A3" w:rsidP="00C11DAA">
            <w:pPr>
              <w:jc w:val="both"/>
              <w:rPr>
                <w:rFonts w:asciiTheme="majorBidi" w:hAnsiTheme="majorBidi" w:cstheme="majorBidi"/>
              </w:rPr>
            </w:pPr>
            <w:r>
              <w:rPr>
                <w:rFonts w:asciiTheme="majorBidi" w:hAnsiTheme="majorBidi" w:cstheme="majorBidi"/>
              </w:rPr>
              <w:t>Bortezomib 1,3 mg/m2 SC días 1,8,15,22; Melfalán 9 mg /m2 oral días 1 al 4; Prednisona 60 mg/m2 oral día 1 al 4 repetido cada 35 días.</w:t>
            </w:r>
          </w:p>
        </w:tc>
      </w:tr>
      <w:tr w:rsidR="001460A3" w14:paraId="6E92B78D" w14:textId="77777777" w:rsidTr="00A94671">
        <w:tc>
          <w:tcPr>
            <w:tcW w:w="3421" w:type="dxa"/>
          </w:tcPr>
          <w:p w14:paraId="7CF51AE4" w14:textId="32D3DF5A" w:rsidR="001460A3" w:rsidRDefault="001460A3" w:rsidP="00C11DAA">
            <w:pPr>
              <w:jc w:val="both"/>
              <w:rPr>
                <w:rFonts w:asciiTheme="majorBidi" w:hAnsiTheme="majorBidi" w:cstheme="majorBidi"/>
              </w:rPr>
            </w:pPr>
            <w:r>
              <w:rPr>
                <w:rFonts w:asciiTheme="majorBidi" w:hAnsiTheme="majorBidi" w:cstheme="majorBidi"/>
              </w:rPr>
              <w:t>Melfalán/Prednisona/Talidomida</w:t>
            </w:r>
          </w:p>
        </w:tc>
        <w:tc>
          <w:tcPr>
            <w:tcW w:w="5311" w:type="dxa"/>
          </w:tcPr>
          <w:p w14:paraId="621584C0" w14:textId="71D80026" w:rsidR="001460A3" w:rsidRDefault="001460A3" w:rsidP="00C11DAA">
            <w:pPr>
              <w:jc w:val="both"/>
              <w:rPr>
                <w:rFonts w:asciiTheme="majorBidi" w:hAnsiTheme="majorBidi" w:cstheme="majorBidi"/>
              </w:rPr>
            </w:pPr>
            <w:r>
              <w:rPr>
                <w:rFonts w:asciiTheme="majorBidi" w:hAnsiTheme="majorBidi" w:cstheme="majorBidi"/>
              </w:rPr>
              <w:t xml:space="preserve">Melfalan 0.25 mg/Kg oral días 1 al 4 (uso de 0.20 mg/Kg día oral en pacientes sobre los 75 años);Prednisona 2 mg/Kg oral días 1 al 4, Talidomida 100-200 mg oral días 1 añ 28 (solo 100 mg si el paciente es mayor de 75 años); repetir cada 6 semanas. </w:t>
            </w:r>
          </w:p>
        </w:tc>
      </w:tr>
      <w:tr w:rsidR="001460A3" w14:paraId="64E4ADDB" w14:textId="77777777" w:rsidTr="00A94671">
        <w:tc>
          <w:tcPr>
            <w:tcW w:w="3421" w:type="dxa"/>
          </w:tcPr>
          <w:p w14:paraId="4D698F5E" w14:textId="11E0E988" w:rsidR="001460A3" w:rsidRDefault="001460A3" w:rsidP="00C11DAA">
            <w:pPr>
              <w:jc w:val="both"/>
              <w:rPr>
                <w:rFonts w:asciiTheme="majorBidi" w:hAnsiTheme="majorBidi" w:cstheme="majorBidi"/>
              </w:rPr>
            </w:pPr>
            <w:r>
              <w:rPr>
                <w:rFonts w:asciiTheme="majorBidi" w:hAnsiTheme="majorBidi" w:cstheme="majorBidi"/>
              </w:rPr>
              <w:t>Lenalidomida/</w:t>
            </w:r>
          </w:p>
          <w:p w14:paraId="65ADFABD" w14:textId="7B0F7EB7" w:rsidR="001460A3" w:rsidRDefault="001460A3" w:rsidP="00C11DAA">
            <w:pPr>
              <w:jc w:val="both"/>
              <w:rPr>
                <w:rFonts w:asciiTheme="majorBidi" w:hAnsiTheme="majorBidi" w:cstheme="majorBidi"/>
              </w:rPr>
            </w:pPr>
            <w:r>
              <w:rPr>
                <w:rFonts w:asciiTheme="majorBidi" w:hAnsiTheme="majorBidi" w:cstheme="majorBidi"/>
              </w:rPr>
              <w:t>Dexametasona Vd</w:t>
            </w:r>
          </w:p>
        </w:tc>
        <w:tc>
          <w:tcPr>
            <w:tcW w:w="5311" w:type="dxa"/>
          </w:tcPr>
          <w:p w14:paraId="5E790C96" w14:textId="666A8DC6" w:rsidR="001460A3" w:rsidRDefault="001460A3" w:rsidP="00C11DAA">
            <w:pPr>
              <w:jc w:val="both"/>
              <w:rPr>
                <w:rFonts w:asciiTheme="majorBidi" w:hAnsiTheme="majorBidi" w:cstheme="majorBidi"/>
              </w:rPr>
            </w:pPr>
            <w:r>
              <w:rPr>
                <w:rFonts w:asciiTheme="majorBidi" w:hAnsiTheme="majorBidi" w:cstheme="majorBidi"/>
              </w:rPr>
              <w:t xml:space="preserve">Lenalidomida 25 mg oral 1 al 21; dexametasona 40 mg días 1,8,15,22) repetido cada 3 semanas, repetido cada 28 días. </w:t>
            </w:r>
          </w:p>
        </w:tc>
      </w:tr>
    </w:tbl>
    <w:p w14:paraId="33EEA2D2" w14:textId="59EEC2CE" w:rsidR="001460A3" w:rsidRDefault="001460A3" w:rsidP="00C11DAA">
      <w:pPr>
        <w:jc w:val="both"/>
        <w:rPr>
          <w:rFonts w:asciiTheme="majorBidi" w:hAnsiTheme="majorBidi" w:cstheme="majorBidi"/>
        </w:rPr>
      </w:pPr>
      <w:r>
        <w:rPr>
          <w:rFonts w:asciiTheme="majorBidi" w:hAnsiTheme="majorBidi" w:cstheme="majorBidi"/>
        </w:rPr>
        <w:t>Tabla 2. Esquemas de inducción de remisión en MM no elegibles a trasplante en primera línea.</w:t>
      </w:r>
    </w:p>
    <w:p w14:paraId="175F24A4" w14:textId="77777777" w:rsidR="001460A3" w:rsidRDefault="001460A3" w:rsidP="00C11DAA">
      <w:pPr>
        <w:jc w:val="both"/>
        <w:rPr>
          <w:rFonts w:asciiTheme="majorBidi" w:hAnsiTheme="majorBidi" w:cstheme="majorBidi"/>
        </w:rPr>
      </w:pPr>
    </w:p>
    <w:p w14:paraId="380D786D" w14:textId="77777777" w:rsidR="001460A3" w:rsidRDefault="001460A3" w:rsidP="00C11DAA">
      <w:pPr>
        <w:jc w:val="both"/>
        <w:rPr>
          <w:rFonts w:asciiTheme="majorBidi" w:hAnsiTheme="majorBidi" w:cstheme="majorBidi"/>
        </w:rPr>
      </w:pPr>
    </w:p>
    <w:p w14:paraId="32BBF5B7" w14:textId="5C4558BC" w:rsidR="00EA31C7" w:rsidRDefault="004E2216" w:rsidP="00C11DAA">
      <w:pPr>
        <w:spacing w:line="480" w:lineRule="auto"/>
        <w:jc w:val="both"/>
        <w:rPr>
          <w:rFonts w:asciiTheme="majorBidi" w:hAnsiTheme="majorBidi" w:cstheme="majorBidi"/>
        </w:rPr>
      </w:pPr>
      <w:r>
        <w:rPr>
          <w:rFonts w:asciiTheme="majorBidi" w:hAnsiTheme="majorBidi" w:cstheme="majorBidi"/>
        </w:rPr>
        <w:t>La FDA de los estados unidos ha dado</w:t>
      </w:r>
      <w:r w:rsidR="00EA31C7">
        <w:rPr>
          <w:rFonts w:asciiTheme="majorBidi" w:hAnsiTheme="majorBidi" w:cstheme="majorBidi"/>
        </w:rPr>
        <w:t xml:space="preserve"> aprobación para el uso de Daratumumab en primera línea en los pacie</w:t>
      </w:r>
      <w:r>
        <w:rPr>
          <w:rFonts w:asciiTheme="majorBidi" w:hAnsiTheme="majorBidi" w:cstheme="majorBidi"/>
        </w:rPr>
        <w:t>ntes no elegibles a tr</w:t>
      </w:r>
      <w:r w:rsidR="00B86654">
        <w:rPr>
          <w:rFonts w:asciiTheme="majorBidi" w:hAnsiTheme="majorBidi" w:cstheme="majorBidi"/>
        </w:rPr>
        <w:t>asplante. Lo anterior derivado del estudio ALCYIONE que es un estudio fase 3 donde se asignaron 706 pacientes de nuevo diagnóstico no elegibles a trasplante a recibir Bortezomib, melfalán y prednisona como lo hace el estudio VISTA solo y en el otro brazo lo mismo combinado con Daratumumab resultando en este último grupo en</w:t>
      </w:r>
      <w:r w:rsidR="009A47E9">
        <w:rPr>
          <w:rFonts w:asciiTheme="majorBidi" w:hAnsiTheme="majorBidi" w:cstheme="majorBidi"/>
        </w:rPr>
        <w:t xml:space="preserve"> mejores respuestas </w:t>
      </w:r>
      <w:r w:rsidR="00041647">
        <w:rPr>
          <w:rFonts w:asciiTheme="majorBidi" w:hAnsiTheme="majorBidi" w:cstheme="majorBidi"/>
        </w:rPr>
        <w:t>alcanzando 4</w:t>
      </w:r>
      <w:r w:rsidR="009A47E9">
        <w:rPr>
          <w:rFonts w:asciiTheme="majorBidi" w:hAnsiTheme="majorBidi" w:cstheme="majorBidi"/>
        </w:rPr>
        <w:t xml:space="preserve"> veces más frecuentemente la </w:t>
      </w:r>
      <w:r w:rsidR="00041647">
        <w:rPr>
          <w:rFonts w:asciiTheme="majorBidi" w:hAnsiTheme="majorBidi" w:cstheme="majorBidi"/>
        </w:rPr>
        <w:t>EMR, menor</w:t>
      </w:r>
      <w:r w:rsidR="00B86654">
        <w:rPr>
          <w:rFonts w:asciiTheme="majorBidi" w:hAnsiTheme="majorBidi" w:cstheme="majorBidi"/>
        </w:rPr>
        <w:t xml:space="preserve"> riesgo de progresión o muerte</w:t>
      </w:r>
      <w:r w:rsidR="00041647">
        <w:rPr>
          <w:rFonts w:asciiTheme="majorBidi" w:hAnsiTheme="majorBidi" w:cstheme="majorBidi"/>
        </w:rPr>
        <w:t xml:space="preserve">. Casi un tercio de los pacientes tuvieron reacciones infusionales y más infecciones grado 3 y 4. En Colombia no existe aún aprobación para este enfoque de tratamiento. </w:t>
      </w:r>
    </w:p>
    <w:p w14:paraId="3018C3D5" w14:textId="77777777" w:rsidR="00B86654" w:rsidRDefault="00B86654" w:rsidP="00C11DAA">
      <w:pPr>
        <w:spacing w:line="480" w:lineRule="auto"/>
        <w:jc w:val="both"/>
        <w:rPr>
          <w:rFonts w:asciiTheme="majorBidi" w:hAnsiTheme="majorBidi" w:cstheme="majorBidi"/>
        </w:rPr>
      </w:pPr>
    </w:p>
    <w:p w14:paraId="77D1C70F" w14:textId="5DCD0D1C" w:rsidR="001460A3" w:rsidRDefault="001460A3" w:rsidP="00C11DAA">
      <w:pPr>
        <w:spacing w:line="480" w:lineRule="auto"/>
        <w:jc w:val="both"/>
        <w:rPr>
          <w:rFonts w:asciiTheme="majorBidi" w:hAnsiTheme="majorBidi" w:cstheme="majorBidi"/>
        </w:rPr>
      </w:pPr>
      <w:r>
        <w:rPr>
          <w:rFonts w:asciiTheme="majorBidi" w:hAnsiTheme="majorBidi" w:cstheme="majorBidi"/>
        </w:rPr>
        <w:t xml:space="preserve">La terapia de mantenimiento se sugiere en la mayoría de </w:t>
      </w:r>
      <w:r w:rsidR="00C263C8">
        <w:rPr>
          <w:rFonts w:asciiTheme="majorBidi" w:hAnsiTheme="majorBidi" w:cstheme="majorBidi"/>
        </w:rPr>
        <w:t>pacientes,</w:t>
      </w:r>
      <w:r>
        <w:rPr>
          <w:rFonts w:asciiTheme="majorBidi" w:hAnsiTheme="majorBidi" w:cstheme="majorBidi"/>
        </w:rPr>
        <w:t xml:space="preserve"> aunque esto es motivo de controversia</w:t>
      </w:r>
      <w:r w:rsidR="00C263C8">
        <w:rPr>
          <w:rFonts w:asciiTheme="majorBidi" w:hAnsiTheme="majorBidi" w:cstheme="majorBidi"/>
        </w:rPr>
        <w:t>.</w:t>
      </w:r>
      <w:r>
        <w:rPr>
          <w:rFonts w:asciiTheme="majorBidi" w:hAnsiTheme="majorBidi" w:cstheme="majorBidi"/>
        </w:rPr>
        <w:t xml:space="preserve"> </w:t>
      </w:r>
      <w:r w:rsidR="00C263C8">
        <w:rPr>
          <w:rFonts w:asciiTheme="majorBidi" w:hAnsiTheme="majorBidi" w:cstheme="majorBidi"/>
        </w:rPr>
        <w:t xml:space="preserve">El tipo de mantenimiento depende del riesgo, las comorbilidades y el riesgo de segundas neoplasias. </w:t>
      </w:r>
    </w:p>
    <w:p w14:paraId="1E7CD832" w14:textId="77777777" w:rsidR="00477F72" w:rsidRDefault="00477F72" w:rsidP="00C11DAA">
      <w:pPr>
        <w:spacing w:line="480" w:lineRule="auto"/>
        <w:jc w:val="both"/>
        <w:rPr>
          <w:rFonts w:asciiTheme="majorBidi" w:hAnsiTheme="majorBidi" w:cstheme="majorBidi"/>
        </w:rPr>
      </w:pPr>
    </w:p>
    <w:p w14:paraId="3AE96039" w14:textId="56CB1904" w:rsidR="00C263C8" w:rsidRDefault="00C263C8" w:rsidP="00C11DAA">
      <w:pPr>
        <w:spacing w:line="480" w:lineRule="auto"/>
        <w:jc w:val="both"/>
        <w:rPr>
          <w:rFonts w:asciiTheme="majorBidi" w:hAnsiTheme="majorBidi" w:cstheme="majorBidi"/>
        </w:rPr>
      </w:pPr>
      <w:r>
        <w:rPr>
          <w:rFonts w:asciiTheme="majorBidi" w:hAnsiTheme="majorBidi" w:cstheme="majorBidi"/>
        </w:rPr>
        <w:lastRenderedPageBreak/>
        <w:t xml:space="preserve">En los pacientes de riesgo alto que han finalizado la terapia de inducción por 8 a 12 ciclos de terapia triple se sugiere mantenimiento con Bortezomib hasta la progresión. </w:t>
      </w:r>
    </w:p>
    <w:p w14:paraId="7641D667" w14:textId="367EB4A8" w:rsidR="00C263C8" w:rsidRDefault="00C263C8" w:rsidP="00C11DAA">
      <w:pPr>
        <w:spacing w:line="480" w:lineRule="auto"/>
        <w:jc w:val="both"/>
        <w:rPr>
          <w:rFonts w:asciiTheme="majorBidi" w:hAnsiTheme="majorBidi" w:cstheme="majorBidi"/>
        </w:rPr>
      </w:pPr>
      <w:r>
        <w:rPr>
          <w:rFonts w:asciiTheme="majorBidi" w:hAnsiTheme="majorBidi" w:cstheme="majorBidi"/>
        </w:rPr>
        <w:t xml:space="preserve">En los pacientes de riesgo estándar después de que han finalizado la inducción de igual forma por 8 a 12 ciclos de triple terapia se sugiere el uso de lenalidomida hasta la progresión si tienen bajo riesgo de segundas neoplasias. </w:t>
      </w:r>
    </w:p>
    <w:p w14:paraId="35E5573D" w14:textId="77777777" w:rsidR="00477F72" w:rsidRDefault="00477F72" w:rsidP="00C11DAA">
      <w:pPr>
        <w:spacing w:line="480" w:lineRule="auto"/>
        <w:jc w:val="both"/>
        <w:rPr>
          <w:rFonts w:asciiTheme="majorBidi" w:hAnsiTheme="majorBidi" w:cstheme="majorBidi"/>
        </w:rPr>
      </w:pPr>
    </w:p>
    <w:p w14:paraId="5F217589" w14:textId="21A6FD96" w:rsidR="00041647" w:rsidRDefault="00C263C8" w:rsidP="00C11DAA">
      <w:pPr>
        <w:spacing w:line="480" w:lineRule="auto"/>
        <w:jc w:val="both"/>
        <w:rPr>
          <w:rFonts w:asciiTheme="majorBidi" w:hAnsiTheme="majorBidi" w:cstheme="majorBidi"/>
        </w:rPr>
      </w:pPr>
      <w:r>
        <w:rPr>
          <w:rFonts w:asciiTheme="majorBidi" w:hAnsiTheme="majorBidi" w:cstheme="majorBidi"/>
        </w:rPr>
        <w:t xml:space="preserve">Para los pacientes frágiles que fueron a tratamiento con lenalidomida y bajas dosis de dexametasona (libre de quimioterapia) deben continuar con el mismo esquema hasta toxicidad o progresión. </w:t>
      </w:r>
    </w:p>
    <w:p w14:paraId="1E5B1DCA" w14:textId="77777777" w:rsidR="00041647" w:rsidRDefault="00041647" w:rsidP="00C11DAA">
      <w:pPr>
        <w:spacing w:line="480" w:lineRule="auto"/>
        <w:jc w:val="both"/>
        <w:rPr>
          <w:rFonts w:asciiTheme="majorBidi" w:hAnsiTheme="majorBidi" w:cstheme="majorBidi"/>
        </w:rPr>
      </w:pPr>
    </w:p>
    <w:p w14:paraId="20DDDAA9" w14:textId="318324C0" w:rsidR="00F67628" w:rsidRDefault="00F67628" w:rsidP="00C11DAA">
      <w:pPr>
        <w:spacing w:line="480" w:lineRule="auto"/>
        <w:jc w:val="both"/>
        <w:rPr>
          <w:rFonts w:asciiTheme="majorBidi" w:hAnsiTheme="majorBidi" w:cstheme="majorBidi"/>
        </w:rPr>
      </w:pPr>
      <w:r w:rsidRPr="00F67628">
        <w:rPr>
          <w:rFonts w:asciiTheme="majorBidi" w:hAnsiTheme="majorBidi" w:cstheme="majorBidi"/>
          <w:noProof/>
          <w:lang w:val="es-CO" w:eastAsia="es-CO"/>
        </w:rPr>
        <w:drawing>
          <wp:inline distT="0" distB="0" distL="0" distR="0" wp14:anchorId="0F25ACEC" wp14:editId="41D2CE22">
            <wp:extent cx="5396230" cy="40474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6230" cy="4047490"/>
                    </a:xfrm>
                    <a:prstGeom prst="rect">
                      <a:avLst/>
                    </a:prstGeom>
                  </pic:spPr>
                </pic:pic>
              </a:graphicData>
            </a:graphic>
          </wp:inline>
        </w:drawing>
      </w:r>
    </w:p>
    <w:p w14:paraId="53B50767" w14:textId="1C8063A4" w:rsidR="00B57CC3" w:rsidRDefault="00B57CC3" w:rsidP="00C11DAA">
      <w:pPr>
        <w:spacing w:line="480" w:lineRule="auto"/>
        <w:jc w:val="both"/>
        <w:rPr>
          <w:rFonts w:asciiTheme="majorBidi" w:hAnsiTheme="majorBidi" w:cstheme="majorBidi"/>
        </w:rPr>
      </w:pPr>
      <w:r>
        <w:rPr>
          <w:rFonts w:asciiTheme="majorBidi" w:hAnsiTheme="majorBidi" w:cstheme="majorBidi"/>
        </w:rPr>
        <w:t xml:space="preserve">Gráfico 2. </w:t>
      </w:r>
      <w:r w:rsidR="00F67628">
        <w:rPr>
          <w:rFonts w:asciiTheme="majorBidi" w:hAnsiTheme="majorBidi" w:cstheme="majorBidi"/>
        </w:rPr>
        <w:t xml:space="preserve">Esquema de tratamiento de primera línea </w:t>
      </w:r>
    </w:p>
    <w:p w14:paraId="195E51A5" w14:textId="77777777" w:rsidR="00041647" w:rsidRDefault="00041647" w:rsidP="00C11DAA">
      <w:pPr>
        <w:spacing w:line="480" w:lineRule="auto"/>
        <w:jc w:val="both"/>
        <w:rPr>
          <w:rFonts w:asciiTheme="majorBidi" w:hAnsiTheme="majorBidi" w:cstheme="majorBidi"/>
        </w:rPr>
      </w:pPr>
    </w:p>
    <w:p w14:paraId="526EF0E5" w14:textId="77777777" w:rsidR="00041647" w:rsidRDefault="00041647" w:rsidP="00C11DAA">
      <w:pPr>
        <w:spacing w:line="480" w:lineRule="auto"/>
        <w:jc w:val="both"/>
        <w:rPr>
          <w:rFonts w:asciiTheme="majorBidi" w:hAnsiTheme="majorBidi" w:cstheme="majorBidi"/>
        </w:rPr>
      </w:pPr>
    </w:p>
    <w:p w14:paraId="5B156280" w14:textId="287E9529" w:rsidR="00350BC6" w:rsidRPr="00C11DAA" w:rsidRDefault="00350BC6" w:rsidP="00C11DAA">
      <w:pPr>
        <w:spacing w:line="480" w:lineRule="auto"/>
        <w:jc w:val="both"/>
        <w:rPr>
          <w:rFonts w:asciiTheme="majorBidi" w:hAnsiTheme="majorBidi" w:cstheme="majorBidi"/>
          <w:b/>
        </w:rPr>
      </w:pPr>
      <w:r w:rsidRPr="00C11DAA">
        <w:rPr>
          <w:rFonts w:asciiTheme="majorBidi" w:hAnsiTheme="majorBidi" w:cstheme="majorBidi"/>
          <w:b/>
        </w:rPr>
        <w:lastRenderedPageBreak/>
        <w:t xml:space="preserve">Evaluación de la respuesta </w:t>
      </w:r>
    </w:p>
    <w:p w14:paraId="1410B529" w14:textId="77777777" w:rsidR="00B437DB" w:rsidRPr="00B437DB" w:rsidRDefault="00B437DB" w:rsidP="00C11DAA">
      <w:pPr>
        <w:spacing w:line="480" w:lineRule="auto"/>
        <w:jc w:val="both"/>
        <w:rPr>
          <w:rFonts w:asciiTheme="majorBidi" w:hAnsiTheme="majorBidi" w:cstheme="majorBidi"/>
        </w:rPr>
      </w:pPr>
    </w:p>
    <w:p w14:paraId="1B2D0570" w14:textId="711A1703" w:rsidR="00350BC6" w:rsidRDefault="00350BC6" w:rsidP="00C11DAA">
      <w:pPr>
        <w:spacing w:line="480" w:lineRule="auto"/>
        <w:jc w:val="both"/>
        <w:rPr>
          <w:rFonts w:asciiTheme="majorBidi" w:hAnsiTheme="majorBidi" w:cstheme="majorBidi"/>
        </w:rPr>
      </w:pPr>
      <w:r w:rsidRPr="00350BC6">
        <w:rPr>
          <w:rFonts w:asciiTheme="majorBidi" w:hAnsiTheme="majorBidi" w:cstheme="majorBidi"/>
        </w:rPr>
        <w:t xml:space="preserve">Los pacientes deben ser evaluados antes de iniciar cada ciclo de tratamiento </w:t>
      </w:r>
      <w:r>
        <w:rPr>
          <w:rFonts w:asciiTheme="majorBidi" w:hAnsiTheme="majorBidi" w:cstheme="majorBidi"/>
        </w:rPr>
        <w:t>para evaluar la respuesta a la terapia y las complicaciones derivadas.</w:t>
      </w:r>
    </w:p>
    <w:p w14:paraId="0AEF9335" w14:textId="51597FAA" w:rsidR="00153CAA" w:rsidRDefault="00153CAA" w:rsidP="00C11DAA">
      <w:pPr>
        <w:spacing w:line="480" w:lineRule="auto"/>
        <w:jc w:val="both"/>
        <w:rPr>
          <w:rFonts w:asciiTheme="majorBidi" w:hAnsiTheme="majorBidi" w:cstheme="majorBidi"/>
        </w:rPr>
      </w:pPr>
      <w:r>
        <w:rPr>
          <w:rFonts w:asciiTheme="majorBidi" w:hAnsiTheme="majorBidi" w:cstheme="majorBidi"/>
        </w:rPr>
        <w:t xml:space="preserve">La profundidad de la respuesta tiene valor pronóstico en MM. Los pacientes que alcanzan enfermedad mínima residual negativa tienen mejor supervivencia libre de progresión y supervivencia global. </w:t>
      </w:r>
    </w:p>
    <w:p w14:paraId="725C1333" w14:textId="6146AC06" w:rsidR="00153CAA" w:rsidRDefault="00153CAA" w:rsidP="00C11DAA">
      <w:pPr>
        <w:spacing w:line="480" w:lineRule="auto"/>
        <w:jc w:val="both"/>
        <w:rPr>
          <w:rFonts w:asciiTheme="majorBidi" w:hAnsiTheme="majorBidi" w:cstheme="majorBidi"/>
        </w:rPr>
      </w:pPr>
      <w:r>
        <w:rPr>
          <w:rFonts w:asciiTheme="majorBidi" w:hAnsiTheme="majorBidi" w:cstheme="majorBidi"/>
        </w:rPr>
        <w:t xml:space="preserve">La mayoría de pacientes van a recaer. Una nueva línea de terapia se indica cuando hay una recaída clínica o hay un aumento rápido en el componente monoclonal. </w:t>
      </w:r>
    </w:p>
    <w:p w14:paraId="77D601F3" w14:textId="0228EF28" w:rsidR="00506A01" w:rsidRDefault="001C5C4D" w:rsidP="00C11DAA">
      <w:pPr>
        <w:spacing w:line="480" w:lineRule="auto"/>
        <w:jc w:val="both"/>
        <w:rPr>
          <w:rFonts w:asciiTheme="majorBidi" w:hAnsiTheme="majorBidi" w:cstheme="majorBidi"/>
        </w:rPr>
      </w:pPr>
      <w:r>
        <w:rPr>
          <w:rFonts w:asciiTheme="majorBidi" w:hAnsiTheme="majorBidi" w:cstheme="majorBidi"/>
        </w:rPr>
        <w:t xml:space="preserve">El grupo internacional de trabajo en MM uniformó los criterios de respuesta los cuales son los preferidos y aceptados para determinar la mejor respuesta y determinar si una recaída ha ocurrido. </w:t>
      </w:r>
    </w:p>
    <w:p w14:paraId="4E3BA0CD" w14:textId="77777777" w:rsidR="001C5C4D" w:rsidRDefault="001C5C4D" w:rsidP="00C11DAA">
      <w:pPr>
        <w:spacing w:line="480" w:lineRule="auto"/>
        <w:jc w:val="both"/>
        <w:rPr>
          <w:rFonts w:asciiTheme="majorBidi" w:hAnsiTheme="majorBidi" w:cstheme="majorBidi"/>
        </w:rPr>
      </w:pPr>
    </w:p>
    <w:tbl>
      <w:tblPr>
        <w:tblStyle w:val="Tablaconcuadrcula"/>
        <w:tblW w:w="0" w:type="auto"/>
        <w:tblLook w:val="04A0" w:firstRow="1" w:lastRow="0" w:firstColumn="1" w:lastColumn="0" w:noHBand="0" w:noVBand="1"/>
      </w:tblPr>
      <w:tblGrid>
        <w:gridCol w:w="2943"/>
        <w:gridCol w:w="5695"/>
      </w:tblGrid>
      <w:tr w:rsidR="001C5C4D" w14:paraId="368D941E" w14:textId="77777777" w:rsidTr="00A94671">
        <w:tc>
          <w:tcPr>
            <w:tcW w:w="8638" w:type="dxa"/>
            <w:gridSpan w:val="2"/>
          </w:tcPr>
          <w:p w14:paraId="482E62B5" w14:textId="7094E061" w:rsidR="001C5C4D" w:rsidRDefault="001C5C4D" w:rsidP="00C11DAA">
            <w:pPr>
              <w:spacing w:line="480" w:lineRule="auto"/>
              <w:jc w:val="both"/>
              <w:rPr>
                <w:rFonts w:asciiTheme="majorBidi" w:hAnsiTheme="majorBidi" w:cstheme="majorBidi"/>
              </w:rPr>
            </w:pPr>
            <w:r>
              <w:rPr>
                <w:rFonts w:asciiTheme="majorBidi" w:hAnsiTheme="majorBidi" w:cstheme="majorBidi"/>
              </w:rPr>
              <w:t>Criterio de respuesta</w:t>
            </w:r>
          </w:p>
        </w:tc>
      </w:tr>
      <w:tr w:rsidR="001C5C4D" w14:paraId="5F9E0EFD" w14:textId="77777777" w:rsidTr="00A94671">
        <w:tc>
          <w:tcPr>
            <w:tcW w:w="8638" w:type="dxa"/>
            <w:gridSpan w:val="2"/>
          </w:tcPr>
          <w:p w14:paraId="4B498C74" w14:textId="6EC6335C" w:rsidR="001C5C4D" w:rsidRDefault="001C5C4D" w:rsidP="00C11DAA">
            <w:pPr>
              <w:spacing w:line="480" w:lineRule="auto"/>
              <w:jc w:val="both"/>
              <w:rPr>
                <w:rFonts w:asciiTheme="majorBidi" w:hAnsiTheme="majorBidi" w:cstheme="majorBidi"/>
              </w:rPr>
            </w:pPr>
            <w:r>
              <w:rPr>
                <w:rFonts w:asciiTheme="majorBidi" w:hAnsiTheme="majorBidi" w:cstheme="majorBidi"/>
              </w:rPr>
              <w:t>Criterios de Enfermedad mínima residual (requiere que se haya alcanzado respuesta completa)</w:t>
            </w:r>
          </w:p>
        </w:tc>
      </w:tr>
      <w:tr w:rsidR="001C5C4D" w14:paraId="331B332C" w14:textId="77777777" w:rsidTr="001C5C4D">
        <w:tc>
          <w:tcPr>
            <w:tcW w:w="2943" w:type="dxa"/>
          </w:tcPr>
          <w:p w14:paraId="4DB1D960" w14:textId="44AD5160" w:rsidR="001C5C4D" w:rsidRDefault="001C5C4D" w:rsidP="00C11DAA">
            <w:pPr>
              <w:spacing w:line="480" w:lineRule="auto"/>
              <w:jc w:val="both"/>
              <w:rPr>
                <w:rFonts w:asciiTheme="majorBidi" w:hAnsiTheme="majorBidi" w:cstheme="majorBidi"/>
              </w:rPr>
            </w:pPr>
            <w:r>
              <w:rPr>
                <w:rFonts w:asciiTheme="majorBidi" w:hAnsiTheme="majorBidi" w:cstheme="majorBidi"/>
              </w:rPr>
              <w:t xml:space="preserve">EMR negativa sostenida </w:t>
            </w:r>
          </w:p>
        </w:tc>
        <w:tc>
          <w:tcPr>
            <w:tcW w:w="5695" w:type="dxa"/>
          </w:tcPr>
          <w:p w14:paraId="3AED0D12" w14:textId="7A3AB8C3" w:rsidR="001C5C4D" w:rsidRDefault="00A14CEE" w:rsidP="00C11DAA">
            <w:pPr>
              <w:jc w:val="both"/>
              <w:rPr>
                <w:rFonts w:asciiTheme="majorBidi" w:hAnsiTheme="majorBidi" w:cstheme="majorBidi"/>
              </w:rPr>
            </w:pPr>
            <w:r>
              <w:rPr>
                <w:rFonts w:asciiTheme="majorBidi" w:hAnsiTheme="majorBidi" w:cstheme="majorBidi"/>
              </w:rPr>
              <w:t>La negatividad de EMR</w:t>
            </w:r>
            <w:r w:rsidRPr="00A14CEE">
              <w:rPr>
                <w:rFonts w:asciiTheme="majorBidi" w:hAnsiTheme="majorBidi" w:cstheme="majorBidi"/>
              </w:rPr>
              <w:t xml:space="preserve"> en la médula (NGF o NGS, o ambas) y mediante imágenes como se de</w:t>
            </w:r>
            <w:r>
              <w:rPr>
                <w:rFonts w:asciiTheme="majorBidi" w:hAnsiTheme="majorBidi" w:cstheme="majorBidi"/>
              </w:rPr>
              <w:t>fine a continuación, se confirma</w:t>
            </w:r>
            <w:r w:rsidRPr="00A14CEE">
              <w:rPr>
                <w:rFonts w:asciiTheme="majorBidi" w:hAnsiTheme="majorBidi" w:cstheme="majorBidi"/>
              </w:rPr>
              <w:t xml:space="preserve"> con un mínimo de 1 año de diferencia. Las evaluaciones subsiguientes se pueden usar para especificar más la duración de la negatividad (p</w:t>
            </w:r>
            <w:r>
              <w:rPr>
                <w:rFonts w:asciiTheme="majorBidi" w:hAnsiTheme="majorBidi" w:cstheme="majorBidi"/>
              </w:rPr>
              <w:t>or ejemplo, EMR</w:t>
            </w:r>
            <w:r w:rsidRPr="00A14CEE">
              <w:rPr>
                <w:rFonts w:asciiTheme="majorBidi" w:hAnsiTheme="majorBidi" w:cstheme="majorBidi"/>
              </w:rPr>
              <w:t xml:space="preserve"> negativo a los 5 años).</w:t>
            </w:r>
          </w:p>
        </w:tc>
      </w:tr>
      <w:tr w:rsidR="001C5C4D" w14:paraId="3D6C3D39" w14:textId="77777777" w:rsidTr="001C5C4D">
        <w:tc>
          <w:tcPr>
            <w:tcW w:w="2943" w:type="dxa"/>
          </w:tcPr>
          <w:p w14:paraId="3586EB56" w14:textId="17AE5AA5" w:rsidR="001C5C4D" w:rsidRDefault="001C5C4D" w:rsidP="00C11DAA">
            <w:pPr>
              <w:spacing w:line="480" w:lineRule="auto"/>
              <w:jc w:val="both"/>
              <w:rPr>
                <w:rFonts w:asciiTheme="majorBidi" w:hAnsiTheme="majorBidi" w:cstheme="majorBidi"/>
              </w:rPr>
            </w:pPr>
            <w:r>
              <w:rPr>
                <w:rFonts w:asciiTheme="majorBidi" w:hAnsiTheme="majorBidi" w:cstheme="majorBidi"/>
              </w:rPr>
              <w:t>EMR negativa por citometría</w:t>
            </w:r>
          </w:p>
        </w:tc>
        <w:tc>
          <w:tcPr>
            <w:tcW w:w="5695" w:type="dxa"/>
          </w:tcPr>
          <w:p w14:paraId="13FF1F9B" w14:textId="177497C6" w:rsidR="001C5C4D" w:rsidRDefault="00A14CEE" w:rsidP="00C11DAA">
            <w:pPr>
              <w:jc w:val="both"/>
              <w:rPr>
                <w:rFonts w:asciiTheme="majorBidi" w:hAnsiTheme="majorBidi" w:cstheme="majorBidi"/>
              </w:rPr>
            </w:pPr>
            <w:r w:rsidRPr="00A14CEE">
              <w:rPr>
                <w:rFonts w:asciiTheme="majorBidi" w:hAnsiTheme="majorBidi" w:cstheme="majorBidi"/>
              </w:rPr>
              <w:t xml:space="preserve">Ausencia de células </w:t>
            </w:r>
            <w:r>
              <w:rPr>
                <w:rFonts w:asciiTheme="majorBidi" w:hAnsiTheme="majorBidi" w:cstheme="majorBidi"/>
              </w:rPr>
              <w:t>plasmáticas</w:t>
            </w:r>
            <w:r w:rsidRPr="00A14CEE">
              <w:rPr>
                <w:rFonts w:asciiTheme="majorBidi" w:hAnsiTheme="majorBidi" w:cstheme="majorBidi"/>
              </w:rPr>
              <w:t xml:space="preserve"> </w:t>
            </w:r>
            <w:r w:rsidR="00A121B5" w:rsidRPr="00A14CEE">
              <w:rPr>
                <w:rFonts w:asciiTheme="majorBidi" w:hAnsiTheme="majorBidi" w:cstheme="majorBidi"/>
              </w:rPr>
              <w:t>clónales</w:t>
            </w:r>
            <w:r w:rsidRPr="00A14CEE">
              <w:rPr>
                <w:rFonts w:asciiTheme="majorBidi" w:hAnsiTheme="majorBidi" w:cstheme="majorBidi"/>
              </w:rPr>
              <w:t xml:space="preserve"> fen</w:t>
            </w:r>
            <w:r>
              <w:rPr>
                <w:rFonts w:asciiTheme="majorBidi" w:hAnsiTheme="majorBidi" w:cstheme="majorBidi"/>
              </w:rPr>
              <w:t>otípicamente aberrantes por NGF</w:t>
            </w:r>
            <w:r w:rsidRPr="00A14CEE">
              <w:rPr>
                <w:rFonts w:asciiTheme="majorBidi" w:hAnsiTheme="majorBidi" w:cstheme="majorBidi"/>
              </w:rPr>
              <w:t xml:space="preserve"> en aspirados de médula ósea utilizando el procedimiento de operación estándar E</w:t>
            </w:r>
            <w:r>
              <w:rPr>
                <w:rFonts w:asciiTheme="majorBidi" w:hAnsiTheme="majorBidi" w:cstheme="majorBidi"/>
              </w:rPr>
              <w:t>uroFlow para la detección de EMR</w:t>
            </w:r>
            <w:r w:rsidRPr="00A14CEE">
              <w:rPr>
                <w:rFonts w:asciiTheme="majorBidi" w:hAnsiTheme="majorBidi" w:cstheme="majorBidi"/>
              </w:rPr>
              <w:t xml:space="preserve"> en mieloma múltiple (o método equivalente validado) con una</w:t>
            </w:r>
            <w:r>
              <w:rPr>
                <w:rFonts w:asciiTheme="majorBidi" w:hAnsiTheme="majorBidi" w:cstheme="majorBidi"/>
              </w:rPr>
              <w:t xml:space="preserve"> sensibilidad mínima de 1 en 10ª5</w:t>
            </w:r>
            <w:r w:rsidRPr="00A14CEE">
              <w:rPr>
                <w:rFonts w:asciiTheme="majorBidi" w:hAnsiTheme="majorBidi" w:cstheme="majorBidi"/>
              </w:rPr>
              <w:t xml:space="preserve"> células nucleadas o más.</w:t>
            </w:r>
          </w:p>
        </w:tc>
      </w:tr>
      <w:tr w:rsidR="001C5C4D" w14:paraId="548E3942" w14:textId="77777777" w:rsidTr="001C5C4D">
        <w:tc>
          <w:tcPr>
            <w:tcW w:w="2943" w:type="dxa"/>
          </w:tcPr>
          <w:p w14:paraId="7C758B38" w14:textId="2E987C86" w:rsidR="001C5C4D" w:rsidRDefault="001C5C4D" w:rsidP="00C11DAA">
            <w:pPr>
              <w:jc w:val="both"/>
              <w:rPr>
                <w:rFonts w:asciiTheme="majorBidi" w:hAnsiTheme="majorBidi" w:cstheme="majorBidi"/>
              </w:rPr>
            </w:pPr>
            <w:r>
              <w:rPr>
                <w:rFonts w:asciiTheme="majorBidi" w:hAnsiTheme="majorBidi" w:cstheme="majorBidi"/>
              </w:rPr>
              <w:t>EMR negativa por secuenciación</w:t>
            </w:r>
          </w:p>
        </w:tc>
        <w:tc>
          <w:tcPr>
            <w:tcW w:w="5695" w:type="dxa"/>
          </w:tcPr>
          <w:p w14:paraId="446AE98A" w14:textId="6EEF553A" w:rsidR="001C5C4D" w:rsidRDefault="00A14CEE" w:rsidP="00C11DAA">
            <w:pPr>
              <w:jc w:val="both"/>
              <w:rPr>
                <w:rFonts w:asciiTheme="majorBidi" w:hAnsiTheme="majorBidi" w:cstheme="majorBidi"/>
              </w:rPr>
            </w:pPr>
            <w:r w:rsidRPr="00A14CEE">
              <w:rPr>
                <w:rFonts w:asciiTheme="majorBidi" w:hAnsiTheme="majorBidi" w:cstheme="majorBidi"/>
              </w:rPr>
              <w:t>Ausencia de célu</w:t>
            </w:r>
            <w:r>
              <w:rPr>
                <w:rFonts w:asciiTheme="majorBidi" w:hAnsiTheme="majorBidi" w:cstheme="majorBidi"/>
              </w:rPr>
              <w:t xml:space="preserve">las plasmáticas </w:t>
            </w:r>
            <w:r w:rsidR="00A121B5">
              <w:rPr>
                <w:rFonts w:asciiTheme="majorBidi" w:hAnsiTheme="majorBidi" w:cstheme="majorBidi"/>
              </w:rPr>
              <w:t>clónales</w:t>
            </w:r>
            <w:r>
              <w:rPr>
                <w:rFonts w:asciiTheme="majorBidi" w:hAnsiTheme="majorBidi" w:cstheme="majorBidi"/>
              </w:rPr>
              <w:t xml:space="preserve"> por secuenciación de nueva generación (NGF)</w:t>
            </w:r>
            <w:r w:rsidRPr="00A14CEE">
              <w:rPr>
                <w:rFonts w:asciiTheme="majorBidi" w:hAnsiTheme="majorBidi" w:cstheme="majorBidi"/>
              </w:rPr>
              <w:t xml:space="preserve"> en el aspirado de médula ósea en el que la presencia de un clon se define como menos de dos lecturas de secuenciación idénticas obtenidas después de la secuenciación del ADN de los aspirados de médula ósea utilizando la plataforma LymphoSIGHT (o método equivalente validado) con una</w:t>
            </w:r>
            <w:r>
              <w:rPr>
                <w:rFonts w:asciiTheme="majorBidi" w:hAnsiTheme="majorBidi" w:cstheme="majorBidi"/>
              </w:rPr>
              <w:t xml:space="preserve"> sensibilidad mínima de 1 En 10ª5 células nucleadas</w:t>
            </w:r>
            <w:r w:rsidRPr="00A14CEE">
              <w:rPr>
                <w:rFonts w:asciiTheme="majorBidi" w:hAnsiTheme="majorBidi" w:cstheme="majorBidi"/>
              </w:rPr>
              <w:t xml:space="preserve"> o superior.</w:t>
            </w:r>
          </w:p>
        </w:tc>
      </w:tr>
      <w:tr w:rsidR="001C5C4D" w14:paraId="6A3505CA" w14:textId="77777777" w:rsidTr="001C5C4D">
        <w:tc>
          <w:tcPr>
            <w:tcW w:w="2943" w:type="dxa"/>
          </w:tcPr>
          <w:p w14:paraId="6F3788EB" w14:textId="5EDEF0D1" w:rsidR="001C5C4D" w:rsidRDefault="001C5C4D" w:rsidP="00C11DAA">
            <w:pPr>
              <w:spacing w:line="480" w:lineRule="auto"/>
              <w:jc w:val="both"/>
              <w:rPr>
                <w:rFonts w:asciiTheme="majorBidi" w:hAnsiTheme="majorBidi" w:cstheme="majorBidi"/>
              </w:rPr>
            </w:pPr>
            <w:r>
              <w:rPr>
                <w:rFonts w:asciiTheme="majorBidi" w:hAnsiTheme="majorBidi" w:cstheme="majorBidi"/>
              </w:rPr>
              <w:t xml:space="preserve">EMR negativa con imágenes </w:t>
            </w:r>
          </w:p>
        </w:tc>
        <w:tc>
          <w:tcPr>
            <w:tcW w:w="5695" w:type="dxa"/>
          </w:tcPr>
          <w:p w14:paraId="408C8772" w14:textId="1D577DAE" w:rsidR="001C5C4D" w:rsidRDefault="00A14CEE" w:rsidP="00C11DAA">
            <w:pPr>
              <w:jc w:val="both"/>
              <w:rPr>
                <w:rFonts w:asciiTheme="majorBidi" w:hAnsiTheme="majorBidi" w:cstheme="majorBidi"/>
              </w:rPr>
            </w:pPr>
            <w:r>
              <w:rPr>
                <w:rFonts w:asciiTheme="majorBidi" w:hAnsiTheme="majorBidi" w:cstheme="majorBidi"/>
              </w:rPr>
              <w:t>Negatividad de EMR</w:t>
            </w:r>
            <w:r w:rsidRPr="00A14CEE">
              <w:rPr>
                <w:rFonts w:asciiTheme="majorBidi" w:hAnsiTheme="majorBidi" w:cstheme="majorBidi"/>
              </w:rPr>
              <w:t xml:space="preserve"> según lo definido por NGF o NGS más la desaparición de cada área de aumento de la captación del </w:t>
            </w:r>
            <w:r w:rsidRPr="00A14CEE">
              <w:rPr>
                <w:rFonts w:asciiTheme="majorBidi" w:hAnsiTheme="majorBidi" w:cstheme="majorBidi"/>
              </w:rPr>
              <w:lastRenderedPageBreak/>
              <w:t xml:space="preserve">marcador encontrada en la línea de base o una PET / TC precedente o disminución a menos del SUV </w:t>
            </w:r>
            <w:r>
              <w:rPr>
                <w:rFonts w:asciiTheme="majorBidi" w:hAnsiTheme="majorBidi" w:cstheme="majorBidi"/>
              </w:rPr>
              <w:t>mediastinal</w:t>
            </w:r>
            <w:r w:rsidRPr="00A14CEE">
              <w:rPr>
                <w:rFonts w:asciiTheme="majorBidi" w:hAnsiTheme="majorBidi" w:cstheme="majorBidi"/>
              </w:rPr>
              <w:t xml:space="preserve"> o disminución a menos que la del tejido normal circundante.</w:t>
            </w:r>
          </w:p>
        </w:tc>
      </w:tr>
    </w:tbl>
    <w:p w14:paraId="6815BE1D" w14:textId="75A61918" w:rsidR="00506A01" w:rsidRDefault="00A14CEE" w:rsidP="00C11DAA">
      <w:pPr>
        <w:spacing w:line="480" w:lineRule="auto"/>
        <w:jc w:val="both"/>
        <w:rPr>
          <w:rFonts w:asciiTheme="majorBidi" w:hAnsiTheme="majorBidi" w:cstheme="majorBidi"/>
        </w:rPr>
      </w:pPr>
      <w:r>
        <w:rPr>
          <w:rFonts w:asciiTheme="majorBidi" w:hAnsiTheme="majorBidi" w:cstheme="majorBidi"/>
        </w:rPr>
        <w:lastRenderedPageBreak/>
        <w:t>Tabla 3. Criterios de enfermedad mínima residual</w:t>
      </w:r>
    </w:p>
    <w:p w14:paraId="602E920E" w14:textId="77777777" w:rsidR="00A14CEE" w:rsidRDefault="00A14CEE" w:rsidP="00C11DAA">
      <w:pPr>
        <w:spacing w:line="480" w:lineRule="auto"/>
        <w:jc w:val="both"/>
        <w:rPr>
          <w:rFonts w:asciiTheme="majorBidi" w:hAnsiTheme="majorBidi" w:cstheme="majorBidi"/>
        </w:rPr>
      </w:pPr>
    </w:p>
    <w:tbl>
      <w:tblPr>
        <w:tblStyle w:val="Tablaconcuadrcula"/>
        <w:tblW w:w="0" w:type="auto"/>
        <w:tblLook w:val="04A0" w:firstRow="1" w:lastRow="0" w:firstColumn="1" w:lastColumn="0" w:noHBand="0" w:noVBand="1"/>
      </w:tblPr>
      <w:tblGrid>
        <w:gridCol w:w="2991"/>
        <w:gridCol w:w="5647"/>
      </w:tblGrid>
      <w:tr w:rsidR="00A14CEE" w14:paraId="36A4BCB5" w14:textId="77777777" w:rsidTr="00A94671">
        <w:tc>
          <w:tcPr>
            <w:tcW w:w="8638" w:type="dxa"/>
            <w:gridSpan w:val="2"/>
          </w:tcPr>
          <w:p w14:paraId="22CD3CDD" w14:textId="2C3BBA0E" w:rsidR="00A14CEE" w:rsidRDefault="00A14CEE" w:rsidP="00C11DAA">
            <w:pPr>
              <w:spacing w:line="480" w:lineRule="auto"/>
              <w:jc w:val="both"/>
              <w:rPr>
                <w:rFonts w:asciiTheme="majorBidi" w:hAnsiTheme="majorBidi" w:cstheme="majorBidi"/>
              </w:rPr>
            </w:pPr>
            <w:r>
              <w:rPr>
                <w:rFonts w:asciiTheme="majorBidi" w:hAnsiTheme="majorBidi" w:cstheme="majorBidi"/>
              </w:rPr>
              <w:t>Criterios de respuesta del IMWG estándar</w:t>
            </w:r>
          </w:p>
        </w:tc>
      </w:tr>
      <w:tr w:rsidR="00A14CEE" w14:paraId="007B0C28" w14:textId="77777777" w:rsidTr="00A14CEE">
        <w:tc>
          <w:tcPr>
            <w:tcW w:w="2991" w:type="dxa"/>
          </w:tcPr>
          <w:p w14:paraId="68E83E19" w14:textId="0A5D7784" w:rsidR="00A14CEE" w:rsidRDefault="00A14CEE" w:rsidP="00C11DAA">
            <w:pPr>
              <w:spacing w:line="480" w:lineRule="auto"/>
              <w:jc w:val="both"/>
              <w:rPr>
                <w:rFonts w:asciiTheme="majorBidi" w:hAnsiTheme="majorBidi" w:cstheme="majorBidi"/>
              </w:rPr>
            </w:pPr>
            <w:r>
              <w:rPr>
                <w:rFonts w:asciiTheme="majorBidi" w:hAnsiTheme="majorBidi" w:cstheme="majorBidi"/>
              </w:rPr>
              <w:t>Respuesta completa estricta</w:t>
            </w:r>
          </w:p>
        </w:tc>
        <w:tc>
          <w:tcPr>
            <w:tcW w:w="5647" w:type="dxa"/>
          </w:tcPr>
          <w:p w14:paraId="30A336D3" w14:textId="5FD84563" w:rsidR="00A14CEE" w:rsidRDefault="00F91085" w:rsidP="00C11DAA">
            <w:pPr>
              <w:jc w:val="both"/>
              <w:rPr>
                <w:rFonts w:asciiTheme="majorBidi" w:hAnsiTheme="majorBidi" w:cstheme="majorBidi"/>
              </w:rPr>
            </w:pPr>
            <w:r>
              <w:rPr>
                <w:rFonts w:asciiTheme="majorBidi" w:hAnsiTheme="majorBidi" w:cstheme="majorBidi"/>
              </w:rPr>
              <w:t xml:space="preserve">Respuesta completa más </w:t>
            </w:r>
            <w:r w:rsidR="00A121B5">
              <w:rPr>
                <w:rFonts w:asciiTheme="majorBidi" w:hAnsiTheme="majorBidi" w:cstheme="majorBidi"/>
              </w:rPr>
              <w:t>relación</w:t>
            </w:r>
            <w:r>
              <w:rPr>
                <w:rFonts w:asciiTheme="majorBidi" w:hAnsiTheme="majorBidi" w:cstheme="majorBidi"/>
              </w:rPr>
              <w:t xml:space="preserve"> de cadenas livianas normal y ausencia de células plasmáticas </w:t>
            </w:r>
            <w:r w:rsidR="00A121B5">
              <w:rPr>
                <w:rFonts w:asciiTheme="majorBidi" w:hAnsiTheme="majorBidi" w:cstheme="majorBidi"/>
              </w:rPr>
              <w:t>clónales</w:t>
            </w:r>
            <w:r>
              <w:rPr>
                <w:rFonts w:asciiTheme="majorBidi" w:hAnsiTheme="majorBidi" w:cstheme="majorBidi"/>
              </w:rPr>
              <w:t xml:space="preserve"> en la inmunohistoquímica de MO. </w:t>
            </w:r>
            <w:r w:rsidRPr="00F91085">
              <w:rPr>
                <w:rFonts w:asciiTheme="majorBidi" w:hAnsiTheme="majorBidi" w:cstheme="majorBidi"/>
              </w:rPr>
              <w:t>(relación κ / λ ≤4: 1 o ≥1: 2 para pacientes κ y λ, respectivamente, después de contar ≥100 células plasmáticas).</w:t>
            </w:r>
          </w:p>
        </w:tc>
      </w:tr>
      <w:tr w:rsidR="00A14CEE" w14:paraId="2CDDEB95" w14:textId="77777777" w:rsidTr="00A14CEE">
        <w:tc>
          <w:tcPr>
            <w:tcW w:w="2991" w:type="dxa"/>
          </w:tcPr>
          <w:p w14:paraId="0B8E034C" w14:textId="3EBEC0EB" w:rsidR="00A14CEE" w:rsidRDefault="00A14CEE" w:rsidP="00C11DAA">
            <w:pPr>
              <w:spacing w:line="480" w:lineRule="auto"/>
              <w:jc w:val="both"/>
              <w:rPr>
                <w:rFonts w:asciiTheme="majorBidi" w:hAnsiTheme="majorBidi" w:cstheme="majorBidi"/>
              </w:rPr>
            </w:pPr>
            <w:r>
              <w:rPr>
                <w:rFonts w:asciiTheme="majorBidi" w:hAnsiTheme="majorBidi" w:cstheme="majorBidi"/>
              </w:rPr>
              <w:t xml:space="preserve">Respuesta completa </w:t>
            </w:r>
          </w:p>
        </w:tc>
        <w:tc>
          <w:tcPr>
            <w:tcW w:w="5647" w:type="dxa"/>
          </w:tcPr>
          <w:p w14:paraId="622126E4" w14:textId="256DFD42" w:rsidR="00A14CEE" w:rsidRDefault="00006DD8" w:rsidP="00C11DAA">
            <w:pPr>
              <w:jc w:val="both"/>
              <w:rPr>
                <w:rFonts w:asciiTheme="majorBidi" w:hAnsiTheme="majorBidi" w:cstheme="majorBidi"/>
              </w:rPr>
            </w:pPr>
            <w:r w:rsidRPr="00006DD8">
              <w:rPr>
                <w:rFonts w:asciiTheme="majorBidi" w:hAnsiTheme="majorBidi" w:cstheme="majorBidi"/>
              </w:rPr>
              <w:t>Inmunofijación negativa en suero y orina y desaparición de plasmocitomas de tejidos blandos y &lt;5% de células plasmáticas en aspirado de médula ósea</w:t>
            </w:r>
            <w:r>
              <w:rPr>
                <w:rFonts w:asciiTheme="majorBidi" w:hAnsiTheme="majorBidi" w:cstheme="majorBidi"/>
              </w:rPr>
              <w:t>.</w:t>
            </w:r>
          </w:p>
        </w:tc>
      </w:tr>
      <w:tr w:rsidR="00A14CEE" w14:paraId="7B83E769" w14:textId="77777777" w:rsidTr="00A14CEE">
        <w:tc>
          <w:tcPr>
            <w:tcW w:w="2991" w:type="dxa"/>
          </w:tcPr>
          <w:p w14:paraId="58A380C1" w14:textId="06EAC84D" w:rsidR="00A14CEE" w:rsidRDefault="00A121B5" w:rsidP="00C11DAA">
            <w:pPr>
              <w:spacing w:line="480" w:lineRule="auto"/>
              <w:jc w:val="both"/>
              <w:rPr>
                <w:rFonts w:asciiTheme="majorBidi" w:hAnsiTheme="majorBidi" w:cstheme="majorBidi"/>
              </w:rPr>
            </w:pPr>
            <w:r>
              <w:rPr>
                <w:rFonts w:asciiTheme="majorBidi" w:hAnsiTheme="majorBidi" w:cstheme="majorBidi"/>
              </w:rPr>
              <w:t>Respuesta</w:t>
            </w:r>
            <w:r w:rsidR="00A14CEE">
              <w:rPr>
                <w:rFonts w:asciiTheme="majorBidi" w:hAnsiTheme="majorBidi" w:cstheme="majorBidi"/>
              </w:rPr>
              <w:t xml:space="preserve"> parcial muy buena</w:t>
            </w:r>
          </w:p>
        </w:tc>
        <w:tc>
          <w:tcPr>
            <w:tcW w:w="5647" w:type="dxa"/>
          </w:tcPr>
          <w:p w14:paraId="138F4CD9" w14:textId="1DBF51B7" w:rsidR="00A14CEE" w:rsidRDefault="00006DD8" w:rsidP="00C11DAA">
            <w:pPr>
              <w:jc w:val="both"/>
              <w:rPr>
                <w:rFonts w:asciiTheme="majorBidi" w:hAnsiTheme="majorBidi" w:cstheme="majorBidi"/>
              </w:rPr>
            </w:pPr>
            <w:r w:rsidRPr="00006DD8">
              <w:rPr>
                <w:rFonts w:asciiTheme="majorBidi" w:hAnsiTheme="majorBidi" w:cstheme="majorBidi"/>
              </w:rPr>
              <w:t>Proteína M en suero y orina detectable por inmunofijación pero no en electroforesis o en una reducción de ≥90% en proteína M en suero más nivel de proteína M en orina &lt;100 mg por 24 horas.</w:t>
            </w:r>
          </w:p>
        </w:tc>
      </w:tr>
      <w:tr w:rsidR="00A14CEE" w14:paraId="37C1DCB8" w14:textId="77777777" w:rsidTr="00A14CEE">
        <w:tc>
          <w:tcPr>
            <w:tcW w:w="2991" w:type="dxa"/>
          </w:tcPr>
          <w:p w14:paraId="0E51AB65" w14:textId="3B73A7AA" w:rsidR="00A14CEE" w:rsidRDefault="00A14CEE" w:rsidP="00C11DAA">
            <w:pPr>
              <w:spacing w:line="480" w:lineRule="auto"/>
              <w:jc w:val="both"/>
              <w:rPr>
                <w:rFonts w:asciiTheme="majorBidi" w:hAnsiTheme="majorBidi" w:cstheme="majorBidi"/>
              </w:rPr>
            </w:pPr>
            <w:r>
              <w:rPr>
                <w:rFonts w:asciiTheme="majorBidi" w:hAnsiTheme="majorBidi" w:cstheme="majorBidi"/>
              </w:rPr>
              <w:t>Respuesta parcial</w:t>
            </w:r>
          </w:p>
        </w:tc>
        <w:tc>
          <w:tcPr>
            <w:tcW w:w="5647" w:type="dxa"/>
          </w:tcPr>
          <w:p w14:paraId="6E290C18" w14:textId="280E1CA0" w:rsidR="00A14CEE" w:rsidRDefault="00FA2DCB" w:rsidP="00C11DAA">
            <w:pPr>
              <w:jc w:val="both"/>
              <w:rPr>
                <w:rFonts w:asciiTheme="majorBidi" w:hAnsiTheme="majorBidi" w:cstheme="majorBidi"/>
              </w:rPr>
            </w:pPr>
            <w:r w:rsidRPr="00FA2DCB">
              <w:rPr>
                <w:rFonts w:asciiTheme="majorBidi" w:hAnsiTheme="majorBidi" w:cstheme="majorBidi"/>
              </w:rPr>
              <w:t>≥50% de reducción de la proteína M en suero más reducción en la proteína M urinaria de 24 horas en ≥90% o &lt;200 mg por 24 horas. Si la proteína M en suero y orina no es medible, se requiere una disminución de ≥50% en la dif</w:t>
            </w:r>
            <w:r>
              <w:rPr>
                <w:rFonts w:asciiTheme="majorBidi" w:hAnsiTheme="majorBidi" w:cstheme="majorBidi"/>
              </w:rPr>
              <w:t>erencia entre los niveles de cadenas livianas libres involucrada y no involucrada</w:t>
            </w:r>
            <w:r w:rsidRPr="00FA2DCB">
              <w:rPr>
                <w:rFonts w:asciiTheme="majorBidi" w:hAnsiTheme="majorBidi" w:cstheme="majorBidi"/>
              </w:rPr>
              <w:t xml:space="preserve"> en lugar de los criterios de proteína M. Si el suero y la proteína M en orina no son medibles, y el análisis de luz sin suero tampoco es medible, se requiere una reducción de ≥50% en las células plasmáticas en lugar de la proteína M, siempre que el porcentaje de células plasmáticas basales sea ≥30%. Además de estos criterios, si están presentes al inicio del estudio, también se requiere una reducción de ≥50% en el tamaño de plasmocitomas de tejidos blandos.</w:t>
            </w:r>
          </w:p>
        </w:tc>
      </w:tr>
      <w:tr w:rsidR="00A14CEE" w14:paraId="398A32B7" w14:textId="77777777" w:rsidTr="00A14CEE">
        <w:tc>
          <w:tcPr>
            <w:tcW w:w="2991" w:type="dxa"/>
          </w:tcPr>
          <w:p w14:paraId="233D5D2E" w14:textId="7812E392" w:rsidR="00A14CEE" w:rsidRDefault="00A14CEE" w:rsidP="00C11DAA">
            <w:pPr>
              <w:spacing w:line="480" w:lineRule="auto"/>
              <w:jc w:val="both"/>
              <w:rPr>
                <w:rFonts w:asciiTheme="majorBidi" w:hAnsiTheme="majorBidi" w:cstheme="majorBidi"/>
              </w:rPr>
            </w:pPr>
            <w:r>
              <w:rPr>
                <w:rFonts w:asciiTheme="majorBidi" w:hAnsiTheme="majorBidi" w:cstheme="majorBidi"/>
              </w:rPr>
              <w:t xml:space="preserve">Respuesta </w:t>
            </w:r>
            <w:r w:rsidR="00A121B5">
              <w:rPr>
                <w:rFonts w:asciiTheme="majorBidi" w:hAnsiTheme="majorBidi" w:cstheme="majorBidi"/>
              </w:rPr>
              <w:t>mínima</w:t>
            </w:r>
          </w:p>
        </w:tc>
        <w:tc>
          <w:tcPr>
            <w:tcW w:w="5647" w:type="dxa"/>
          </w:tcPr>
          <w:p w14:paraId="042C7B7E" w14:textId="587102F8" w:rsidR="00A14CEE" w:rsidRDefault="00FA2DCB" w:rsidP="00C11DAA">
            <w:pPr>
              <w:jc w:val="both"/>
              <w:rPr>
                <w:rFonts w:asciiTheme="majorBidi" w:hAnsiTheme="majorBidi" w:cstheme="majorBidi"/>
              </w:rPr>
            </w:pPr>
            <w:r w:rsidRPr="00FA2DCB">
              <w:rPr>
                <w:rFonts w:asciiTheme="majorBidi" w:hAnsiTheme="majorBidi" w:cstheme="majorBidi"/>
                <w:lang w:val="es-ES_tradnl"/>
              </w:rPr>
              <w:t>≥25% pero ≤49% de reducción de la proteína M del suero y reducción de la proteína M de la orina durante 24 horas en un 50 a 89%. Además de los criterios mencionados anteriormente, si están presentes en la línea de base, también se requiere una reducción de ≥50% en el tamaño de los plasmocitomas de tejidos blandos.</w:t>
            </w:r>
          </w:p>
        </w:tc>
      </w:tr>
      <w:tr w:rsidR="00A14CEE" w14:paraId="38314167" w14:textId="77777777" w:rsidTr="00A14CEE">
        <w:tc>
          <w:tcPr>
            <w:tcW w:w="2991" w:type="dxa"/>
          </w:tcPr>
          <w:p w14:paraId="05C87B30" w14:textId="3A6F2E64" w:rsidR="00A14CEE" w:rsidRDefault="00A14CEE" w:rsidP="00C11DAA">
            <w:pPr>
              <w:spacing w:line="480" w:lineRule="auto"/>
              <w:jc w:val="both"/>
              <w:rPr>
                <w:rFonts w:asciiTheme="majorBidi" w:hAnsiTheme="majorBidi" w:cstheme="majorBidi"/>
              </w:rPr>
            </w:pPr>
            <w:r>
              <w:rPr>
                <w:rFonts w:asciiTheme="majorBidi" w:hAnsiTheme="majorBidi" w:cstheme="majorBidi"/>
              </w:rPr>
              <w:t>Enfermedad estable</w:t>
            </w:r>
          </w:p>
        </w:tc>
        <w:tc>
          <w:tcPr>
            <w:tcW w:w="5647" w:type="dxa"/>
          </w:tcPr>
          <w:p w14:paraId="772A98B5" w14:textId="0877F427" w:rsidR="00A14CEE" w:rsidRDefault="00FA2DCB" w:rsidP="00C11DAA">
            <w:pPr>
              <w:jc w:val="both"/>
              <w:rPr>
                <w:rFonts w:asciiTheme="majorBidi" w:hAnsiTheme="majorBidi" w:cstheme="majorBidi"/>
              </w:rPr>
            </w:pPr>
            <w:r w:rsidRPr="00FA2DCB">
              <w:rPr>
                <w:rFonts w:asciiTheme="majorBidi" w:hAnsiTheme="majorBidi" w:cstheme="majorBidi"/>
              </w:rPr>
              <w:t>No se recomienda su uso como indicador de respuesta; La estabilidad de la enfermedad se describe mejor al proporcionar las estimaciones del tiempo de progresión. No cumple los criterios de respuesta completa, respuesta parcial muy buena, respuesta parcial, respuesta mínima o enfermedad progresiva.</w:t>
            </w:r>
          </w:p>
        </w:tc>
      </w:tr>
      <w:tr w:rsidR="00A14CEE" w14:paraId="729CE222" w14:textId="77777777" w:rsidTr="00A14CEE">
        <w:tc>
          <w:tcPr>
            <w:tcW w:w="2991" w:type="dxa"/>
          </w:tcPr>
          <w:p w14:paraId="54A6EAC0" w14:textId="3666A652" w:rsidR="00A14CEE" w:rsidRDefault="00A14CEE" w:rsidP="00C11DAA">
            <w:pPr>
              <w:spacing w:line="480" w:lineRule="auto"/>
              <w:jc w:val="both"/>
              <w:rPr>
                <w:rFonts w:asciiTheme="majorBidi" w:hAnsiTheme="majorBidi" w:cstheme="majorBidi"/>
              </w:rPr>
            </w:pPr>
            <w:r>
              <w:rPr>
                <w:rFonts w:asciiTheme="majorBidi" w:hAnsiTheme="majorBidi" w:cstheme="majorBidi"/>
              </w:rPr>
              <w:t xml:space="preserve">Enfermedad progresiva </w:t>
            </w:r>
          </w:p>
        </w:tc>
        <w:tc>
          <w:tcPr>
            <w:tcW w:w="5647" w:type="dxa"/>
          </w:tcPr>
          <w:p w14:paraId="21000674" w14:textId="77777777" w:rsidR="00FA2DCB" w:rsidRPr="00FA2DCB" w:rsidRDefault="00FA2DCB" w:rsidP="00C11DAA">
            <w:pPr>
              <w:jc w:val="both"/>
              <w:rPr>
                <w:rFonts w:asciiTheme="majorBidi" w:hAnsiTheme="majorBidi" w:cstheme="majorBidi"/>
              </w:rPr>
            </w:pPr>
            <w:r w:rsidRPr="00FA2DCB">
              <w:rPr>
                <w:rFonts w:asciiTheme="majorBidi" w:hAnsiTheme="majorBidi" w:cstheme="majorBidi"/>
              </w:rPr>
              <w:t>Uno o más de los siguientes criterios:</w:t>
            </w:r>
          </w:p>
          <w:p w14:paraId="190445A4" w14:textId="77777777" w:rsidR="00FA2DCB" w:rsidRPr="00FA2DCB" w:rsidRDefault="00FA2DCB" w:rsidP="00C11DAA">
            <w:pPr>
              <w:jc w:val="both"/>
              <w:rPr>
                <w:rFonts w:asciiTheme="majorBidi" w:hAnsiTheme="majorBidi" w:cstheme="majorBidi"/>
              </w:rPr>
            </w:pPr>
            <w:r w:rsidRPr="00FA2DCB">
              <w:rPr>
                <w:rFonts w:asciiTheme="majorBidi" w:hAnsiTheme="majorBidi" w:cstheme="majorBidi"/>
              </w:rPr>
              <w:t>Aumento del 25% del valor de respuesta confirmado más bajo en uno o más de los siguientes criterios:</w:t>
            </w:r>
          </w:p>
          <w:p w14:paraId="245C732A" w14:textId="6D20A6A0" w:rsidR="00FA2DCB" w:rsidRPr="00FA2DCB" w:rsidRDefault="00FA2DCB" w:rsidP="00C11DAA">
            <w:pPr>
              <w:jc w:val="both"/>
              <w:rPr>
                <w:rFonts w:asciiTheme="majorBidi" w:hAnsiTheme="majorBidi" w:cstheme="majorBidi"/>
              </w:rPr>
            </w:pPr>
            <w:r w:rsidRPr="00FA2DCB">
              <w:rPr>
                <w:rFonts w:asciiTheme="majorBidi" w:hAnsiTheme="majorBidi" w:cstheme="majorBidi"/>
              </w:rPr>
              <w:t>Proteína M en suero (el aumento absoluto debe ser ≥0.5 g / dL);</w:t>
            </w:r>
            <w:r>
              <w:rPr>
                <w:rFonts w:asciiTheme="majorBidi" w:hAnsiTheme="majorBidi" w:cstheme="majorBidi"/>
              </w:rPr>
              <w:t xml:space="preserve"> </w:t>
            </w:r>
            <w:r w:rsidRPr="00FA2DCB">
              <w:rPr>
                <w:rFonts w:asciiTheme="majorBidi" w:hAnsiTheme="majorBidi" w:cstheme="majorBidi"/>
              </w:rPr>
              <w:t>Aumento de proteína M en suero ≥ 1 g / dL, si el componente M más bajo fue ≥5 g / dL;</w:t>
            </w:r>
            <w:r>
              <w:rPr>
                <w:rFonts w:asciiTheme="majorBidi" w:hAnsiTheme="majorBidi" w:cstheme="majorBidi"/>
              </w:rPr>
              <w:t xml:space="preserve"> </w:t>
            </w:r>
            <w:r w:rsidRPr="00FA2DCB">
              <w:rPr>
                <w:rFonts w:asciiTheme="majorBidi" w:hAnsiTheme="majorBidi" w:cstheme="majorBidi"/>
              </w:rPr>
              <w:t>Proteína M en orina (el aumento absoluto debe ser ≥200 mg / 24 horas);</w:t>
            </w:r>
          </w:p>
          <w:p w14:paraId="2288BBE4" w14:textId="1624DC92" w:rsidR="00A14CEE" w:rsidRDefault="00FA2DCB" w:rsidP="00C11DAA">
            <w:pPr>
              <w:jc w:val="both"/>
              <w:rPr>
                <w:rFonts w:asciiTheme="majorBidi" w:hAnsiTheme="majorBidi" w:cstheme="majorBidi"/>
              </w:rPr>
            </w:pPr>
            <w:r w:rsidRPr="00FA2DCB">
              <w:rPr>
                <w:rFonts w:asciiTheme="majorBidi" w:hAnsiTheme="majorBidi" w:cstheme="majorBidi"/>
              </w:rPr>
              <w:lastRenderedPageBreak/>
              <w:t>En pacientes sin niveles medibles de proteína M en suero y orina, la dif</w:t>
            </w:r>
            <w:r>
              <w:rPr>
                <w:rFonts w:asciiTheme="majorBidi" w:hAnsiTheme="majorBidi" w:cstheme="majorBidi"/>
              </w:rPr>
              <w:t>erencia entre los niveles de cadenas livianas libres involucrada y no involucrada</w:t>
            </w:r>
            <w:r w:rsidRPr="00FA2DCB">
              <w:rPr>
                <w:rFonts w:asciiTheme="majorBidi" w:hAnsiTheme="majorBidi" w:cstheme="majorBidi"/>
              </w:rPr>
              <w:t xml:space="preserve"> (el aumento absoluto debe ser&gt; 10 mg / dL);</w:t>
            </w:r>
            <w:r>
              <w:rPr>
                <w:rFonts w:asciiTheme="majorBidi" w:hAnsiTheme="majorBidi" w:cstheme="majorBidi"/>
              </w:rPr>
              <w:t xml:space="preserve"> </w:t>
            </w:r>
            <w:r w:rsidRPr="00FA2DCB">
              <w:rPr>
                <w:rFonts w:asciiTheme="majorBidi" w:hAnsiTheme="majorBidi" w:cstheme="majorBidi"/>
              </w:rPr>
              <w:t>En pacientes sin niveles medibles de proteína M en suero y orina y sin niveles de FLC implicados medibles, porcentaje de células plasmáticas de médula ósea independientemente del estado basal (el aumento absoluto debe ser ≥10%);</w:t>
            </w:r>
            <w:r>
              <w:rPr>
                <w:rFonts w:asciiTheme="majorBidi" w:hAnsiTheme="majorBidi" w:cstheme="majorBidi"/>
              </w:rPr>
              <w:t xml:space="preserve"> </w:t>
            </w:r>
            <w:r w:rsidRPr="00FA2DCB">
              <w:rPr>
                <w:rFonts w:asciiTheme="majorBidi" w:hAnsiTheme="majorBidi" w:cstheme="majorBidi"/>
              </w:rPr>
              <w:t>Aparición de una (s) nueva (s) lesión (es), aumento de ≥50% del nadir de&gt; 1 lesión, o aumento de ≥50% en el diámetro más largo de una lesión previa&gt; 1 cm en eje corto;</w:t>
            </w:r>
            <w:r>
              <w:rPr>
                <w:rFonts w:asciiTheme="majorBidi" w:hAnsiTheme="majorBidi" w:cstheme="majorBidi"/>
              </w:rPr>
              <w:t xml:space="preserve"> </w:t>
            </w:r>
            <w:r w:rsidRPr="00FA2DCB">
              <w:rPr>
                <w:rFonts w:asciiTheme="majorBidi" w:hAnsiTheme="majorBidi" w:cstheme="majorBidi"/>
              </w:rPr>
              <w:t>≥50% de aumento en las células plasmáticas circulantes (mínimo de 200 células por microL) si esta es la única medida de la enfermedad.</w:t>
            </w:r>
          </w:p>
        </w:tc>
      </w:tr>
      <w:tr w:rsidR="00A14CEE" w14:paraId="07CB467F" w14:textId="77777777" w:rsidTr="00A14CEE">
        <w:tc>
          <w:tcPr>
            <w:tcW w:w="2991" w:type="dxa"/>
          </w:tcPr>
          <w:p w14:paraId="079C170F" w14:textId="218A0304" w:rsidR="00A14CEE" w:rsidRDefault="00A14CEE" w:rsidP="00C11DAA">
            <w:pPr>
              <w:spacing w:line="480" w:lineRule="auto"/>
              <w:jc w:val="both"/>
              <w:rPr>
                <w:rFonts w:asciiTheme="majorBidi" w:hAnsiTheme="majorBidi" w:cstheme="majorBidi"/>
              </w:rPr>
            </w:pPr>
            <w:r>
              <w:rPr>
                <w:rFonts w:asciiTheme="majorBidi" w:hAnsiTheme="majorBidi" w:cstheme="majorBidi"/>
              </w:rPr>
              <w:lastRenderedPageBreak/>
              <w:t xml:space="preserve">Recaída clínica </w:t>
            </w:r>
          </w:p>
        </w:tc>
        <w:tc>
          <w:tcPr>
            <w:tcW w:w="5647" w:type="dxa"/>
          </w:tcPr>
          <w:p w14:paraId="4BAAC684" w14:textId="77777777" w:rsidR="00FA2DCB" w:rsidRPr="00FA2DCB" w:rsidRDefault="00FA2DCB" w:rsidP="00C11DAA">
            <w:pPr>
              <w:jc w:val="both"/>
              <w:rPr>
                <w:rFonts w:asciiTheme="majorBidi" w:hAnsiTheme="majorBidi" w:cstheme="majorBidi"/>
              </w:rPr>
            </w:pPr>
            <w:r w:rsidRPr="00FA2DCB">
              <w:rPr>
                <w:rFonts w:asciiTheme="majorBidi" w:hAnsiTheme="majorBidi" w:cstheme="majorBidi"/>
              </w:rPr>
              <w:t>La recaída clínica requiere uno o más de los siguientes criterios:</w:t>
            </w:r>
          </w:p>
          <w:p w14:paraId="718EA3F2" w14:textId="07B161B0" w:rsidR="00FA2DCB" w:rsidRPr="00FA2DCB" w:rsidRDefault="00FA2DCB" w:rsidP="00C11DAA">
            <w:pPr>
              <w:jc w:val="both"/>
              <w:rPr>
                <w:rFonts w:asciiTheme="majorBidi" w:hAnsiTheme="majorBidi" w:cstheme="majorBidi"/>
              </w:rPr>
            </w:pPr>
            <w:r w:rsidRPr="00FA2DCB">
              <w:rPr>
                <w:rFonts w:asciiTheme="majorBidi" w:hAnsiTheme="majorBidi" w:cstheme="majorBidi"/>
              </w:rPr>
              <w:t xml:space="preserve">Indicadores directos de aumento de la enfermedad y / o disfunción del órgano terminal (características de CRAB) relacionadas con el trastorno proliferativo de células plasmáticas </w:t>
            </w:r>
            <w:r w:rsidR="00A121B5" w:rsidRPr="00FA2DCB">
              <w:rPr>
                <w:rFonts w:asciiTheme="majorBidi" w:hAnsiTheme="majorBidi" w:cstheme="majorBidi"/>
              </w:rPr>
              <w:t>clónales</w:t>
            </w:r>
            <w:r w:rsidRPr="00FA2DCB">
              <w:rPr>
                <w:rFonts w:asciiTheme="majorBidi" w:hAnsiTheme="majorBidi" w:cstheme="majorBidi"/>
              </w:rPr>
              <w:t xml:space="preserve"> subyacentes. No se usa para calcular el tiempo hasta la progresión o la supervivencia libre de progresión, pero se enumera como algo que puede informarse opcionalmente o para su uso en la práctica clínica;</w:t>
            </w:r>
          </w:p>
          <w:p w14:paraId="0A2D52B9" w14:textId="52CF0E43" w:rsidR="00A14CEE" w:rsidRDefault="00FA2DCB" w:rsidP="00C11DAA">
            <w:pPr>
              <w:jc w:val="both"/>
              <w:rPr>
                <w:rFonts w:asciiTheme="majorBidi" w:hAnsiTheme="majorBidi" w:cstheme="majorBidi"/>
              </w:rPr>
            </w:pPr>
            <w:r w:rsidRPr="00FA2DCB">
              <w:rPr>
                <w:rFonts w:asciiTheme="majorBidi" w:hAnsiTheme="majorBidi" w:cstheme="majorBidi"/>
              </w:rPr>
              <w:t>Desarrollo de nuevos plasmocitomas de tejidos blandos o lesiones óseas (las fracturas osteoporóticas no constituyen progresión);</w:t>
            </w:r>
            <w:r>
              <w:rPr>
                <w:rFonts w:asciiTheme="majorBidi" w:hAnsiTheme="majorBidi" w:cstheme="majorBidi"/>
              </w:rPr>
              <w:t xml:space="preserve"> </w:t>
            </w:r>
            <w:r w:rsidRPr="00FA2DCB">
              <w:rPr>
                <w:rFonts w:asciiTheme="majorBidi" w:hAnsiTheme="majorBidi" w:cstheme="majorBidi"/>
              </w:rPr>
              <w:t>Aumento definitivo en el tamaño de los plasmacitomas existentes o lesiones óseas. Un aumento definido se define como un aumento del 50%</w:t>
            </w:r>
            <w:r>
              <w:rPr>
                <w:rFonts w:asciiTheme="majorBidi" w:hAnsiTheme="majorBidi" w:cstheme="majorBidi"/>
              </w:rPr>
              <w:t xml:space="preserve"> (y ≥ 1 cm) medido en serie </w:t>
            </w:r>
            <w:r w:rsidRPr="00FA2DCB">
              <w:rPr>
                <w:rFonts w:asciiTheme="majorBidi" w:hAnsiTheme="majorBidi" w:cstheme="majorBidi"/>
              </w:rPr>
              <w:t>de la lesión medible;</w:t>
            </w:r>
            <w:r>
              <w:rPr>
                <w:rFonts w:asciiTheme="majorBidi" w:hAnsiTheme="majorBidi" w:cstheme="majorBidi"/>
              </w:rPr>
              <w:t xml:space="preserve"> </w:t>
            </w:r>
            <w:r w:rsidRPr="00FA2DCB">
              <w:rPr>
                <w:rFonts w:asciiTheme="majorBidi" w:hAnsiTheme="majorBidi" w:cstheme="majorBidi"/>
              </w:rPr>
              <w:t>Hipercalcemia (&gt; 11 mg / dL);</w:t>
            </w:r>
            <w:r>
              <w:rPr>
                <w:rFonts w:asciiTheme="majorBidi" w:hAnsiTheme="majorBidi" w:cstheme="majorBidi"/>
              </w:rPr>
              <w:t xml:space="preserve"> </w:t>
            </w:r>
            <w:r w:rsidRPr="00FA2DCB">
              <w:rPr>
                <w:rFonts w:asciiTheme="majorBidi" w:hAnsiTheme="majorBidi" w:cstheme="majorBidi"/>
              </w:rPr>
              <w:t>Disminución de la hemoglobina de ≥2 g / dL no relacionada con la terapia u otras afecciones no relacionadas con el mieloma;</w:t>
            </w:r>
            <w:r>
              <w:rPr>
                <w:rFonts w:asciiTheme="majorBidi" w:hAnsiTheme="majorBidi" w:cstheme="majorBidi"/>
              </w:rPr>
              <w:t xml:space="preserve"> </w:t>
            </w:r>
            <w:r w:rsidRPr="00FA2DCB">
              <w:rPr>
                <w:rFonts w:asciiTheme="majorBidi" w:hAnsiTheme="majorBidi" w:cstheme="majorBidi"/>
              </w:rPr>
              <w:t>Aumento de la creatinina sérica en 2 mg / dL o más desde el inicio de la terapia y atribuible al mieloma;</w:t>
            </w:r>
            <w:r>
              <w:rPr>
                <w:rFonts w:asciiTheme="majorBidi" w:hAnsiTheme="majorBidi" w:cstheme="majorBidi"/>
              </w:rPr>
              <w:t xml:space="preserve"> </w:t>
            </w:r>
            <w:r w:rsidRPr="00FA2DCB">
              <w:rPr>
                <w:rFonts w:asciiTheme="majorBidi" w:hAnsiTheme="majorBidi" w:cstheme="majorBidi"/>
              </w:rPr>
              <w:t>Hiperviscosidad relacionada con la paraproteína sérica.</w:t>
            </w:r>
          </w:p>
        </w:tc>
      </w:tr>
      <w:tr w:rsidR="00A14CEE" w14:paraId="3E011FCD" w14:textId="77777777" w:rsidTr="00A14CEE">
        <w:tc>
          <w:tcPr>
            <w:tcW w:w="2991" w:type="dxa"/>
          </w:tcPr>
          <w:p w14:paraId="1C5C2DF6" w14:textId="5FA1B666" w:rsidR="00A14CEE" w:rsidRDefault="00A14CEE" w:rsidP="00C11DAA">
            <w:pPr>
              <w:jc w:val="both"/>
              <w:rPr>
                <w:rFonts w:asciiTheme="majorBidi" w:hAnsiTheme="majorBidi" w:cstheme="majorBidi"/>
              </w:rPr>
            </w:pPr>
            <w:r>
              <w:rPr>
                <w:rFonts w:asciiTheme="majorBidi" w:hAnsiTheme="majorBidi" w:cstheme="majorBidi"/>
              </w:rPr>
              <w:t xml:space="preserve">Recaída desde la respuesta completa </w:t>
            </w:r>
          </w:p>
        </w:tc>
        <w:tc>
          <w:tcPr>
            <w:tcW w:w="5647" w:type="dxa"/>
          </w:tcPr>
          <w:p w14:paraId="5EA10D35" w14:textId="77777777" w:rsidR="00FA2DCB" w:rsidRPr="00FA2DCB" w:rsidRDefault="00FA2DCB" w:rsidP="00C11DAA">
            <w:pPr>
              <w:jc w:val="both"/>
              <w:rPr>
                <w:rFonts w:asciiTheme="majorBidi" w:hAnsiTheme="majorBidi" w:cstheme="majorBidi"/>
              </w:rPr>
            </w:pPr>
            <w:r w:rsidRPr="00FA2DCB">
              <w:rPr>
                <w:rFonts w:asciiTheme="majorBidi" w:hAnsiTheme="majorBidi" w:cstheme="majorBidi"/>
              </w:rPr>
              <w:t>Uno o más de los siguientes criterios:</w:t>
            </w:r>
          </w:p>
          <w:p w14:paraId="6384824B" w14:textId="77777777" w:rsidR="00FA2DCB" w:rsidRPr="00FA2DCB" w:rsidRDefault="00FA2DCB" w:rsidP="00C11DAA">
            <w:pPr>
              <w:jc w:val="both"/>
              <w:rPr>
                <w:rFonts w:asciiTheme="majorBidi" w:hAnsiTheme="majorBidi" w:cstheme="majorBidi"/>
              </w:rPr>
            </w:pPr>
            <w:r w:rsidRPr="00FA2DCB">
              <w:rPr>
                <w:rFonts w:asciiTheme="majorBidi" w:hAnsiTheme="majorBidi" w:cstheme="majorBidi"/>
              </w:rPr>
              <w:t>Reaparición de la proteína M en suero o orina mediante inmunofijación o electroforesis;</w:t>
            </w:r>
          </w:p>
          <w:p w14:paraId="6D87617E" w14:textId="77777777" w:rsidR="00FA2DCB" w:rsidRPr="00FA2DCB" w:rsidRDefault="00FA2DCB" w:rsidP="00C11DAA">
            <w:pPr>
              <w:jc w:val="both"/>
              <w:rPr>
                <w:rFonts w:asciiTheme="majorBidi" w:hAnsiTheme="majorBidi" w:cstheme="majorBidi"/>
              </w:rPr>
            </w:pPr>
            <w:r w:rsidRPr="00FA2DCB">
              <w:rPr>
                <w:rFonts w:asciiTheme="majorBidi" w:hAnsiTheme="majorBidi" w:cstheme="majorBidi"/>
              </w:rPr>
              <w:t>Desarrollo de ≥5% de células plasmáticas en la médula ósea;</w:t>
            </w:r>
          </w:p>
          <w:p w14:paraId="175BF635" w14:textId="7DB40E57" w:rsidR="00A14CEE" w:rsidRDefault="00FA2DCB" w:rsidP="00C11DAA">
            <w:pPr>
              <w:jc w:val="both"/>
              <w:rPr>
                <w:rFonts w:asciiTheme="majorBidi" w:hAnsiTheme="majorBidi" w:cstheme="majorBidi"/>
              </w:rPr>
            </w:pPr>
            <w:r w:rsidRPr="00FA2DCB">
              <w:rPr>
                <w:rFonts w:asciiTheme="majorBidi" w:hAnsiTheme="majorBidi" w:cstheme="majorBidi"/>
              </w:rPr>
              <w:t>Aparición de cualquier otro signo de progresión (es decir, nuevo plasmacitoma, lesión ósea lítica o hipercalcemia)</w:t>
            </w:r>
          </w:p>
        </w:tc>
      </w:tr>
      <w:tr w:rsidR="00A14CEE" w14:paraId="5A1EEFED" w14:textId="77777777" w:rsidTr="00A14CEE">
        <w:tc>
          <w:tcPr>
            <w:tcW w:w="2991" w:type="dxa"/>
          </w:tcPr>
          <w:p w14:paraId="4C2DDF6D" w14:textId="3AFD43FA" w:rsidR="00A14CEE" w:rsidRDefault="00A14CEE" w:rsidP="00C11DAA">
            <w:pPr>
              <w:jc w:val="both"/>
              <w:rPr>
                <w:rFonts w:asciiTheme="majorBidi" w:hAnsiTheme="majorBidi" w:cstheme="majorBidi"/>
              </w:rPr>
            </w:pPr>
            <w:r>
              <w:rPr>
                <w:rFonts w:asciiTheme="majorBidi" w:hAnsiTheme="majorBidi" w:cstheme="majorBidi"/>
              </w:rPr>
              <w:t xml:space="preserve">Recaída desde la EMR negativa (para ser usada solo si el </w:t>
            </w:r>
            <w:r w:rsidR="00A121B5">
              <w:rPr>
                <w:rFonts w:asciiTheme="majorBidi" w:hAnsiTheme="majorBidi" w:cstheme="majorBidi"/>
              </w:rPr>
              <w:t>desenlace</w:t>
            </w:r>
            <w:r>
              <w:rPr>
                <w:rFonts w:asciiTheme="majorBidi" w:hAnsiTheme="majorBidi" w:cstheme="majorBidi"/>
              </w:rPr>
              <w:t xml:space="preserve"> es supervivencia libre de enfermedad)</w:t>
            </w:r>
          </w:p>
        </w:tc>
        <w:tc>
          <w:tcPr>
            <w:tcW w:w="5647" w:type="dxa"/>
          </w:tcPr>
          <w:p w14:paraId="5299A4B0" w14:textId="77777777" w:rsidR="00FA2DCB" w:rsidRPr="00FA2DCB" w:rsidRDefault="00FA2DCB" w:rsidP="00C11DAA">
            <w:pPr>
              <w:jc w:val="both"/>
              <w:rPr>
                <w:rFonts w:asciiTheme="majorBidi" w:hAnsiTheme="majorBidi" w:cstheme="majorBidi"/>
              </w:rPr>
            </w:pPr>
            <w:r w:rsidRPr="00FA2DCB">
              <w:rPr>
                <w:rFonts w:asciiTheme="majorBidi" w:hAnsiTheme="majorBidi" w:cstheme="majorBidi"/>
              </w:rPr>
              <w:t>Uno o más de los siguientes criterios:</w:t>
            </w:r>
          </w:p>
          <w:p w14:paraId="16E13E47" w14:textId="3159C509" w:rsidR="00A14CEE" w:rsidRDefault="00FA2DCB" w:rsidP="00C11DAA">
            <w:pPr>
              <w:jc w:val="both"/>
              <w:rPr>
                <w:rFonts w:asciiTheme="majorBidi" w:hAnsiTheme="majorBidi" w:cstheme="majorBidi"/>
              </w:rPr>
            </w:pPr>
            <w:r w:rsidRPr="00FA2DCB">
              <w:rPr>
                <w:rFonts w:asciiTheme="majorBidi" w:hAnsiTheme="majorBidi" w:cstheme="majorBidi"/>
              </w:rPr>
              <w:t>Pérdida del e</w:t>
            </w:r>
            <w:r>
              <w:rPr>
                <w:rFonts w:asciiTheme="majorBidi" w:hAnsiTheme="majorBidi" w:cstheme="majorBidi"/>
              </w:rPr>
              <w:t>stado negativo de EMR</w:t>
            </w:r>
            <w:r w:rsidRPr="00FA2DCB">
              <w:rPr>
                <w:rFonts w:asciiTheme="majorBidi" w:hAnsiTheme="majorBidi" w:cstheme="majorBidi"/>
              </w:rPr>
              <w:t xml:space="preserve"> (evidencia de células plasmáticas clonales en NGF o NGS, o estudio de imagen positivo para la recurrencia de mieloma);</w:t>
            </w:r>
            <w:r>
              <w:rPr>
                <w:rFonts w:asciiTheme="majorBidi" w:hAnsiTheme="majorBidi" w:cstheme="majorBidi"/>
              </w:rPr>
              <w:t xml:space="preserve"> </w:t>
            </w:r>
            <w:r w:rsidRPr="00FA2DCB">
              <w:rPr>
                <w:rFonts w:asciiTheme="majorBidi" w:hAnsiTheme="majorBidi" w:cstheme="majorBidi"/>
              </w:rPr>
              <w:t>Reaparición de la proteína M en suero o orina mediante inmunofijación o electroforesis;</w:t>
            </w:r>
            <w:r>
              <w:rPr>
                <w:rFonts w:asciiTheme="majorBidi" w:hAnsiTheme="majorBidi" w:cstheme="majorBidi"/>
              </w:rPr>
              <w:t xml:space="preserve"> </w:t>
            </w:r>
            <w:r w:rsidRPr="00FA2DCB">
              <w:rPr>
                <w:rFonts w:asciiTheme="majorBidi" w:hAnsiTheme="majorBidi" w:cstheme="majorBidi"/>
              </w:rPr>
              <w:t>Desarrollo de ≥5% de células plasmáticas clonales en la médula ósea;</w:t>
            </w:r>
            <w:r>
              <w:rPr>
                <w:rFonts w:asciiTheme="majorBidi" w:hAnsiTheme="majorBidi" w:cstheme="majorBidi"/>
              </w:rPr>
              <w:t xml:space="preserve"> </w:t>
            </w:r>
            <w:r w:rsidRPr="00FA2DCB">
              <w:rPr>
                <w:rFonts w:asciiTheme="majorBidi" w:hAnsiTheme="majorBidi" w:cstheme="majorBidi"/>
              </w:rPr>
              <w:t>Aparición de cualquier otro signo de progresión (es decir, nuevo plasmacitoma, lesión ósea lítica o hipercalcemia).</w:t>
            </w:r>
          </w:p>
        </w:tc>
      </w:tr>
    </w:tbl>
    <w:p w14:paraId="001DB126" w14:textId="372A16EC" w:rsidR="00A14CEE" w:rsidRPr="00350BC6" w:rsidRDefault="00FA2DCB" w:rsidP="00C11DAA">
      <w:pPr>
        <w:jc w:val="both"/>
        <w:rPr>
          <w:rFonts w:asciiTheme="majorBidi" w:hAnsiTheme="majorBidi" w:cstheme="majorBidi"/>
        </w:rPr>
      </w:pPr>
      <w:r>
        <w:rPr>
          <w:rFonts w:asciiTheme="majorBidi" w:hAnsiTheme="majorBidi" w:cstheme="majorBidi"/>
        </w:rPr>
        <w:t xml:space="preserve">Tabla 4. Criterios de respuesta estándar del grupo internacional de trabajo en mieloma IMWG. </w:t>
      </w:r>
    </w:p>
    <w:p w14:paraId="29364E5D" w14:textId="77777777" w:rsidR="00350BC6" w:rsidRDefault="00350BC6" w:rsidP="00C11DAA">
      <w:pPr>
        <w:spacing w:line="480" w:lineRule="auto"/>
        <w:jc w:val="both"/>
        <w:rPr>
          <w:rFonts w:asciiTheme="majorBidi" w:hAnsiTheme="majorBidi" w:cstheme="majorBidi"/>
          <w:b/>
          <w:bCs/>
        </w:rPr>
      </w:pPr>
    </w:p>
    <w:p w14:paraId="76B0B856" w14:textId="02DFA172" w:rsidR="00F4195D" w:rsidRDefault="00FA2DCB" w:rsidP="00C11DAA">
      <w:pPr>
        <w:spacing w:line="480" w:lineRule="auto"/>
        <w:jc w:val="both"/>
        <w:rPr>
          <w:rFonts w:asciiTheme="majorBidi" w:hAnsiTheme="majorBidi" w:cstheme="majorBidi"/>
        </w:rPr>
      </w:pPr>
      <w:r w:rsidRPr="00FA2DCB">
        <w:rPr>
          <w:rFonts w:asciiTheme="majorBidi" w:hAnsiTheme="majorBidi" w:cstheme="majorBidi"/>
        </w:rPr>
        <w:lastRenderedPageBreak/>
        <w:t xml:space="preserve">Además de lo anterior </w:t>
      </w:r>
      <w:r>
        <w:rPr>
          <w:rFonts w:asciiTheme="majorBidi" w:hAnsiTheme="majorBidi" w:cstheme="majorBidi"/>
        </w:rPr>
        <w:t>se definen tres categorías para definir a los pacientes con refractariedad o recaíd</w:t>
      </w:r>
      <w:r w:rsidR="00F4195D">
        <w:rPr>
          <w:rFonts w:asciiTheme="majorBidi" w:hAnsiTheme="majorBidi" w:cstheme="majorBidi"/>
        </w:rPr>
        <w:t>a</w:t>
      </w:r>
      <w:r w:rsidR="00166042">
        <w:rPr>
          <w:rFonts w:asciiTheme="majorBidi" w:hAnsiTheme="majorBidi" w:cstheme="majorBidi"/>
        </w:rPr>
        <w:t xml:space="preserve"> con respecto a alcanzar la respuesta mínima</w:t>
      </w:r>
      <w:r w:rsidR="00F4195D">
        <w:rPr>
          <w:rFonts w:asciiTheme="majorBidi" w:hAnsiTheme="majorBidi" w:cstheme="majorBidi"/>
        </w:rPr>
        <w:t xml:space="preserve"> al tratamiento los cuales son: </w:t>
      </w:r>
    </w:p>
    <w:p w14:paraId="5D212ADB" w14:textId="763A4105" w:rsidR="00F4195D" w:rsidRDefault="00F4195D" w:rsidP="00C11DAA">
      <w:pPr>
        <w:pStyle w:val="Prrafodelista"/>
        <w:numPr>
          <w:ilvl w:val="0"/>
          <w:numId w:val="27"/>
        </w:numPr>
        <w:spacing w:line="480" w:lineRule="auto"/>
        <w:jc w:val="both"/>
        <w:rPr>
          <w:rFonts w:asciiTheme="majorBidi" w:hAnsiTheme="majorBidi" w:cstheme="majorBidi"/>
        </w:rPr>
      </w:pPr>
      <w:r>
        <w:rPr>
          <w:rFonts w:asciiTheme="majorBidi" w:hAnsiTheme="majorBidi" w:cstheme="majorBidi"/>
        </w:rPr>
        <w:t>MM refractario primario</w:t>
      </w:r>
      <w:r w:rsidR="004B0C22">
        <w:rPr>
          <w:rFonts w:asciiTheme="majorBidi" w:hAnsiTheme="majorBidi" w:cstheme="majorBidi"/>
        </w:rPr>
        <w:t xml:space="preserve">: Definido como una enfermedad que no responde en paciente que nunca alcanzó respuesta mínima o mejor con cualquier terapia. </w:t>
      </w:r>
      <w:r w:rsidR="00166042">
        <w:rPr>
          <w:rFonts w:asciiTheme="majorBidi" w:hAnsiTheme="majorBidi" w:cstheme="majorBidi"/>
        </w:rPr>
        <w:t xml:space="preserve">Debe especificarse no respondedor no progresivo y progresivo. </w:t>
      </w:r>
    </w:p>
    <w:p w14:paraId="365EF24D" w14:textId="0FAB6877" w:rsidR="00F4195D" w:rsidRDefault="00166042" w:rsidP="00C11DAA">
      <w:pPr>
        <w:pStyle w:val="Prrafodelista"/>
        <w:numPr>
          <w:ilvl w:val="0"/>
          <w:numId w:val="27"/>
        </w:numPr>
        <w:spacing w:line="480" w:lineRule="auto"/>
        <w:jc w:val="both"/>
        <w:rPr>
          <w:rFonts w:asciiTheme="majorBidi" w:hAnsiTheme="majorBidi" w:cstheme="majorBidi"/>
        </w:rPr>
      </w:pPr>
      <w:r>
        <w:rPr>
          <w:rFonts w:asciiTheme="majorBidi" w:hAnsiTheme="majorBidi" w:cstheme="majorBidi"/>
        </w:rPr>
        <w:t xml:space="preserve">MM recaído y refractario: Definido como la enfermedad que no responde en terapia de rescate o progresa dentro de los 60 días de la última </w:t>
      </w:r>
      <w:r w:rsidR="007833C0">
        <w:rPr>
          <w:rFonts w:asciiTheme="majorBidi" w:hAnsiTheme="majorBidi" w:cstheme="majorBidi"/>
        </w:rPr>
        <w:t>terapia en</w:t>
      </w:r>
      <w:r>
        <w:rPr>
          <w:rFonts w:asciiTheme="majorBidi" w:hAnsiTheme="majorBidi" w:cstheme="majorBidi"/>
        </w:rPr>
        <w:t xml:space="preserve"> pacientes que alcanzaron la respuesta mínima o mejor antes de progresar</w:t>
      </w:r>
    </w:p>
    <w:p w14:paraId="1EED5EDC" w14:textId="3A3EE13E" w:rsidR="00F4195D" w:rsidRPr="00F4195D" w:rsidRDefault="00F4195D" w:rsidP="00C11DAA">
      <w:pPr>
        <w:pStyle w:val="Prrafodelista"/>
        <w:numPr>
          <w:ilvl w:val="0"/>
          <w:numId w:val="27"/>
        </w:numPr>
        <w:spacing w:line="480" w:lineRule="auto"/>
        <w:jc w:val="both"/>
        <w:rPr>
          <w:rFonts w:asciiTheme="majorBidi" w:hAnsiTheme="majorBidi" w:cstheme="majorBidi"/>
        </w:rPr>
      </w:pPr>
      <w:r>
        <w:rPr>
          <w:rFonts w:asciiTheme="majorBidi" w:hAnsiTheme="majorBidi" w:cstheme="majorBidi"/>
        </w:rPr>
        <w:t>MM recaí</w:t>
      </w:r>
      <w:r w:rsidR="00166042">
        <w:rPr>
          <w:rFonts w:asciiTheme="majorBidi" w:hAnsiTheme="majorBidi" w:cstheme="majorBidi"/>
        </w:rPr>
        <w:t xml:space="preserve">do: Definido como un paciente previamente tratado que requiere una nueva terapia, pero no llena criterios de los dos anteriores. </w:t>
      </w:r>
    </w:p>
    <w:p w14:paraId="09A88740" w14:textId="77777777" w:rsidR="003E714C" w:rsidRPr="006F296D" w:rsidRDefault="003E714C" w:rsidP="00C11DAA">
      <w:pPr>
        <w:spacing w:line="480" w:lineRule="auto"/>
        <w:jc w:val="both"/>
        <w:rPr>
          <w:rFonts w:asciiTheme="majorBidi" w:hAnsiTheme="majorBidi" w:cstheme="majorBidi"/>
          <w:b/>
        </w:rPr>
      </w:pPr>
    </w:p>
    <w:p w14:paraId="2159483E" w14:textId="77777777" w:rsidR="003E714C" w:rsidRPr="006F296D" w:rsidRDefault="003E714C" w:rsidP="00C11DAA">
      <w:pPr>
        <w:spacing w:line="480" w:lineRule="auto"/>
        <w:jc w:val="both"/>
        <w:rPr>
          <w:rFonts w:asciiTheme="majorBidi" w:hAnsiTheme="majorBidi" w:cstheme="majorBidi"/>
          <w:b/>
        </w:rPr>
      </w:pPr>
      <w:r w:rsidRPr="006F296D">
        <w:rPr>
          <w:rFonts w:asciiTheme="majorBidi" w:hAnsiTheme="majorBidi" w:cstheme="majorBidi"/>
          <w:b/>
        </w:rPr>
        <w:t>Tratamiento de rescate del Mieloma Múltiple</w:t>
      </w:r>
    </w:p>
    <w:p w14:paraId="0DF32613" w14:textId="064225C9" w:rsidR="00041647" w:rsidRDefault="00127667" w:rsidP="00C11DAA">
      <w:pPr>
        <w:spacing w:line="480" w:lineRule="auto"/>
        <w:jc w:val="both"/>
        <w:rPr>
          <w:rFonts w:asciiTheme="majorBidi" w:hAnsiTheme="majorBidi" w:cstheme="majorBidi"/>
        </w:rPr>
      </w:pPr>
      <w:r w:rsidRPr="006F296D">
        <w:rPr>
          <w:rFonts w:asciiTheme="majorBidi" w:hAnsiTheme="majorBidi" w:cstheme="majorBidi"/>
        </w:rPr>
        <w:t xml:space="preserve">Como se dijo </w:t>
      </w:r>
      <w:r w:rsidR="00166042" w:rsidRPr="006F296D">
        <w:rPr>
          <w:rFonts w:asciiTheme="majorBidi" w:hAnsiTheme="majorBidi" w:cstheme="majorBidi"/>
        </w:rPr>
        <w:t>anteriormente</w:t>
      </w:r>
      <w:r w:rsidR="00B437DB">
        <w:rPr>
          <w:rFonts w:asciiTheme="majorBidi" w:hAnsiTheme="majorBidi" w:cstheme="majorBidi"/>
        </w:rPr>
        <w:t>;</w:t>
      </w:r>
      <w:r w:rsidRPr="006F296D">
        <w:rPr>
          <w:rFonts w:asciiTheme="majorBidi" w:hAnsiTheme="majorBidi" w:cstheme="majorBidi"/>
        </w:rPr>
        <w:t xml:space="preserve"> a pesar de l</w:t>
      </w:r>
      <w:r w:rsidR="00485C44" w:rsidRPr="006F296D">
        <w:rPr>
          <w:rFonts w:asciiTheme="majorBidi" w:hAnsiTheme="majorBidi" w:cstheme="majorBidi"/>
        </w:rPr>
        <w:t xml:space="preserve">os tratamientos disponibles en la actualidad </w:t>
      </w:r>
      <w:r w:rsidR="00B037E6" w:rsidRPr="006F296D">
        <w:rPr>
          <w:rFonts w:asciiTheme="majorBidi" w:hAnsiTheme="majorBidi" w:cstheme="majorBidi"/>
        </w:rPr>
        <w:t>que han mejorado la supervivencia</w:t>
      </w:r>
      <w:r w:rsidR="00485C44" w:rsidRPr="006F296D">
        <w:rPr>
          <w:rFonts w:asciiTheme="majorBidi" w:hAnsiTheme="majorBidi" w:cstheme="majorBidi"/>
        </w:rPr>
        <w:t xml:space="preserve"> de los pacientes con </w:t>
      </w:r>
      <w:r w:rsidR="00AB524C" w:rsidRPr="006F296D">
        <w:rPr>
          <w:rFonts w:asciiTheme="majorBidi" w:hAnsiTheme="majorBidi" w:cstheme="majorBidi"/>
        </w:rPr>
        <w:t>MM</w:t>
      </w:r>
      <w:r w:rsidR="00B437DB">
        <w:rPr>
          <w:rFonts w:asciiTheme="majorBidi" w:hAnsiTheme="majorBidi" w:cstheme="majorBidi"/>
        </w:rPr>
        <w:t>,</w:t>
      </w:r>
      <w:r w:rsidR="00485C44" w:rsidRPr="006F296D">
        <w:rPr>
          <w:rFonts w:asciiTheme="majorBidi" w:hAnsiTheme="majorBidi" w:cstheme="majorBidi"/>
        </w:rPr>
        <w:t xml:space="preserve"> la mayoría </w:t>
      </w:r>
      <w:r w:rsidR="00B437DB">
        <w:rPr>
          <w:rFonts w:asciiTheme="majorBidi" w:hAnsiTheme="majorBidi" w:cstheme="majorBidi"/>
        </w:rPr>
        <w:t xml:space="preserve">de ellos </w:t>
      </w:r>
      <w:r w:rsidR="00485C44" w:rsidRPr="006F296D">
        <w:rPr>
          <w:rFonts w:asciiTheme="majorBidi" w:hAnsiTheme="majorBidi" w:cstheme="majorBidi"/>
        </w:rPr>
        <w:t xml:space="preserve">recaerán. </w:t>
      </w:r>
      <w:r w:rsidR="003E714C" w:rsidRPr="006F296D">
        <w:rPr>
          <w:rFonts w:asciiTheme="majorBidi" w:hAnsiTheme="majorBidi" w:cstheme="majorBidi"/>
        </w:rPr>
        <w:t xml:space="preserve">La mediana de tiempo a la primera recaída es de 3 a 4 años. </w:t>
      </w:r>
      <w:r w:rsidR="00041647">
        <w:rPr>
          <w:rFonts w:asciiTheme="majorBidi" w:hAnsiTheme="majorBidi" w:cstheme="majorBidi"/>
        </w:rPr>
        <w:t xml:space="preserve">Como vimos en los aspectos históricos, quizás el primer tratamiento de rescate en MM fue el hierro y la quinina después de haberse usado la flebotomía como inducción y sanguijuelas como terapia de mantenimiento. </w:t>
      </w:r>
    </w:p>
    <w:p w14:paraId="307960FC" w14:textId="5D10DDDE" w:rsidR="00166042" w:rsidRDefault="00041647" w:rsidP="00C11DAA">
      <w:pPr>
        <w:spacing w:line="480" w:lineRule="auto"/>
        <w:jc w:val="both"/>
        <w:rPr>
          <w:rFonts w:asciiTheme="majorBidi" w:hAnsiTheme="majorBidi" w:cstheme="majorBidi"/>
        </w:rPr>
      </w:pPr>
      <w:r>
        <w:rPr>
          <w:rFonts w:asciiTheme="majorBidi" w:hAnsiTheme="majorBidi" w:cstheme="majorBidi"/>
        </w:rPr>
        <w:t xml:space="preserve">Hasta hace una década, </w:t>
      </w:r>
      <w:r w:rsidR="00C73E73" w:rsidRPr="006F296D">
        <w:rPr>
          <w:rFonts w:asciiTheme="majorBidi" w:hAnsiTheme="majorBidi" w:cstheme="majorBidi"/>
        </w:rPr>
        <w:t xml:space="preserve">solamente se </w:t>
      </w:r>
      <w:r w:rsidR="00166042" w:rsidRPr="006F296D">
        <w:rPr>
          <w:rFonts w:asciiTheme="majorBidi" w:hAnsiTheme="majorBidi" w:cstheme="majorBidi"/>
        </w:rPr>
        <w:t>tenía</w:t>
      </w:r>
      <w:r w:rsidR="00C73E73" w:rsidRPr="006F296D">
        <w:rPr>
          <w:rFonts w:asciiTheme="majorBidi" w:hAnsiTheme="majorBidi" w:cstheme="majorBidi"/>
        </w:rPr>
        <w:t xml:space="preserve"> disponible</w:t>
      </w:r>
      <w:r w:rsidR="00166042">
        <w:rPr>
          <w:rFonts w:asciiTheme="majorBidi" w:hAnsiTheme="majorBidi" w:cstheme="majorBidi"/>
        </w:rPr>
        <w:t xml:space="preserve"> la L</w:t>
      </w:r>
      <w:r w:rsidR="00B037E6" w:rsidRPr="006F296D">
        <w:rPr>
          <w:rFonts w:asciiTheme="majorBidi" w:hAnsiTheme="majorBidi" w:cstheme="majorBidi"/>
        </w:rPr>
        <w:t xml:space="preserve">enalidomida y el </w:t>
      </w:r>
      <w:r w:rsidR="00166042" w:rsidRPr="006F296D">
        <w:rPr>
          <w:rFonts w:asciiTheme="majorBidi" w:hAnsiTheme="majorBidi" w:cstheme="majorBidi"/>
        </w:rPr>
        <w:t>Bortezomib</w:t>
      </w:r>
      <w:r w:rsidR="00B037E6" w:rsidRPr="006F296D">
        <w:rPr>
          <w:rFonts w:asciiTheme="majorBidi" w:hAnsiTheme="majorBidi" w:cstheme="majorBidi"/>
        </w:rPr>
        <w:t xml:space="preserve"> como estrategias de rescate en el Mieloma múltiple. </w:t>
      </w:r>
    </w:p>
    <w:p w14:paraId="46392757" w14:textId="77777777" w:rsidR="00166042" w:rsidRDefault="00166042" w:rsidP="00C11DAA">
      <w:pPr>
        <w:spacing w:line="480" w:lineRule="auto"/>
        <w:jc w:val="both"/>
        <w:rPr>
          <w:rFonts w:asciiTheme="majorBidi" w:hAnsiTheme="majorBidi" w:cstheme="majorBidi"/>
        </w:rPr>
      </w:pPr>
    </w:p>
    <w:p w14:paraId="01121A29" w14:textId="4275EF13" w:rsidR="00F423D1" w:rsidRPr="006F296D" w:rsidRDefault="00485C44" w:rsidP="00C11DAA">
      <w:pPr>
        <w:spacing w:line="480" w:lineRule="auto"/>
        <w:jc w:val="both"/>
        <w:rPr>
          <w:rFonts w:asciiTheme="majorBidi" w:hAnsiTheme="majorBidi" w:cstheme="majorBidi"/>
        </w:rPr>
      </w:pPr>
      <w:r w:rsidRPr="006F296D">
        <w:rPr>
          <w:rFonts w:asciiTheme="majorBidi" w:hAnsiTheme="majorBidi" w:cstheme="majorBidi"/>
        </w:rPr>
        <w:t xml:space="preserve">El tratamiento de rescate permanece como un reto para los clínicos. En la actualidad existen varias clases de medicamentos disponibles para el tratamiento del </w:t>
      </w:r>
      <w:r w:rsidR="00DC2A26">
        <w:rPr>
          <w:rFonts w:asciiTheme="majorBidi" w:hAnsiTheme="majorBidi" w:cstheme="majorBidi"/>
        </w:rPr>
        <w:t>MM</w:t>
      </w:r>
      <w:r w:rsidRPr="006F296D">
        <w:rPr>
          <w:rFonts w:asciiTheme="majorBidi" w:hAnsiTheme="majorBidi" w:cstheme="majorBidi"/>
        </w:rPr>
        <w:t xml:space="preserve"> refractario y/o recaído entre los cuales tenemos anticuerpos monoclonales como el </w:t>
      </w:r>
      <w:r w:rsidR="00166042" w:rsidRPr="006F296D">
        <w:rPr>
          <w:rFonts w:asciiTheme="majorBidi" w:hAnsiTheme="majorBidi" w:cstheme="majorBidi"/>
        </w:rPr>
        <w:lastRenderedPageBreak/>
        <w:t>Daratumumab</w:t>
      </w:r>
      <w:r w:rsidRPr="006F296D">
        <w:rPr>
          <w:rFonts w:asciiTheme="majorBidi" w:hAnsiTheme="majorBidi" w:cstheme="majorBidi"/>
        </w:rPr>
        <w:t xml:space="preserve"> o </w:t>
      </w:r>
      <w:r w:rsidR="00166042" w:rsidRPr="006F296D">
        <w:rPr>
          <w:rFonts w:asciiTheme="majorBidi" w:hAnsiTheme="majorBidi" w:cstheme="majorBidi"/>
        </w:rPr>
        <w:t>Elotuzumab</w:t>
      </w:r>
      <w:r w:rsidRPr="006F296D">
        <w:rPr>
          <w:rFonts w:asciiTheme="majorBidi" w:hAnsiTheme="majorBidi" w:cstheme="majorBidi"/>
        </w:rPr>
        <w:t xml:space="preserve">, </w:t>
      </w:r>
      <w:r w:rsidR="00166042" w:rsidRPr="006F296D">
        <w:rPr>
          <w:rFonts w:asciiTheme="majorBidi" w:hAnsiTheme="majorBidi" w:cstheme="majorBidi"/>
        </w:rPr>
        <w:t>Inmunomoduladores</w:t>
      </w:r>
      <w:r w:rsidR="00166042">
        <w:rPr>
          <w:rFonts w:asciiTheme="majorBidi" w:hAnsiTheme="majorBidi" w:cstheme="majorBidi"/>
        </w:rPr>
        <w:t xml:space="preserve"> como la Talidomida, Lenalidomida, P</w:t>
      </w:r>
      <w:r w:rsidRPr="006F296D">
        <w:rPr>
          <w:rFonts w:asciiTheme="majorBidi" w:hAnsiTheme="majorBidi" w:cstheme="majorBidi"/>
        </w:rPr>
        <w:t>omalidomida, inhibidore</w:t>
      </w:r>
      <w:r w:rsidR="00166042">
        <w:rPr>
          <w:rFonts w:asciiTheme="majorBidi" w:hAnsiTheme="majorBidi" w:cstheme="majorBidi"/>
        </w:rPr>
        <w:t>s de histona acetilasa como el P</w:t>
      </w:r>
      <w:r w:rsidRPr="006F296D">
        <w:rPr>
          <w:rFonts w:asciiTheme="majorBidi" w:hAnsiTheme="majorBidi" w:cstheme="majorBidi"/>
        </w:rPr>
        <w:t>anobinostat y los inhi</w:t>
      </w:r>
      <w:r w:rsidR="00166042">
        <w:rPr>
          <w:rFonts w:asciiTheme="majorBidi" w:hAnsiTheme="majorBidi" w:cstheme="majorBidi"/>
        </w:rPr>
        <w:t>bidores del proteosoma como el C</w:t>
      </w:r>
      <w:r w:rsidRPr="006F296D">
        <w:rPr>
          <w:rFonts w:asciiTheme="majorBidi" w:hAnsiTheme="majorBidi" w:cstheme="majorBidi"/>
        </w:rPr>
        <w:t xml:space="preserve">arfilzomib, </w:t>
      </w:r>
      <w:r w:rsidR="00166042">
        <w:rPr>
          <w:rFonts w:asciiTheme="majorBidi" w:hAnsiTheme="majorBidi" w:cstheme="majorBidi"/>
        </w:rPr>
        <w:t>Bortezomib e I</w:t>
      </w:r>
      <w:r w:rsidR="00B84A45" w:rsidRPr="006F296D">
        <w:rPr>
          <w:rFonts w:asciiTheme="majorBidi" w:hAnsiTheme="majorBidi" w:cstheme="majorBidi"/>
        </w:rPr>
        <w:t>xazomib</w:t>
      </w:r>
      <w:r w:rsidRPr="006F296D">
        <w:rPr>
          <w:rFonts w:asciiTheme="majorBidi" w:hAnsiTheme="majorBidi" w:cstheme="majorBidi"/>
        </w:rPr>
        <w:t xml:space="preserve">. </w:t>
      </w:r>
      <w:r w:rsidR="008D7B85" w:rsidRPr="006F296D">
        <w:rPr>
          <w:rFonts w:asciiTheme="majorBidi" w:hAnsiTheme="majorBidi" w:cstheme="majorBidi"/>
        </w:rPr>
        <w:t xml:space="preserve">Existen además los regímenes infusionales y la </w:t>
      </w:r>
      <w:r w:rsidR="00166042">
        <w:rPr>
          <w:rFonts w:asciiTheme="majorBidi" w:hAnsiTheme="majorBidi" w:cstheme="majorBidi"/>
        </w:rPr>
        <w:t>posibilidad</w:t>
      </w:r>
      <w:r w:rsidR="008D7B85" w:rsidRPr="006F296D">
        <w:rPr>
          <w:rFonts w:asciiTheme="majorBidi" w:hAnsiTheme="majorBidi" w:cstheme="majorBidi"/>
        </w:rPr>
        <w:t xml:space="preserve"> de un segundo trasplante en los pacientes que podrían ser candidatos a esta terapia. </w:t>
      </w:r>
    </w:p>
    <w:p w14:paraId="021F0685" w14:textId="77777777" w:rsidR="00F423D1" w:rsidRPr="006F296D" w:rsidRDefault="00F423D1" w:rsidP="00C11DAA">
      <w:pPr>
        <w:spacing w:line="480" w:lineRule="auto"/>
        <w:jc w:val="both"/>
        <w:rPr>
          <w:rFonts w:asciiTheme="majorBidi" w:hAnsiTheme="majorBidi" w:cstheme="majorBidi"/>
        </w:rPr>
      </w:pPr>
    </w:p>
    <w:p w14:paraId="36B7E9B7" w14:textId="584D8ACB" w:rsidR="00623B61" w:rsidRDefault="00623B61" w:rsidP="00C11DAA">
      <w:pPr>
        <w:spacing w:line="480" w:lineRule="auto"/>
        <w:jc w:val="both"/>
        <w:rPr>
          <w:rFonts w:asciiTheme="majorBidi" w:hAnsiTheme="majorBidi" w:cstheme="majorBidi"/>
        </w:rPr>
      </w:pPr>
      <w:r w:rsidRPr="006F296D">
        <w:rPr>
          <w:rFonts w:asciiTheme="majorBidi" w:hAnsiTheme="majorBidi" w:cstheme="majorBidi"/>
        </w:rPr>
        <w:t>Los medicamentos para administrar en la r</w:t>
      </w:r>
      <w:r w:rsidR="00C73E73" w:rsidRPr="006F296D">
        <w:rPr>
          <w:rFonts w:asciiTheme="majorBidi" w:hAnsiTheme="majorBidi" w:cstheme="majorBidi"/>
        </w:rPr>
        <w:t xml:space="preserve">ecaída del </w:t>
      </w:r>
      <w:r w:rsidR="00B437DB">
        <w:rPr>
          <w:rFonts w:asciiTheme="majorBidi" w:hAnsiTheme="majorBidi" w:cstheme="majorBidi"/>
        </w:rPr>
        <w:t>MM</w:t>
      </w:r>
      <w:r w:rsidR="00C73E73" w:rsidRPr="006F296D">
        <w:rPr>
          <w:rFonts w:asciiTheme="majorBidi" w:hAnsiTheme="majorBidi" w:cstheme="majorBidi"/>
        </w:rPr>
        <w:t xml:space="preserve"> varí</w:t>
      </w:r>
      <w:r w:rsidRPr="006F296D">
        <w:rPr>
          <w:rFonts w:asciiTheme="majorBidi" w:hAnsiTheme="majorBidi" w:cstheme="majorBidi"/>
        </w:rPr>
        <w:t xml:space="preserve">an en cuanto a modo de administración, indicación y perfil de seguridad. </w:t>
      </w:r>
    </w:p>
    <w:p w14:paraId="098F4175" w14:textId="77777777" w:rsidR="00166042" w:rsidRDefault="00166042" w:rsidP="00C11DAA">
      <w:pPr>
        <w:spacing w:line="480" w:lineRule="auto"/>
        <w:jc w:val="both"/>
        <w:rPr>
          <w:rFonts w:asciiTheme="majorBidi" w:hAnsiTheme="majorBidi" w:cstheme="majorBidi"/>
        </w:rPr>
      </w:pPr>
    </w:p>
    <w:p w14:paraId="1A8C652D" w14:textId="77777777" w:rsidR="00166042" w:rsidRPr="006F296D" w:rsidRDefault="00166042" w:rsidP="00C11DAA">
      <w:pPr>
        <w:spacing w:line="480" w:lineRule="auto"/>
        <w:jc w:val="both"/>
        <w:rPr>
          <w:rFonts w:asciiTheme="majorBidi" w:hAnsiTheme="majorBidi" w:cstheme="majorBidi"/>
          <w:b/>
        </w:rPr>
      </w:pPr>
      <w:r w:rsidRPr="006F296D">
        <w:rPr>
          <w:rFonts w:asciiTheme="majorBidi" w:hAnsiTheme="majorBidi" w:cstheme="majorBidi"/>
          <w:b/>
        </w:rPr>
        <w:t>Variables a tener en cuenta en el momento de rescate del mieloma múltiple.</w:t>
      </w:r>
    </w:p>
    <w:p w14:paraId="311344B1" w14:textId="52D0B8AA" w:rsidR="00166042" w:rsidRPr="006F296D" w:rsidRDefault="00166042" w:rsidP="00C11DAA">
      <w:pPr>
        <w:spacing w:line="480" w:lineRule="auto"/>
        <w:jc w:val="both"/>
        <w:rPr>
          <w:rFonts w:asciiTheme="majorBidi" w:hAnsiTheme="majorBidi" w:cstheme="majorBidi"/>
        </w:rPr>
      </w:pPr>
      <w:r w:rsidRPr="006F296D">
        <w:rPr>
          <w:rFonts w:asciiTheme="majorBidi" w:hAnsiTheme="majorBidi" w:cstheme="majorBidi"/>
        </w:rPr>
        <w:t xml:space="preserve">Son muchas las variables que se deben tener en cuenta en el momento de escoger la terapia de rescate en el </w:t>
      </w:r>
      <w:r w:rsidR="00DC2A26">
        <w:rPr>
          <w:rFonts w:asciiTheme="majorBidi" w:hAnsiTheme="majorBidi" w:cstheme="majorBidi"/>
        </w:rPr>
        <w:t>MM</w:t>
      </w:r>
      <w:r w:rsidRPr="006F296D">
        <w:rPr>
          <w:rFonts w:asciiTheme="majorBidi" w:hAnsiTheme="majorBidi" w:cstheme="majorBidi"/>
        </w:rPr>
        <w:t xml:space="preserve"> que deben guiar el tratamiento. </w:t>
      </w:r>
    </w:p>
    <w:p w14:paraId="4B3F09B9" w14:textId="78B8D9F3" w:rsidR="00166042" w:rsidRPr="006F296D" w:rsidRDefault="00B6793D" w:rsidP="00C11DAA">
      <w:pPr>
        <w:spacing w:line="480" w:lineRule="auto"/>
        <w:jc w:val="both"/>
        <w:rPr>
          <w:rFonts w:asciiTheme="majorBidi" w:hAnsiTheme="majorBidi" w:cstheme="majorBidi"/>
        </w:rPr>
      </w:pPr>
      <w:r w:rsidRPr="00B6793D">
        <w:rPr>
          <w:rFonts w:asciiTheme="majorBidi" w:hAnsiTheme="majorBidi" w:cstheme="majorBidi"/>
          <w:noProof/>
          <w:lang w:val="es-CO" w:eastAsia="es-CO"/>
        </w:rPr>
        <w:drawing>
          <wp:inline distT="0" distB="0" distL="0" distR="0" wp14:anchorId="668E4360" wp14:editId="26DE6E40">
            <wp:extent cx="5396230" cy="404749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6230" cy="4047490"/>
                    </a:xfrm>
                    <a:prstGeom prst="rect">
                      <a:avLst/>
                    </a:prstGeom>
                  </pic:spPr>
                </pic:pic>
              </a:graphicData>
            </a:graphic>
          </wp:inline>
        </w:drawing>
      </w:r>
    </w:p>
    <w:p w14:paraId="56DA7256" w14:textId="4E605739" w:rsidR="00166042" w:rsidRDefault="00F67628" w:rsidP="00C11DAA">
      <w:pPr>
        <w:spacing w:line="480" w:lineRule="auto"/>
        <w:jc w:val="both"/>
        <w:rPr>
          <w:rFonts w:asciiTheme="majorBidi" w:hAnsiTheme="majorBidi" w:cstheme="majorBidi"/>
        </w:rPr>
      </w:pPr>
      <w:r>
        <w:rPr>
          <w:rFonts w:asciiTheme="majorBidi" w:hAnsiTheme="majorBidi" w:cstheme="majorBidi"/>
        </w:rPr>
        <w:t>Gráfico 3</w:t>
      </w:r>
      <w:r w:rsidR="009E13DE">
        <w:rPr>
          <w:rFonts w:asciiTheme="majorBidi" w:hAnsiTheme="majorBidi" w:cstheme="majorBidi"/>
        </w:rPr>
        <w:t xml:space="preserve">. Variables que determinan la terapia de rescate. </w:t>
      </w:r>
    </w:p>
    <w:p w14:paraId="54E15C11" w14:textId="77777777" w:rsidR="00DC2B85" w:rsidRPr="006F296D" w:rsidRDefault="00DC2B85" w:rsidP="00C11DAA">
      <w:pPr>
        <w:spacing w:line="480" w:lineRule="auto"/>
        <w:jc w:val="both"/>
        <w:rPr>
          <w:rFonts w:asciiTheme="majorBidi" w:hAnsiTheme="majorBidi" w:cstheme="majorBidi"/>
        </w:rPr>
      </w:pPr>
    </w:p>
    <w:p w14:paraId="1561341F" w14:textId="77777777" w:rsidR="00166042" w:rsidRPr="006F296D" w:rsidRDefault="00166042" w:rsidP="00C11DAA">
      <w:pPr>
        <w:spacing w:line="480" w:lineRule="auto"/>
        <w:jc w:val="both"/>
        <w:rPr>
          <w:rFonts w:asciiTheme="majorBidi" w:hAnsiTheme="majorBidi" w:cstheme="majorBidi"/>
        </w:rPr>
      </w:pPr>
      <w:r w:rsidRPr="006F296D">
        <w:rPr>
          <w:rFonts w:asciiTheme="majorBidi" w:hAnsiTheme="majorBidi" w:cstheme="majorBidi"/>
        </w:rPr>
        <w:t xml:space="preserve">Como se describe en la tabla, estos factores tienen que ver con características del paciente, características biológicas de la enfermedad, toxicidad acumulada en los tratamientos anteriores, comorbilidades, estado funcional, contexto social del paciente (vivienda, cercanía al hospital), preferencia del paciente para uno de los medicamentos, características de la recaída y con esto definir también los objetivos del tratamiento. </w:t>
      </w:r>
    </w:p>
    <w:p w14:paraId="4D194BCC" w14:textId="77777777" w:rsidR="00166042" w:rsidRPr="006F296D" w:rsidRDefault="00166042" w:rsidP="00C11DAA">
      <w:pPr>
        <w:spacing w:line="480" w:lineRule="auto"/>
        <w:jc w:val="both"/>
        <w:rPr>
          <w:rFonts w:asciiTheme="majorBidi" w:hAnsiTheme="majorBidi" w:cstheme="majorBidi"/>
        </w:rPr>
      </w:pPr>
    </w:p>
    <w:p w14:paraId="3238BFD4" w14:textId="77777777" w:rsidR="00B437DB" w:rsidRDefault="00166042" w:rsidP="00C11DAA">
      <w:pPr>
        <w:spacing w:line="480" w:lineRule="auto"/>
        <w:jc w:val="both"/>
        <w:rPr>
          <w:rFonts w:asciiTheme="majorBidi" w:hAnsiTheme="majorBidi" w:cstheme="majorBidi"/>
        </w:rPr>
      </w:pPr>
      <w:r w:rsidRPr="006F296D">
        <w:rPr>
          <w:rFonts w:asciiTheme="majorBidi" w:hAnsiTheme="majorBidi" w:cstheme="majorBidi"/>
        </w:rPr>
        <w:t xml:space="preserve">Los grupos de consenso han definido como objetivos de tratamiento dos grandes grupos. </w:t>
      </w:r>
      <w:r w:rsidR="00B437DB">
        <w:rPr>
          <w:rFonts w:asciiTheme="majorBidi" w:hAnsiTheme="majorBidi" w:cstheme="majorBidi"/>
        </w:rPr>
        <w:t>1. P</w:t>
      </w:r>
      <w:r w:rsidRPr="006F296D">
        <w:rPr>
          <w:rFonts w:asciiTheme="majorBidi" w:hAnsiTheme="majorBidi" w:cstheme="majorBidi"/>
        </w:rPr>
        <w:t>acientes en quienes se necesita profundizar al máximo la respuesta e intentar sostenerla la mayor cantidad de tiem</w:t>
      </w:r>
      <w:r w:rsidR="00B437DB">
        <w:rPr>
          <w:rFonts w:asciiTheme="majorBidi" w:hAnsiTheme="majorBidi" w:cstheme="majorBidi"/>
        </w:rPr>
        <w:t>po posible</w:t>
      </w:r>
    </w:p>
    <w:p w14:paraId="6381DA5A" w14:textId="61FB6683" w:rsidR="00B437DB" w:rsidRDefault="00B437DB" w:rsidP="00C11DAA">
      <w:pPr>
        <w:spacing w:line="480" w:lineRule="auto"/>
        <w:jc w:val="both"/>
        <w:rPr>
          <w:rFonts w:asciiTheme="majorBidi" w:hAnsiTheme="majorBidi" w:cstheme="majorBidi"/>
        </w:rPr>
      </w:pPr>
      <w:r>
        <w:rPr>
          <w:rFonts w:asciiTheme="majorBidi" w:hAnsiTheme="majorBidi" w:cstheme="majorBidi"/>
        </w:rPr>
        <w:t>2. P</w:t>
      </w:r>
      <w:r w:rsidR="00166042" w:rsidRPr="006F296D">
        <w:rPr>
          <w:rFonts w:asciiTheme="majorBidi" w:hAnsiTheme="majorBidi" w:cstheme="majorBidi"/>
        </w:rPr>
        <w:t xml:space="preserve">acientes en quienes el objetivo es garantizar una adecuada calidad de vida. </w:t>
      </w:r>
    </w:p>
    <w:p w14:paraId="04989905" w14:textId="77777777" w:rsidR="004B51F9" w:rsidRDefault="004B51F9" w:rsidP="00C11DAA">
      <w:pPr>
        <w:spacing w:line="480" w:lineRule="auto"/>
        <w:jc w:val="both"/>
        <w:rPr>
          <w:rFonts w:asciiTheme="majorBidi" w:hAnsiTheme="majorBidi" w:cstheme="majorBidi"/>
        </w:rPr>
      </w:pPr>
    </w:p>
    <w:p w14:paraId="5E7DB656" w14:textId="13A2A7C5" w:rsidR="00166042" w:rsidRPr="006F296D" w:rsidRDefault="00166042" w:rsidP="00C11DAA">
      <w:pPr>
        <w:spacing w:line="480" w:lineRule="auto"/>
        <w:jc w:val="both"/>
        <w:rPr>
          <w:rFonts w:asciiTheme="majorBidi" w:hAnsiTheme="majorBidi" w:cstheme="majorBidi"/>
        </w:rPr>
      </w:pPr>
      <w:r w:rsidRPr="006F296D">
        <w:rPr>
          <w:rFonts w:asciiTheme="majorBidi" w:hAnsiTheme="majorBidi" w:cstheme="majorBidi"/>
        </w:rPr>
        <w:t>A grandes rasgos podemos decir que los pacientes jóvenes son los que se beneficiaran de la primera estrategia y los pacientes ancianos no fit de la segunda. Hay que tener por supuesto en cuenta</w:t>
      </w:r>
      <w:r w:rsidR="00DC2A26">
        <w:rPr>
          <w:rFonts w:asciiTheme="majorBidi" w:hAnsiTheme="majorBidi" w:cstheme="majorBidi"/>
        </w:rPr>
        <w:t xml:space="preserve"> los tratamientos previos como L</w:t>
      </w:r>
      <w:r w:rsidRPr="006F296D">
        <w:rPr>
          <w:rFonts w:asciiTheme="majorBidi" w:hAnsiTheme="majorBidi" w:cstheme="majorBidi"/>
        </w:rPr>
        <w:t xml:space="preserve">enalidomida y </w:t>
      </w:r>
      <w:r w:rsidR="00DC2A26" w:rsidRPr="006F296D">
        <w:rPr>
          <w:rFonts w:asciiTheme="majorBidi" w:hAnsiTheme="majorBidi" w:cstheme="majorBidi"/>
        </w:rPr>
        <w:t>Bortezomib</w:t>
      </w:r>
      <w:r w:rsidRPr="006F296D">
        <w:rPr>
          <w:rFonts w:asciiTheme="majorBidi" w:hAnsiTheme="majorBidi" w:cstheme="majorBidi"/>
        </w:rPr>
        <w:t xml:space="preserve"> que son ahora el pilar del tratamiento del MM, la biología de la enfermedad, la respuesta a un trasplante previo con la intención de ofrecer un segundo </w:t>
      </w:r>
      <w:r w:rsidR="00B437DB" w:rsidRPr="006F296D">
        <w:rPr>
          <w:rFonts w:asciiTheme="majorBidi" w:hAnsiTheme="majorBidi" w:cstheme="majorBidi"/>
        </w:rPr>
        <w:t>trasplante, la</w:t>
      </w:r>
      <w:r w:rsidRPr="006F296D">
        <w:rPr>
          <w:rFonts w:asciiTheme="majorBidi" w:hAnsiTheme="majorBidi" w:cstheme="majorBidi"/>
        </w:rPr>
        <w:t xml:space="preserve"> presencia de enfermedad extramedular tipo plasmocitomas, los antecedentes de hipertensión arterial, neuropatía y cardiopatía. Siempre se debe explicar de la manera </w:t>
      </w:r>
      <w:r w:rsidR="00DC2A26" w:rsidRPr="006F296D">
        <w:rPr>
          <w:rFonts w:asciiTheme="majorBidi" w:hAnsiTheme="majorBidi" w:cstheme="majorBidi"/>
        </w:rPr>
        <w:t>más</w:t>
      </w:r>
      <w:r w:rsidRPr="006F296D">
        <w:rPr>
          <w:rFonts w:asciiTheme="majorBidi" w:hAnsiTheme="majorBidi" w:cstheme="majorBidi"/>
        </w:rPr>
        <w:t xml:space="preserve"> clara los objetivos del tratamiento al paciente y a su familia. </w:t>
      </w:r>
    </w:p>
    <w:p w14:paraId="17C8EA4B" w14:textId="77777777" w:rsidR="00166042" w:rsidRPr="006F296D" w:rsidRDefault="00166042" w:rsidP="00C11DAA">
      <w:pPr>
        <w:spacing w:line="480" w:lineRule="auto"/>
        <w:jc w:val="both"/>
        <w:rPr>
          <w:rFonts w:asciiTheme="majorBidi" w:hAnsiTheme="majorBidi" w:cstheme="majorBidi"/>
        </w:rPr>
      </w:pPr>
    </w:p>
    <w:p w14:paraId="3B6981B2" w14:textId="573D1A3A" w:rsidR="00DC2A26" w:rsidRDefault="00166042" w:rsidP="00C11DAA">
      <w:pPr>
        <w:spacing w:line="480" w:lineRule="auto"/>
        <w:jc w:val="both"/>
        <w:rPr>
          <w:rFonts w:asciiTheme="majorBidi" w:hAnsiTheme="majorBidi" w:cstheme="majorBidi"/>
        </w:rPr>
      </w:pPr>
      <w:r w:rsidRPr="006F296D">
        <w:rPr>
          <w:rFonts w:asciiTheme="majorBidi" w:hAnsiTheme="majorBidi" w:cstheme="majorBidi"/>
        </w:rPr>
        <w:t xml:space="preserve">Una de las variables </w:t>
      </w:r>
      <w:r w:rsidR="00DC2A26" w:rsidRPr="006F296D">
        <w:rPr>
          <w:rFonts w:asciiTheme="majorBidi" w:hAnsiTheme="majorBidi" w:cstheme="majorBidi"/>
        </w:rPr>
        <w:t>más</w:t>
      </w:r>
      <w:r w:rsidRPr="006F296D">
        <w:rPr>
          <w:rFonts w:asciiTheme="majorBidi" w:hAnsiTheme="majorBidi" w:cstheme="majorBidi"/>
        </w:rPr>
        <w:t xml:space="preserve"> importantes a la hora de escoger el tratamiento de rescate es el conocimiento del comportamiento de la enfermedad con respecto a la respuesta alcanzada con la primera línea. </w:t>
      </w:r>
      <w:r w:rsidR="00DC2A26">
        <w:rPr>
          <w:rFonts w:asciiTheme="majorBidi" w:hAnsiTheme="majorBidi" w:cstheme="majorBidi"/>
        </w:rPr>
        <w:t xml:space="preserve">Como </w:t>
      </w:r>
      <w:r w:rsidR="0037388D">
        <w:rPr>
          <w:rFonts w:asciiTheme="majorBidi" w:hAnsiTheme="majorBidi" w:cstheme="majorBidi"/>
        </w:rPr>
        <w:t xml:space="preserve">ya </w:t>
      </w:r>
      <w:r w:rsidR="00DC2A26">
        <w:rPr>
          <w:rFonts w:asciiTheme="majorBidi" w:hAnsiTheme="majorBidi" w:cstheme="majorBidi"/>
        </w:rPr>
        <w:t>hemos</w:t>
      </w:r>
      <w:r w:rsidR="0037388D">
        <w:rPr>
          <w:rFonts w:asciiTheme="majorBidi" w:hAnsiTheme="majorBidi" w:cstheme="majorBidi"/>
        </w:rPr>
        <w:t xml:space="preserve"> descrito</w:t>
      </w:r>
      <w:r w:rsidR="00DC2A26">
        <w:rPr>
          <w:rFonts w:asciiTheme="majorBidi" w:hAnsiTheme="majorBidi" w:cstheme="majorBidi"/>
        </w:rPr>
        <w:t xml:space="preserve"> con anterioridad existen tres categorías de MM refractario y/o recaído. </w:t>
      </w:r>
    </w:p>
    <w:p w14:paraId="7A3584DB" w14:textId="77777777" w:rsidR="00DC2A26" w:rsidRDefault="00DC2A26" w:rsidP="00C11DAA">
      <w:pPr>
        <w:spacing w:line="480" w:lineRule="auto"/>
        <w:jc w:val="both"/>
        <w:rPr>
          <w:rFonts w:asciiTheme="majorBidi" w:hAnsiTheme="majorBidi" w:cstheme="majorBidi"/>
        </w:rPr>
      </w:pPr>
    </w:p>
    <w:p w14:paraId="3A3C5C5D" w14:textId="122F1A3E" w:rsidR="00DC2A26" w:rsidRDefault="00DC2A26" w:rsidP="00C11DAA">
      <w:pPr>
        <w:spacing w:line="480" w:lineRule="auto"/>
        <w:jc w:val="both"/>
        <w:rPr>
          <w:rFonts w:asciiTheme="majorBidi" w:hAnsiTheme="majorBidi" w:cstheme="majorBidi"/>
        </w:rPr>
      </w:pPr>
      <w:r w:rsidRPr="006F296D">
        <w:rPr>
          <w:rFonts w:asciiTheme="majorBidi" w:hAnsiTheme="majorBidi" w:cstheme="majorBidi"/>
        </w:rPr>
        <w:t xml:space="preserve">No existe en Colombia una guía clínica sobre el manejo del MM refractario o recaído hasta el momento. El medicamento escogido para el rescate usualmente se basa en las guías clínicas internacionales y el juicio clínico. </w:t>
      </w:r>
      <w:r w:rsidR="006036E7">
        <w:rPr>
          <w:rFonts w:asciiTheme="majorBidi" w:hAnsiTheme="majorBidi" w:cstheme="majorBidi"/>
        </w:rPr>
        <w:t>Son</w:t>
      </w:r>
      <w:r w:rsidRPr="006F296D">
        <w:rPr>
          <w:rFonts w:asciiTheme="majorBidi" w:hAnsiTheme="majorBidi" w:cstheme="majorBidi"/>
        </w:rPr>
        <w:t xml:space="preserve"> </w:t>
      </w:r>
      <w:r w:rsidR="006036E7">
        <w:rPr>
          <w:rFonts w:asciiTheme="majorBidi" w:hAnsiTheme="majorBidi" w:cstheme="majorBidi"/>
        </w:rPr>
        <w:t xml:space="preserve">a grandes rasgos </w:t>
      </w:r>
      <w:r w:rsidRPr="006F296D">
        <w:rPr>
          <w:rFonts w:asciiTheme="majorBidi" w:hAnsiTheme="majorBidi" w:cstheme="majorBidi"/>
        </w:rPr>
        <w:t xml:space="preserve">dos guías en las que nos basamos actualmente para escoger la terapia de rescate, hablamos de las guías ESMO y a las guías americanas con algunas diferencias. </w:t>
      </w:r>
    </w:p>
    <w:p w14:paraId="3368B173" w14:textId="77777777" w:rsidR="00A94671" w:rsidRDefault="00A94671" w:rsidP="00C11DAA">
      <w:pPr>
        <w:spacing w:line="480" w:lineRule="auto"/>
        <w:jc w:val="both"/>
        <w:rPr>
          <w:rFonts w:asciiTheme="majorBidi" w:hAnsiTheme="majorBidi" w:cstheme="majorBidi"/>
        </w:rPr>
      </w:pPr>
    </w:p>
    <w:p w14:paraId="526C5B0C" w14:textId="5BC96B6C" w:rsidR="00A94671" w:rsidRPr="00C11DAA" w:rsidRDefault="00A94671" w:rsidP="00C11DAA">
      <w:pPr>
        <w:spacing w:line="480" w:lineRule="auto"/>
        <w:jc w:val="both"/>
        <w:rPr>
          <w:rFonts w:asciiTheme="majorBidi" w:hAnsiTheme="majorBidi" w:cstheme="majorBidi"/>
          <w:b/>
        </w:rPr>
      </w:pPr>
      <w:r w:rsidRPr="00C11DAA">
        <w:rPr>
          <w:rFonts w:asciiTheme="majorBidi" w:hAnsiTheme="majorBidi" w:cstheme="majorBidi"/>
          <w:b/>
        </w:rPr>
        <w:t>Indicaciones de terapia</w:t>
      </w:r>
    </w:p>
    <w:p w14:paraId="592AE3BB" w14:textId="4F2359C3" w:rsidR="00A94671" w:rsidRDefault="00A94671" w:rsidP="00C11DAA">
      <w:pPr>
        <w:spacing w:line="480" w:lineRule="auto"/>
        <w:jc w:val="both"/>
        <w:rPr>
          <w:rFonts w:asciiTheme="majorBidi" w:hAnsiTheme="majorBidi" w:cstheme="majorBidi"/>
        </w:rPr>
      </w:pPr>
      <w:r>
        <w:rPr>
          <w:rFonts w:asciiTheme="majorBidi" w:hAnsiTheme="majorBidi" w:cstheme="majorBidi"/>
        </w:rPr>
        <w:t xml:space="preserve">Como dijimos anteriormente, se indica una nueva línea de tratamiento si hay una recaída clínica, es decir, si hay nuevamente componente CRAB o hay un aumento rápido de la paraproteína.  Si no hubo estratificación del riesgo al inicio de la enfermedad es el momento para hacerlo. Los pacientes que recaen antes de un año son considerados inmediatamente de alto riesgo sin importar la clasificación citogenética inicial, es decir si fueron de riesgo estándar. De igual forma pacientes con citogenética de alto riesgo cuya duración de la respuesta fue mayor a dos años son considerados de riesgo estándar si no hay alteraciones citogenéticas adicionales. </w:t>
      </w:r>
    </w:p>
    <w:p w14:paraId="1A37612A" w14:textId="77777777" w:rsidR="00A94671" w:rsidRDefault="00A94671" w:rsidP="00C11DAA">
      <w:pPr>
        <w:spacing w:line="480" w:lineRule="auto"/>
        <w:jc w:val="both"/>
        <w:rPr>
          <w:rFonts w:asciiTheme="majorBidi" w:hAnsiTheme="majorBidi" w:cstheme="majorBidi"/>
        </w:rPr>
      </w:pPr>
    </w:p>
    <w:p w14:paraId="59973B22" w14:textId="2D2CB884" w:rsidR="00A94671" w:rsidRPr="006F296D" w:rsidRDefault="00A94671" w:rsidP="00C11DAA">
      <w:pPr>
        <w:spacing w:line="480" w:lineRule="auto"/>
        <w:jc w:val="both"/>
        <w:rPr>
          <w:rFonts w:asciiTheme="majorBidi" w:hAnsiTheme="majorBidi" w:cstheme="majorBidi"/>
        </w:rPr>
      </w:pPr>
      <w:r>
        <w:rPr>
          <w:rFonts w:asciiTheme="majorBidi" w:hAnsiTheme="majorBidi" w:cstheme="majorBidi"/>
        </w:rPr>
        <w:t xml:space="preserve">Nuevamente en este momento debe definirse si el paciente es elegible a un nuevo trasplante o al primero si no se realizó de forma temprana. Se considera globalmente que son candidatos a un nuevo trasplante de forma clínica si la duración de la respuesta en el primero fue mayor a dos años, aunque algunos grupos consideran que esto puede variar en función de si recibió o no mantenimiento. Con cada línea de tratamiento subsecuente utilizada la supervivencia libre de evento sigue disminuyendo. </w:t>
      </w:r>
    </w:p>
    <w:p w14:paraId="4D1D93BF" w14:textId="77777777" w:rsidR="00C11DAA" w:rsidRDefault="00C11DAA" w:rsidP="00C11DAA">
      <w:pPr>
        <w:jc w:val="both"/>
        <w:rPr>
          <w:rFonts w:asciiTheme="majorBidi" w:hAnsiTheme="majorBidi" w:cstheme="majorBidi"/>
        </w:rPr>
      </w:pPr>
    </w:p>
    <w:p w14:paraId="59F7D8F4" w14:textId="10B6BA81" w:rsidR="00DC2A26" w:rsidRPr="00C11DAA" w:rsidRDefault="00B437DB" w:rsidP="00C11DAA">
      <w:pPr>
        <w:jc w:val="both"/>
        <w:rPr>
          <w:rFonts w:asciiTheme="majorBidi" w:hAnsiTheme="majorBidi" w:cstheme="majorBidi"/>
          <w:b/>
        </w:rPr>
      </w:pPr>
      <w:r w:rsidRPr="00C11DAA">
        <w:rPr>
          <w:rFonts w:asciiTheme="majorBidi" w:hAnsiTheme="majorBidi" w:cstheme="majorBidi"/>
          <w:b/>
        </w:rPr>
        <w:t>Medicamentos usados en el rescate del MM</w:t>
      </w:r>
      <w:r w:rsidR="00C73E73" w:rsidRPr="00C11DAA">
        <w:rPr>
          <w:rFonts w:asciiTheme="majorBidi" w:hAnsiTheme="majorBidi" w:cstheme="majorBidi"/>
          <w:b/>
        </w:rPr>
        <w:t xml:space="preserve"> </w:t>
      </w:r>
      <w:r w:rsidR="00AB524C" w:rsidRPr="00C11DAA">
        <w:rPr>
          <w:rFonts w:asciiTheme="majorBidi" w:hAnsiTheme="majorBidi" w:cstheme="majorBidi"/>
          <w:b/>
        </w:rPr>
        <w:t xml:space="preserve"> </w:t>
      </w:r>
    </w:p>
    <w:p w14:paraId="299CA4AD" w14:textId="77777777" w:rsidR="00B437DB" w:rsidRDefault="00B437DB" w:rsidP="00C11DAA">
      <w:pPr>
        <w:spacing w:line="480" w:lineRule="auto"/>
        <w:jc w:val="both"/>
        <w:rPr>
          <w:rFonts w:asciiTheme="majorBidi" w:hAnsiTheme="majorBidi" w:cstheme="majorBidi"/>
          <w:b/>
        </w:rPr>
      </w:pPr>
    </w:p>
    <w:p w14:paraId="4C412244" w14:textId="74867EA4" w:rsidR="002264E7" w:rsidRPr="002264E7" w:rsidRDefault="00C73E73" w:rsidP="00C11DAA">
      <w:pPr>
        <w:spacing w:line="480" w:lineRule="auto"/>
        <w:jc w:val="both"/>
        <w:rPr>
          <w:rFonts w:asciiTheme="majorBidi" w:hAnsiTheme="majorBidi" w:cstheme="majorBidi"/>
          <w:bCs/>
          <w:i/>
          <w:iCs/>
        </w:rPr>
      </w:pPr>
      <w:r w:rsidRPr="00B437DB">
        <w:rPr>
          <w:rFonts w:asciiTheme="majorBidi" w:hAnsiTheme="majorBidi" w:cstheme="majorBidi"/>
          <w:bCs/>
          <w:i/>
          <w:iCs/>
        </w:rPr>
        <w:lastRenderedPageBreak/>
        <w:t xml:space="preserve">Inhibidores del proteosoma </w:t>
      </w:r>
    </w:p>
    <w:p w14:paraId="3EA0A0F4" w14:textId="7BA2F452" w:rsidR="006036E7" w:rsidRDefault="006036E7" w:rsidP="00C11DAA">
      <w:pPr>
        <w:spacing w:line="480" w:lineRule="auto"/>
        <w:jc w:val="both"/>
        <w:rPr>
          <w:rFonts w:asciiTheme="majorBidi" w:hAnsiTheme="majorBidi" w:cstheme="majorBidi"/>
        </w:rPr>
      </w:pPr>
      <w:r>
        <w:rPr>
          <w:rFonts w:asciiTheme="majorBidi" w:hAnsiTheme="majorBidi" w:cstheme="majorBidi"/>
        </w:rPr>
        <w:t xml:space="preserve">Como hemos dicho con anterioridad, virtualmente todos los pacientes con MM de reciente diagnóstico reciben Bortezomib y/o lenalidomida en la inducción. En este sentido tenemos que definir si el paciente es primario refractario, recaído y refractario a este medicamento o recaído. </w:t>
      </w:r>
    </w:p>
    <w:p w14:paraId="632B2085" w14:textId="69E1CC4E" w:rsidR="00694DC9" w:rsidRDefault="006036E7" w:rsidP="00C11DAA">
      <w:pPr>
        <w:spacing w:line="480" w:lineRule="auto"/>
        <w:jc w:val="both"/>
        <w:rPr>
          <w:rFonts w:asciiTheme="majorBidi" w:hAnsiTheme="majorBidi" w:cstheme="majorBidi"/>
        </w:rPr>
      </w:pPr>
      <w:r>
        <w:rPr>
          <w:rFonts w:asciiTheme="majorBidi" w:hAnsiTheme="majorBidi" w:cstheme="majorBidi"/>
        </w:rPr>
        <w:t>Bortezomib es una buena opción para el rescate</w:t>
      </w:r>
      <w:r w:rsidR="00744B14">
        <w:rPr>
          <w:rFonts w:asciiTheme="majorBidi" w:hAnsiTheme="majorBidi" w:cstheme="majorBidi"/>
        </w:rPr>
        <w:t xml:space="preserve"> (datos de estudio SUMMIT, </w:t>
      </w:r>
      <w:r w:rsidR="00CA4E34">
        <w:rPr>
          <w:rFonts w:asciiTheme="majorBidi" w:hAnsiTheme="majorBidi" w:cstheme="majorBidi"/>
        </w:rPr>
        <w:t>APEX</w:t>
      </w:r>
      <w:r w:rsidR="00744B14">
        <w:rPr>
          <w:rFonts w:asciiTheme="majorBidi" w:hAnsiTheme="majorBidi" w:cstheme="majorBidi"/>
        </w:rPr>
        <w:t xml:space="preserve"> y </w:t>
      </w:r>
      <w:r w:rsidR="00744B14" w:rsidRPr="00744B14">
        <w:rPr>
          <w:rFonts w:asciiTheme="majorBidi" w:hAnsiTheme="majorBidi" w:cstheme="majorBidi"/>
        </w:rPr>
        <w:t>DOXIL-MMY-3001</w:t>
      </w:r>
      <w:r w:rsidR="00CA4E34">
        <w:rPr>
          <w:rFonts w:asciiTheme="majorBidi" w:hAnsiTheme="majorBidi" w:cstheme="majorBidi"/>
        </w:rPr>
        <w:t>)</w:t>
      </w:r>
      <w:r>
        <w:rPr>
          <w:rFonts w:asciiTheme="majorBidi" w:hAnsiTheme="majorBidi" w:cstheme="majorBidi"/>
        </w:rPr>
        <w:t xml:space="preserve"> si</w:t>
      </w:r>
      <w:r w:rsidR="00CA4E34">
        <w:rPr>
          <w:rFonts w:asciiTheme="majorBidi" w:hAnsiTheme="majorBidi" w:cstheme="majorBidi"/>
        </w:rPr>
        <w:t xml:space="preserve"> este medicamento no se ha usado antes o </w:t>
      </w:r>
      <w:r>
        <w:rPr>
          <w:rFonts w:asciiTheme="majorBidi" w:hAnsiTheme="majorBidi" w:cstheme="majorBidi"/>
        </w:rPr>
        <w:t>hubo una buena respuesta inicial al tratamiento</w:t>
      </w:r>
      <w:r w:rsidR="00CA4E34">
        <w:rPr>
          <w:rFonts w:asciiTheme="majorBidi" w:hAnsiTheme="majorBidi" w:cstheme="majorBidi"/>
        </w:rPr>
        <w:t xml:space="preserve"> (no fue refractario primario ni refractario y recaído)</w:t>
      </w:r>
      <w:r>
        <w:rPr>
          <w:rFonts w:asciiTheme="majorBidi" w:hAnsiTheme="majorBidi" w:cstheme="majorBidi"/>
        </w:rPr>
        <w:t xml:space="preserve"> sin embargo</w:t>
      </w:r>
      <w:r w:rsidR="00CA4E34">
        <w:rPr>
          <w:rFonts w:asciiTheme="majorBidi" w:hAnsiTheme="majorBidi" w:cstheme="majorBidi"/>
        </w:rPr>
        <w:t>,</w:t>
      </w:r>
      <w:r>
        <w:rPr>
          <w:rFonts w:asciiTheme="majorBidi" w:hAnsiTheme="majorBidi" w:cstheme="majorBidi"/>
        </w:rPr>
        <w:t xml:space="preserve"> el estudio ENDEAVOR da cuenta de casi duplicación en la supervivencia libre de progresión de Carfilzomib sobre Bortezomib cuando se combinan en terapia doble con dexametasona, además tiene ben</w:t>
      </w:r>
      <w:r w:rsidR="00357BA1">
        <w:rPr>
          <w:rFonts w:asciiTheme="majorBidi" w:hAnsiTheme="majorBidi" w:cstheme="majorBidi"/>
        </w:rPr>
        <w:t>eficio en supervivencia global. Por lo anterior se recomienda Carfilzomib sobre Bortezomib en la terapia de rescate.</w:t>
      </w:r>
      <w:r w:rsidR="00970CF8">
        <w:rPr>
          <w:rFonts w:asciiTheme="majorBidi" w:hAnsiTheme="majorBidi" w:cstheme="majorBidi"/>
        </w:rPr>
        <w:t xml:space="preserve"> La terapia combinada con Daratumumab se describirá más adelante. </w:t>
      </w:r>
      <w:r w:rsidR="00357BA1">
        <w:rPr>
          <w:rFonts w:asciiTheme="majorBidi" w:hAnsiTheme="majorBidi" w:cstheme="majorBidi"/>
        </w:rPr>
        <w:t xml:space="preserve"> </w:t>
      </w:r>
      <w:r w:rsidR="00D54A66">
        <w:rPr>
          <w:rFonts w:asciiTheme="majorBidi" w:hAnsiTheme="majorBidi" w:cstheme="majorBidi"/>
        </w:rPr>
        <w:t>Hay que tener en cuenta que en este estudio no fueron incluidos los pacientes refra</w:t>
      </w:r>
      <w:r w:rsidR="001E7447">
        <w:rPr>
          <w:rFonts w:asciiTheme="majorBidi" w:hAnsiTheme="majorBidi" w:cstheme="majorBidi"/>
        </w:rPr>
        <w:t xml:space="preserve">ctarios primarios a Bortezomib y que la terapia con Carfilzomib resultó en mayor incidencia de falla cardíaca, hipertensión y falla renal aguda pero menor incidencia de neuropatía. </w:t>
      </w:r>
    </w:p>
    <w:p w14:paraId="1667B53D" w14:textId="77777777" w:rsidR="00924B2F" w:rsidRDefault="00924B2F" w:rsidP="00C11DAA">
      <w:pPr>
        <w:spacing w:line="480" w:lineRule="auto"/>
        <w:jc w:val="both"/>
        <w:rPr>
          <w:rFonts w:asciiTheme="majorBidi" w:hAnsiTheme="majorBidi" w:cstheme="majorBidi"/>
        </w:rPr>
      </w:pPr>
    </w:p>
    <w:p w14:paraId="66123293" w14:textId="441CEC44" w:rsidR="00694DC9" w:rsidRDefault="00694DC9" w:rsidP="00C11DAA">
      <w:pPr>
        <w:spacing w:line="480" w:lineRule="auto"/>
        <w:jc w:val="both"/>
        <w:rPr>
          <w:rFonts w:asciiTheme="majorBidi" w:hAnsiTheme="majorBidi" w:cstheme="majorBidi"/>
        </w:rPr>
      </w:pPr>
      <w:r>
        <w:rPr>
          <w:rFonts w:asciiTheme="majorBidi" w:hAnsiTheme="majorBidi" w:cstheme="majorBidi"/>
        </w:rPr>
        <w:t xml:space="preserve">Otra opción de tratamiento es la combinación de Carfilzomib con Lenalidomida y dexametasona. El estudio ASPIRE </w:t>
      </w:r>
      <w:r w:rsidR="001E7447">
        <w:rPr>
          <w:rFonts w:asciiTheme="majorBidi" w:hAnsiTheme="majorBidi" w:cstheme="majorBidi"/>
        </w:rPr>
        <w:t xml:space="preserve">demostró mejoría en la tasa de respuesta global, supervivencia libre de progresión, supervivencia global, mejoría de la calidad de vida. Este estudio incluyó pacientes tratados previamente con Bortezomib y lenalidomida pero que no hayan sido refractarios primarios. No hubo una descontinuación significativa de la terapia a pesar de las reacciones adversas entre las que se incluyeron infecciones del tracto respiratorio e hipertensión. </w:t>
      </w:r>
    </w:p>
    <w:p w14:paraId="24A0BEC0" w14:textId="77777777" w:rsidR="002264E7" w:rsidRDefault="002264E7" w:rsidP="00C11DAA">
      <w:pPr>
        <w:spacing w:line="480" w:lineRule="auto"/>
        <w:jc w:val="both"/>
        <w:rPr>
          <w:rFonts w:asciiTheme="majorBidi" w:hAnsiTheme="majorBidi" w:cstheme="majorBidi"/>
        </w:rPr>
      </w:pPr>
    </w:p>
    <w:p w14:paraId="66B54579" w14:textId="18ADFF8F" w:rsidR="002264E7" w:rsidRDefault="00D54A66" w:rsidP="00C11DAA">
      <w:pPr>
        <w:spacing w:line="480" w:lineRule="auto"/>
        <w:jc w:val="both"/>
        <w:rPr>
          <w:rFonts w:asciiTheme="majorBidi" w:hAnsiTheme="majorBidi" w:cstheme="majorBidi"/>
        </w:rPr>
      </w:pPr>
      <w:r>
        <w:rPr>
          <w:rFonts w:asciiTheme="majorBidi" w:hAnsiTheme="majorBidi" w:cstheme="majorBidi"/>
        </w:rPr>
        <w:lastRenderedPageBreak/>
        <w:t xml:space="preserve">Ixazomib es otra alternativa terapéutica en </w:t>
      </w:r>
      <w:r w:rsidR="00791D64">
        <w:rPr>
          <w:rFonts w:asciiTheme="majorBidi" w:hAnsiTheme="majorBidi" w:cstheme="majorBidi"/>
        </w:rPr>
        <w:t>MM recaído</w:t>
      </w:r>
      <w:r w:rsidR="002264E7">
        <w:rPr>
          <w:rFonts w:asciiTheme="majorBidi" w:hAnsiTheme="majorBidi" w:cstheme="majorBidi"/>
        </w:rPr>
        <w:t xml:space="preserve"> que además tiene la ventaja de ser oral. La mayor toxicidad de este medicamento es la diarrea, estreñimiento, </w:t>
      </w:r>
      <w:r w:rsidR="00477F72">
        <w:rPr>
          <w:rFonts w:asciiTheme="majorBidi" w:hAnsiTheme="majorBidi" w:cstheme="majorBidi"/>
        </w:rPr>
        <w:t>náuseas, eme</w:t>
      </w:r>
      <w:r w:rsidR="002264E7">
        <w:rPr>
          <w:rFonts w:asciiTheme="majorBidi" w:hAnsiTheme="majorBidi" w:cstheme="majorBidi"/>
        </w:rPr>
        <w:t xml:space="preserve">sis, trombocitopenia, neuropatía periférica, edema y dolor dorsal. El estudio </w:t>
      </w:r>
      <w:r w:rsidR="00970CF8">
        <w:rPr>
          <w:rFonts w:asciiTheme="majorBidi" w:hAnsiTheme="majorBidi" w:cstheme="majorBidi"/>
        </w:rPr>
        <w:t>más</w:t>
      </w:r>
      <w:r w:rsidR="002264E7">
        <w:rPr>
          <w:rFonts w:asciiTheme="majorBidi" w:hAnsiTheme="majorBidi" w:cstheme="majorBidi"/>
        </w:rPr>
        <w:t xml:space="preserve"> importante quizás es el Tourmaline-MM1 donde 722 adultos con MMRR fueron aleatorizados a recibir Lenalidomida y dexametasona versus lo mismo combinado con Ixazomib. Los pacientes incluidos habían recibido una a tres terapias previas y nuevamente no debían ser refractarios a Bortezomib o Lenalidomida. Los ciclos fueron administrados cada 28 días, el Ixazomib 4 mg en los días 1, 8, 15 y 22.  Ixazomib mostró mejoría en la tasa de respuesta global y respuesta completa, supervivencia libre de progresión y duración de la respuesta. Lo más llamativo de este estudio fue el beneficio que se encontró en los pacientes de riesgo alto y estándar lo cual no ha sido demostrado con los otros inhibidores del proteosoma. Los datos de supervivencia global aun no son claros. Deben realizarse ajustes por daño hepático o renal. Como con todos los inhibidores del proteosoma los pacientes deben recibir terapia antiviral, Aciclovir 400 mg cada 12 horas o valaciclovir 500 mg una vez al día. </w:t>
      </w:r>
    </w:p>
    <w:p w14:paraId="6631C8D8" w14:textId="77777777" w:rsidR="00477F72" w:rsidRPr="006F296D" w:rsidRDefault="00477F72" w:rsidP="00C11DAA">
      <w:pPr>
        <w:spacing w:line="480" w:lineRule="auto"/>
        <w:jc w:val="both"/>
        <w:rPr>
          <w:rFonts w:asciiTheme="majorBidi" w:hAnsiTheme="majorBidi" w:cstheme="majorBidi"/>
        </w:rPr>
      </w:pPr>
    </w:p>
    <w:p w14:paraId="79CC6F67" w14:textId="77777777" w:rsidR="002264E7" w:rsidRPr="00166042" w:rsidRDefault="002264E7" w:rsidP="00C11DAA">
      <w:pPr>
        <w:spacing w:line="480" w:lineRule="auto"/>
        <w:jc w:val="both"/>
        <w:rPr>
          <w:rFonts w:asciiTheme="majorBidi" w:hAnsiTheme="majorBidi" w:cstheme="majorBidi"/>
          <w:sz w:val="22"/>
          <w:szCs w:val="22"/>
        </w:rPr>
      </w:pPr>
      <w:r w:rsidRPr="00166042">
        <w:rPr>
          <w:rFonts w:asciiTheme="majorBidi" w:hAnsiTheme="majorBidi" w:cstheme="majorBidi"/>
          <w:sz w:val="22"/>
          <w:szCs w:val="22"/>
        </w:rPr>
        <w:t xml:space="preserve">Medicamento      </w:t>
      </w:r>
      <w:r>
        <w:rPr>
          <w:rFonts w:asciiTheme="majorBidi" w:hAnsiTheme="majorBidi" w:cstheme="majorBidi"/>
          <w:sz w:val="22"/>
          <w:szCs w:val="22"/>
        </w:rPr>
        <w:t xml:space="preserve"> </w:t>
      </w:r>
      <w:r w:rsidRPr="00166042">
        <w:rPr>
          <w:rFonts w:asciiTheme="majorBidi" w:hAnsiTheme="majorBidi" w:cstheme="majorBidi"/>
          <w:sz w:val="22"/>
          <w:szCs w:val="22"/>
        </w:rPr>
        <w:t xml:space="preserve"> Vía        </w:t>
      </w:r>
      <w:r>
        <w:rPr>
          <w:rFonts w:asciiTheme="majorBidi" w:hAnsiTheme="majorBidi" w:cstheme="majorBidi"/>
          <w:sz w:val="22"/>
          <w:szCs w:val="22"/>
        </w:rPr>
        <w:t xml:space="preserve"> </w:t>
      </w:r>
      <w:r w:rsidRPr="00166042">
        <w:rPr>
          <w:rFonts w:asciiTheme="majorBidi" w:hAnsiTheme="majorBidi" w:cstheme="majorBidi"/>
          <w:sz w:val="22"/>
          <w:szCs w:val="22"/>
        </w:rPr>
        <w:t xml:space="preserve"> Indicación E</w:t>
      </w:r>
      <w:r>
        <w:rPr>
          <w:rFonts w:asciiTheme="majorBidi" w:hAnsiTheme="majorBidi" w:cstheme="majorBidi"/>
          <w:sz w:val="22"/>
          <w:szCs w:val="22"/>
        </w:rPr>
        <w:t>E</w:t>
      </w:r>
      <w:r w:rsidRPr="00166042">
        <w:rPr>
          <w:rFonts w:asciiTheme="majorBidi" w:hAnsiTheme="majorBidi" w:cstheme="majorBidi"/>
          <w:sz w:val="22"/>
          <w:szCs w:val="22"/>
        </w:rPr>
        <w:t>U</w:t>
      </w:r>
      <w:r>
        <w:rPr>
          <w:rFonts w:asciiTheme="majorBidi" w:hAnsiTheme="majorBidi" w:cstheme="majorBidi"/>
          <w:sz w:val="22"/>
          <w:szCs w:val="22"/>
        </w:rPr>
        <w:t>U</w:t>
      </w:r>
      <w:r w:rsidRPr="00166042">
        <w:rPr>
          <w:rFonts w:asciiTheme="majorBidi" w:hAnsiTheme="majorBidi" w:cstheme="majorBidi"/>
          <w:sz w:val="22"/>
          <w:szCs w:val="22"/>
        </w:rPr>
        <w:t xml:space="preserve">    </w:t>
      </w:r>
      <w:r>
        <w:rPr>
          <w:rFonts w:asciiTheme="majorBidi" w:hAnsiTheme="majorBidi" w:cstheme="majorBidi"/>
          <w:sz w:val="22"/>
          <w:szCs w:val="22"/>
        </w:rPr>
        <w:t xml:space="preserve">  </w:t>
      </w:r>
      <w:r w:rsidRPr="00166042">
        <w:rPr>
          <w:rFonts w:asciiTheme="majorBidi" w:hAnsiTheme="majorBidi" w:cstheme="majorBidi"/>
          <w:sz w:val="22"/>
          <w:szCs w:val="22"/>
        </w:rPr>
        <w:t xml:space="preserve">    Indicación USA               Toxicidad    </w:t>
      </w:r>
    </w:p>
    <w:p w14:paraId="32DAC76B" w14:textId="77777777" w:rsidR="002264E7" w:rsidRPr="00166042" w:rsidRDefault="002264E7" w:rsidP="00C11DAA">
      <w:pPr>
        <w:spacing w:line="480" w:lineRule="auto"/>
        <w:jc w:val="both"/>
        <w:rPr>
          <w:rFonts w:asciiTheme="majorBidi" w:hAnsiTheme="majorBidi" w:cstheme="majorBidi"/>
          <w:sz w:val="22"/>
          <w:szCs w:val="22"/>
        </w:rPr>
      </w:pPr>
      <w:r w:rsidRPr="00166042">
        <w:rPr>
          <w:rFonts w:asciiTheme="majorBidi" w:hAnsiTheme="majorBidi" w:cstheme="majorBidi"/>
          <w:sz w:val="22"/>
          <w:szCs w:val="22"/>
        </w:rPr>
        <w:t xml:space="preserve">______________________________________________________________________ </w:t>
      </w:r>
    </w:p>
    <w:p w14:paraId="0E21173C" w14:textId="1D4288F7" w:rsidR="002264E7" w:rsidRPr="00166042" w:rsidRDefault="002264E7" w:rsidP="00C11DAA">
      <w:pPr>
        <w:spacing w:line="480" w:lineRule="auto"/>
        <w:jc w:val="both"/>
        <w:rPr>
          <w:rFonts w:asciiTheme="majorBidi" w:hAnsiTheme="majorBidi" w:cstheme="majorBidi"/>
          <w:sz w:val="22"/>
          <w:szCs w:val="22"/>
        </w:rPr>
      </w:pPr>
      <w:r w:rsidRPr="00166042">
        <w:rPr>
          <w:rFonts w:asciiTheme="majorBidi" w:hAnsiTheme="majorBidi" w:cstheme="majorBidi"/>
          <w:sz w:val="22"/>
          <w:szCs w:val="22"/>
        </w:rPr>
        <w:t xml:space="preserve">Bortezomib         IV, SC       </w:t>
      </w:r>
      <w:r w:rsidR="00970CF8">
        <w:rPr>
          <w:rFonts w:asciiTheme="majorBidi" w:hAnsiTheme="majorBidi" w:cstheme="majorBidi"/>
          <w:sz w:val="22"/>
          <w:szCs w:val="22"/>
        </w:rPr>
        <w:t xml:space="preserve">   </w:t>
      </w:r>
      <w:r w:rsidRPr="00166042">
        <w:rPr>
          <w:rFonts w:asciiTheme="majorBidi" w:hAnsiTheme="majorBidi" w:cstheme="majorBidi"/>
          <w:sz w:val="22"/>
          <w:szCs w:val="22"/>
        </w:rPr>
        <w:t xml:space="preserve">Monoterapia               MM                        </w:t>
      </w:r>
      <w:r>
        <w:rPr>
          <w:rFonts w:asciiTheme="majorBidi" w:hAnsiTheme="majorBidi" w:cstheme="majorBidi"/>
          <w:sz w:val="22"/>
          <w:szCs w:val="22"/>
        </w:rPr>
        <w:t xml:space="preserve">     </w:t>
      </w:r>
      <w:r w:rsidRPr="00166042">
        <w:rPr>
          <w:rFonts w:asciiTheme="majorBidi" w:hAnsiTheme="majorBidi" w:cstheme="majorBidi"/>
          <w:sz w:val="22"/>
          <w:szCs w:val="22"/>
        </w:rPr>
        <w:t>Neurotoxicidad</w:t>
      </w:r>
    </w:p>
    <w:p w14:paraId="26851797" w14:textId="77777777" w:rsidR="002264E7" w:rsidRPr="00166042" w:rsidRDefault="002264E7" w:rsidP="00C11DAA">
      <w:pPr>
        <w:spacing w:line="480" w:lineRule="auto"/>
        <w:jc w:val="both"/>
        <w:rPr>
          <w:rFonts w:asciiTheme="majorBidi" w:hAnsiTheme="majorBidi" w:cstheme="majorBidi"/>
          <w:sz w:val="22"/>
          <w:szCs w:val="22"/>
        </w:rPr>
      </w:pPr>
      <w:r w:rsidRPr="00166042">
        <w:rPr>
          <w:rFonts w:asciiTheme="majorBidi" w:hAnsiTheme="majorBidi" w:cstheme="majorBidi"/>
          <w:sz w:val="22"/>
          <w:szCs w:val="22"/>
        </w:rPr>
        <w:tab/>
      </w:r>
      <w:r w:rsidRPr="00166042">
        <w:rPr>
          <w:rFonts w:asciiTheme="majorBidi" w:hAnsiTheme="majorBidi" w:cstheme="majorBidi"/>
          <w:sz w:val="22"/>
          <w:szCs w:val="22"/>
        </w:rPr>
        <w:tab/>
      </w:r>
      <w:r w:rsidRPr="00166042">
        <w:rPr>
          <w:rFonts w:asciiTheme="majorBidi" w:hAnsiTheme="majorBidi" w:cstheme="majorBidi"/>
          <w:sz w:val="22"/>
          <w:szCs w:val="22"/>
        </w:rPr>
        <w:tab/>
      </w:r>
      <w:r w:rsidRPr="00166042">
        <w:rPr>
          <w:rFonts w:asciiTheme="majorBidi" w:hAnsiTheme="majorBidi" w:cstheme="majorBidi"/>
          <w:sz w:val="22"/>
          <w:szCs w:val="22"/>
        </w:rPr>
        <w:tab/>
        <w:t>Con Dexa</w:t>
      </w:r>
    </w:p>
    <w:p w14:paraId="5AE6B792" w14:textId="77777777" w:rsidR="002264E7" w:rsidRPr="00166042" w:rsidRDefault="002264E7" w:rsidP="00C11DAA">
      <w:pPr>
        <w:spacing w:line="480" w:lineRule="auto"/>
        <w:jc w:val="both"/>
        <w:rPr>
          <w:rFonts w:asciiTheme="majorBidi" w:hAnsiTheme="majorBidi" w:cstheme="majorBidi"/>
          <w:sz w:val="22"/>
          <w:szCs w:val="22"/>
        </w:rPr>
      </w:pPr>
      <w:r w:rsidRPr="00166042">
        <w:rPr>
          <w:rFonts w:asciiTheme="majorBidi" w:hAnsiTheme="majorBidi" w:cstheme="majorBidi"/>
          <w:sz w:val="22"/>
          <w:szCs w:val="22"/>
        </w:rPr>
        <w:tab/>
      </w:r>
      <w:r w:rsidRPr="00166042">
        <w:rPr>
          <w:rFonts w:asciiTheme="majorBidi" w:hAnsiTheme="majorBidi" w:cstheme="majorBidi"/>
          <w:sz w:val="22"/>
          <w:szCs w:val="22"/>
        </w:rPr>
        <w:tab/>
      </w:r>
      <w:r w:rsidRPr="00166042">
        <w:rPr>
          <w:rFonts w:asciiTheme="majorBidi" w:hAnsiTheme="majorBidi" w:cstheme="majorBidi"/>
          <w:sz w:val="22"/>
          <w:szCs w:val="22"/>
        </w:rPr>
        <w:tab/>
      </w:r>
      <w:r w:rsidRPr="00166042">
        <w:rPr>
          <w:rFonts w:asciiTheme="majorBidi" w:hAnsiTheme="majorBidi" w:cstheme="majorBidi"/>
          <w:sz w:val="22"/>
          <w:szCs w:val="22"/>
        </w:rPr>
        <w:tab/>
        <w:t>Con Poma</w:t>
      </w:r>
    </w:p>
    <w:p w14:paraId="601D5353" w14:textId="1C8D1E03" w:rsidR="002264E7" w:rsidRPr="00166042" w:rsidRDefault="002264E7" w:rsidP="00C11DAA">
      <w:pPr>
        <w:spacing w:line="480" w:lineRule="auto"/>
        <w:jc w:val="both"/>
        <w:rPr>
          <w:rFonts w:asciiTheme="majorBidi" w:hAnsiTheme="majorBidi" w:cstheme="majorBidi"/>
          <w:sz w:val="22"/>
          <w:szCs w:val="22"/>
        </w:rPr>
      </w:pPr>
      <w:r w:rsidRPr="00166042">
        <w:rPr>
          <w:rFonts w:asciiTheme="majorBidi" w:hAnsiTheme="majorBidi" w:cstheme="majorBidi"/>
          <w:sz w:val="22"/>
          <w:szCs w:val="22"/>
        </w:rPr>
        <w:t xml:space="preserve">Carfilzomib             IV            </w:t>
      </w:r>
      <w:r w:rsidRPr="00166042">
        <w:rPr>
          <w:rFonts w:asciiTheme="majorBidi" w:hAnsiTheme="majorBidi" w:cstheme="majorBidi"/>
          <w:sz w:val="22"/>
          <w:szCs w:val="22"/>
        </w:rPr>
        <w:tab/>
        <w:t>Con Dexa</w:t>
      </w:r>
      <w:r w:rsidRPr="00166042">
        <w:rPr>
          <w:rFonts w:asciiTheme="majorBidi" w:hAnsiTheme="majorBidi" w:cstheme="majorBidi"/>
          <w:sz w:val="22"/>
          <w:szCs w:val="22"/>
        </w:rPr>
        <w:tab/>
        <w:t xml:space="preserve">   Monoterapia         </w:t>
      </w:r>
      <w:r>
        <w:rPr>
          <w:rFonts w:asciiTheme="majorBidi" w:hAnsiTheme="majorBidi" w:cstheme="majorBidi"/>
          <w:sz w:val="22"/>
          <w:szCs w:val="22"/>
        </w:rPr>
        <w:t xml:space="preserve">        </w:t>
      </w:r>
      <w:r w:rsidR="00970CF8">
        <w:rPr>
          <w:rFonts w:asciiTheme="majorBidi" w:hAnsiTheme="majorBidi" w:cstheme="majorBidi"/>
          <w:sz w:val="22"/>
          <w:szCs w:val="22"/>
        </w:rPr>
        <w:t xml:space="preserve">   </w:t>
      </w:r>
      <w:r w:rsidRPr="00166042">
        <w:rPr>
          <w:rFonts w:asciiTheme="majorBidi" w:hAnsiTheme="majorBidi" w:cstheme="majorBidi"/>
          <w:sz w:val="22"/>
          <w:szCs w:val="22"/>
        </w:rPr>
        <w:t>Cardiotoxicidad</w:t>
      </w:r>
    </w:p>
    <w:p w14:paraId="60127795" w14:textId="77777777" w:rsidR="002264E7" w:rsidRPr="00166042" w:rsidRDefault="002264E7" w:rsidP="00C11DAA">
      <w:pPr>
        <w:spacing w:line="480" w:lineRule="auto"/>
        <w:jc w:val="both"/>
        <w:rPr>
          <w:rFonts w:asciiTheme="majorBidi" w:hAnsiTheme="majorBidi" w:cstheme="majorBidi"/>
          <w:sz w:val="22"/>
          <w:szCs w:val="22"/>
        </w:rPr>
      </w:pPr>
      <w:r w:rsidRPr="00166042">
        <w:rPr>
          <w:rFonts w:asciiTheme="majorBidi" w:hAnsiTheme="majorBidi" w:cstheme="majorBidi"/>
          <w:sz w:val="22"/>
          <w:szCs w:val="22"/>
        </w:rPr>
        <w:tab/>
      </w:r>
      <w:r w:rsidRPr="00166042">
        <w:rPr>
          <w:rFonts w:asciiTheme="majorBidi" w:hAnsiTheme="majorBidi" w:cstheme="majorBidi"/>
          <w:sz w:val="22"/>
          <w:szCs w:val="22"/>
        </w:rPr>
        <w:tab/>
        <w:t xml:space="preserve">                       Con Lena+Dexa     Con Dexa (1-3)</w:t>
      </w:r>
    </w:p>
    <w:p w14:paraId="3F828691" w14:textId="77777777" w:rsidR="002264E7" w:rsidRPr="00166042" w:rsidRDefault="002264E7" w:rsidP="00C11DAA">
      <w:pPr>
        <w:spacing w:line="480" w:lineRule="auto"/>
        <w:jc w:val="both"/>
        <w:rPr>
          <w:rFonts w:asciiTheme="majorBidi" w:hAnsiTheme="majorBidi" w:cstheme="majorBidi"/>
          <w:sz w:val="22"/>
          <w:szCs w:val="22"/>
        </w:rPr>
      </w:pPr>
      <w:r w:rsidRPr="00166042">
        <w:rPr>
          <w:rFonts w:asciiTheme="majorBidi" w:hAnsiTheme="majorBidi" w:cstheme="majorBidi"/>
          <w:sz w:val="22"/>
          <w:szCs w:val="22"/>
        </w:rPr>
        <w:tab/>
      </w:r>
      <w:r w:rsidRPr="00166042">
        <w:rPr>
          <w:rFonts w:asciiTheme="majorBidi" w:hAnsiTheme="majorBidi" w:cstheme="majorBidi"/>
          <w:sz w:val="22"/>
          <w:szCs w:val="22"/>
        </w:rPr>
        <w:tab/>
      </w:r>
      <w:r w:rsidRPr="00166042">
        <w:rPr>
          <w:rFonts w:asciiTheme="majorBidi" w:hAnsiTheme="majorBidi" w:cstheme="majorBidi"/>
          <w:sz w:val="22"/>
          <w:szCs w:val="22"/>
        </w:rPr>
        <w:tab/>
      </w:r>
      <w:r w:rsidRPr="00166042">
        <w:rPr>
          <w:rFonts w:asciiTheme="majorBidi" w:hAnsiTheme="majorBidi" w:cstheme="majorBidi"/>
          <w:sz w:val="22"/>
          <w:szCs w:val="22"/>
        </w:rPr>
        <w:tab/>
      </w:r>
      <w:r w:rsidRPr="00166042">
        <w:rPr>
          <w:rFonts w:asciiTheme="majorBidi" w:hAnsiTheme="majorBidi" w:cstheme="majorBidi"/>
          <w:sz w:val="22"/>
          <w:szCs w:val="22"/>
        </w:rPr>
        <w:tab/>
      </w:r>
      <w:r w:rsidRPr="00166042">
        <w:rPr>
          <w:rFonts w:asciiTheme="majorBidi" w:hAnsiTheme="majorBidi" w:cstheme="majorBidi"/>
          <w:sz w:val="22"/>
          <w:szCs w:val="22"/>
        </w:rPr>
        <w:tab/>
        <w:t xml:space="preserve">  </w:t>
      </w:r>
      <w:r>
        <w:rPr>
          <w:rFonts w:asciiTheme="majorBidi" w:hAnsiTheme="majorBidi" w:cstheme="majorBidi"/>
          <w:sz w:val="22"/>
          <w:szCs w:val="22"/>
        </w:rPr>
        <w:t xml:space="preserve"> </w:t>
      </w:r>
      <w:r w:rsidRPr="00166042">
        <w:rPr>
          <w:rFonts w:asciiTheme="majorBidi" w:hAnsiTheme="majorBidi" w:cstheme="majorBidi"/>
          <w:sz w:val="22"/>
          <w:szCs w:val="22"/>
        </w:rPr>
        <w:t>Con Lena+Dexa (1-3)</w:t>
      </w:r>
    </w:p>
    <w:p w14:paraId="0D7130AF" w14:textId="6CC507FE" w:rsidR="002264E7" w:rsidRPr="00166042" w:rsidRDefault="002264E7" w:rsidP="00C11DAA">
      <w:pPr>
        <w:spacing w:line="480" w:lineRule="auto"/>
        <w:jc w:val="both"/>
        <w:rPr>
          <w:rFonts w:asciiTheme="majorBidi" w:hAnsiTheme="majorBidi" w:cstheme="majorBidi"/>
          <w:sz w:val="22"/>
          <w:szCs w:val="22"/>
        </w:rPr>
      </w:pPr>
      <w:r>
        <w:rPr>
          <w:rFonts w:asciiTheme="majorBidi" w:hAnsiTheme="majorBidi" w:cstheme="majorBidi"/>
          <w:sz w:val="22"/>
          <w:szCs w:val="22"/>
        </w:rPr>
        <w:t xml:space="preserve">Ixazomib </w:t>
      </w:r>
      <w:r>
        <w:rPr>
          <w:rFonts w:asciiTheme="majorBidi" w:hAnsiTheme="majorBidi" w:cstheme="majorBidi"/>
          <w:sz w:val="22"/>
          <w:szCs w:val="22"/>
        </w:rPr>
        <w:tab/>
        <w:t xml:space="preserve">     </w:t>
      </w:r>
      <w:r w:rsidRPr="00166042">
        <w:rPr>
          <w:rFonts w:asciiTheme="majorBidi" w:hAnsiTheme="majorBidi" w:cstheme="majorBidi"/>
          <w:sz w:val="22"/>
          <w:szCs w:val="22"/>
        </w:rPr>
        <w:t xml:space="preserve">Oral     </w:t>
      </w:r>
      <w:r>
        <w:rPr>
          <w:rFonts w:asciiTheme="majorBidi" w:hAnsiTheme="majorBidi" w:cstheme="majorBidi"/>
          <w:sz w:val="22"/>
          <w:szCs w:val="22"/>
        </w:rPr>
        <w:t xml:space="preserve">     </w:t>
      </w:r>
      <w:r w:rsidRPr="00166042">
        <w:rPr>
          <w:rFonts w:asciiTheme="majorBidi" w:hAnsiTheme="majorBidi" w:cstheme="majorBidi"/>
          <w:sz w:val="22"/>
          <w:szCs w:val="22"/>
        </w:rPr>
        <w:t xml:space="preserve">Con Lena+Dexa      Con Lena+Dexa        </w:t>
      </w:r>
      <w:r>
        <w:rPr>
          <w:rFonts w:asciiTheme="majorBidi" w:hAnsiTheme="majorBidi" w:cstheme="majorBidi"/>
          <w:sz w:val="22"/>
          <w:szCs w:val="22"/>
        </w:rPr>
        <w:t xml:space="preserve">    </w:t>
      </w:r>
      <w:r w:rsidR="00970CF8">
        <w:rPr>
          <w:rFonts w:asciiTheme="majorBidi" w:hAnsiTheme="majorBidi" w:cstheme="majorBidi"/>
          <w:sz w:val="22"/>
          <w:szCs w:val="22"/>
        </w:rPr>
        <w:t xml:space="preserve">   </w:t>
      </w:r>
      <w:r w:rsidRPr="00166042">
        <w:rPr>
          <w:rFonts w:asciiTheme="majorBidi" w:hAnsiTheme="majorBidi" w:cstheme="majorBidi"/>
          <w:sz w:val="22"/>
          <w:szCs w:val="22"/>
        </w:rPr>
        <w:t>Mielosupresión</w:t>
      </w:r>
    </w:p>
    <w:p w14:paraId="4A657267" w14:textId="1EF2F3A4" w:rsidR="002264E7" w:rsidRDefault="002264E7" w:rsidP="00C11DAA">
      <w:pPr>
        <w:spacing w:line="480" w:lineRule="auto"/>
        <w:jc w:val="both"/>
        <w:rPr>
          <w:rFonts w:asciiTheme="majorBidi" w:hAnsiTheme="majorBidi" w:cstheme="majorBidi"/>
        </w:rPr>
      </w:pPr>
      <w:r w:rsidRPr="006F296D">
        <w:rPr>
          <w:rFonts w:asciiTheme="majorBidi" w:hAnsiTheme="majorBidi" w:cstheme="majorBidi"/>
        </w:rPr>
        <w:lastRenderedPageBreak/>
        <w:t>______________________________________________________________________</w:t>
      </w:r>
      <w:r>
        <w:rPr>
          <w:rFonts w:asciiTheme="majorBidi" w:hAnsiTheme="majorBidi" w:cstheme="majorBidi"/>
        </w:rPr>
        <w:t xml:space="preserve">Tabla </w:t>
      </w:r>
      <w:r w:rsidRPr="006F296D">
        <w:rPr>
          <w:rFonts w:asciiTheme="majorBidi" w:hAnsiTheme="majorBidi" w:cstheme="majorBidi"/>
        </w:rPr>
        <w:t>5</w:t>
      </w:r>
      <w:r>
        <w:rPr>
          <w:rFonts w:asciiTheme="majorBidi" w:hAnsiTheme="majorBidi" w:cstheme="majorBidi"/>
        </w:rPr>
        <w:t>. Inhibidores del proteosoma utilizados en terapia de rescate en MM.</w:t>
      </w:r>
    </w:p>
    <w:p w14:paraId="6979A701" w14:textId="77777777" w:rsidR="00477F72" w:rsidRDefault="00477F72" w:rsidP="00C11DAA">
      <w:pPr>
        <w:spacing w:line="480" w:lineRule="auto"/>
        <w:jc w:val="both"/>
        <w:rPr>
          <w:rFonts w:asciiTheme="majorBidi" w:hAnsiTheme="majorBidi" w:cstheme="majorBidi"/>
        </w:rPr>
      </w:pPr>
    </w:p>
    <w:tbl>
      <w:tblPr>
        <w:tblStyle w:val="Tablaconcuadrcula"/>
        <w:tblW w:w="8732" w:type="dxa"/>
        <w:tblLayout w:type="fixed"/>
        <w:tblLook w:val="04A0" w:firstRow="1" w:lastRow="0" w:firstColumn="1" w:lastColumn="0" w:noHBand="0" w:noVBand="1"/>
      </w:tblPr>
      <w:tblGrid>
        <w:gridCol w:w="3421"/>
        <w:gridCol w:w="5311"/>
      </w:tblGrid>
      <w:tr w:rsidR="003D4ADD" w14:paraId="78F69ACE" w14:textId="77777777" w:rsidTr="00BA2F28">
        <w:tc>
          <w:tcPr>
            <w:tcW w:w="3421" w:type="dxa"/>
          </w:tcPr>
          <w:p w14:paraId="6269A56A" w14:textId="77777777" w:rsidR="003B03F1" w:rsidRDefault="003B03F1" w:rsidP="00C11DAA">
            <w:pPr>
              <w:jc w:val="both"/>
              <w:rPr>
                <w:rFonts w:asciiTheme="majorBidi" w:hAnsiTheme="majorBidi" w:cstheme="majorBidi"/>
              </w:rPr>
            </w:pPr>
            <w:r>
              <w:rPr>
                <w:rFonts w:asciiTheme="majorBidi" w:hAnsiTheme="majorBidi" w:cstheme="majorBidi"/>
              </w:rPr>
              <w:t xml:space="preserve">Bortezomib/Dexametasona y combinaciones </w:t>
            </w:r>
          </w:p>
          <w:p w14:paraId="09FBC913" w14:textId="77777777" w:rsidR="001C7470" w:rsidRDefault="001C7470" w:rsidP="00C11DAA">
            <w:pPr>
              <w:jc w:val="both"/>
              <w:rPr>
                <w:rFonts w:asciiTheme="majorBidi" w:hAnsiTheme="majorBidi" w:cstheme="majorBidi"/>
              </w:rPr>
            </w:pPr>
          </w:p>
          <w:p w14:paraId="1B5D9128" w14:textId="77777777" w:rsidR="001C7470" w:rsidRDefault="001C7470" w:rsidP="00C11DAA">
            <w:pPr>
              <w:jc w:val="both"/>
              <w:rPr>
                <w:rFonts w:asciiTheme="majorBidi" w:hAnsiTheme="majorBidi" w:cstheme="majorBidi"/>
              </w:rPr>
            </w:pPr>
          </w:p>
          <w:p w14:paraId="6F96684C" w14:textId="77777777" w:rsidR="001C7470" w:rsidRDefault="001C7470" w:rsidP="00C11DAA">
            <w:pPr>
              <w:jc w:val="both"/>
              <w:rPr>
                <w:rFonts w:asciiTheme="majorBidi" w:hAnsiTheme="majorBidi" w:cstheme="majorBidi"/>
              </w:rPr>
            </w:pPr>
          </w:p>
          <w:p w14:paraId="6A8A0F26" w14:textId="10B05783" w:rsidR="001C7470" w:rsidRDefault="001C7470" w:rsidP="00C11DAA">
            <w:pPr>
              <w:jc w:val="both"/>
              <w:rPr>
                <w:rFonts w:asciiTheme="majorBidi" w:hAnsiTheme="majorBidi" w:cstheme="majorBidi"/>
              </w:rPr>
            </w:pPr>
          </w:p>
        </w:tc>
        <w:tc>
          <w:tcPr>
            <w:tcW w:w="5311" w:type="dxa"/>
          </w:tcPr>
          <w:p w14:paraId="38A37316" w14:textId="03E30A56" w:rsidR="0021680B" w:rsidRPr="0021680B" w:rsidRDefault="006F6D18" w:rsidP="00C11DAA">
            <w:pPr>
              <w:jc w:val="both"/>
              <w:rPr>
                <w:rFonts w:asciiTheme="majorBidi" w:hAnsiTheme="majorBidi" w:cstheme="majorBidi"/>
                <w:lang w:val="es-ES_tradnl"/>
              </w:rPr>
            </w:pPr>
            <w:r>
              <w:rPr>
                <w:rFonts w:asciiTheme="majorBidi" w:hAnsiTheme="majorBidi" w:cstheme="majorBidi"/>
              </w:rPr>
              <w:t>Bortezomib 1,3 mg/m2 SC o IV dí</w:t>
            </w:r>
            <w:r w:rsidR="0021680B">
              <w:rPr>
                <w:rFonts w:asciiTheme="majorBidi" w:hAnsiTheme="majorBidi" w:cstheme="majorBidi"/>
              </w:rPr>
              <w:t xml:space="preserve">as 1,4,8 y 11; dexametasona </w:t>
            </w:r>
            <w:r w:rsidR="0021680B" w:rsidRPr="0021680B">
              <w:rPr>
                <w:rFonts w:asciiTheme="majorBidi" w:hAnsiTheme="majorBidi" w:cstheme="majorBidi"/>
                <w:lang w:val="es-ES_tradnl"/>
              </w:rPr>
              <w:t>1, 2, 4, 5, 8, 9, 11, and 12</w:t>
            </w:r>
            <w:r w:rsidR="0021680B">
              <w:rPr>
                <w:rFonts w:asciiTheme="majorBidi" w:hAnsiTheme="majorBidi" w:cstheme="majorBidi"/>
                <w:lang w:val="es-ES_tradnl"/>
              </w:rPr>
              <w:t>.</w:t>
            </w:r>
          </w:p>
          <w:p w14:paraId="0E244DEC" w14:textId="52C19EDF" w:rsidR="006F6D18" w:rsidRDefault="006F6D18" w:rsidP="00C11DAA">
            <w:pPr>
              <w:jc w:val="both"/>
              <w:rPr>
                <w:rFonts w:asciiTheme="majorBidi" w:hAnsiTheme="majorBidi" w:cstheme="majorBidi"/>
              </w:rPr>
            </w:pPr>
          </w:p>
          <w:p w14:paraId="21CE0E69" w14:textId="77777777" w:rsidR="006F6D18" w:rsidRDefault="006F6D18" w:rsidP="00C11DAA">
            <w:pPr>
              <w:jc w:val="both"/>
              <w:rPr>
                <w:rFonts w:asciiTheme="majorBidi" w:hAnsiTheme="majorBidi" w:cstheme="majorBidi"/>
              </w:rPr>
            </w:pPr>
          </w:p>
          <w:p w14:paraId="4D741280" w14:textId="33DD0FC1" w:rsidR="003D4ADD" w:rsidRDefault="00007726" w:rsidP="00C11DAA">
            <w:pPr>
              <w:jc w:val="both"/>
              <w:rPr>
                <w:rFonts w:asciiTheme="majorBidi" w:hAnsiTheme="majorBidi" w:cstheme="majorBidi"/>
              </w:rPr>
            </w:pPr>
            <w:r>
              <w:rPr>
                <w:rFonts w:asciiTheme="majorBidi" w:hAnsiTheme="majorBidi" w:cstheme="majorBidi"/>
              </w:rPr>
              <w:t xml:space="preserve">Bortezomib </w:t>
            </w:r>
            <w:r w:rsidR="001C7470">
              <w:rPr>
                <w:rFonts w:asciiTheme="majorBidi" w:hAnsiTheme="majorBidi" w:cstheme="majorBidi"/>
              </w:rPr>
              <w:t xml:space="preserve">1,3 mg/m2 SC o IV días 1, 8 y 15, lenalidomida 25 mg 1 al 14, adultos frágiles dosis de 15 mg, dexametasona 40 mg días 1, 8 y 15 en pacientes frágiles 20 mg. </w:t>
            </w:r>
          </w:p>
        </w:tc>
      </w:tr>
      <w:tr w:rsidR="003D4ADD" w14:paraId="10284351" w14:textId="77777777" w:rsidTr="00BA2F28">
        <w:tc>
          <w:tcPr>
            <w:tcW w:w="3421" w:type="dxa"/>
          </w:tcPr>
          <w:p w14:paraId="5819F65C" w14:textId="260E0EC7" w:rsidR="003D4ADD" w:rsidRDefault="003B03F1" w:rsidP="00C11DAA">
            <w:pPr>
              <w:jc w:val="both"/>
              <w:rPr>
                <w:rFonts w:asciiTheme="majorBidi" w:hAnsiTheme="majorBidi" w:cstheme="majorBidi"/>
              </w:rPr>
            </w:pPr>
            <w:r>
              <w:rPr>
                <w:rFonts w:asciiTheme="majorBidi" w:hAnsiTheme="majorBidi" w:cstheme="majorBidi"/>
              </w:rPr>
              <w:t>Carfilzomib/Dexametasona</w:t>
            </w:r>
          </w:p>
          <w:p w14:paraId="49385609" w14:textId="77777777" w:rsidR="003B03F1" w:rsidRDefault="003B03F1" w:rsidP="00C11DAA">
            <w:pPr>
              <w:jc w:val="both"/>
              <w:rPr>
                <w:rFonts w:asciiTheme="majorBidi" w:hAnsiTheme="majorBidi" w:cstheme="majorBidi"/>
              </w:rPr>
            </w:pPr>
          </w:p>
          <w:p w14:paraId="1149850B" w14:textId="77777777" w:rsidR="003B03F1" w:rsidRDefault="003B03F1" w:rsidP="00C11DAA">
            <w:pPr>
              <w:jc w:val="both"/>
              <w:rPr>
                <w:rFonts w:asciiTheme="majorBidi" w:hAnsiTheme="majorBidi" w:cstheme="majorBidi"/>
              </w:rPr>
            </w:pPr>
          </w:p>
          <w:p w14:paraId="69F238A1" w14:textId="77777777" w:rsidR="002750A6" w:rsidRDefault="002750A6" w:rsidP="00C11DAA">
            <w:pPr>
              <w:jc w:val="both"/>
              <w:rPr>
                <w:rFonts w:asciiTheme="majorBidi" w:hAnsiTheme="majorBidi" w:cstheme="majorBidi"/>
              </w:rPr>
            </w:pPr>
          </w:p>
          <w:p w14:paraId="0C737480" w14:textId="77777777" w:rsidR="002750A6" w:rsidRDefault="002750A6" w:rsidP="00C11DAA">
            <w:pPr>
              <w:jc w:val="both"/>
              <w:rPr>
                <w:rFonts w:asciiTheme="majorBidi" w:hAnsiTheme="majorBidi" w:cstheme="majorBidi"/>
              </w:rPr>
            </w:pPr>
          </w:p>
          <w:p w14:paraId="4448F737" w14:textId="77777777" w:rsidR="002750A6" w:rsidRDefault="002750A6" w:rsidP="00C11DAA">
            <w:pPr>
              <w:jc w:val="both"/>
              <w:rPr>
                <w:rFonts w:asciiTheme="majorBidi" w:hAnsiTheme="majorBidi" w:cstheme="majorBidi"/>
              </w:rPr>
            </w:pPr>
          </w:p>
          <w:p w14:paraId="4C81AE71" w14:textId="77777777" w:rsidR="003B03F1" w:rsidRDefault="003B03F1" w:rsidP="00C11DAA">
            <w:pPr>
              <w:jc w:val="both"/>
              <w:rPr>
                <w:rFonts w:asciiTheme="majorBidi" w:hAnsiTheme="majorBidi" w:cstheme="majorBidi"/>
              </w:rPr>
            </w:pPr>
            <w:r>
              <w:rPr>
                <w:rFonts w:asciiTheme="majorBidi" w:hAnsiTheme="majorBidi" w:cstheme="majorBidi"/>
              </w:rPr>
              <w:t>Carfilzomib/Lenanalidomida</w:t>
            </w:r>
          </w:p>
          <w:p w14:paraId="68756BE6" w14:textId="0459A716" w:rsidR="003B03F1" w:rsidRDefault="003B03F1" w:rsidP="00C11DAA">
            <w:pPr>
              <w:jc w:val="both"/>
              <w:rPr>
                <w:rFonts w:asciiTheme="majorBidi" w:hAnsiTheme="majorBidi" w:cstheme="majorBidi"/>
              </w:rPr>
            </w:pPr>
            <w:r>
              <w:rPr>
                <w:rFonts w:asciiTheme="majorBidi" w:hAnsiTheme="majorBidi" w:cstheme="majorBidi"/>
              </w:rPr>
              <w:t xml:space="preserve">Dexametasona </w:t>
            </w:r>
          </w:p>
        </w:tc>
        <w:tc>
          <w:tcPr>
            <w:tcW w:w="5311" w:type="dxa"/>
          </w:tcPr>
          <w:p w14:paraId="6EAA729B" w14:textId="6D72D8C0" w:rsidR="003D4ADD" w:rsidRDefault="00007726" w:rsidP="00C11DAA">
            <w:pPr>
              <w:jc w:val="both"/>
              <w:rPr>
                <w:rFonts w:asciiTheme="majorBidi" w:hAnsiTheme="majorBidi" w:cstheme="majorBidi"/>
              </w:rPr>
            </w:pPr>
            <w:r>
              <w:rPr>
                <w:rFonts w:asciiTheme="majorBidi" w:hAnsiTheme="majorBidi" w:cstheme="majorBidi"/>
              </w:rPr>
              <w:t>Carfizomib 20 mg</w:t>
            </w:r>
            <w:r w:rsidR="002750A6">
              <w:rPr>
                <w:rFonts w:asciiTheme="majorBidi" w:hAnsiTheme="majorBidi" w:cstheme="majorBidi"/>
              </w:rPr>
              <w:t>/m2 días 1 y 2</w:t>
            </w:r>
            <w:r>
              <w:rPr>
                <w:rFonts w:asciiTheme="majorBidi" w:hAnsiTheme="majorBidi" w:cstheme="majorBidi"/>
              </w:rPr>
              <w:t xml:space="preserve"> </w:t>
            </w:r>
            <w:r w:rsidR="002750A6">
              <w:rPr>
                <w:rFonts w:asciiTheme="majorBidi" w:hAnsiTheme="majorBidi" w:cstheme="majorBidi"/>
              </w:rPr>
              <w:t>del ciclo 1</w:t>
            </w:r>
            <w:r>
              <w:rPr>
                <w:rFonts w:asciiTheme="majorBidi" w:hAnsiTheme="majorBidi" w:cstheme="majorBidi"/>
              </w:rPr>
              <w:t xml:space="preserve">  seguido de 56 mg </w:t>
            </w:r>
            <w:r w:rsidR="0021680B">
              <w:rPr>
                <w:rFonts w:asciiTheme="majorBidi" w:hAnsiTheme="majorBidi" w:cstheme="majorBidi"/>
              </w:rPr>
              <w:t xml:space="preserve">días </w:t>
            </w:r>
            <w:r w:rsidR="002750A6">
              <w:rPr>
                <w:rFonts w:asciiTheme="majorBidi" w:hAnsiTheme="majorBidi" w:cstheme="majorBidi"/>
              </w:rPr>
              <w:t xml:space="preserve">de ahí en adelante. 56 mg /m2 en infusión de 30 minutos en días 1,2,8,9,15,16; dexametasona 20 mg  en días  1,2,8,9,15,16, 22, 23 de un ciclo de 28 días. </w:t>
            </w:r>
          </w:p>
          <w:p w14:paraId="1BFB8917" w14:textId="77777777" w:rsidR="00007726" w:rsidRDefault="00007726" w:rsidP="00C11DAA">
            <w:pPr>
              <w:jc w:val="both"/>
              <w:rPr>
                <w:rFonts w:asciiTheme="majorBidi" w:hAnsiTheme="majorBidi" w:cstheme="majorBidi"/>
              </w:rPr>
            </w:pPr>
          </w:p>
          <w:p w14:paraId="1BC6F6AC" w14:textId="77777777" w:rsidR="00007726" w:rsidRDefault="00007726" w:rsidP="00C11DAA">
            <w:pPr>
              <w:jc w:val="both"/>
              <w:rPr>
                <w:rFonts w:asciiTheme="majorBidi" w:hAnsiTheme="majorBidi" w:cstheme="majorBidi"/>
              </w:rPr>
            </w:pPr>
          </w:p>
          <w:p w14:paraId="7BB95614" w14:textId="7F74BC25" w:rsidR="00007726" w:rsidRDefault="009953D3" w:rsidP="00C11DAA">
            <w:pPr>
              <w:jc w:val="both"/>
              <w:rPr>
                <w:rFonts w:asciiTheme="majorBidi" w:hAnsiTheme="majorBidi" w:cstheme="majorBidi"/>
              </w:rPr>
            </w:pPr>
            <w:r>
              <w:rPr>
                <w:rFonts w:asciiTheme="majorBidi" w:hAnsiTheme="majorBidi" w:cstheme="majorBidi"/>
              </w:rPr>
              <w:t>Carfilzomib 20 mg/m2 los día 1 y 2 del ciclo 1 y 27 mg/m2 de ahí en adelante. Se administra los días 1,2,8,9,15,16, ciclos 1 al 12 y los días 1, 2,15 y 16 de los ciclos 13 sal 18 despues de lo cual se descontinua; lenalidomida 25 mg días 1 al 21, dexametasona 1, 8, 15 y 22</w:t>
            </w:r>
          </w:p>
        </w:tc>
      </w:tr>
      <w:tr w:rsidR="003D4ADD" w14:paraId="3537B4A7" w14:textId="77777777" w:rsidTr="00BA2F28">
        <w:tc>
          <w:tcPr>
            <w:tcW w:w="3421" w:type="dxa"/>
          </w:tcPr>
          <w:p w14:paraId="089498E3" w14:textId="77777777" w:rsidR="009953D3" w:rsidRDefault="009953D3" w:rsidP="00C11DAA">
            <w:pPr>
              <w:jc w:val="both"/>
              <w:rPr>
                <w:rFonts w:asciiTheme="majorBidi" w:hAnsiTheme="majorBidi" w:cstheme="majorBidi"/>
              </w:rPr>
            </w:pPr>
          </w:p>
          <w:p w14:paraId="2036A4F4" w14:textId="6B62D75D" w:rsidR="003B03F1" w:rsidRDefault="003B03F1" w:rsidP="00C11DAA">
            <w:pPr>
              <w:jc w:val="both"/>
              <w:rPr>
                <w:rFonts w:asciiTheme="majorBidi" w:hAnsiTheme="majorBidi" w:cstheme="majorBidi"/>
              </w:rPr>
            </w:pPr>
            <w:r>
              <w:rPr>
                <w:rFonts w:asciiTheme="majorBidi" w:hAnsiTheme="majorBidi" w:cstheme="majorBidi"/>
              </w:rPr>
              <w:t>Ixazomib/Lenalidomida/</w:t>
            </w:r>
          </w:p>
          <w:p w14:paraId="08CD8B70" w14:textId="49ED09DD" w:rsidR="003D4ADD" w:rsidRDefault="003B03F1" w:rsidP="00C11DAA">
            <w:pPr>
              <w:jc w:val="both"/>
              <w:rPr>
                <w:rFonts w:asciiTheme="majorBidi" w:hAnsiTheme="majorBidi" w:cstheme="majorBidi"/>
              </w:rPr>
            </w:pPr>
            <w:r>
              <w:rPr>
                <w:rFonts w:asciiTheme="majorBidi" w:hAnsiTheme="majorBidi" w:cstheme="majorBidi"/>
              </w:rPr>
              <w:t>Dexametasona TOURMALINE MM1</w:t>
            </w:r>
            <w:r w:rsidR="003D4ADD">
              <w:rPr>
                <w:rFonts w:asciiTheme="majorBidi" w:hAnsiTheme="majorBidi" w:cstheme="majorBidi"/>
              </w:rPr>
              <w:t xml:space="preserve"> </w:t>
            </w:r>
          </w:p>
        </w:tc>
        <w:tc>
          <w:tcPr>
            <w:tcW w:w="5311" w:type="dxa"/>
          </w:tcPr>
          <w:p w14:paraId="47B9DF3B" w14:textId="77777777" w:rsidR="009953D3" w:rsidRDefault="009953D3" w:rsidP="00C11DAA">
            <w:pPr>
              <w:jc w:val="both"/>
              <w:rPr>
                <w:rFonts w:asciiTheme="majorBidi" w:hAnsiTheme="majorBidi" w:cstheme="majorBidi"/>
              </w:rPr>
            </w:pPr>
          </w:p>
          <w:p w14:paraId="506B08A6" w14:textId="1A4206C7" w:rsidR="003D4ADD" w:rsidRDefault="003B03F1" w:rsidP="00C11DAA">
            <w:pPr>
              <w:jc w:val="both"/>
              <w:rPr>
                <w:rFonts w:asciiTheme="majorBidi" w:hAnsiTheme="majorBidi" w:cstheme="majorBidi"/>
              </w:rPr>
            </w:pPr>
            <w:r>
              <w:rPr>
                <w:rFonts w:asciiTheme="majorBidi" w:hAnsiTheme="majorBidi" w:cstheme="majorBidi"/>
              </w:rPr>
              <w:t xml:space="preserve">Ixazomib 4 mg oral días 1, 8 y 15, Lenalidomida 25 mg oral días 1 al 21, adultos frágiles 15 mg,  </w:t>
            </w:r>
            <w:r w:rsidR="003D4ADD">
              <w:rPr>
                <w:rFonts w:asciiTheme="majorBidi" w:hAnsiTheme="majorBidi" w:cstheme="majorBidi"/>
              </w:rPr>
              <w:t xml:space="preserve"> </w:t>
            </w:r>
            <w:r>
              <w:rPr>
                <w:rFonts w:asciiTheme="majorBidi" w:hAnsiTheme="majorBidi" w:cstheme="majorBidi"/>
              </w:rPr>
              <w:t>40 mg oral o IV en nuestro medio días 1, 8, 15 y 22</w:t>
            </w:r>
          </w:p>
        </w:tc>
      </w:tr>
    </w:tbl>
    <w:p w14:paraId="1331F08C" w14:textId="77777777" w:rsidR="008E6132" w:rsidRDefault="008E6132" w:rsidP="00C11DAA">
      <w:pPr>
        <w:jc w:val="both"/>
        <w:rPr>
          <w:rFonts w:asciiTheme="majorBidi" w:hAnsiTheme="majorBidi" w:cstheme="majorBidi"/>
        </w:rPr>
      </w:pPr>
    </w:p>
    <w:p w14:paraId="71C0CB26" w14:textId="0AE0CB88" w:rsidR="003D4ADD" w:rsidRDefault="003D4ADD" w:rsidP="00C11DAA">
      <w:pPr>
        <w:jc w:val="both"/>
        <w:rPr>
          <w:rFonts w:asciiTheme="majorBidi" w:hAnsiTheme="majorBidi" w:cstheme="majorBidi"/>
        </w:rPr>
      </w:pPr>
      <w:r>
        <w:rPr>
          <w:rFonts w:asciiTheme="majorBidi" w:hAnsiTheme="majorBidi" w:cstheme="majorBidi"/>
        </w:rPr>
        <w:t xml:space="preserve">Tabla 6. Esquemas de rescate que incluyen Inhibidores del proteosoma </w:t>
      </w:r>
    </w:p>
    <w:p w14:paraId="246B235F" w14:textId="77777777" w:rsidR="003D4ADD" w:rsidRDefault="003D4ADD" w:rsidP="00C11DAA">
      <w:pPr>
        <w:spacing w:line="480" w:lineRule="auto"/>
        <w:jc w:val="both"/>
        <w:rPr>
          <w:rFonts w:asciiTheme="majorBidi" w:hAnsiTheme="majorBidi" w:cstheme="majorBidi"/>
        </w:rPr>
      </w:pPr>
    </w:p>
    <w:p w14:paraId="2E85EAAD" w14:textId="466BE2EB" w:rsidR="00D54A66" w:rsidRPr="00086B73" w:rsidRDefault="003D4ADD" w:rsidP="00C11DAA">
      <w:pPr>
        <w:spacing w:line="480" w:lineRule="auto"/>
        <w:jc w:val="both"/>
        <w:rPr>
          <w:rFonts w:asciiTheme="majorBidi" w:hAnsiTheme="majorBidi" w:cstheme="majorBidi"/>
          <w:i/>
          <w:iCs/>
        </w:rPr>
      </w:pPr>
      <w:r w:rsidRPr="00086B73">
        <w:rPr>
          <w:rFonts w:asciiTheme="majorBidi" w:hAnsiTheme="majorBidi" w:cstheme="majorBidi"/>
          <w:i/>
          <w:iCs/>
        </w:rPr>
        <w:t xml:space="preserve">Inmunomoduladores </w:t>
      </w:r>
    </w:p>
    <w:p w14:paraId="6288C098" w14:textId="365F7A67" w:rsidR="00D54A66" w:rsidRDefault="00086B73" w:rsidP="00C11DAA">
      <w:pPr>
        <w:spacing w:line="480" w:lineRule="auto"/>
        <w:jc w:val="both"/>
        <w:rPr>
          <w:rFonts w:asciiTheme="majorBidi" w:hAnsiTheme="majorBidi" w:cstheme="majorBidi"/>
        </w:rPr>
      </w:pPr>
      <w:r>
        <w:rPr>
          <w:rFonts w:asciiTheme="majorBidi" w:hAnsiTheme="majorBidi" w:cstheme="majorBidi"/>
        </w:rPr>
        <w:t xml:space="preserve">Son tres los </w:t>
      </w:r>
      <w:r w:rsidR="00970CF8">
        <w:rPr>
          <w:rFonts w:asciiTheme="majorBidi" w:hAnsiTheme="majorBidi" w:cstheme="majorBidi"/>
        </w:rPr>
        <w:t>Inmunomoduladores disponibles</w:t>
      </w:r>
      <w:r w:rsidR="008633A0">
        <w:rPr>
          <w:rFonts w:asciiTheme="majorBidi" w:hAnsiTheme="majorBidi" w:cstheme="majorBidi"/>
        </w:rPr>
        <w:t xml:space="preserve"> para el tratamiento de rescate del MM. Se ha demostrado mayor efectividad de Lenalidomida y Pomalidomida sobre talidomida por lo que se recomienda su uso sobre la primera. </w:t>
      </w:r>
    </w:p>
    <w:p w14:paraId="53E70E33" w14:textId="2801E842" w:rsidR="008633A0" w:rsidRDefault="008633A0" w:rsidP="00C11DAA">
      <w:pPr>
        <w:spacing w:line="480" w:lineRule="auto"/>
        <w:jc w:val="both"/>
        <w:rPr>
          <w:rFonts w:asciiTheme="majorBidi" w:hAnsiTheme="majorBidi" w:cstheme="majorBidi"/>
        </w:rPr>
      </w:pPr>
      <w:r>
        <w:rPr>
          <w:rFonts w:asciiTheme="majorBidi" w:hAnsiTheme="majorBidi" w:cstheme="majorBidi"/>
        </w:rPr>
        <w:t xml:space="preserve">La lenalidomida </w:t>
      </w:r>
      <w:r w:rsidR="00970CF8">
        <w:rPr>
          <w:rFonts w:asciiTheme="majorBidi" w:hAnsiTheme="majorBidi" w:cstheme="majorBidi"/>
        </w:rPr>
        <w:t xml:space="preserve">ha demostrado actividad sola o en combinación con dexametasona. Actualmente la combinación con dexametasona es el pilar del tratamiento de varios esquemas de rescate. El esquema </w:t>
      </w:r>
      <w:r w:rsidR="006B4DE2">
        <w:rPr>
          <w:rFonts w:asciiTheme="majorBidi" w:hAnsiTheme="majorBidi" w:cstheme="majorBidi"/>
        </w:rPr>
        <w:t>más</w:t>
      </w:r>
      <w:r w:rsidR="00970CF8">
        <w:rPr>
          <w:rFonts w:asciiTheme="majorBidi" w:hAnsiTheme="majorBidi" w:cstheme="majorBidi"/>
        </w:rPr>
        <w:t xml:space="preserve"> frecuentemente usado en el pasado cuando no se tenía opción de combinarlo con otros agentes disponibles en la actualidad </w:t>
      </w:r>
      <w:r w:rsidR="000E2763">
        <w:rPr>
          <w:rFonts w:asciiTheme="majorBidi" w:hAnsiTheme="majorBidi" w:cstheme="majorBidi"/>
        </w:rPr>
        <w:t xml:space="preserve">era la combinación de Lenalidomida con </w:t>
      </w:r>
      <w:r w:rsidR="008C1D9D">
        <w:rPr>
          <w:rFonts w:asciiTheme="majorBidi" w:hAnsiTheme="majorBidi" w:cstheme="majorBidi"/>
        </w:rPr>
        <w:t xml:space="preserve">altas dosis de </w:t>
      </w:r>
      <w:r w:rsidR="000E2763">
        <w:rPr>
          <w:rFonts w:asciiTheme="majorBidi" w:hAnsiTheme="majorBidi" w:cstheme="majorBidi"/>
        </w:rPr>
        <w:t xml:space="preserve">Dexametasona con datos derivados de </w:t>
      </w:r>
      <w:r w:rsidR="000E2763">
        <w:rPr>
          <w:rFonts w:asciiTheme="majorBidi" w:hAnsiTheme="majorBidi" w:cstheme="majorBidi"/>
        </w:rPr>
        <w:lastRenderedPageBreak/>
        <w:t>dos estudios fase 3 (MM-009 y MM-010)</w:t>
      </w:r>
      <w:r w:rsidR="008C1D9D">
        <w:rPr>
          <w:rFonts w:asciiTheme="majorBidi" w:hAnsiTheme="majorBidi" w:cstheme="majorBidi"/>
        </w:rPr>
        <w:t xml:space="preserve">. No </w:t>
      </w:r>
      <w:r w:rsidR="004059DA">
        <w:rPr>
          <w:rFonts w:asciiTheme="majorBidi" w:hAnsiTheme="majorBidi" w:cstheme="majorBidi"/>
        </w:rPr>
        <w:t xml:space="preserve">obstante </w:t>
      </w:r>
      <w:r w:rsidR="008C1D9D">
        <w:rPr>
          <w:rFonts w:asciiTheme="majorBidi" w:hAnsiTheme="majorBidi" w:cstheme="majorBidi"/>
        </w:rPr>
        <w:t xml:space="preserve">lo anterior, la combinación con dosis bajas de </w:t>
      </w:r>
      <w:r w:rsidR="00891FF1">
        <w:rPr>
          <w:rFonts w:asciiTheme="majorBidi" w:hAnsiTheme="majorBidi" w:cstheme="majorBidi"/>
        </w:rPr>
        <w:t>dexametasona demostró tener mejor superviv</w:t>
      </w:r>
      <w:r w:rsidR="00432E8A">
        <w:rPr>
          <w:rFonts w:asciiTheme="majorBidi" w:hAnsiTheme="majorBidi" w:cstheme="majorBidi"/>
        </w:rPr>
        <w:t>encia global y menor toxicidad</w:t>
      </w:r>
      <w:r w:rsidR="004059DA">
        <w:rPr>
          <w:rFonts w:asciiTheme="majorBidi" w:hAnsiTheme="majorBidi" w:cstheme="majorBidi"/>
        </w:rPr>
        <w:t xml:space="preserve">. Hay que tener en cuenta que este estudio fue conducido en pacientes con MM de reciente diagnóstico, pero se recomienda que en el rescate se usen dosis bajas sobre las dosis altas de esteroides. La toxicidad más frecuente es la hematológica con neutropenia hasta en un 40%. Hay preocupación sobre la posibilidad de desarrollar segundas neoplasias que está alrededor de 3.62 eventos por 100 pacientes año. La lenalidomida se excreta vía renal por lo cual debe usarse con precaución en el escenario de falla renal dado el riesgo de Mielosupresión. </w:t>
      </w:r>
    </w:p>
    <w:p w14:paraId="36885A6D" w14:textId="77777777" w:rsidR="004059DA" w:rsidRDefault="004059DA" w:rsidP="00C11DAA">
      <w:pPr>
        <w:spacing w:line="480" w:lineRule="auto"/>
        <w:jc w:val="both"/>
        <w:rPr>
          <w:rFonts w:asciiTheme="majorBidi" w:hAnsiTheme="majorBidi" w:cstheme="majorBidi"/>
        </w:rPr>
      </w:pPr>
    </w:p>
    <w:p w14:paraId="6C37EB97" w14:textId="2A696148" w:rsidR="004059DA" w:rsidRDefault="004059DA" w:rsidP="00C11DAA">
      <w:pPr>
        <w:spacing w:line="480" w:lineRule="auto"/>
        <w:jc w:val="both"/>
        <w:rPr>
          <w:rFonts w:asciiTheme="majorBidi" w:hAnsiTheme="majorBidi" w:cstheme="majorBidi"/>
        </w:rPr>
      </w:pPr>
      <w:r>
        <w:rPr>
          <w:rFonts w:asciiTheme="majorBidi" w:hAnsiTheme="majorBidi" w:cstheme="majorBidi"/>
        </w:rPr>
        <w:t xml:space="preserve">La Pomalidomida con dosis bajas de dexametasona ha mostrado </w:t>
      </w:r>
      <w:r w:rsidR="006547D5">
        <w:rPr>
          <w:rFonts w:asciiTheme="majorBidi" w:hAnsiTheme="majorBidi" w:cstheme="majorBidi"/>
        </w:rPr>
        <w:t xml:space="preserve">efectividad en el escenario de MMRR.  La tasa de respuesta es de aproximadamente 60%, 30% de los pacientes fueron refractarios a la lenalidomida en el estudio y 25% doble </w:t>
      </w:r>
      <w:r w:rsidR="00D463FB">
        <w:rPr>
          <w:rFonts w:asciiTheme="majorBidi" w:hAnsiTheme="majorBidi" w:cstheme="majorBidi"/>
        </w:rPr>
        <w:t>refractarios</w:t>
      </w:r>
      <w:r w:rsidR="006547D5">
        <w:rPr>
          <w:rFonts w:asciiTheme="majorBidi" w:hAnsiTheme="majorBidi" w:cstheme="majorBidi"/>
        </w:rPr>
        <w:t xml:space="preserve"> considerando refractariedad también al Bortezomib.</w:t>
      </w:r>
      <w:r w:rsidR="00C36063">
        <w:rPr>
          <w:rFonts w:asciiTheme="majorBidi" w:hAnsiTheme="majorBidi" w:cstheme="majorBidi"/>
        </w:rPr>
        <w:t xml:space="preserve"> La combinación con ciclofosfamida puede incrementar la tasa de respuesta</w:t>
      </w:r>
      <w:r w:rsidR="00B96100">
        <w:rPr>
          <w:rFonts w:asciiTheme="majorBidi" w:hAnsiTheme="majorBidi" w:cstheme="majorBidi"/>
        </w:rPr>
        <w:t xml:space="preserve">. En </w:t>
      </w:r>
      <w:r w:rsidR="0083711F">
        <w:rPr>
          <w:rFonts w:asciiTheme="majorBidi" w:hAnsiTheme="majorBidi" w:cstheme="majorBidi"/>
        </w:rPr>
        <w:t>un estudio pequeñ</w:t>
      </w:r>
      <w:r w:rsidR="00B96100">
        <w:rPr>
          <w:rFonts w:asciiTheme="majorBidi" w:hAnsiTheme="majorBidi" w:cstheme="majorBidi"/>
        </w:rPr>
        <w:t xml:space="preserve">o </w:t>
      </w:r>
      <w:r w:rsidR="0083711F">
        <w:rPr>
          <w:rFonts w:asciiTheme="majorBidi" w:hAnsiTheme="majorBidi" w:cstheme="majorBidi"/>
        </w:rPr>
        <w:t>fase 2, la combinación con ciclofosfamida resulto en mejor respuesta y tendencia a la mejoría en supervivencia libre de progresión.</w:t>
      </w:r>
      <w:r w:rsidR="004544D6">
        <w:rPr>
          <w:rFonts w:asciiTheme="majorBidi" w:hAnsiTheme="majorBidi" w:cstheme="majorBidi"/>
        </w:rPr>
        <w:t xml:space="preserve"> Los beneficios en este esquema de tratamiento se consideran marginales por lo que su uso debe verse con precaución dado el costo del medicamento.</w:t>
      </w:r>
      <w:r w:rsidR="0083711F">
        <w:rPr>
          <w:rFonts w:asciiTheme="majorBidi" w:hAnsiTheme="majorBidi" w:cstheme="majorBidi"/>
        </w:rPr>
        <w:t xml:space="preserve"> La trombo-profilaxis se ofreció a los </w:t>
      </w:r>
      <w:r w:rsidR="001C7470">
        <w:rPr>
          <w:rFonts w:asciiTheme="majorBidi" w:hAnsiTheme="majorBidi" w:cstheme="majorBidi"/>
        </w:rPr>
        <w:t>pacientes,</w:t>
      </w:r>
      <w:r w:rsidR="0083711F">
        <w:rPr>
          <w:rFonts w:asciiTheme="majorBidi" w:hAnsiTheme="majorBidi" w:cstheme="majorBidi"/>
        </w:rPr>
        <w:t xml:space="preserve"> </w:t>
      </w:r>
      <w:r w:rsidR="001C7470">
        <w:rPr>
          <w:rFonts w:asciiTheme="majorBidi" w:hAnsiTheme="majorBidi" w:cstheme="majorBidi"/>
        </w:rPr>
        <w:t>pero eventos</w:t>
      </w:r>
      <w:r w:rsidR="0083711F">
        <w:rPr>
          <w:rFonts w:asciiTheme="majorBidi" w:hAnsiTheme="majorBidi" w:cstheme="majorBidi"/>
        </w:rPr>
        <w:t xml:space="preserve"> severos ocurrieron en un 4%. </w:t>
      </w:r>
      <w:r w:rsidR="001C7470">
        <w:rPr>
          <w:rFonts w:asciiTheme="majorBidi" w:hAnsiTheme="majorBidi" w:cstheme="majorBidi"/>
        </w:rPr>
        <w:t xml:space="preserve">Otra opción de tratamiento es la combinación con Daramumumab lo cual se mostrará más adelante. </w:t>
      </w:r>
    </w:p>
    <w:p w14:paraId="20AD7A80" w14:textId="77777777" w:rsidR="004544D6" w:rsidRDefault="004544D6" w:rsidP="00C11DAA">
      <w:pPr>
        <w:spacing w:line="480" w:lineRule="auto"/>
        <w:jc w:val="both"/>
        <w:rPr>
          <w:rFonts w:asciiTheme="majorBidi" w:hAnsiTheme="majorBidi" w:cstheme="majorBidi"/>
        </w:rPr>
      </w:pPr>
    </w:p>
    <w:tbl>
      <w:tblPr>
        <w:tblStyle w:val="Tablaconcuadrcula"/>
        <w:tblW w:w="8732" w:type="dxa"/>
        <w:tblLayout w:type="fixed"/>
        <w:tblLook w:val="04A0" w:firstRow="1" w:lastRow="0" w:firstColumn="1" w:lastColumn="0" w:noHBand="0" w:noVBand="1"/>
      </w:tblPr>
      <w:tblGrid>
        <w:gridCol w:w="3421"/>
        <w:gridCol w:w="5311"/>
      </w:tblGrid>
      <w:tr w:rsidR="009953D3" w14:paraId="5BA50502" w14:textId="77777777" w:rsidTr="00BA2F28">
        <w:tc>
          <w:tcPr>
            <w:tcW w:w="3421" w:type="dxa"/>
          </w:tcPr>
          <w:p w14:paraId="79C21A5C" w14:textId="3AA54F7D" w:rsidR="009953D3" w:rsidRDefault="009953D3" w:rsidP="00C11DAA">
            <w:pPr>
              <w:jc w:val="both"/>
              <w:rPr>
                <w:rFonts w:asciiTheme="majorBidi" w:hAnsiTheme="majorBidi" w:cstheme="majorBidi"/>
              </w:rPr>
            </w:pPr>
            <w:r>
              <w:rPr>
                <w:rFonts w:asciiTheme="majorBidi" w:hAnsiTheme="majorBidi" w:cstheme="majorBidi"/>
              </w:rPr>
              <w:t xml:space="preserve">Lenalidomida/Dexametasona  </w:t>
            </w:r>
          </w:p>
          <w:p w14:paraId="267A4717" w14:textId="77777777" w:rsidR="009953D3" w:rsidRDefault="009953D3" w:rsidP="00C11DAA">
            <w:pPr>
              <w:jc w:val="both"/>
              <w:rPr>
                <w:rFonts w:asciiTheme="majorBidi" w:hAnsiTheme="majorBidi" w:cstheme="majorBidi"/>
              </w:rPr>
            </w:pPr>
          </w:p>
          <w:p w14:paraId="32A154C0" w14:textId="77777777" w:rsidR="009953D3" w:rsidRDefault="009953D3" w:rsidP="00C11DAA">
            <w:pPr>
              <w:jc w:val="both"/>
              <w:rPr>
                <w:rFonts w:asciiTheme="majorBidi" w:hAnsiTheme="majorBidi" w:cstheme="majorBidi"/>
              </w:rPr>
            </w:pPr>
          </w:p>
        </w:tc>
        <w:tc>
          <w:tcPr>
            <w:tcW w:w="5311" w:type="dxa"/>
          </w:tcPr>
          <w:p w14:paraId="2C2CA4D1" w14:textId="0F2A0D87" w:rsidR="009953D3" w:rsidRDefault="009953D3" w:rsidP="00C11DAA">
            <w:pPr>
              <w:jc w:val="both"/>
              <w:rPr>
                <w:rFonts w:asciiTheme="majorBidi" w:hAnsiTheme="majorBidi" w:cstheme="majorBidi"/>
              </w:rPr>
            </w:pPr>
            <w:r>
              <w:rPr>
                <w:rFonts w:asciiTheme="majorBidi" w:hAnsiTheme="majorBidi" w:cstheme="majorBidi"/>
              </w:rPr>
              <w:t>Lenalidomida 25 mg oral días 1 al 21; dexametasona 40 mg oral 40 mg días 1, 8, 15, 22 en un ciclo de 28 días. Considerar ajuste en mayores de 75 años frágiles a 15 mg de lenalidomida y 20 mg de dexametasona.</w:t>
            </w:r>
          </w:p>
          <w:p w14:paraId="06BEAAA4" w14:textId="7DF0B38D" w:rsidR="009953D3" w:rsidRDefault="009953D3" w:rsidP="00C11DAA">
            <w:pPr>
              <w:jc w:val="both"/>
              <w:rPr>
                <w:rFonts w:asciiTheme="majorBidi" w:hAnsiTheme="majorBidi" w:cstheme="majorBidi"/>
              </w:rPr>
            </w:pPr>
          </w:p>
        </w:tc>
      </w:tr>
      <w:tr w:rsidR="009953D3" w14:paraId="2A27DF28" w14:textId="77777777" w:rsidTr="00BA2F28">
        <w:tc>
          <w:tcPr>
            <w:tcW w:w="3421" w:type="dxa"/>
          </w:tcPr>
          <w:p w14:paraId="260E98BE" w14:textId="56EECBA8" w:rsidR="009953D3" w:rsidRDefault="009953D3" w:rsidP="00C11DAA">
            <w:pPr>
              <w:jc w:val="both"/>
              <w:rPr>
                <w:rFonts w:asciiTheme="majorBidi" w:hAnsiTheme="majorBidi" w:cstheme="majorBidi"/>
              </w:rPr>
            </w:pPr>
            <w:r>
              <w:rPr>
                <w:rFonts w:asciiTheme="majorBidi" w:hAnsiTheme="majorBidi" w:cstheme="majorBidi"/>
              </w:rPr>
              <w:t xml:space="preserve">Pomalidomida/Dexametasona </w:t>
            </w:r>
          </w:p>
          <w:p w14:paraId="28219374" w14:textId="77777777" w:rsidR="009953D3" w:rsidRDefault="009953D3" w:rsidP="00C11DAA">
            <w:pPr>
              <w:jc w:val="both"/>
              <w:rPr>
                <w:rFonts w:asciiTheme="majorBidi" w:hAnsiTheme="majorBidi" w:cstheme="majorBidi"/>
              </w:rPr>
            </w:pPr>
          </w:p>
          <w:p w14:paraId="2B229BB7" w14:textId="77777777" w:rsidR="009953D3" w:rsidRDefault="009953D3" w:rsidP="00C11DAA">
            <w:pPr>
              <w:jc w:val="both"/>
              <w:rPr>
                <w:rFonts w:asciiTheme="majorBidi" w:hAnsiTheme="majorBidi" w:cstheme="majorBidi"/>
              </w:rPr>
            </w:pPr>
          </w:p>
          <w:p w14:paraId="02717DAB" w14:textId="77777777" w:rsidR="009953D3" w:rsidRDefault="009953D3" w:rsidP="00C11DAA">
            <w:pPr>
              <w:jc w:val="both"/>
              <w:rPr>
                <w:rFonts w:asciiTheme="majorBidi" w:hAnsiTheme="majorBidi" w:cstheme="majorBidi"/>
              </w:rPr>
            </w:pPr>
            <w:r>
              <w:rPr>
                <w:rFonts w:asciiTheme="majorBidi" w:hAnsiTheme="majorBidi" w:cstheme="majorBidi"/>
              </w:rPr>
              <w:t>Pomalidomida/ciclofosfamida/</w:t>
            </w:r>
          </w:p>
          <w:p w14:paraId="7651873D" w14:textId="2207D144" w:rsidR="009953D3" w:rsidRDefault="009953D3" w:rsidP="00C11DAA">
            <w:pPr>
              <w:jc w:val="both"/>
              <w:rPr>
                <w:rFonts w:asciiTheme="majorBidi" w:hAnsiTheme="majorBidi" w:cstheme="majorBidi"/>
              </w:rPr>
            </w:pPr>
            <w:r>
              <w:rPr>
                <w:rFonts w:asciiTheme="majorBidi" w:hAnsiTheme="majorBidi" w:cstheme="majorBidi"/>
              </w:rPr>
              <w:t xml:space="preserve">Dexametasona </w:t>
            </w:r>
          </w:p>
        </w:tc>
        <w:tc>
          <w:tcPr>
            <w:tcW w:w="5311" w:type="dxa"/>
          </w:tcPr>
          <w:p w14:paraId="3F4FC81B" w14:textId="1B1A033D" w:rsidR="009953D3" w:rsidRDefault="00446769" w:rsidP="00C11DAA">
            <w:pPr>
              <w:jc w:val="both"/>
              <w:rPr>
                <w:rFonts w:asciiTheme="majorBidi" w:hAnsiTheme="majorBidi" w:cstheme="majorBidi"/>
              </w:rPr>
            </w:pPr>
            <w:r>
              <w:rPr>
                <w:rFonts w:asciiTheme="majorBidi" w:hAnsiTheme="majorBidi" w:cstheme="majorBidi"/>
              </w:rPr>
              <w:lastRenderedPageBreak/>
              <w:t xml:space="preserve">Pomalidomida 4 mg día 1 al 21; </w:t>
            </w:r>
            <w:r w:rsidR="004544D6">
              <w:rPr>
                <w:rFonts w:asciiTheme="majorBidi" w:hAnsiTheme="majorBidi" w:cstheme="majorBidi"/>
              </w:rPr>
              <w:t xml:space="preserve">dexametasona 40 mg 1,8,15 y 22. </w:t>
            </w:r>
          </w:p>
          <w:p w14:paraId="72BC8D0C" w14:textId="77777777" w:rsidR="00D377AF" w:rsidRDefault="00D377AF" w:rsidP="00C11DAA">
            <w:pPr>
              <w:jc w:val="both"/>
              <w:rPr>
                <w:rFonts w:asciiTheme="majorBidi" w:hAnsiTheme="majorBidi" w:cstheme="majorBidi"/>
              </w:rPr>
            </w:pPr>
          </w:p>
          <w:p w14:paraId="56D450AD" w14:textId="467BEC03" w:rsidR="00D377AF" w:rsidRDefault="00D377AF" w:rsidP="00C11DAA">
            <w:pPr>
              <w:jc w:val="both"/>
              <w:rPr>
                <w:rFonts w:asciiTheme="majorBidi" w:hAnsiTheme="majorBidi" w:cstheme="majorBidi"/>
              </w:rPr>
            </w:pPr>
            <w:r>
              <w:rPr>
                <w:rFonts w:asciiTheme="majorBidi" w:hAnsiTheme="majorBidi" w:cstheme="majorBidi"/>
              </w:rPr>
              <w:t>Pomalidomida 4 mg día 1 al 21; ciclofosfamida  400 mg oral días 1,8 y 15; dexametasona 40 mg 1,8,15 y 22.</w:t>
            </w:r>
          </w:p>
        </w:tc>
      </w:tr>
    </w:tbl>
    <w:p w14:paraId="44606E27" w14:textId="77777777" w:rsidR="009953D3" w:rsidRDefault="009953D3" w:rsidP="00C11DAA">
      <w:pPr>
        <w:jc w:val="both"/>
        <w:rPr>
          <w:rFonts w:asciiTheme="majorBidi" w:hAnsiTheme="majorBidi" w:cstheme="majorBidi"/>
        </w:rPr>
      </w:pPr>
    </w:p>
    <w:p w14:paraId="426EB844" w14:textId="1DECF20D" w:rsidR="009953D3" w:rsidRDefault="009953D3" w:rsidP="00C11DAA">
      <w:pPr>
        <w:jc w:val="both"/>
        <w:rPr>
          <w:rFonts w:asciiTheme="majorBidi" w:hAnsiTheme="majorBidi" w:cstheme="majorBidi"/>
        </w:rPr>
      </w:pPr>
      <w:r>
        <w:rPr>
          <w:rFonts w:asciiTheme="majorBidi" w:hAnsiTheme="majorBidi" w:cstheme="majorBidi"/>
        </w:rPr>
        <w:t xml:space="preserve">Tabla 7. Esquemas de rescate recomendados que incluyen Inmunomoduladores. </w:t>
      </w:r>
    </w:p>
    <w:p w14:paraId="40DD02D2" w14:textId="77777777" w:rsidR="009953D3" w:rsidRDefault="009953D3" w:rsidP="00C11DAA">
      <w:pPr>
        <w:spacing w:line="480" w:lineRule="auto"/>
        <w:jc w:val="both"/>
        <w:rPr>
          <w:rFonts w:asciiTheme="majorBidi" w:hAnsiTheme="majorBidi" w:cstheme="majorBidi"/>
        </w:rPr>
      </w:pPr>
    </w:p>
    <w:p w14:paraId="3C62E2BC" w14:textId="4FFAEDF6" w:rsidR="009953D3" w:rsidRPr="00D377AF" w:rsidRDefault="00D377AF" w:rsidP="00C11DAA">
      <w:pPr>
        <w:spacing w:line="480" w:lineRule="auto"/>
        <w:jc w:val="both"/>
        <w:rPr>
          <w:rFonts w:asciiTheme="majorBidi" w:hAnsiTheme="majorBidi" w:cstheme="majorBidi"/>
          <w:i/>
          <w:iCs/>
        </w:rPr>
      </w:pPr>
      <w:r w:rsidRPr="00D377AF">
        <w:rPr>
          <w:rFonts w:asciiTheme="majorBidi" w:hAnsiTheme="majorBidi" w:cstheme="majorBidi"/>
          <w:i/>
          <w:iCs/>
        </w:rPr>
        <w:t>Anticuerpos monoclonales</w:t>
      </w:r>
    </w:p>
    <w:p w14:paraId="6887D60C" w14:textId="776C6539" w:rsidR="00D377AF" w:rsidRDefault="006C3A1B" w:rsidP="00C11DAA">
      <w:pPr>
        <w:spacing w:line="480" w:lineRule="auto"/>
        <w:jc w:val="both"/>
        <w:rPr>
          <w:rFonts w:asciiTheme="majorBidi" w:hAnsiTheme="majorBidi" w:cstheme="majorBidi"/>
        </w:rPr>
      </w:pPr>
      <w:r>
        <w:rPr>
          <w:rFonts w:asciiTheme="majorBidi" w:hAnsiTheme="majorBidi" w:cstheme="majorBidi"/>
        </w:rPr>
        <w:t xml:space="preserve">El Daratumumab es un anticuerpo monoclonal dirigido contra el CD38 de los plasmocitos tumorales. Muchos autores recomiendan su uso en la primera recaída. </w:t>
      </w:r>
    </w:p>
    <w:p w14:paraId="172EBF45" w14:textId="7AC502E8" w:rsidR="006C3A1B" w:rsidRDefault="006C3A1B" w:rsidP="00C11DAA">
      <w:pPr>
        <w:spacing w:line="480" w:lineRule="auto"/>
        <w:jc w:val="both"/>
        <w:rPr>
          <w:rFonts w:asciiTheme="majorBidi" w:hAnsiTheme="majorBidi" w:cstheme="majorBidi"/>
        </w:rPr>
      </w:pPr>
      <w:r>
        <w:rPr>
          <w:rFonts w:asciiTheme="majorBidi" w:hAnsiTheme="majorBidi" w:cstheme="majorBidi"/>
        </w:rPr>
        <w:t xml:space="preserve">Se recomienda la combinación con lenalidomida y dexametasona en aquellos pacientes que no son refractarios a la lenalidomida en el momento de la primera recaída. Esto incluye pacientes quienes están sin terapia y los que recaen con pequeñas dosis de lenalidomida como agente único, esencialmente 10 mg o los pacientes que tienen Bortezomib en mantenimiento. </w:t>
      </w:r>
      <w:bookmarkStart w:id="0" w:name="_GoBack"/>
      <w:bookmarkEnd w:id="0"/>
    </w:p>
    <w:p w14:paraId="3A35AEC6" w14:textId="28299CBC" w:rsidR="006C3A1B" w:rsidRDefault="006C3A1B" w:rsidP="00C11DAA">
      <w:pPr>
        <w:spacing w:line="480" w:lineRule="auto"/>
        <w:jc w:val="both"/>
        <w:rPr>
          <w:rFonts w:asciiTheme="majorBidi" w:hAnsiTheme="majorBidi" w:cstheme="majorBidi"/>
        </w:rPr>
      </w:pPr>
      <w:r>
        <w:rPr>
          <w:rFonts w:asciiTheme="majorBidi" w:hAnsiTheme="majorBidi" w:cstheme="majorBidi"/>
        </w:rPr>
        <w:t xml:space="preserve">Se prefiere la combinación con Bortezomib para los pacientes que son refractarios a la lenalidomida en el momento de la primera recaída. Una alternativa es la combinación con Pomalidomida que se prefiere cuando hay doble refractariedad. </w:t>
      </w:r>
    </w:p>
    <w:p w14:paraId="6F90FC3D" w14:textId="212599A6" w:rsidR="006C3A1B" w:rsidRDefault="006C3A1B" w:rsidP="00C11DAA">
      <w:pPr>
        <w:spacing w:line="480" w:lineRule="auto"/>
        <w:jc w:val="both"/>
        <w:rPr>
          <w:rFonts w:asciiTheme="majorBidi" w:hAnsiTheme="majorBidi" w:cstheme="majorBidi"/>
        </w:rPr>
      </w:pPr>
      <w:r>
        <w:rPr>
          <w:rFonts w:asciiTheme="majorBidi" w:hAnsiTheme="majorBidi" w:cstheme="majorBidi"/>
        </w:rPr>
        <w:t xml:space="preserve">Los datos de Daratumumab como terapia de rescate provienen de los estudios POLLUX y CASTOR donde se ha demostrado mejores tasas de respuesta completa, respuesta parcial muy buena o mejor y respuesta completa o mejor. En el grupo de combinación con lenalidomida las respuestas se profundizan con el tiempo. Se ha demostrado mejor supervivencia libre de progresión, los datos de supervivencia global </w:t>
      </w:r>
      <w:r w:rsidR="00EE31B8">
        <w:rPr>
          <w:rFonts w:asciiTheme="majorBidi" w:hAnsiTheme="majorBidi" w:cstheme="majorBidi"/>
        </w:rPr>
        <w:t>aún</w:t>
      </w:r>
      <w:r>
        <w:rPr>
          <w:rFonts w:asciiTheme="majorBidi" w:hAnsiTheme="majorBidi" w:cstheme="majorBidi"/>
        </w:rPr>
        <w:t xml:space="preserve"> no están maduros. Las reacciones infusionales son frecuentes hasta en un 45% y se reportan en su gran mayoría durante la primera infusión. </w:t>
      </w:r>
    </w:p>
    <w:p w14:paraId="5E668CC3" w14:textId="77777777" w:rsidR="00924B2F" w:rsidRDefault="00924B2F" w:rsidP="00C11DAA">
      <w:pPr>
        <w:spacing w:line="480" w:lineRule="auto"/>
        <w:jc w:val="both"/>
        <w:rPr>
          <w:rFonts w:asciiTheme="majorBidi" w:hAnsiTheme="majorBidi" w:cstheme="majorBidi"/>
        </w:rPr>
      </w:pPr>
    </w:p>
    <w:p w14:paraId="3EF43443" w14:textId="1F32EE3B" w:rsidR="006E2FDC" w:rsidRDefault="006E2FDC" w:rsidP="00C11DAA">
      <w:pPr>
        <w:spacing w:line="480" w:lineRule="auto"/>
        <w:jc w:val="both"/>
        <w:rPr>
          <w:rFonts w:asciiTheme="majorBidi" w:hAnsiTheme="majorBidi" w:cstheme="majorBidi"/>
        </w:rPr>
      </w:pPr>
      <w:r>
        <w:rPr>
          <w:rFonts w:asciiTheme="majorBidi" w:hAnsiTheme="majorBidi" w:cstheme="majorBidi"/>
        </w:rPr>
        <w:t xml:space="preserve">Se ha usado también en monoterapia en pacientes multitratados, datos provenientes del estudio SIRIUS donde se trataron pacientes con una mediana de 5 líneas, la tasa de respuesta global fue de 29% con una mediana de tiempo a la respuesta de un mes. La </w:t>
      </w:r>
      <w:r>
        <w:rPr>
          <w:rFonts w:asciiTheme="majorBidi" w:hAnsiTheme="majorBidi" w:cstheme="majorBidi"/>
        </w:rPr>
        <w:lastRenderedPageBreak/>
        <w:t xml:space="preserve">supervivencia libre de progresión fue de tan solo 3.7 meses y la supervivencia global de 17.5 meses. </w:t>
      </w:r>
    </w:p>
    <w:p w14:paraId="7FEA1BA8" w14:textId="77777777" w:rsidR="00924B2F" w:rsidRDefault="00924B2F" w:rsidP="00C11DAA">
      <w:pPr>
        <w:spacing w:line="480" w:lineRule="auto"/>
        <w:jc w:val="both"/>
        <w:rPr>
          <w:rFonts w:asciiTheme="majorBidi" w:hAnsiTheme="majorBidi" w:cstheme="majorBidi"/>
        </w:rPr>
      </w:pPr>
    </w:p>
    <w:p w14:paraId="6FEB773C" w14:textId="5333EE25" w:rsidR="006E2FDC" w:rsidRDefault="006E2FDC" w:rsidP="00C11DAA">
      <w:pPr>
        <w:spacing w:line="480" w:lineRule="auto"/>
        <w:jc w:val="both"/>
        <w:rPr>
          <w:rFonts w:asciiTheme="majorBidi" w:hAnsiTheme="majorBidi" w:cstheme="majorBidi"/>
        </w:rPr>
      </w:pPr>
      <w:r>
        <w:rPr>
          <w:rFonts w:asciiTheme="majorBidi" w:hAnsiTheme="majorBidi" w:cstheme="majorBidi"/>
        </w:rPr>
        <w:t>También una opción es la combinación con Pomalidomida donde la tasa de respuesta fue del 60% con una supervivencia libre de progresión de 8.8 meses y una supervivencia global de 17.5 meses. La supervivencia estimada a un año fue de 66%</w:t>
      </w:r>
      <w:r w:rsidR="007D204B">
        <w:rPr>
          <w:rFonts w:asciiTheme="majorBidi" w:hAnsiTheme="majorBidi" w:cstheme="majorBidi"/>
        </w:rPr>
        <w:t>.</w:t>
      </w:r>
    </w:p>
    <w:p w14:paraId="0A43F3DC" w14:textId="77777777" w:rsidR="00924B2F" w:rsidRDefault="00924B2F" w:rsidP="00C11DAA">
      <w:pPr>
        <w:spacing w:line="480" w:lineRule="auto"/>
        <w:jc w:val="both"/>
        <w:rPr>
          <w:rFonts w:asciiTheme="majorBidi" w:hAnsiTheme="majorBidi" w:cstheme="majorBidi"/>
        </w:rPr>
      </w:pPr>
    </w:p>
    <w:p w14:paraId="3903C0E8" w14:textId="6BEF0068" w:rsidR="00CE2D9A" w:rsidRDefault="007D204B" w:rsidP="00C11DAA">
      <w:pPr>
        <w:spacing w:line="480" w:lineRule="auto"/>
        <w:jc w:val="both"/>
        <w:rPr>
          <w:rFonts w:asciiTheme="majorBidi" w:hAnsiTheme="majorBidi" w:cstheme="majorBidi"/>
        </w:rPr>
      </w:pPr>
      <w:r>
        <w:rPr>
          <w:rFonts w:asciiTheme="majorBidi" w:hAnsiTheme="majorBidi" w:cstheme="majorBidi"/>
        </w:rPr>
        <w:t xml:space="preserve">Siempre debe solicitarse inmunofenotipo extendido antes del tratamiento por la posibilidad de interferencia con las pruebas transfusionales. Se debe dar siempre profilaxis antiviral y continuar por tres meses después de la última dosis. </w:t>
      </w:r>
    </w:p>
    <w:p w14:paraId="4AEF8C8B" w14:textId="77777777" w:rsidR="00924B2F" w:rsidRDefault="00924B2F" w:rsidP="00C11DAA">
      <w:pPr>
        <w:spacing w:line="480" w:lineRule="auto"/>
        <w:jc w:val="both"/>
        <w:rPr>
          <w:rFonts w:asciiTheme="majorBidi" w:hAnsiTheme="majorBidi" w:cstheme="majorBidi"/>
        </w:rPr>
      </w:pPr>
    </w:p>
    <w:p w14:paraId="56AE8F7C" w14:textId="3BAEF608" w:rsidR="00CE2D9A" w:rsidRDefault="00CE2D9A" w:rsidP="00C11DAA">
      <w:pPr>
        <w:spacing w:line="480" w:lineRule="auto"/>
        <w:jc w:val="both"/>
        <w:rPr>
          <w:rFonts w:asciiTheme="majorBidi" w:hAnsiTheme="majorBidi" w:cstheme="majorBidi"/>
        </w:rPr>
      </w:pPr>
      <w:r>
        <w:rPr>
          <w:rFonts w:asciiTheme="majorBidi" w:hAnsiTheme="majorBidi" w:cstheme="majorBidi"/>
        </w:rPr>
        <w:t xml:space="preserve">Se debe premedicar con </w:t>
      </w:r>
      <w:r w:rsidRPr="00CE2D9A">
        <w:rPr>
          <w:rFonts w:asciiTheme="majorBidi" w:hAnsiTheme="majorBidi" w:cstheme="majorBidi"/>
        </w:rPr>
        <w:t>paracetamol (650 a 1000 mg), difenhidramina (25 a 50 mg) y dexametasona (o corticosteroide equivalente) una a tres horas antes de cada infusión de daratumumab. Algunas instituciones también incluyen una dosis única de montelukast y un bloqueador del receptor H2 antes de la primera infusión. Para reducir el riesgo de reacciones de</w:t>
      </w:r>
      <w:r>
        <w:rPr>
          <w:rFonts w:asciiTheme="majorBidi" w:hAnsiTheme="majorBidi" w:cstheme="majorBidi"/>
        </w:rPr>
        <w:t xml:space="preserve"> infusión retrasadas, administrar</w:t>
      </w:r>
      <w:r w:rsidRPr="00CE2D9A">
        <w:rPr>
          <w:rFonts w:asciiTheme="majorBidi" w:hAnsiTheme="majorBidi" w:cstheme="majorBidi"/>
        </w:rPr>
        <w:t xml:space="preserve"> corticosteroides orales a todos los pacientes el día después de cada infusión de daratumumab. Para los pacientes con antecedentes de EPOC, se pueden agregar broncodilatadores de acción corta y prolongada y corticosteroides inh</w:t>
      </w:r>
      <w:r>
        <w:rPr>
          <w:rFonts w:asciiTheme="majorBidi" w:hAnsiTheme="majorBidi" w:cstheme="majorBidi"/>
        </w:rPr>
        <w:t>alados después de la infusión. Se debe suspender</w:t>
      </w:r>
      <w:r w:rsidRPr="00CE2D9A">
        <w:rPr>
          <w:rFonts w:asciiTheme="majorBidi" w:hAnsiTheme="majorBidi" w:cstheme="majorBidi"/>
        </w:rPr>
        <w:t xml:space="preserve"> estos medicamentos inhalados adicionales si no se producen reacciones de infusión importantes durante las primeras cuatro infusiones.</w:t>
      </w:r>
    </w:p>
    <w:p w14:paraId="01C35AD9" w14:textId="77777777" w:rsidR="00CE2D9A" w:rsidRDefault="00CE2D9A" w:rsidP="00C11DAA">
      <w:pPr>
        <w:spacing w:line="480" w:lineRule="auto"/>
        <w:jc w:val="both"/>
        <w:rPr>
          <w:rFonts w:asciiTheme="majorBidi" w:hAnsiTheme="majorBidi" w:cstheme="majorBidi"/>
        </w:rPr>
      </w:pPr>
    </w:p>
    <w:p w14:paraId="69344F75" w14:textId="600C65E9" w:rsidR="007D204B" w:rsidRDefault="001E2240" w:rsidP="00C11DAA">
      <w:pPr>
        <w:spacing w:line="480" w:lineRule="auto"/>
        <w:jc w:val="both"/>
        <w:rPr>
          <w:rFonts w:asciiTheme="majorBidi" w:hAnsiTheme="majorBidi" w:cstheme="majorBidi"/>
        </w:rPr>
      </w:pPr>
      <w:r w:rsidRPr="001E2240">
        <w:rPr>
          <w:rFonts w:asciiTheme="majorBidi" w:hAnsiTheme="majorBidi" w:cstheme="majorBidi"/>
        </w:rPr>
        <w:t>Daratumumab es un anticuerpo monoclonal kappa IgG humano que se puede detectar en los análisis de electroforesis de proteínas séricas e inmunofijació</w:t>
      </w:r>
      <w:r>
        <w:rPr>
          <w:rFonts w:asciiTheme="majorBidi" w:hAnsiTheme="majorBidi" w:cstheme="majorBidi"/>
        </w:rPr>
        <w:t>n (IFE). Como tal, puede alterar</w:t>
      </w:r>
      <w:r w:rsidRPr="001E2240">
        <w:rPr>
          <w:rFonts w:asciiTheme="majorBidi" w:hAnsiTheme="majorBidi" w:cstheme="majorBidi"/>
        </w:rPr>
        <w:t xml:space="preserve"> la evaluación de la respuesta en pacientes con</w:t>
      </w:r>
      <w:r>
        <w:rPr>
          <w:rFonts w:asciiTheme="majorBidi" w:hAnsiTheme="majorBidi" w:cstheme="majorBidi"/>
        </w:rPr>
        <w:t xml:space="preserve"> MM</w:t>
      </w:r>
      <w:r w:rsidRPr="001E2240">
        <w:rPr>
          <w:rFonts w:asciiTheme="majorBidi" w:hAnsiTheme="majorBidi" w:cstheme="majorBidi"/>
        </w:rPr>
        <w:t xml:space="preserve"> </w:t>
      </w:r>
      <w:r>
        <w:rPr>
          <w:rFonts w:asciiTheme="majorBidi" w:hAnsiTheme="majorBidi" w:cstheme="majorBidi"/>
        </w:rPr>
        <w:t>IgG.</w:t>
      </w:r>
    </w:p>
    <w:p w14:paraId="60FF07F0" w14:textId="77777777" w:rsidR="00F67628" w:rsidRDefault="00F67628" w:rsidP="00C11DAA">
      <w:pPr>
        <w:spacing w:line="480" w:lineRule="auto"/>
        <w:jc w:val="both"/>
        <w:rPr>
          <w:rFonts w:asciiTheme="majorBidi" w:hAnsiTheme="majorBidi" w:cstheme="majorBidi"/>
        </w:rPr>
      </w:pPr>
    </w:p>
    <w:tbl>
      <w:tblPr>
        <w:tblStyle w:val="Tablaconcuadrcula"/>
        <w:tblW w:w="8732" w:type="dxa"/>
        <w:tblLayout w:type="fixed"/>
        <w:tblLook w:val="04A0" w:firstRow="1" w:lastRow="0" w:firstColumn="1" w:lastColumn="0" w:noHBand="0" w:noVBand="1"/>
      </w:tblPr>
      <w:tblGrid>
        <w:gridCol w:w="3421"/>
        <w:gridCol w:w="5311"/>
      </w:tblGrid>
      <w:tr w:rsidR="007D204B" w14:paraId="0AF140E2" w14:textId="77777777" w:rsidTr="00BA2F28">
        <w:tc>
          <w:tcPr>
            <w:tcW w:w="3421" w:type="dxa"/>
          </w:tcPr>
          <w:p w14:paraId="1B9337BA" w14:textId="0435806F" w:rsidR="007D204B" w:rsidRDefault="007D204B" w:rsidP="00C11DAA">
            <w:pPr>
              <w:jc w:val="both"/>
              <w:rPr>
                <w:rFonts w:asciiTheme="majorBidi" w:hAnsiTheme="majorBidi" w:cstheme="majorBidi"/>
              </w:rPr>
            </w:pPr>
            <w:r>
              <w:rPr>
                <w:rFonts w:asciiTheme="majorBidi" w:hAnsiTheme="majorBidi" w:cstheme="majorBidi"/>
              </w:rPr>
              <w:t xml:space="preserve">Daratumumab/Dexametasona </w:t>
            </w:r>
          </w:p>
          <w:p w14:paraId="79CD9144" w14:textId="77777777" w:rsidR="007D204B" w:rsidRDefault="007D204B" w:rsidP="00C11DAA">
            <w:pPr>
              <w:jc w:val="both"/>
              <w:rPr>
                <w:rFonts w:asciiTheme="majorBidi" w:hAnsiTheme="majorBidi" w:cstheme="majorBidi"/>
              </w:rPr>
            </w:pPr>
          </w:p>
          <w:p w14:paraId="5E4ACE78" w14:textId="77777777" w:rsidR="007D204B" w:rsidRDefault="007D204B" w:rsidP="00C11DAA">
            <w:pPr>
              <w:jc w:val="both"/>
              <w:rPr>
                <w:rFonts w:asciiTheme="majorBidi" w:hAnsiTheme="majorBidi" w:cstheme="majorBidi"/>
              </w:rPr>
            </w:pPr>
          </w:p>
          <w:p w14:paraId="76DFB9AB" w14:textId="77777777" w:rsidR="007D204B" w:rsidRDefault="007D204B" w:rsidP="00C11DAA">
            <w:pPr>
              <w:jc w:val="both"/>
              <w:rPr>
                <w:rFonts w:asciiTheme="majorBidi" w:hAnsiTheme="majorBidi" w:cstheme="majorBidi"/>
              </w:rPr>
            </w:pPr>
          </w:p>
        </w:tc>
        <w:tc>
          <w:tcPr>
            <w:tcW w:w="5311" w:type="dxa"/>
          </w:tcPr>
          <w:p w14:paraId="23ABA54D" w14:textId="59CCF62A" w:rsidR="007D204B" w:rsidRDefault="007D204B" w:rsidP="00C11DAA">
            <w:pPr>
              <w:jc w:val="both"/>
              <w:rPr>
                <w:rFonts w:asciiTheme="majorBidi" w:hAnsiTheme="majorBidi" w:cstheme="majorBidi"/>
              </w:rPr>
            </w:pPr>
            <w:r>
              <w:rPr>
                <w:rFonts w:asciiTheme="majorBidi" w:hAnsiTheme="majorBidi" w:cstheme="majorBidi"/>
              </w:rPr>
              <w:t xml:space="preserve">16 mg/kg basado en el peso actual, se administra de forma semanal por 8 semanas por las semanas 1 a la 8, cada 2 semanas de la 9 a la 24 y luego cada mes hasta la progresión.   </w:t>
            </w:r>
            <w:r w:rsidR="00CE2D9A">
              <w:rPr>
                <w:rFonts w:asciiTheme="majorBidi" w:hAnsiTheme="majorBidi" w:cstheme="majorBidi"/>
              </w:rPr>
              <w:t xml:space="preserve">Dexametasona ciclo 1 y 2 </w:t>
            </w:r>
            <w:r w:rsidR="007B2C51">
              <w:rPr>
                <w:rFonts w:asciiTheme="majorBidi" w:hAnsiTheme="majorBidi" w:cstheme="majorBidi"/>
              </w:rPr>
              <w:t xml:space="preserve">20 mg días 1,2,8,9,15,16,22 y 23. Ciclo 3 a 6 días 1,2,15,16. Ciclo 7 y siguientes días 1 y 2. </w:t>
            </w:r>
          </w:p>
        </w:tc>
      </w:tr>
      <w:tr w:rsidR="007D204B" w14:paraId="0022BD34" w14:textId="77777777" w:rsidTr="00BA2F28">
        <w:tc>
          <w:tcPr>
            <w:tcW w:w="3421" w:type="dxa"/>
          </w:tcPr>
          <w:p w14:paraId="6452E3A2" w14:textId="229EDD3B" w:rsidR="007D204B" w:rsidRDefault="007D204B" w:rsidP="00C11DAA">
            <w:pPr>
              <w:jc w:val="both"/>
              <w:rPr>
                <w:rFonts w:asciiTheme="majorBidi" w:hAnsiTheme="majorBidi" w:cstheme="majorBidi"/>
              </w:rPr>
            </w:pPr>
            <w:r>
              <w:rPr>
                <w:rFonts w:asciiTheme="majorBidi" w:hAnsiTheme="majorBidi" w:cstheme="majorBidi"/>
              </w:rPr>
              <w:t>Daratumumab/Lenalidomida</w:t>
            </w:r>
          </w:p>
          <w:p w14:paraId="4399DE8D" w14:textId="054C9686" w:rsidR="007D204B" w:rsidRDefault="007D204B" w:rsidP="00C11DAA">
            <w:pPr>
              <w:jc w:val="both"/>
              <w:rPr>
                <w:rFonts w:asciiTheme="majorBidi" w:hAnsiTheme="majorBidi" w:cstheme="majorBidi"/>
              </w:rPr>
            </w:pPr>
            <w:r>
              <w:rPr>
                <w:rFonts w:asciiTheme="majorBidi" w:hAnsiTheme="majorBidi" w:cstheme="majorBidi"/>
              </w:rPr>
              <w:t>Dexametasona</w:t>
            </w:r>
          </w:p>
          <w:p w14:paraId="5AF3AD45" w14:textId="77777777" w:rsidR="007D204B" w:rsidRDefault="007D204B" w:rsidP="00C11DAA">
            <w:pPr>
              <w:jc w:val="both"/>
              <w:rPr>
                <w:rFonts w:asciiTheme="majorBidi" w:hAnsiTheme="majorBidi" w:cstheme="majorBidi"/>
              </w:rPr>
            </w:pPr>
          </w:p>
          <w:p w14:paraId="4B2CB4E2" w14:textId="2C0490C9" w:rsidR="007D204B" w:rsidRDefault="007D204B" w:rsidP="00C11DAA">
            <w:pPr>
              <w:jc w:val="both"/>
              <w:rPr>
                <w:rFonts w:asciiTheme="majorBidi" w:hAnsiTheme="majorBidi" w:cstheme="majorBidi"/>
              </w:rPr>
            </w:pPr>
            <w:r>
              <w:rPr>
                <w:rFonts w:asciiTheme="majorBidi" w:hAnsiTheme="majorBidi" w:cstheme="majorBidi"/>
              </w:rPr>
              <w:t xml:space="preserve"> </w:t>
            </w:r>
          </w:p>
        </w:tc>
        <w:tc>
          <w:tcPr>
            <w:tcW w:w="5311" w:type="dxa"/>
          </w:tcPr>
          <w:p w14:paraId="64648A83" w14:textId="49CEBAC6" w:rsidR="007D204B" w:rsidRDefault="007B2C51" w:rsidP="00C11DAA">
            <w:pPr>
              <w:jc w:val="both"/>
              <w:rPr>
                <w:rFonts w:asciiTheme="majorBidi" w:hAnsiTheme="majorBidi" w:cstheme="majorBidi"/>
              </w:rPr>
            </w:pPr>
            <w:r>
              <w:rPr>
                <w:rFonts w:asciiTheme="majorBidi" w:hAnsiTheme="majorBidi" w:cstheme="majorBidi"/>
              </w:rPr>
              <w:t>16 mg/kg basado en el peso actual, se administra de forma semanal por 8 semanas por las semanas 1 a la 8, cada 2 semanas de la 9 a la 24 y luego cada mes hasta la progresión. Lenalidomida 25 mg días 1 al 21.  Dexametasona ciclo 1 y 2 20 mg días 1,2,8,9,15,16,22 y 23. Ciclo 3 a 6 días 1,2,15,16. Ciclo 7 y siguientes días 1 y 2.</w:t>
            </w:r>
          </w:p>
        </w:tc>
      </w:tr>
      <w:tr w:rsidR="007D204B" w14:paraId="14DE3069" w14:textId="77777777" w:rsidTr="00BA2F28">
        <w:tc>
          <w:tcPr>
            <w:tcW w:w="3421" w:type="dxa"/>
          </w:tcPr>
          <w:p w14:paraId="4FC11FCC" w14:textId="3EC150A0" w:rsidR="007D204B" w:rsidRDefault="007D204B" w:rsidP="00C11DAA">
            <w:pPr>
              <w:jc w:val="both"/>
              <w:rPr>
                <w:rFonts w:asciiTheme="majorBidi" w:hAnsiTheme="majorBidi" w:cstheme="majorBidi"/>
              </w:rPr>
            </w:pPr>
          </w:p>
          <w:p w14:paraId="33AAE934" w14:textId="77777777" w:rsidR="007D204B" w:rsidRDefault="007D204B" w:rsidP="00C11DAA">
            <w:pPr>
              <w:jc w:val="both"/>
              <w:rPr>
                <w:rFonts w:asciiTheme="majorBidi" w:hAnsiTheme="majorBidi" w:cstheme="majorBidi"/>
              </w:rPr>
            </w:pPr>
            <w:r>
              <w:rPr>
                <w:rFonts w:asciiTheme="majorBidi" w:hAnsiTheme="majorBidi" w:cstheme="majorBidi"/>
              </w:rPr>
              <w:t>Daratumumab/Bortezomib</w:t>
            </w:r>
          </w:p>
          <w:p w14:paraId="41E7231C" w14:textId="4A1B96E8" w:rsidR="007D204B" w:rsidRDefault="007D204B" w:rsidP="00C11DAA">
            <w:pPr>
              <w:jc w:val="both"/>
              <w:rPr>
                <w:rFonts w:asciiTheme="majorBidi" w:hAnsiTheme="majorBidi" w:cstheme="majorBidi"/>
              </w:rPr>
            </w:pPr>
            <w:r>
              <w:rPr>
                <w:rFonts w:asciiTheme="majorBidi" w:hAnsiTheme="majorBidi" w:cstheme="majorBidi"/>
              </w:rPr>
              <w:t xml:space="preserve">Dexametasona  </w:t>
            </w:r>
          </w:p>
        </w:tc>
        <w:tc>
          <w:tcPr>
            <w:tcW w:w="5311" w:type="dxa"/>
          </w:tcPr>
          <w:p w14:paraId="5B3AB320" w14:textId="07A38D26" w:rsidR="007D204B" w:rsidRDefault="007B2C51" w:rsidP="00C11DAA">
            <w:pPr>
              <w:jc w:val="both"/>
              <w:rPr>
                <w:rFonts w:asciiTheme="majorBidi" w:hAnsiTheme="majorBidi" w:cstheme="majorBidi"/>
              </w:rPr>
            </w:pPr>
            <w:r>
              <w:rPr>
                <w:rFonts w:asciiTheme="majorBidi" w:hAnsiTheme="majorBidi" w:cstheme="majorBidi"/>
              </w:rPr>
              <w:t xml:space="preserve">16 mg/kg basado en el peso actual, se administra de forma semanal por 8 semanas por las semanas 1 a la 8, cada 2 semanas de la 9 a la 24 y luego cada mes hasta la progresión. </w:t>
            </w:r>
            <w:r w:rsidR="009D5FB1">
              <w:rPr>
                <w:rFonts w:asciiTheme="majorBidi" w:hAnsiTheme="majorBidi" w:cstheme="majorBidi"/>
              </w:rPr>
              <w:t xml:space="preserve">Bortezomib 1,3 mg/m2 días 1,4,8,11 los primeros 8 ciclos. </w:t>
            </w:r>
            <w:r>
              <w:rPr>
                <w:rFonts w:asciiTheme="majorBidi" w:hAnsiTheme="majorBidi" w:cstheme="majorBidi"/>
              </w:rPr>
              <w:t xml:space="preserve">  Dexametasona ciclo 1 y 2 20 mg días 1,2,8,9,15,16,22 y 23. Ciclo 3 a 6 días 1,2,15,16. Ciclo 7 y siguientes días 1 y 2.</w:t>
            </w:r>
          </w:p>
          <w:p w14:paraId="75F6B72D" w14:textId="0727DCC4" w:rsidR="007D204B" w:rsidRDefault="007D204B" w:rsidP="00C11DAA">
            <w:pPr>
              <w:jc w:val="both"/>
              <w:rPr>
                <w:rFonts w:asciiTheme="majorBidi" w:hAnsiTheme="majorBidi" w:cstheme="majorBidi"/>
              </w:rPr>
            </w:pPr>
          </w:p>
        </w:tc>
      </w:tr>
      <w:tr w:rsidR="007B2C51" w14:paraId="1D285092" w14:textId="77777777" w:rsidTr="00BA2F28">
        <w:tc>
          <w:tcPr>
            <w:tcW w:w="3421" w:type="dxa"/>
          </w:tcPr>
          <w:p w14:paraId="2AAFFBA8" w14:textId="155BCB25" w:rsidR="007B2C51" w:rsidRDefault="007B2C51" w:rsidP="00C11DAA">
            <w:pPr>
              <w:jc w:val="both"/>
              <w:rPr>
                <w:rFonts w:asciiTheme="majorBidi" w:hAnsiTheme="majorBidi" w:cstheme="majorBidi"/>
              </w:rPr>
            </w:pPr>
            <w:r>
              <w:rPr>
                <w:rFonts w:asciiTheme="majorBidi" w:hAnsiTheme="majorBidi" w:cstheme="majorBidi"/>
              </w:rPr>
              <w:t>Daratumumab/Pomalidomida</w:t>
            </w:r>
          </w:p>
          <w:p w14:paraId="3C5625FC" w14:textId="77777777" w:rsidR="007B2C51" w:rsidRDefault="007B2C51" w:rsidP="00C11DAA">
            <w:pPr>
              <w:jc w:val="both"/>
              <w:rPr>
                <w:rFonts w:asciiTheme="majorBidi" w:hAnsiTheme="majorBidi" w:cstheme="majorBidi"/>
              </w:rPr>
            </w:pPr>
            <w:r>
              <w:rPr>
                <w:rFonts w:asciiTheme="majorBidi" w:hAnsiTheme="majorBidi" w:cstheme="majorBidi"/>
              </w:rPr>
              <w:t>Dexametasona</w:t>
            </w:r>
          </w:p>
          <w:p w14:paraId="6B77DC0B" w14:textId="77777777" w:rsidR="007B2C51" w:rsidRDefault="007B2C51" w:rsidP="00C11DAA">
            <w:pPr>
              <w:jc w:val="both"/>
              <w:rPr>
                <w:rFonts w:asciiTheme="majorBidi" w:hAnsiTheme="majorBidi" w:cstheme="majorBidi"/>
              </w:rPr>
            </w:pPr>
          </w:p>
        </w:tc>
        <w:tc>
          <w:tcPr>
            <w:tcW w:w="5311" w:type="dxa"/>
          </w:tcPr>
          <w:p w14:paraId="704188C1" w14:textId="463900B2" w:rsidR="007B2C51" w:rsidRDefault="00BD30C4" w:rsidP="00C11DAA">
            <w:pPr>
              <w:jc w:val="both"/>
              <w:rPr>
                <w:rFonts w:asciiTheme="majorBidi" w:hAnsiTheme="majorBidi" w:cstheme="majorBidi"/>
              </w:rPr>
            </w:pPr>
            <w:r>
              <w:rPr>
                <w:rFonts w:asciiTheme="majorBidi" w:hAnsiTheme="majorBidi" w:cstheme="majorBidi"/>
              </w:rPr>
              <w:t>16 mg/kg basado en el peso actual, se administra de forma semanal por 8 semanas por las semanas 1 a la 8, cada 2 semanas de la 9 a la 24 y luego cada mes hasta la progresión. Pomalidomida 4 mg días 1 al 21.  Dexametasona ciclo 1 y 2 20 mg días 1,2,8,9,15,16,22 y 23. Ciclo 3 a 6 días 1,2,15,16. Ciclo 7 y siguientes días 1 y 2.</w:t>
            </w:r>
          </w:p>
        </w:tc>
      </w:tr>
    </w:tbl>
    <w:p w14:paraId="2AF3F7C0" w14:textId="77777777" w:rsidR="007D204B" w:rsidRDefault="007D204B" w:rsidP="00C11DAA">
      <w:pPr>
        <w:jc w:val="both"/>
        <w:rPr>
          <w:rFonts w:asciiTheme="majorBidi" w:hAnsiTheme="majorBidi" w:cstheme="majorBidi"/>
        </w:rPr>
      </w:pPr>
    </w:p>
    <w:p w14:paraId="6C743ECA" w14:textId="385610B6" w:rsidR="007D204B" w:rsidRDefault="007D204B" w:rsidP="00C11DAA">
      <w:pPr>
        <w:jc w:val="both"/>
        <w:rPr>
          <w:rFonts w:asciiTheme="majorBidi" w:hAnsiTheme="majorBidi" w:cstheme="majorBidi"/>
        </w:rPr>
      </w:pPr>
      <w:r>
        <w:rPr>
          <w:rFonts w:asciiTheme="majorBidi" w:hAnsiTheme="majorBidi" w:cstheme="majorBidi"/>
        </w:rPr>
        <w:t xml:space="preserve">Tabla 8. Esquemas de rescate que incluyen anticuerpo monoclonal Daratumumab </w:t>
      </w:r>
    </w:p>
    <w:p w14:paraId="7F7E4514" w14:textId="77777777" w:rsidR="007D204B" w:rsidRDefault="007D204B" w:rsidP="00C11DAA">
      <w:pPr>
        <w:spacing w:line="480" w:lineRule="auto"/>
        <w:jc w:val="both"/>
        <w:rPr>
          <w:rFonts w:asciiTheme="majorBidi" w:hAnsiTheme="majorBidi" w:cstheme="majorBidi"/>
        </w:rPr>
      </w:pPr>
    </w:p>
    <w:p w14:paraId="32E0610C" w14:textId="0892FF48" w:rsidR="00F67628" w:rsidRDefault="00F67628" w:rsidP="00C11DAA">
      <w:pPr>
        <w:spacing w:line="480" w:lineRule="auto"/>
        <w:jc w:val="both"/>
        <w:rPr>
          <w:rFonts w:asciiTheme="majorBidi" w:hAnsiTheme="majorBidi" w:cstheme="majorBidi"/>
          <w:i/>
          <w:iCs/>
        </w:rPr>
      </w:pPr>
      <w:r w:rsidRPr="00F67628">
        <w:rPr>
          <w:rFonts w:asciiTheme="majorBidi" w:hAnsiTheme="majorBidi" w:cstheme="majorBidi"/>
          <w:i/>
          <w:iCs/>
        </w:rPr>
        <w:t>Otros agentes</w:t>
      </w:r>
      <w:r>
        <w:rPr>
          <w:rFonts w:asciiTheme="majorBidi" w:hAnsiTheme="majorBidi" w:cstheme="majorBidi"/>
          <w:i/>
          <w:iCs/>
        </w:rPr>
        <w:t xml:space="preserve"> y esquemas </w:t>
      </w:r>
    </w:p>
    <w:p w14:paraId="012BCE39" w14:textId="26EF2213" w:rsidR="00F67628" w:rsidRPr="00FF0EDD" w:rsidRDefault="00FF0EDD" w:rsidP="00C11DAA">
      <w:pPr>
        <w:spacing w:line="480" w:lineRule="auto"/>
        <w:jc w:val="both"/>
        <w:rPr>
          <w:rFonts w:asciiTheme="majorBidi" w:hAnsiTheme="majorBidi" w:cstheme="majorBidi"/>
        </w:rPr>
      </w:pPr>
      <w:r>
        <w:rPr>
          <w:rFonts w:asciiTheme="majorBidi" w:hAnsiTheme="majorBidi" w:cstheme="majorBidi"/>
        </w:rPr>
        <w:t>Otros agentes disponibles en la actualidad para el tratamiento del MM refractario y/o recaído son el Elotuzumab qu</w:t>
      </w:r>
      <w:r w:rsidR="00493381">
        <w:rPr>
          <w:rFonts w:asciiTheme="majorBidi" w:hAnsiTheme="majorBidi" w:cstheme="majorBidi"/>
        </w:rPr>
        <w:t xml:space="preserve">e es otro anticuerpo monoclonal, </w:t>
      </w:r>
      <w:r>
        <w:rPr>
          <w:rFonts w:asciiTheme="majorBidi" w:hAnsiTheme="majorBidi" w:cstheme="majorBidi"/>
        </w:rPr>
        <w:t>el Panobinostat que es un</w:t>
      </w:r>
      <w:r w:rsidR="00493381">
        <w:rPr>
          <w:rFonts w:asciiTheme="majorBidi" w:hAnsiTheme="majorBidi" w:cstheme="majorBidi"/>
        </w:rPr>
        <w:t xml:space="preserve"> inhibidor de Histona deacetilas</w:t>
      </w:r>
      <w:r>
        <w:rPr>
          <w:rFonts w:asciiTheme="majorBidi" w:hAnsiTheme="majorBidi" w:cstheme="majorBidi"/>
        </w:rPr>
        <w:t xml:space="preserve">a HDAC </w:t>
      </w:r>
      <w:r w:rsidR="00493381">
        <w:rPr>
          <w:rFonts w:asciiTheme="majorBidi" w:hAnsiTheme="majorBidi" w:cstheme="majorBidi"/>
        </w:rPr>
        <w:t xml:space="preserve">no disponibles en la actualidad en Colombia. Existen también los esquemas VTD PACE y el DCEP que usan agentes quimioterapéuticos infusionales que pueden servir de puente a un trasplante autólogo de MO. Su papel en la actualidad es menor dadas las terapias novedosas. </w:t>
      </w:r>
      <w:r w:rsidR="002078B0">
        <w:rPr>
          <w:rFonts w:asciiTheme="majorBidi" w:hAnsiTheme="majorBidi" w:cstheme="majorBidi"/>
        </w:rPr>
        <w:t xml:space="preserve">Las car T cells BCMA se encuentran actualmente en investigación con resultados prometedores. </w:t>
      </w:r>
    </w:p>
    <w:p w14:paraId="38D47873" w14:textId="77777777" w:rsidR="00F67628" w:rsidRDefault="00F67628" w:rsidP="00C11DAA">
      <w:pPr>
        <w:spacing w:line="480" w:lineRule="auto"/>
        <w:jc w:val="both"/>
        <w:rPr>
          <w:rFonts w:asciiTheme="majorBidi" w:hAnsiTheme="majorBidi" w:cstheme="majorBidi"/>
          <w:i/>
          <w:iCs/>
        </w:rPr>
      </w:pPr>
    </w:p>
    <w:p w14:paraId="4A1DA48D" w14:textId="77777777" w:rsidR="00F67628" w:rsidRDefault="00F67628" w:rsidP="00C11DAA">
      <w:pPr>
        <w:spacing w:line="480" w:lineRule="auto"/>
        <w:jc w:val="both"/>
        <w:rPr>
          <w:rFonts w:asciiTheme="majorBidi" w:hAnsiTheme="majorBidi" w:cstheme="majorBidi"/>
          <w:i/>
          <w:iCs/>
        </w:rPr>
      </w:pPr>
    </w:p>
    <w:p w14:paraId="6E3E87B7" w14:textId="5599B3D6" w:rsidR="00F67628" w:rsidRDefault="00FF0EDD" w:rsidP="00C11DAA">
      <w:pPr>
        <w:spacing w:line="480" w:lineRule="auto"/>
        <w:jc w:val="both"/>
        <w:rPr>
          <w:rFonts w:asciiTheme="majorBidi" w:hAnsiTheme="majorBidi" w:cstheme="majorBidi"/>
          <w:i/>
          <w:iCs/>
        </w:rPr>
      </w:pPr>
      <w:r w:rsidRPr="00FF0EDD">
        <w:rPr>
          <w:rFonts w:asciiTheme="majorBidi" w:hAnsiTheme="majorBidi" w:cstheme="majorBidi"/>
          <w:i/>
          <w:iCs/>
          <w:noProof/>
          <w:lang w:val="es-CO" w:eastAsia="es-CO"/>
        </w:rPr>
        <w:drawing>
          <wp:inline distT="0" distB="0" distL="0" distR="0" wp14:anchorId="04950D56" wp14:editId="1EF4A413">
            <wp:extent cx="5396230" cy="40474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6230" cy="4047490"/>
                    </a:xfrm>
                    <a:prstGeom prst="rect">
                      <a:avLst/>
                    </a:prstGeom>
                  </pic:spPr>
                </pic:pic>
              </a:graphicData>
            </a:graphic>
          </wp:inline>
        </w:drawing>
      </w:r>
    </w:p>
    <w:p w14:paraId="6FE97728" w14:textId="15D87EA0" w:rsidR="00F67628" w:rsidRPr="00F67628" w:rsidRDefault="00F67628" w:rsidP="00C11DAA">
      <w:pPr>
        <w:spacing w:line="480" w:lineRule="auto"/>
        <w:jc w:val="both"/>
        <w:rPr>
          <w:rFonts w:asciiTheme="majorBidi" w:hAnsiTheme="majorBidi" w:cstheme="majorBidi"/>
        </w:rPr>
      </w:pPr>
      <w:r w:rsidRPr="00F67628">
        <w:rPr>
          <w:rFonts w:asciiTheme="majorBidi" w:hAnsiTheme="majorBidi" w:cstheme="majorBidi"/>
        </w:rPr>
        <w:t xml:space="preserve">Gráfico 4. </w:t>
      </w:r>
      <w:r>
        <w:rPr>
          <w:rFonts w:asciiTheme="majorBidi" w:hAnsiTheme="majorBidi" w:cstheme="majorBidi"/>
        </w:rPr>
        <w:t xml:space="preserve">Esquema de tratamiento propuesto a la recaída </w:t>
      </w:r>
    </w:p>
    <w:p w14:paraId="7CDC71FC" w14:textId="77777777" w:rsidR="006C3A1B" w:rsidRDefault="006C3A1B" w:rsidP="00C11DAA">
      <w:pPr>
        <w:spacing w:line="480" w:lineRule="auto"/>
        <w:jc w:val="both"/>
        <w:rPr>
          <w:rFonts w:asciiTheme="majorBidi" w:hAnsiTheme="majorBidi" w:cstheme="majorBidi"/>
        </w:rPr>
      </w:pPr>
    </w:p>
    <w:p w14:paraId="1B171E0E" w14:textId="70326D2C" w:rsidR="006C3A1B" w:rsidRDefault="007D204B" w:rsidP="00C11DAA">
      <w:pPr>
        <w:spacing w:line="480" w:lineRule="auto"/>
        <w:jc w:val="both"/>
        <w:rPr>
          <w:rFonts w:asciiTheme="majorBidi" w:hAnsiTheme="majorBidi" w:cstheme="majorBidi"/>
          <w:i/>
          <w:iCs/>
        </w:rPr>
      </w:pPr>
      <w:r w:rsidRPr="007D204B">
        <w:rPr>
          <w:rFonts w:asciiTheme="majorBidi" w:hAnsiTheme="majorBidi" w:cstheme="majorBidi"/>
          <w:i/>
          <w:iCs/>
        </w:rPr>
        <w:t xml:space="preserve">Terapia de soporte </w:t>
      </w:r>
    </w:p>
    <w:p w14:paraId="5993219A" w14:textId="11770D0E" w:rsidR="007D204B" w:rsidRDefault="007D204B" w:rsidP="00C11DAA">
      <w:pPr>
        <w:spacing w:line="480" w:lineRule="auto"/>
        <w:jc w:val="both"/>
        <w:rPr>
          <w:rFonts w:asciiTheme="majorBidi" w:hAnsiTheme="majorBidi" w:cstheme="majorBidi"/>
        </w:rPr>
      </w:pPr>
      <w:r w:rsidRPr="007D204B">
        <w:rPr>
          <w:rFonts w:asciiTheme="majorBidi" w:hAnsiTheme="majorBidi" w:cstheme="majorBidi"/>
        </w:rPr>
        <w:t xml:space="preserve">Enfermedad ósea y compresión medular </w:t>
      </w:r>
    </w:p>
    <w:p w14:paraId="1F3C991F" w14:textId="426D5A1D" w:rsidR="007D204B" w:rsidRDefault="00BD30C4" w:rsidP="00C11DAA">
      <w:pPr>
        <w:spacing w:line="480" w:lineRule="auto"/>
        <w:jc w:val="both"/>
        <w:rPr>
          <w:rFonts w:asciiTheme="majorBidi" w:hAnsiTheme="majorBidi" w:cstheme="majorBidi"/>
        </w:rPr>
      </w:pPr>
      <w:r>
        <w:rPr>
          <w:rFonts w:asciiTheme="majorBidi" w:hAnsiTheme="majorBidi" w:cstheme="majorBidi"/>
        </w:rPr>
        <w:t>Se recomienda fuertemente el uso de pamidronato o zolendronato</w:t>
      </w:r>
      <w:r w:rsidR="00C67925">
        <w:rPr>
          <w:rFonts w:asciiTheme="majorBidi" w:hAnsiTheme="majorBidi" w:cstheme="majorBidi"/>
        </w:rPr>
        <w:t xml:space="preserve"> hasta por dos años. La dosis de este último que es el más usado es de 4 mg mensual con requerimiento de ajuste de dosis si hay insuficiencia renal. El denosumab puede usarse, se debe tener en cuenta su costo. Su utilidad mayor está dada para los pacientes con insuficiencia renal establecida. </w:t>
      </w:r>
    </w:p>
    <w:p w14:paraId="7826D203" w14:textId="6E9B4EE3" w:rsidR="00C67925" w:rsidRDefault="00C67925" w:rsidP="00C11DAA">
      <w:pPr>
        <w:spacing w:line="480" w:lineRule="auto"/>
        <w:jc w:val="both"/>
        <w:rPr>
          <w:rFonts w:asciiTheme="majorBidi" w:hAnsiTheme="majorBidi" w:cstheme="majorBidi"/>
        </w:rPr>
      </w:pPr>
      <w:r>
        <w:rPr>
          <w:rFonts w:asciiTheme="majorBidi" w:hAnsiTheme="majorBidi" w:cstheme="majorBidi"/>
        </w:rPr>
        <w:t xml:space="preserve">Los pacientes con fracturas patológicas se benefician de cirugía ortopédica temprana y debe ser complementada con radioterapia. Cuando exista dolor lumbar severo secundario a fracturas por compresión hay claramente beneficio de vertebroplastia o </w:t>
      </w:r>
      <w:r>
        <w:rPr>
          <w:rFonts w:asciiTheme="majorBidi" w:hAnsiTheme="majorBidi" w:cstheme="majorBidi"/>
        </w:rPr>
        <w:lastRenderedPageBreak/>
        <w:t xml:space="preserve">xifoplastia. La compresión medular requiere tratamiento inmediato con dosis altas de dexametasona y radioterapia local. </w:t>
      </w:r>
    </w:p>
    <w:p w14:paraId="70C5C81F" w14:textId="77777777" w:rsidR="00C67925" w:rsidRDefault="00C67925" w:rsidP="00C11DAA">
      <w:pPr>
        <w:spacing w:line="480" w:lineRule="auto"/>
        <w:jc w:val="both"/>
        <w:rPr>
          <w:rFonts w:asciiTheme="majorBidi" w:hAnsiTheme="majorBidi" w:cstheme="majorBidi"/>
        </w:rPr>
      </w:pPr>
    </w:p>
    <w:p w14:paraId="572E3D98" w14:textId="74CED9EB" w:rsidR="00C67925" w:rsidRDefault="00C67925" w:rsidP="00C11DAA">
      <w:pPr>
        <w:spacing w:line="480" w:lineRule="auto"/>
        <w:jc w:val="both"/>
        <w:rPr>
          <w:rFonts w:asciiTheme="majorBidi" w:hAnsiTheme="majorBidi" w:cstheme="majorBidi"/>
        </w:rPr>
      </w:pPr>
      <w:r>
        <w:rPr>
          <w:rFonts w:asciiTheme="majorBidi" w:hAnsiTheme="majorBidi" w:cstheme="majorBidi"/>
        </w:rPr>
        <w:t>Anemia, fallo medular e infecciones</w:t>
      </w:r>
    </w:p>
    <w:p w14:paraId="74B8E8FB" w14:textId="3772F9DD" w:rsidR="00C67925" w:rsidRDefault="00C67925" w:rsidP="00C11DAA">
      <w:pPr>
        <w:spacing w:line="480" w:lineRule="auto"/>
        <w:jc w:val="both"/>
        <w:rPr>
          <w:rFonts w:asciiTheme="majorBidi" w:hAnsiTheme="majorBidi" w:cstheme="majorBidi"/>
        </w:rPr>
      </w:pPr>
      <w:r>
        <w:rPr>
          <w:rFonts w:asciiTheme="majorBidi" w:hAnsiTheme="majorBidi" w:cstheme="majorBidi"/>
        </w:rPr>
        <w:t xml:space="preserve">El uso de eritropoyetina o darbepoetin está recomendado para los pacientes con anemia nivel de Hb menor de 10 g/dL una vez se descarten otras causas de anemia. El objetivo es mantener la Hb alrededor de 12 g/dL menor de 14 g/dL para evitar complicaciones trombóticas e hipertensión. Se recomienda el uso de factores estimulantes de colonias de granulocitos si hay neutropenia inducida por quimioterapia. Los cuadros infecciosos deben ser tratados de manera inmediata. La profilaxis antibiótica permanece </w:t>
      </w:r>
      <w:r w:rsidR="00924B2F">
        <w:rPr>
          <w:rFonts w:asciiTheme="majorBidi" w:hAnsiTheme="majorBidi" w:cstheme="majorBidi"/>
        </w:rPr>
        <w:t>controversial,</w:t>
      </w:r>
      <w:r>
        <w:rPr>
          <w:rFonts w:asciiTheme="majorBidi" w:hAnsiTheme="majorBidi" w:cstheme="majorBidi"/>
        </w:rPr>
        <w:t xml:space="preserve"> pero puede ser beneficiosa en pacientes recibiendo Inmunomoduladores o pacientes con alto riesgo de infección. Estudios recientes han mostrado como el uso de levofloxacina puede disminuir la mortalidad en la inducción.  Se recomienda la vacunación para influenza y neumococo además de la profilaxis antiviral en los pacientes recibiendo inhibidor del proteosoma. La profilaxis con inmunoglobulina endovenosa no se recomienda. </w:t>
      </w:r>
    </w:p>
    <w:p w14:paraId="77D15BAC" w14:textId="77777777" w:rsidR="00C67925" w:rsidRDefault="00C67925" w:rsidP="00C11DAA">
      <w:pPr>
        <w:spacing w:line="480" w:lineRule="auto"/>
        <w:jc w:val="both"/>
        <w:rPr>
          <w:rFonts w:asciiTheme="majorBidi" w:hAnsiTheme="majorBidi" w:cstheme="majorBidi"/>
        </w:rPr>
      </w:pPr>
    </w:p>
    <w:p w14:paraId="3EAFBB09" w14:textId="789C0162" w:rsidR="00C67925" w:rsidRDefault="00D8142F" w:rsidP="00C11DAA">
      <w:pPr>
        <w:spacing w:line="480" w:lineRule="auto"/>
        <w:jc w:val="both"/>
        <w:rPr>
          <w:rFonts w:asciiTheme="majorBidi" w:hAnsiTheme="majorBidi" w:cstheme="majorBidi"/>
        </w:rPr>
      </w:pPr>
      <w:r>
        <w:rPr>
          <w:rFonts w:asciiTheme="majorBidi" w:hAnsiTheme="majorBidi" w:cstheme="majorBidi"/>
        </w:rPr>
        <w:t>Prevención de tromboembolismo</w:t>
      </w:r>
    </w:p>
    <w:p w14:paraId="65A4A6B3" w14:textId="1F876D6C" w:rsidR="00D8142F" w:rsidRPr="007D204B" w:rsidRDefault="00D8142F" w:rsidP="00C11DAA">
      <w:pPr>
        <w:spacing w:line="480" w:lineRule="auto"/>
        <w:jc w:val="both"/>
        <w:rPr>
          <w:rFonts w:asciiTheme="majorBidi" w:hAnsiTheme="majorBidi" w:cstheme="majorBidi"/>
        </w:rPr>
      </w:pPr>
      <w:r>
        <w:rPr>
          <w:rFonts w:asciiTheme="majorBidi" w:hAnsiTheme="majorBidi" w:cstheme="majorBidi"/>
        </w:rPr>
        <w:t xml:space="preserve">Los pacientes con MM tienen alto riesgo de complicaciones trombóticas. Se recomienda el uso de al menos aspirina 100 mg día en ausencia de factores de riesgo trombóticos y anticoagulación plena en los de alto riesgo. Dosis subterapéuticas de anticoagulantes no se recomiendan. </w:t>
      </w:r>
    </w:p>
    <w:p w14:paraId="60E8D0C2" w14:textId="491AC7A7" w:rsidR="006C3A1B" w:rsidRDefault="00C67925" w:rsidP="00C11DAA">
      <w:pPr>
        <w:tabs>
          <w:tab w:val="left" w:pos="3594"/>
        </w:tabs>
        <w:spacing w:line="480" w:lineRule="auto"/>
        <w:jc w:val="both"/>
        <w:rPr>
          <w:rFonts w:asciiTheme="majorBidi" w:hAnsiTheme="majorBidi" w:cstheme="majorBidi"/>
        </w:rPr>
      </w:pPr>
      <w:r>
        <w:rPr>
          <w:rFonts w:asciiTheme="majorBidi" w:hAnsiTheme="majorBidi" w:cstheme="majorBidi"/>
        </w:rPr>
        <w:tab/>
      </w:r>
    </w:p>
    <w:p w14:paraId="361F476F" w14:textId="77777777" w:rsidR="003F4F1F" w:rsidRPr="006F296D" w:rsidRDefault="003F4F1F" w:rsidP="00C11DAA">
      <w:pPr>
        <w:spacing w:line="360" w:lineRule="auto"/>
        <w:jc w:val="both"/>
        <w:rPr>
          <w:rFonts w:asciiTheme="majorBidi" w:hAnsiTheme="majorBidi" w:cstheme="majorBidi"/>
          <w:b/>
        </w:rPr>
      </w:pPr>
      <w:r w:rsidRPr="006F296D">
        <w:rPr>
          <w:rFonts w:asciiTheme="majorBidi" w:hAnsiTheme="majorBidi" w:cstheme="majorBidi"/>
          <w:b/>
        </w:rPr>
        <w:t>Pronóstico</w:t>
      </w:r>
    </w:p>
    <w:p w14:paraId="690437CD" w14:textId="77777777" w:rsidR="003F4F1F" w:rsidRPr="006F296D" w:rsidRDefault="003F4F1F" w:rsidP="00C11DAA">
      <w:pPr>
        <w:spacing w:line="360" w:lineRule="auto"/>
        <w:jc w:val="both"/>
        <w:rPr>
          <w:rFonts w:asciiTheme="majorBidi" w:hAnsiTheme="majorBidi" w:cstheme="majorBidi"/>
        </w:rPr>
      </w:pPr>
    </w:p>
    <w:p w14:paraId="61DDA271" w14:textId="77777777" w:rsidR="003F4F1F" w:rsidRPr="006F296D" w:rsidRDefault="003F4F1F" w:rsidP="00C11DAA">
      <w:pPr>
        <w:spacing w:line="480" w:lineRule="auto"/>
        <w:jc w:val="both"/>
        <w:rPr>
          <w:rFonts w:asciiTheme="majorBidi" w:hAnsiTheme="majorBidi" w:cstheme="majorBidi"/>
        </w:rPr>
      </w:pPr>
      <w:r>
        <w:rPr>
          <w:rFonts w:asciiTheme="majorBidi" w:hAnsiTheme="majorBidi" w:cstheme="majorBidi"/>
        </w:rPr>
        <w:lastRenderedPageBreak/>
        <w:t xml:space="preserve">El pronóstico del </w:t>
      </w:r>
      <w:r w:rsidRPr="006F296D">
        <w:rPr>
          <w:rFonts w:asciiTheme="majorBidi" w:hAnsiTheme="majorBidi" w:cstheme="majorBidi"/>
        </w:rPr>
        <w:t>MM</w:t>
      </w:r>
      <w:r>
        <w:rPr>
          <w:rFonts w:asciiTheme="majorBidi" w:hAnsiTheme="majorBidi" w:cstheme="majorBidi"/>
        </w:rPr>
        <w:t xml:space="preserve"> es</w:t>
      </w:r>
      <w:r w:rsidRPr="006F296D">
        <w:rPr>
          <w:rFonts w:asciiTheme="majorBidi" w:hAnsiTheme="majorBidi" w:cstheme="majorBidi"/>
        </w:rPr>
        <w:t xml:space="preserve"> variable. Existe en la literatura médica descripción de casos con supervivencias de hasta de 17 años, pero también supervivencias tan cortas como de pocos meses teniendo esto que ver con elementos biológicos de la enfermedad específicamente con alteraciones citogenéticas y moleculares intrínsecos tumorales. </w:t>
      </w:r>
    </w:p>
    <w:p w14:paraId="0EADA345" w14:textId="77777777" w:rsidR="003F4F1F" w:rsidRDefault="003F4F1F" w:rsidP="00C11DAA">
      <w:pPr>
        <w:spacing w:line="480" w:lineRule="auto"/>
        <w:jc w:val="both"/>
        <w:rPr>
          <w:rFonts w:asciiTheme="majorBidi" w:hAnsiTheme="majorBidi" w:cstheme="majorBidi"/>
        </w:rPr>
      </w:pPr>
      <w:r w:rsidRPr="006F296D">
        <w:rPr>
          <w:rFonts w:asciiTheme="majorBidi" w:hAnsiTheme="majorBidi" w:cstheme="majorBidi"/>
        </w:rPr>
        <w:t>Desde el año 2014 el grupo francés</w:t>
      </w:r>
      <w:r>
        <w:rPr>
          <w:rFonts w:asciiTheme="majorBidi" w:hAnsiTheme="majorBidi" w:cstheme="majorBidi"/>
        </w:rPr>
        <w:t xml:space="preserve"> en cabeza del doctor Philippe Moreau,</w:t>
      </w:r>
      <w:r w:rsidRPr="006F296D">
        <w:rPr>
          <w:rFonts w:asciiTheme="majorBidi" w:hAnsiTheme="majorBidi" w:cstheme="majorBidi"/>
        </w:rPr>
        <w:t xml:space="preserve"> describe lo que se ha llamado el </w:t>
      </w:r>
      <w:r>
        <w:rPr>
          <w:rFonts w:asciiTheme="majorBidi" w:hAnsiTheme="majorBidi" w:cstheme="majorBidi"/>
        </w:rPr>
        <w:t>MM</w:t>
      </w:r>
      <w:r w:rsidRPr="006F296D">
        <w:rPr>
          <w:rFonts w:asciiTheme="majorBidi" w:hAnsiTheme="majorBidi" w:cstheme="majorBidi"/>
        </w:rPr>
        <w:t xml:space="preserve"> de ultra alto riesgo en pacientes tratados en primera línea con trasplante autólogo y que tiene que ver con la </w:t>
      </w:r>
      <w:r>
        <w:rPr>
          <w:rFonts w:asciiTheme="majorBidi" w:hAnsiTheme="majorBidi" w:cstheme="majorBidi"/>
        </w:rPr>
        <w:t xml:space="preserve">presencia de </w:t>
      </w:r>
      <w:r w:rsidRPr="006F296D">
        <w:rPr>
          <w:rFonts w:asciiTheme="majorBidi" w:hAnsiTheme="majorBidi" w:cstheme="majorBidi"/>
        </w:rPr>
        <w:t xml:space="preserve">delección del 17p, translocación 4;14, alta carga tumoral definida como una estadificación ISS III y LDH elevada. </w:t>
      </w:r>
      <w:r>
        <w:rPr>
          <w:rFonts w:asciiTheme="majorBidi" w:hAnsiTheme="majorBidi" w:cstheme="majorBidi"/>
        </w:rPr>
        <w:t xml:space="preserve">Cuando un paciente tiene tres de las cuatro alteraciones se define este subgrupo de pacientes de MM con un alto riesgo de progresión temprana y muerte a pesar del uso de las estrategas modernas más efectivas. </w:t>
      </w:r>
    </w:p>
    <w:p w14:paraId="365D35DB" w14:textId="77777777" w:rsidR="003F4F1F" w:rsidRDefault="003F4F1F" w:rsidP="00C11DAA">
      <w:pPr>
        <w:spacing w:line="480" w:lineRule="auto"/>
        <w:jc w:val="both"/>
        <w:rPr>
          <w:rFonts w:asciiTheme="majorBidi" w:hAnsiTheme="majorBidi" w:cstheme="majorBidi"/>
        </w:rPr>
      </w:pPr>
    </w:p>
    <w:p w14:paraId="30E7D758" w14:textId="77777777" w:rsidR="003F4F1F" w:rsidRDefault="003F4F1F" w:rsidP="00C11DAA">
      <w:pPr>
        <w:spacing w:line="480" w:lineRule="auto"/>
        <w:jc w:val="both"/>
        <w:rPr>
          <w:rFonts w:asciiTheme="majorBidi" w:hAnsiTheme="majorBidi" w:cstheme="majorBidi"/>
        </w:rPr>
      </w:pPr>
      <w:r>
        <w:rPr>
          <w:rFonts w:asciiTheme="majorBidi" w:hAnsiTheme="majorBidi" w:cstheme="majorBidi"/>
          <w:noProof/>
          <w:lang w:val="es-CO" w:eastAsia="es-CO"/>
        </w:rPr>
        <w:drawing>
          <wp:inline distT="0" distB="0" distL="0" distR="0" wp14:anchorId="6127E5C2" wp14:editId="52A62E40">
            <wp:extent cx="2710580" cy="2136140"/>
            <wp:effectExtent l="0" t="0" r="7620" b="0"/>
            <wp:docPr id="12" name="Imagen 12" descr="Captura%20de%20pantalla%202019-01-05%20a%20la(s)%203.55.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a%20de%20pantalla%202019-01-05%20a%20la(s)%203.55.48%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5888" cy="2148204"/>
                    </a:xfrm>
                    <a:prstGeom prst="rect">
                      <a:avLst/>
                    </a:prstGeom>
                    <a:noFill/>
                    <a:ln>
                      <a:noFill/>
                    </a:ln>
                  </pic:spPr>
                </pic:pic>
              </a:graphicData>
            </a:graphic>
          </wp:inline>
        </w:drawing>
      </w:r>
      <w:r>
        <w:rPr>
          <w:rFonts w:asciiTheme="majorBidi" w:hAnsiTheme="majorBidi" w:cstheme="majorBidi"/>
          <w:noProof/>
          <w:lang w:val="es-CO" w:eastAsia="es-CO"/>
        </w:rPr>
        <w:drawing>
          <wp:inline distT="0" distB="0" distL="0" distR="0" wp14:anchorId="4C4920DF" wp14:editId="2C7ED9C3">
            <wp:extent cx="2674843" cy="2051148"/>
            <wp:effectExtent l="0" t="0" r="0" b="6350"/>
            <wp:docPr id="13" name="Imagen 13" descr="Captura%20de%20pantalla%202019-01-05%20a%20la(s)%203.55.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a%20de%20pantalla%202019-01-05%20a%20la(s)%203.55.55%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96499" cy="2067754"/>
                    </a:xfrm>
                    <a:prstGeom prst="rect">
                      <a:avLst/>
                    </a:prstGeom>
                    <a:noFill/>
                    <a:ln>
                      <a:noFill/>
                    </a:ln>
                  </pic:spPr>
                </pic:pic>
              </a:graphicData>
            </a:graphic>
          </wp:inline>
        </w:drawing>
      </w:r>
    </w:p>
    <w:p w14:paraId="493D1B11" w14:textId="1384ACF0" w:rsidR="003F4F1F" w:rsidRDefault="00924B2F" w:rsidP="00C11DAA">
      <w:pPr>
        <w:jc w:val="both"/>
        <w:rPr>
          <w:rFonts w:asciiTheme="majorBidi" w:hAnsiTheme="majorBidi" w:cstheme="majorBidi"/>
        </w:rPr>
      </w:pPr>
      <w:r>
        <w:rPr>
          <w:rFonts w:asciiTheme="majorBidi" w:hAnsiTheme="majorBidi" w:cstheme="majorBidi"/>
        </w:rPr>
        <w:t>Figura 6</w:t>
      </w:r>
      <w:r w:rsidR="003F4F1F">
        <w:rPr>
          <w:rFonts w:asciiTheme="majorBidi" w:hAnsiTheme="majorBidi" w:cstheme="majorBidi"/>
        </w:rPr>
        <w:t xml:space="preserve">. Incidencia acumulada de progresión temprana y supervivencia global en relación a la clasificación pronóstica. </w:t>
      </w:r>
    </w:p>
    <w:p w14:paraId="48443BAF" w14:textId="77777777" w:rsidR="003F4F1F" w:rsidRDefault="003F4F1F" w:rsidP="00C11DAA">
      <w:pPr>
        <w:spacing w:line="480" w:lineRule="auto"/>
        <w:jc w:val="both"/>
        <w:rPr>
          <w:rFonts w:asciiTheme="majorBidi" w:hAnsiTheme="majorBidi" w:cstheme="majorBidi"/>
        </w:rPr>
      </w:pPr>
    </w:p>
    <w:p w14:paraId="7CB2809D" w14:textId="182F2976" w:rsidR="003F4F1F" w:rsidRDefault="003F4F1F" w:rsidP="00C11DAA">
      <w:pPr>
        <w:spacing w:line="480" w:lineRule="auto"/>
        <w:jc w:val="both"/>
        <w:rPr>
          <w:rFonts w:asciiTheme="majorBidi" w:hAnsiTheme="majorBidi" w:cstheme="majorBidi"/>
        </w:rPr>
      </w:pPr>
      <w:r w:rsidRPr="006F296D">
        <w:rPr>
          <w:rFonts w:asciiTheme="majorBidi" w:hAnsiTheme="majorBidi" w:cstheme="majorBidi"/>
        </w:rPr>
        <w:t xml:space="preserve">Se ha descrito también de forma recientemente lo que se ha llamado MM doble hit que nuevamente destaca la importancia de las alteraciones biológicas propias del tumor en este caso con una inactivación bialélica de TP53 o amplificación de CKS1B con un fondo ISSIII que parecen corresponder a algo </w:t>
      </w:r>
      <w:r w:rsidR="00477F72" w:rsidRPr="006F296D">
        <w:rPr>
          <w:rFonts w:asciiTheme="majorBidi" w:hAnsiTheme="majorBidi" w:cstheme="majorBidi"/>
        </w:rPr>
        <w:t>más</w:t>
      </w:r>
      <w:r w:rsidRPr="006F296D">
        <w:rPr>
          <w:rFonts w:asciiTheme="majorBidi" w:hAnsiTheme="majorBidi" w:cstheme="majorBidi"/>
        </w:rPr>
        <w:t xml:space="preserve"> del 6% de toda la población de </w:t>
      </w:r>
      <w:r w:rsidRPr="006F296D">
        <w:rPr>
          <w:rFonts w:asciiTheme="majorBidi" w:hAnsiTheme="majorBidi" w:cstheme="majorBidi"/>
        </w:rPr>
        <w:lastRenderedPageBreak/>
        <w:t>mieloma múltiple y que tendrían una mediana de supervivencia libre de progresión de 15.4 meses y mediana de supervivencia global de 20.7 meses.</w:t>
      </w:r>
    </w:p>
    <w:p w14:paraId="10C146E1" w14:textId="77777777" w:rsidR="003F4F1F" w:rsidRPr="006F296D" w:rsidRDefault="003F4F1F" w:rsidP="00C11DAA">
      <w:pPr>
        <w:spacing w:line="480" w:lineRule="auto"/>
        <w:jc w:val="both"/>
        <w:rPr>
          <w:rFonts w:asciiTheme="majorBidi" w:hAnsiTheme="majorBidi" w:cstheme="majorBidi"/>
        </w:rPr>
      </w:pPr>
    </w:p>
    <w:p w14:paraId="61C8D28B" w14:textId="77777777" w:rsidR="003F4F1F" w:rsidRDefault="003F4F1F" w:rsidP="00C11DAA">
      <w:pPr>
        <w:spacing w:line="480" w:lineRule="auto"/>
        <w:jc w:val="both"/>
        <w:rPr>
          <w:rFonts w:asciiTheme="majorBidi" w:hAnsiTheme="majorBidi" w:cstheme="majorBidi"/>
        </w:rPr>
      </w:pPr>
      <w:r w:rsidRPr="006F296D">
        <w:rPr>
          <w:rFonts w:asciiTheme="majorBidi" w:hAnsiTheme="majorBidi" w:cstheme="majorBidi"/>
        </w:rPr>
        <w:t xml:space="preserve">Globalmente la supervivencia ha mejorado en los últimos años y se cree que tiene que ver con hechos como la utilización de tripletas en el manejo de inducción con tasas de supervivencia de pacientes elegibles a trasplante actualmente de 80% a 4 años y del 50% a 8 años y en los pacientes no elegibles a trasplante del 50% a 6 años. </w:t>
      </w:r>
    </w:p>
    <w:p w14:paraId="70421029" w14:textId="77777777" w:rsidR="003F4F1F" w:rsidRDefault="003F4F1F" w:rsidP="00C11DAA">
      <w:pPr>
        <w:spacing w:line="480" w:lineRule="auto"/>
        <w:jc w:val="both"/>
        <w:rPr>
          <w:rFonts w:asciiTheme="majorBidi" w:hAnsiTheme="majorBidi" w:cstheme="majorBidi"/>
        </w:rPr>
      </w:pPr>
    </w:p>
    <w:p w14:paraId="3172E3CA" w14:textId="77777777" w:rsidR="003F4F1F" w:rsidRPr="006F296D" w:rsidRDefault="003F4F1F" w:rsidP="00C11DAA">
      <w:pPr>
        <w:spacing w:line="480" w:lineRule="auto"/>
        <w:jc w:val="both"/>
        <w:rPr>
          <w:rFonts w:asciiTheme="majorBidi" w:hAnsiTheme="majorBidi" w:cstheme="majorBidi"/>
        </w:rPr>
      </w:pPr>
      <w:r>
        <w:rPr>
          <w:rFonts w:asciiTheme="majorBidi" w:hAnsiTheme="majorBidi" w:cstheme="majorBidi"/>
          <w:noProof/>
          <w:lang w:val="es-CO" w:eastAsia="es-CO"/>
        </w:rPr>
        <w:drawing>
          <wp:inline distT="0" distB="0" distL="0" distR="0" wp14:anchorId="1974E403" wp14:editId="345BF639">
            <wp:extent cx="5384800" cy="3321685"/>
            <wp:effectExtent l="0" t="0" r="0" b="5715"/>
            <wp:docPr id="14" name="Imagen 14" descr="Captura%20de%20pantalla%202019-01-05%20a%20la(s)%204.14.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a%20de%20pantalla%202019-01-05%20a%20la(s)%204.14.32%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4800" cy="3321685"/>
                    </a:xfrm>
                    <a:prstGeom prst="rect">
                      <a:avLst/>
                    </a:prstGeom>
                    <a:noFill/>
                    <a:ln>
                      <a:noFill/>
                    </a:ln>
                  </pic:spPr>
                </pic:pic>
              </a:graphicData>
            </a:graphic>
          </wp:inline>
        </w:drawing>
      </w:r>
    </w:p>
    <w:p w14:paraId="1F998FA1" w14:textId="48E68C1C" w:rsidR="00C11DAA" w:rsidRPr="006F296D" w:rsidRDefault="00924B2F" w:rsidP="00C11DAA">
      <w:pPr>
        <w:spacing w:line="360" w:lineRule="auto"/>
        <w:jc w:val="both"/>
        <w:rPr>
          <w:rFonts w:asciiTheme="majorBidi" w:hAnsiTheme="majorBidi" w:cstheme="majorBidi"/>
        </w:rPr>
      </w:pPr>
      <w:r>
        <w:rPr>
          <w:rFonts w:asciiTheme="majorBidi" w:hAnsiTheme="majorBidi" w:cstheme="majorBidi"/>
        </w:rPr>
        <w:t>Figura 7</w:t>
      </w:r>
      <w:r w:rsidR="003F4F1F">
        <w:rPr>
          <w:rFonts w:asciiTheme="majorBidi" w:hAnsiTheme="majorBidi" w:cstheme="majorBidi"/>
        </w:rPr>
        <w:t xml:space="preserve">. Estimativos de supervivencia de pacientes con MM y controles por año de diagnóstico. </w:t>
      </w:r>
    </w:p>
    <w:p w14:paraId="3006B158" w14:textId="1D893415" w:rsidR="002B37E0" w:rsidRPr="006F296D" w:rsidRDefault="002B37E0" w:rsidP="00C11DAA">
      <w:pPr>
        <w:jc w:val="both"/>
        <w:rPr>
          <w:rFonts w:asciiTheme="majorBidi" w:hAnsiTheme="majorBidi" w:cstheme="majorBidi"/>
        </w:rPr>
      </w:pPr>
    </w:p>
    <w:sectPr w:rsidR="002B37E0" w:rsidRPr="006F296D" w:rsidSect="00FA3D4D">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Lucida Grande">
    <w:altName w:val="Times New Roman"/>
    <w:charset w:val="00"/>
    <w:family w:val="auto"/>
    <w:pitch w:val="variable"/>
    <w:sig w:usb0="00000000"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217AB"/>
    <w:multiLevelType w:val="hybridMultilevel"/>
    <w:tmpl w:val="773A83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4CC261B"/>
    <w:multiLevelType w:val="multilevel"/>
    <w:tmpl w:val="3DB80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1B5CA9"/>
    <w:multiLevelType w:val="hybridMultilevel"/>
    <w:tmpl w:val="D32605E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0DEE1A62"/>
    <w:multiLevelType w:val="hybridMultilevel"/>
    <w:tmpl w:val="9EF6C92E"/>
    <w:lvl w:ilvl="0" w:tplc="040A0001">
      <w:start w:val="1"/>
      <w:numFmt w:val="bullet"/>
      <w:lvlText w:val=""/>
      <w:lvlJc w:val="left"/>
      <w:pPr>
        <w:ind w:left="720" w:hanging="360"/>
      </w:pPr>
      <w:rPr>
        <w:rFonts w:ascii="Symbol" w:hAnsi="Symbol"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116A402C"/>
    <w:multiLevelType w:val="hybridMultilevel"/>
    <w:tmpl w:val="3FFE46E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167C4375"/>
    <w:multiLevelType w:val="hybridMultilevel"/>
    <w:tmpl w:val="2C702ACC"/>
    <w:lvl w:ilvl="0" w:tplc="040A0017">
      <w:start w:val="1"/>
      <w:numFmt w:val="lowerLetter"/>
      <w:lvlText w:val="%1)"/>
      <w:lvlJc w:val="lef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6" w15:restartNumberingAfterBreak="0">
    <w:nsid w:val="200D3DC1"/>
    <w:multiLevelType w:val="hybridMultilevel"/>
    <w:tmpl w:val="5F607EE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216678E4"/>
    <w:multiLevelType w:val="multilevel"/>
    <w:tmpl w:val="296A2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7942D7"/>
    <w:multiLevelType w:val="multilevel"/>
    <w:tmpl w:val="C51C3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A52115"/>
    <w:multiLevelType w:val="hybridMultilevel"/>
    <w:tmpl w:val="51CC608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29D87CA8"/>
    <w:multiLevelType w:val="hybridMultilevel"/>
    <w:tmpl w:val="0C9E65E6"/>
    <w:lvl w:ilvl="0" w:tplc="9132B988">
      <w:numFmt w:val="bullet"/>
      <w:lvlText w:val=""/>
      <w:lvlJc w:val="left"/>
      <w:pPr>
        <w:ind w:left="720" w:hanging="360"/>
      </w:pPr>
      <w:rPr>
        <w:rFonts w:ascii="Wingdings" w:eastAsia="Times New Roman" w:hAnsi="Wingdings"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E7E5F9D"/>
    <w:multiLevelType w:val="hybridMultilevel"/>
    <w:tmpl w:val="BD08732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34450BD8"/>
    <w:multiLevelType w:val="hybridMultilevel"/>
    <w:tmpl w:val="12D845E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35C17947"/>
    <w:multiLevelType w:val="multilevel"/>
    <w:tmpl w:val="EA741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CC5320"/>
    <w:multiLevelType w:val="multilevel"/>
    <w:tmpl w:val="80443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807BF9"/>
    <w:multiLevelType w:val="hybridMultilevel"/>
    <w:tmpl w:val="87BEFE1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476C423F"/>
    <w:multiLevelType w:val="multilevel"/>
    <w:tmpl w:val="7A0EF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A1F4CC8"/>
    <w:multiLevelType w:val="hybridMultilevel"/>
    <w:tmpl w:val="303603D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4E596F4B"/>
    <w:multiLevelType w:val="hybridMultilevel"/>
    <w:tmpl w:val="BD76CBB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5855107C"/>
    <w:multiLevelType w:val="hybridMultilevel"/>
    <w:tmpl w:val="4934CCB6"/>
    <w:lvl w:ilvl="0" w:tplc="040A000F">
      <w:start w:val="1"/>
      <w:numFmt w:val="decimal"/>
      <w:lvlText w:val="%1."/>
      <w:lvlJc w:val="left"/>
      <w:pPr>
        <w:ind w:left="720" w:hanging="360"/>
      </w:pPr>
      <w:rPr>
        <w:rFont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5C4B6CEF"/>
    <w:multiLevelType w:val="hybridMultilevel"/>
    <w:tmpl w:val="C952099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5C986E34"/>
    <w:multiLevelType w:val="multilevel"/>
    <w:tmpl w:val="111E1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4A6180"/>
    <w:multiLevelType w:val="hybridMultilevel"/>
    <w:tmpl w:val="5A4C93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4060FEC"/>
    <w:multiLevelType w:val="hybridMultilevel"/>
    <w:tmpl w:val="B9A44922"/>
    <w:lvl w:ilvl="0" w:tplc="05BC7FD4">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715773F1"/>
    <w:multiLevelType w:val="hybridMultilevel"/>
    <w:tmpl w:val="627CC25E"/>
    <w:lvl w:ilvl="0" w:tplc="040A0017">
      <w:start w:val="1"/>
      <w:numFmt w:val="lowerLetter"/>
      <w:lvlText w:val="%1)"/>
      <w:lvlJc w:val="left"/>
      <w:pPr>
        <w:ind w:left="720" w:hanging="360"/>
      </w:pPr>
      <w:rPr>
        <w:rFont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75C01515"/>
    <w:multiLevelType w:val="multilevel"/>
    <w:tmpl w:val="FE5A5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A86DE7"/>
    <w:multiLevelType w:val="multilevel"/>
    <w:tmpl w:val="E6EEC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CF925F7"/>
    <w:multiLevelType w:val="multilevel"/>
    <w:tmpl w:val="6F0C9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21"/>
    <w:lvlOverride w:ilvl="1">
      <w:lvl w:ilvl="1">
        <w:numFmt w:val="bullet"/>
        <w:lvlText w:val=""/>
        <w:lvlJc w:val="left"/>
        <w:pPr>
          <w:tabs>
            <w:tab w:val="num" w:pos="1440"/>
          </w:tabs>
          <w:ind w:left="1440" w:hanging="360"/>
        </w:pPr>
        <w:rPr>
          <w:rFonts w:ascii="Symbol" w:hAnsi="Symbol" w:hint="default"/>
          <w:sz w:val="20"/>
        </w:rPr>
      </w:lvl>
    </w:lvlOverride>
  </w:num>
  <w:num w:numId="3">
    <w:abstractNumId w:val="7"/>
  </w:num>
  <w:num w:numId="4">
    <w:abstractNumId w:val="0"/>
  </w:num>
  <w:num w:numId="5">
    <w:abstractNumId w:val="10"/>
  </w:num>
  <w:num w:numId="6">
    <w:abstractNumId w:val="22"/>
  </w:num>
  <w:num w:numId="7">
    <w:abstractNumId w:val="23"/>
  </w:num>
  <w:num w:numId="8">
    <w:abstractNumId w:val="2"/>
  </w:num>
  <w:num w:numId="9">
    <w:abstractNumId w:val="3"/>
  </w:num>
  <w:num w:numId="10">
    <w:abstractNumId w:val="15"/>
  </w:num>
  <w:num w:numId="11">
    <w:abstractNumId w:val="11"/>
  </w:num>
  <w:num w:numId="12">
    <w:abstractNumId w:val="20"/>
  </w:num>
  <w:num w:numId="13">
    <w:abstractNumId w:val="6"/>
  </w:num>
  <w:num w:numId="14">
    <w:abstractNumId w:val="9"/>
  </w:num>
  <w:num w:numId="15">
    <w:abstractNumId w:val="19"/>
  </w:num>
  <w:num w:numId="16">
    <w:abstractNumId w:val="24"/>
  </w:num>
  <w:num w:numId="17">
    <w:abstractNumId w:val="4"/>
  </w:num>
  <w:num w:numId="18">
    <w:abstractNumId w:val="5"/>
  </w:num>
  <w:num w:numId="19">
    <w:abstractNumId w:val="13"/>
  </w:num>
  <w:num w:numId="20">
    <w:abstractNumId w:val="25"/>
  </w:num>
  <w:num w:numId="21">
    <w:abstractNumId w:val="27"/>
  </w:num>
  <w:num w:numId="22">
    <w:abstractNumId w:val="8"/>
  </w:num>
  <w:num w:numId="23">
    <w:abstractNumId w:val="14"/>
  </w:num>
  <w:num w:numId="24">
    <w:abstractNumId w:val="26"/>
  </w:num>
  <w:num w:numId="25">
    <w:abstractNumId w:val="18"/>
  </w:num>
  <w:num w:numId="26">
    <w:abstractNumId w:val="17"/>
  </w:num>
  <w:num w:numId="27">
    <w:abstractNumId w:val="12"/>
  </w:num>
  <w:num w:numId="28">
    <w:abstractNumId w:val="1"/>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3A42"/>
    <w:rsid w:val="000037C2"/>
    <w:rsid w:val="000063AC"/>
    <w:rsid w:val="00006DD8"/>
    <w:rsid w:val="00007726"/>
    <w:rsid w:val="00013A16"/>
    <w:rsid w:val="00041647"/>
    <w:rsid w:val="00045798"/>
    <w:rsid w:val="00072953"/>
    <w:rsid w:val="000833D0"/>
    <w:rsid w:val="00086B73"/>
    <w:rsid w:val="00092D5C"/>
    <w:rsid w:val="000A1331"/>
    <w:rsid w:val="000A4E42"/>
    <w:rsid w:val="000A524D"/>
    <w:rsid w:val="000B53B5"/>
    <w:rsid w:val="000C4D9B"/>
    <w:rsid w:val="000E1DFF"/>
    <w:rsid w:val="000E2763"/>
    <w:rsid w:val="000F6ABF"/>
    <w:rsid w:val="0010099C"/>
    <w:rsid w:val="001076AB"/>
    <w:rsid w:val="00121960"/>
    <w:rsid w:val="00127667"/>
    <w:rsid w:val="00130FAB"/>
    <w:rsid w:val="001460A3"/>
    <w:rsid w:val="00146D11"/>
    <w:rsid w:val="00152FFF"/>
    <w:rsid w:val="00153CAA"/>
    <w:rsid w:val="00156681"/>
    <w:rsid w:val="00166042"/>
    <w:rsid w:val="00177FB3"/>
    <w:rsid w:val="0018380D"/>
    <w:rsid w:val="00195D28"/>
    <w:rsid w:val="001A04E7"/>
    <w:rsid w:val="001B62BE"/>
    <w:rsid w:val="001C49D7"/>
    <w:rsid w:val="001C5C4D"/>
    <w:rsid w:val="001C7470"/>
    <w:rsid w:val="001D7175"/>
    <w:rsid w:val="001E2240"/>
    <w:rsid w:val="001E3394"/>
    <w:rsid w:val="001E7447"/>
    <w:rsid w:val="002078B0"/>
    <w:rsid w:val="0021680B"/>
    <w:rsid w:val="002264E7"/>
    <w:rsid w:val="00237E74"/>
    <w:rsid w:val="00244966"/>
    <w:rsid w:val="00245FC6"/>
    <w:rsid w:val="00265C76"/>
    <w:rsid w:val="002750A6"/>
    <w:rsid w:val="0029404B"/>
    <w:rsid w:val="002A06E8"/>
    <w:rsid w:val="002A1858"/>
    <w:rsid w:val="002A1FC4"/>
    <w:rsid w:val="002A76B8"/>
    <w:rsid w:val="002A7D61"/>
    <w:rsid w:val="002B37E0"/>
    <w:rsid w:val="002D6E86"/>
    <w:rsid w:val="002E0F7E"/>
    <w:rsid w:val="002F4349"/>
    <w:rsid w:val="00301974"/>
    <w:rsid w:val="003019B8"/>
    <w:rsid w:val="003119A3"/>
    <w:rsid w:val="00321864"/>
    <w:rsid w:val="00322140"/>
    <w:rsid w:val="00330238"/>
    <w:rsid w:val="00334705"/>
    <w:rsid w:val="00335727"/>
    <w:rsid w:val="00346989"/>
    <w:rsid w:val="00350BC6"/>
    <w:rsid w:val="00357BA1"/>
    <w:rsid w:val="0037388D"/>
    <w:rsid w:val="00373BCA"/>
    <w:rsid w:val="003746EE"/>
    <w:rsid w:val="00381AA5"/>
    <w:rsid w:val="0038518D"/>
    <w:rsid w:val="00385991"/>
    <w:rsid w:val="003916CB"/>
    <w:rsid w:val="003925B6"/>
    <w:rsid w:val="003A5757"/>
    <w:rsid w:val="003B03F1"/>
    <w:rsid w:val="003B0C01"/>
    <w:rsid w:val="003B6CB4"/>
    <w:rsid w:val="003B6D5E"/>
    <w:rsid w:val="003D4ADD"/>
    <w:rsid w:val="003D758C"/>
    <w:rsid w:val="003E57FE"/>
    <w:rsid w:val="003E714C"/>
    <w:rsid w:val="003E7DB3"/>
    <w:rsid w:val="003F4F1F"/>
    <w:rsid w:val="004059DA"/>
    <w:rsid w:val="00426925"/>
    <w:rsid w:val="00432540"/>
    <w:rsid w:val="00432E8A"/>
    <w:rsid w:val="004338FF"/>
    <w:rsid w:val="004377AB"/>
    <w:rsid w:val="00446769"/>
    <w:rsid w:val="004544D6"/>
    <w:rsid w:val="00467B78"/>
    <w:rsid w:val="00477F72"/>
    <w:rsid w:val="00485C44"/>
    <w:rsid w:val="00493381"/>
    <w:rsid w:val="00497A04"/>
    <w:rsid w:val="004B0C22"/>
    <w:rsid w:val="004B51F9"/>
    <w:rsid w:val="004C454B"/>
    <w:rsid w:val="004D205B"/>
    <w:rsid w:val="004E2216"/>
    <w:rsid w:val="00506A01"/>
    <w:rsid w:val="005200D2"/>
    <w:rsid w:val="005333F5"/>
    <w:rsid w:val="00543769"/>
    <w:rsid w:val="00547C15"/>
    <w:rsid w:val="005507C6"/>
    <w:rsid w:val="00551B11"/>
    <w:rsid w:val="005638EC"/>
    <w:rsid w:val="00571E05"/>
    <w:rsid w:val="0059181D"/>
    <w:rsid w:val="005C7B8B"/>
    <w:rsid w:val="005D5A59"/>
    <w:rsid w:val="005D7F70"/>
    <w:rsid w:val="005E22D0"/>
    <w:rsid w:val="005F2455"/>
    <w:rsid w:val="005F5617"/>
    <w:rsid w:val="005F6224"/>
    <w:rsid w:val="006036E7"/>
    <w:rsid w:val="006072DF"/>
    <w:rsid w:val="0061002E"/>
    <w:rsid w:val="006177C3"/>
    <w:rsid w:val="00623B61"/>
    <w:rsid w:val="00624B1A"/>
    <w:rsid w:val="00635ADA"/>
    <w:rsid w:val="006547D5"/>
    <w:rsid w:val="00662375"/>
    <w:rsid w:val="006635FF"/>
    <w:rsid w:val="006944D4"/>
    <w:rsid w:val="00694DC9"/>
    <w:rsid w:val="006A1034"/>
    <w:rsid w:val="006B2CBA"/>
    <w:rsid w:val="006B4DE2"/>
    <w:rsid w:val="006C3A1B"/>
    <w:rsid w:val="006E2FDC"/>
    <w:rsid w:val="006F0788"/>
    <w:rsid w:val="006F296D"/>
    <w:rsid w:val="006F6BC1"/>
    <w:rsid w:val="006F6D18"/>
    <w:rsid w:val="00715286"/>
    <w:rsid w:val="00725B53"/>
    <w:rsid w:val="00730FCC"/>
    <w:rsid w:val="00737C12"/>
    <w:rsid w:val="00744B14"/>
    <w:rsid w:val="00745A31"/>
    <w:rsid w:val="00763316"/>
    <w:rsid w:val="00766AD2"/>
    <w:rsid w:val="00766ED1"/>
    <w:rsid w:val="00772670"/>
    <w:rsid w:val="007733E8"/>
    <w:rsid w:val="007821C5"/>
    <w:rsid w:val="007833C0"/>
    <w:rsid w:val="00791D64"/>
    <w:rsid w:val="00795297"/>
    <w:rsid w:val="007B2C51"/>
    <w:rsid w:val="007B350A"/>
    <w:rsid w:val="007C6510"/>
    <w:rsid w:val="007C7A0C"/>
    <w:rsid w:val="007D204B"/>
    <w:rsid w:val="007E4066"/>
    <w:rsid w:val="007E44B4"/>
    <w:rsid w:val="007E76FE"/>
    <w:rsid w:val="007F2417"/>
    <w:rsid w:val="00807B0C"/>
    <w:rsid w:val="00832931"/>
    <w:rsid w:val="0083711F"/>
    <w:rsid w:val="00842BC8"/>
    <w:rsid w:val="00850083"/>
    <w:rsid w:val="008633A0"/>
    <w:rsid w:val="0087204A"/>
    <w:rsid w:val="00872E10"/>
    <w:rsid w:val="00891FF1"/>
    <w:rsid w:val="008A4CF7"/>
    <w:rsid w:val="008A6A17"/>
    <w:rsid w:val="008B03CF"/>
    <w:rsid w:val="008C1D9D"/>
    <w:rsid w:val="008C36BE"/>
    <w:rsid w:val="008C63A3"/>
    <w:rsid w:val="008D760B"/>
    <w:rsid w:val="008D7B85"/>
    <w:rsid w:val="008E3EFB"/>
    <w:rsid w:val="008E6132"/>
    <w:rsid w:val="00904C6D"/>
    <w:rsid w:val="009131F2"/>
    <w:rsid w:val="00924B2F"/>
    <w:rsid w:val="00933F6D"/>
    <w:rsid w:val="00934294"/>
    <w:rsid w:val="00935505"/>
    <w:rsid w:val="0094322C"/>
    <w:rsid w:val="00970CF8"/>
    <w:rsid w:val="0098489C"/>
    <w:rsid w:val="00984E22"/>
    <w:rsid w:val="009942E5"/>
    <w:rsid w:val="009953D3"/>
    <w:rsid w:val="009A47E9"/>
    <w:rsid w:val="009C02BE"/>
    <w:rsid w:val="009C623A"/>
    <w:rsid w:val="009C69A9"/>
    <w:rsid w:val="009D3748"/>
    <w:rsid w:val="009D5FB1"/>
    <w:rsid w:val="009E0C49"/>
    <w:rsid w:val="009E13DE"/>
    <w:rsid w:val="00A06099"/>
    <w:rsid w:val="00A06F79"/>
    <w:rsid w:val="00A10BC6"/>
    <w:rsid w:val="00A11448"/>
    <w:rsid w:val="00A121B5"/>
    <w:rsid w:val="00A12B6D"/>
    <w:rsid w:val="00A14CEE"/>
    <w:rsid w:val="00A240D5"/>
    <w:rsid w:val="00A2421D"/>
    <w:rsid w:val="00A27357"/>
    <w:rsid w:val="00A3004A"/>
    <w:rsid w:val="00A66761"/>
    <w:rsid w:val="00A667C0"/>
    <w:rsid w:val="00A67724"/>
    <w:rsid w:val="00A85B54"/>
    <w:rsid w:val="00A91AA2"/>
    <w:rsid w:val="00A94671"/>
    <w:rsid w:val="00AA4A0C"/>
    <w:rsid w:val="00AA79C7"/>
    <w:rsid w:val="00AB524C"/>
    <w:rsid w:val="00AC1B45"/>
    <w:rsid w:val="00AC26BF"/>
    <w:rsid w:val="00AC56CD"/>
    <w:rsid w:val="00AD0AA8"/>
    <w:rsid w:val="00AD0E0E"/>
    <w:rsid w:val="00AD338C"/>
    <w:rsid w:val="00AF107E"/>
    <w:rsid w:val="00AF3A42"/>
    <w:rsid w:val="00B010CB"/>
    <w:rsid w:val="00B037E6"/>
    <w:rsid w:val="00B111BD"/>
    <w:rsid w:val="00B116CD"/>
    <w:rsid w:val="00B3162C"/>
    <w:rsid w:val="00B33A79"/>
    <w:rsid w:val="00B423A5"/>
    <w:rsid w:val="00B437DB"/>
    <w:rsid w:val="00B471ED"/>
    <w:rsid w:val="00B57CC3"/>
    <w:rsid w:val="00B666FB"/>
    <w:rsid w:val="00B6793D"/>
    <w:rsid w:val="00B719F7"/>
    <w:rsid w:val="00B71FDA"/>
    <w:rsid w:val="00B723B0"/>
    <w:rsid w:val="00B759ED"/>
    <w:rsid w:val="00B77F21"/>
    <w:rsid w:val="00B84A45"/>
    <w:rsid w:val="00B86654"/>
    <w:rsid w:val="00B96100"/>
    <w:rsid w:val="00B96E0A"/>
    <w:rsid w:val="00BA18D2"/>
    <w:rsid w:val="00BA2F28"/>
    <w:rsid w:val="00BA5D6D"/>
    <w:rsid w:val="00BC3346"/>
    <w:rsid w:val="00BC470C"/>
    <w:rsid w:val="00BD30C4"/>
    <w:rsid w:val="00BD6C4A"/>
    <w:rsid w:val="00C11DAA"/>
    <w:rsid w:val="00C16C51"/>
    <w:rsid w:val="00C263C8"/>
    <w:rsid w:val="00C31615"/>
    <w:rsid w:val="00C36063"/>
    <w:rsid w:val="00C3704C"/>
    <w:rsid w:val="00C43DB3"/>
    <w:rsid w:val="00C45CBE"/>
    <w:rsid w:val="00C6099C"/>
    <w:rsid w:val="00C6390F"/>
    <w:rsid w:val="00C67925"/>
    <w:rsid w:val="00C7372B"/>
    <w:rsid w:val="00C73E73"/>
    <w:rsid w:val="00C773E1"/>
    <w:rsid w:val="00C91496"/>
    <w:rsid w:val="00C945BC"/>
    <w:rsid w:val="00C962C0"/>
    <w:rsid w:val="00C9646A"/>
    <w:rsid w:val="00CA4E34"/>
    <w:rsid w:val="00CB09E0"/>
    <w:rsid w:val="00CB7387"/>
    <w:rsid w:val="00CB7A2E"/>
    <w:rsid w:val="00CC7AA6"/>
    <w:rsid w:val="00CE2D9A"/>
    <w:rsid w:val="00CE7DEC"/>
    <w:rsid w:val="00CF1697"/>
    <w:rsid w:val="00CF7E5D"/>
    <w:rsid w:val="00D03BA5"/>
    <w:rsid w:val="00D328A8"/>
    <w:rsid w:val="00D32A66"/>
    <w:rsid w:val="00D377AF"/>
    <w:rsid w:val="00D417D2"/>
    <w:rsid w:val="00D463FB"/>
    <w:rsid w:val="00D54A66"/>
    <w:rsid w:val="00D60AB1"/>
    <w:rsid w:val="00D67158"/>
    <w:rsid w:val="00D748ED"/>
    <w:rsid w:val="00D74FC7"/>
    <w:rsid w:val="00D80EC1"/>
    <w:rsid w:val="00D8142F"/>
    <w:rsid w:val="00D861E6"/>
    <w:rsid w:val="00DA1540"/>
    <w:rsid w:val="00DC2A26"/>
    <w:rsid w:val="00DC2B85"/>
    <w:rsid w:val="00DE1261"/>
    <w:rsid w:val="00DE564A"/>
    <w:rsid w:val="00DE6A47"/>
    <w:rsid w:val="00DF2722"/>
    <w:rsid w:val="00DF2ECE"/>
    <w:rsid w:val="00DF766A"/>
    <w:rsid w:val="00E002E2"/>
    <w:rsid w:val="00E01B5E"/>
    <w:rsid w:val="00E01EB4"/>
    <w:rsid w:val="00E374B6"/>
    <w:rsid w:val="00E4260B"/>
    <w:rsid w:val="00E50C90"/>
    <w:rsid w:val="00E55970"/>
    <w:rsid w:val="00E75855"/>
    <w:rsid w:val="00E8539D"/>
    <w:rsid w:val="00EA251C"/>
    <w:rsid w:val="00EA31C7"/>
    <w:rsid w:val="00EC0980"/>
    <w:rsid w:val="00ED1CDB"/>
    <w:rsid w:val="00EE031C"/>
    <w:rsid w:val="00EE12B4"/>
    <w:rsid w:val="00EE31B8"/>
    <w:rsid w:val="00EF5250"/>
    <w:rsid w:val="00F07570"/>
    <w:rsid w:val="00F2753F"/>
    <w:rsid w:val="00F36B33"/>
    <w:rsid w:val="00F4195D"/>
    <w:rsid w:val="00F423D1"/>
    <w:rsid w:val="00F56050"/>
    <w:rsid w:val="00F61AB0"/>
    <w:rsid w:val="00F67628"/>
    <w:rsid w:val="00F800C6"/>
    <w:rsid w:val="00F87F60"/>
    <w:rsid w:val="00F91037"/>
    <w:rsid w:val="00F91085"/>
    <w:rsid w:val="00FA2DCB"/>
    <w:rsid w:val="00FA3D4D"/>
    <w:rsid w:val="00FB211F"/>
    <w:rsid w:val="00FB7544"/>
    <w:rsid w:val="00FC35E3"/>
    <w:rsid w:val="00FD0619"/>
    <w:rsid w:val="00FD0F9C"/>
    <w:rsid w:val="00FD6979"/>
    <w:rsid w:val="00FE6063"/>
    <w:rsid w:val="00FE6500"/>
    <w:rsid w:val="00FF0EDD"/>
    <w:rsid w:val="00FF3428"/>
    <w:rsid w:val="00FF5694"/>
  </w:rsids>
  <m:mathPr>
    <m:mathFont m:val="Cambria Math"/>
    <m:brkBin m:val="before"/>
    <m:brkBinSub m:val="--"/>
    <m:smallFrac m:val="0"/>
    <m:dispDef/>
    <m:lMargin m:val="0"/>
    <m:rMargin m:val="0"/>
    <m:defJc m:val="centerGroup"/>
    <m:wrapIndent m:val="1440"/>
    <m:intLim m:val="subSup"/>
    <m:naryLim m:val="undOvr"/>
  </m:mathPr>
  <w:themeFontLang w:val="es-ES_tradnl"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35D48E"/>
  <w14:defaultImageDpi w14:val="300"/>
  <w15:docId w15:val="{0258BA89-E265-4B24-A942-EB3F63AC7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2F28"/>
    <w:rPr>
      <w:rFonts w:ascii="Times New Roman" w:hAnsi="Times New Roman" w:cs="Times New Roman"/>
      <w:lang w:eastAsia="zh-CN"/>
    </w:rPr>
  </w:style>
  <w:style w:type="paragraph" w:styleId="Ttulo1">
    <w:name w:val="heading 1"/>
    <w:basedOn w:val="Normal"/>
    <w:next w:val="Normal"/>
    <w:link w:val="Ttulo1Car"/>
    <w:uiPriority w:val="9"/>
    <w:qFormat/>
    <w:rsid w:val="00FD0619"/>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link w:val="Ttulo2Car"/>
    <w:uiPriority w:val="9"/>
    <w:qFormat/>
    <w:rsid w:val="00772670"/>
    <w:pPr>
      <w:spacing w:before="100" w:beforeAutospacing="1" w:after="100" w:afterAutospacing="1"/>
      <w:outlineLvl w:val="1"/>
    </w:pPr>
    <w:rPr>
      <w:rFonts w:ascii="Times" w:hAnsi="Times"/>
      <w:b/>
      <w:bCs/>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772670"/>
    <w:pPr>
      <w:spacing w:before="100" w:beforeAutospacing="1" w:after="100" w:afterAutospacing="1"/>
    </w:pPr>
    <w:rPr>
      <w:rFonts w:ascii="Times" w:hAnsi="Times"/>
      <w:sz w:val="20"/>
      <w:szCs w:val="20"/>
    </w:rPr>
  </w:style>
  <w:style w:type="character" w:customStyle="1" w:styleId="apple-converted-space">
    <w:name w:val="apple-converted-space"/>
    <w:basedOn w:val="Fuentedeprrafopredeter"/>
    <w:rsid w:val="00772670"/>
  </w:style>
  <w:style w:type="character" w:customStyle="1" w:styleId="Ttulo2Car">
    <w:name w:val="Título 2 Car"/>
    <w:basedOn w:val="Fuentedeprrafopredeter"/>
    <w:link w:val="Ttulo2"/>
    <w:uiPriority w:val="9"/>
    <w:rsid w:val="00772670"/>
    <w:rPr>
      <w:rFonts w:ascii="Times" w:hAnsi="Times"/>
      <w:b/>
      <w:bCs/>
      <w:sz w:val="36"/>
      <w:szCs w:val="36"/>
    </w:rPr>
  </w:style>
  <w:style w:type="character" w:styleId="nfasis">
    <w:name w:val="Emphasis"/>
    <w:basedOn w:val="Fuentedeprrafopredeter"/>
    <w:uiPriority w:val="20"/>
    <w:qFormat/>
    <w:rsid w:val="00772670"/>
    <w:rPr>
      <w:i/>
      <w:iCs/>
    </w:rPr>
  </w:style>
  <w:style w:type="paragraph" w:styleId="Textodeglobo">
    <w:name w:val="Balloon Text"/>
    <w:basedOn w:val="Normal"/>
    <w:link w:val="TextodegloboCar"/>
    <w:uiPriority w:val="99"/>
    <w:semiHidden/>
    <w:unhideWhenUsed/>
    <w:rsid w:val="00623B61"/>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623B61"/>
    <w:rPr>
      <w:rFonts w:ascii="Lucida Grande" w:hAnsi="Lucida Grande" w:cs="Lucida Grande"/>
      <w:sz w:val="18"/>
      <w:szCs w:val="18"/>
    </w:rPr>
  </w:style>
  <w:style w:type="paragraph" w:styleId="Prrafodelista">
    <w:name w:val="List Paragraph"/>
    <w:basedOn w:val="Normal"/>
    <w:uiPriority w:val="34"/>
    <w:qFormat/>
    <w:rsid w:val="00850083"/>
    <w:pPr>
      <w:ind w:left="720"/>
      <w:contextualSpacing/>
    </w:pPr>
  </w:style>
  <w:style w:type="paragraph" w:styleId="HTMLconformatoprevio">
    <w:name w:val="HTML Preformatted"/>
    <w:basedOn w:val="Normal"/>
    <w:link w:val="HTMLconformatoprevioCar"/>
    <w:uiPriority w:val="99"/>
    <w:unhideWhenUsed/>
    <w:rsid w:val="000E1DFF"/>
    <w:rPr>
      <w:rFonts w:ascii="Consolas" w:eastAsiaTheme="minorHAnsi" w:hAnsi="Consolas" w:cs="Consolas"/>
      <w:sz w:val="20"/>
      <w:szCs w:val="20"/>
      <w:lang w:val="es-CO" w:eastAsia="en-US"/>
    </w:rPr>
  </w:style>
  <w:style w:type="character" w:customStyle="1" w:styleId="HTMLconformatoprevioCar">
    <w:name w:val="HTML con formato previo Car"/>
    <w:basedOn w:val="Fuentedeprrafopredeter"/>
    <w:link w:val="HTMLconformatoprevio"/>
    <w:uiPriority w:val="99"/>
    <w:rsid w:val="000E1DFF"/>
    <w:rPr>
      <w:rFonts w:ascii="Consolas" w:eastAsiaTheme="minorHAnsi" w:hAnsi="Consolas" w:cs="Consolas"/>
      <w:sz w:val="20"/>
      <w:szCs w:val="20"/>
      <w:lang w:val="es-CO" w:eastAsia="en-US"/>
    </w:rPr>
  </w:style>
  <w:style w:type="table" w:styleId="Tablaconcuadrcula">
    <w:name w:val="Table Grid"/>
    <w:basedOn w:val="Tablanormal"/>
    <w:uiPriority w:val="39"/>
    <w:rsid w:val="000E1DFF"/>
    <w:rPr>
      <w:rFonts w:eastAsiaTheme="minorHAnsi"/>
      <w:sz w:val="22"/>
      <w:szCs w:val="22"/>
      <w:lang w:val="es-C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f-journal">
    <w:name w:val="ref-journal"/>
    <w:basedOn w:val="Fuentedeprrafopredeter"/>
    <w:rsid w:val="000E1DFF"/>
  </w:style>
  <w:style w:type="character" w:customStyle="1" w:styleId="ref-vol">
    <w:name w:val="ref-vol"/>
    <w:basedOn w:val="Fuentedeprrafopredeter"/>
    <w:rsid w:val="000E1DFF"/>
  </w:style>
  <w:style w:type="table" w:customStyle="1" w:styleId="Tabladecuadrcula1clara-nfasis61">
    <w:name w:val="Tabla de cuadrícula 1 clara - Énfasis 61"/>
    <w:basedOn w:val="Tablanormal"/>
    <w:uiPriority w:val="46"/>
    <w:rsid w:val="000E1DFF"/>
    <w:rPr>
      <w:rFonts w:eastAsiaTheme="minorHAnsi"/>
      <w:sz w:val="22"/>
      <w:szCs w:val="22"/>
      <w:lang w:val="es-CO" w:eastAsia="en-US"/>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character" w:customStyle="1" w:styleId="Ttulo1Car">
    <w:name w:val="Título 1 Car"/>
    <w:basedOn w:val="Fuentedeprrafopredeter"/>
    <w:link w:val="Ttulo1"/>
    <w:uiPriority w:val="9"/>
    <w:rsid w:val="00FD0619"/>
    <w:rPr>
      <w:rFonts w:asciiTheme="majorHAnsi" w:eastAsiaTheme="majorEastAsia" w:hAnsiTheme="majorHAnsi" w:cstheme="majorBidi"/>
      <w:color w:val="365F91" w:themeColor="accent1" w:themeShade="BF"/>
      <w:sz w:val="32"/>
      <w:szCs w:val="32"/>
    </w:rPr>
  </w:style>
  <w:style w:type="character" w:styleId="Hipervnculo">
    <w:name w:val="Hyperlink"/>
    <w:basedOn w:val="Fuentedeprrafopredeter"/>
    <w:uiPriority w:val="99"/>
    <w:semiHidden/>
    <w:unhideWhenUsed/>
    <w:rsid w:val="00933F6D"/>
    <w:rPr>
      <w:color w:val="0000FF"/>
      <w:u w:val="single"/>
    </w:rPr>
  </w:style>
  <w:style w:type="character" w:styleId="Refdecomentario">
    <w:name w:val="annotation reference"/>
    <w:basedOn w:val="Fuentedeprrafopredeter"/>
    <w:uiPriority w:val="99"/>
    <w:semiHidden/>
    <w:unhideWhenUsed/>
    <w:rsid w:val="00CB7387"/>
    <w:rPr>
      <w:sz w:val="16"/>
      <w:szCs w:val="16"/>
    </w:rPr>
  </w:style>
  <w:style w:type="paragraph" w:styleId="Textocomentario">
    <w:name w:val="annotation text"/>
    <w:basedOn w:val="Normal"/>
    <w:link w:val="TextocomentarioCar"/>
    <w:uiPriority w:val="99"/>
    <w:semiHidden/>
    <w:unhideWhenUsed/>
    <w:rsid w:val="00CB7387"/>
    <w:rPr>
      <w:sz w:val="20"/>
      <w:szCs w:val="20"/>
    </w:rPr>
  </w:style>
  <w:style w:type="character" w:customStyle="1" w:styleId="TextocomentarioCar">
    <w:name w:val="Texto comentario Car"/>
    <w:basedOn w:val="Fuentedeprrafopredeter"/>
    <w:link w:val="Textocomentario"/>
    <w:uiPriority w:val="99"/>
    <w:semiHidden/>
    <w:rsid w:val="00CB7387"/>
    <w:rPr>
      <w:rFonts w:ascii="Times New Roman" w:hAnsi="Times New Roman" w:cs="Times New Roman"/>
      <w:sz w:val="20"/>
      <w:szCs w:val="20"/>
      <w:lang w:eastAsia="zh-CN"/>
    </w:rPr>
  </w:style>
  <w:style w:type="paragraph" w:styleId="Asuntodelcomentario">
    <w:name w:val="annotation subject"/>
    <w:basedOn w:val="Textocomentario"/>
    <w:next w:val="Textocomentario"/>
    <w:link w:val="AsuntodelcomentarioCar"/>
    <w:uiPriority w:val="99"/>
    <w:semiHidden/>
    <w:unhideWhenUsed/>
    <w:rsid w:val="00CB7387"/>
    <w:rPr>
      <w:b/>
      <w:bCs/>
    </w:rPr>
  </w:style>
  <w:style w:type="character" w:customStyle="1" w:styleId="AsuntodelcomentarioCar">
    <w:name w:val="Asunto del comentario Car"/>
    <w:basedOn w:val="TextocomentarioCar"/>
    <w:link w:val="Asuntodelcomentario"/>
    <w:uiPriority w:val="99"/>
    <w:semiHidden/>
    <w:rsid w:val="00CB7387"/>
    <w:rPr>
      <w:rFonts w:ascii="Times New Roman" w:hAnsi="Times New Roman" w:cs="Times New Roman"/>
      <w:b/>
      <w:bCs/>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415028">
      <w:bodyDiv w:val="1"/>
      <w:marLeft w:val="0"/>
      <w:marRight w:val="0"/>
      <w:marTop w:val="0"/>
      <w:marBottom w:val="0"/>
      <w:divBdr>
        <w:top w:val="none" w:sz="0" w:space="0" w:color="auto"/>
        <w:left w:val="none" w:sz="0" w:space="0" w:color="auto"/>
        <w:bottom w:val="none" w:sz="0" w:space="0" w:color="auto"/>
        <w:right w:val="none" w:sz="0" w:space="0" w:color="auto"/>
      </w:divBdr>
    </w:div>
    <w:div w:id="80224754">
      <w:bodyDiv w:val="1"/>
      <w:marLeft w:val="0"/>
      <w:marRight w:val="0"/>
      <w:marTop w:val="0"/>
      <w:marBottom w:val="0"/>
      <w:divBdr>
        <w:top w:val="none" w:sz="0" w:space="0" w:color="auto"/>
        <w:left w:val="none" w:sz="0" w:space="0" w:color="auto"/>
        <w:bottom w:val="none" w:sz="0" w:space="0" w:color="auto"/>
        <w:right w:val="none" w:sz="0" w:space="0" w:color="auto"/>
      </w:divBdr>
    </w:div>
    <w:div w:id="393050085">
      <w:bodyDiv w:val="1"/>
      <w:marLeft w:val="0"/>
      <w:marRight w:val="0"/>
      <w:marTop w:val="0"/>
      <w:marBottom w:val="0"/>
      <w:divBdr>
        <w:top w:val="none" w:sz="0" w:space="0" w:color="auto"/>
        <w:left w:val="none" w:sz="0" w:space="0" w:color="auto"/>
        <w:bottom w:val="none" w:sz="0" w:space="0" w:color="auto"/>
        <w:right w:val="none" w:sz="0" w:space="0" w:color="auto"/>
      </w:divBdr>
    </w:div>
    <w:div w:id="405692896">
      <w:bodyDiv w:val="1"/>
      <w:marLeft w:val="0"/>
      <w:marRight w:val="0"/>
      <w:marTop w:val="0"/>
      <w:marBottom w:val="0"/>
      <w:divBdr>
        <w:top w:val="none" w:sz="0" w:space="0" w:color="auto"/>
        <w:left w:val="none" w:sz="0" w:space="0" w:color="auto"/>
        <w:bottom w:val="none" w:sz="0" w:space="0" w:color="auto"/>
        <w:right w:val="none" w:sz="0" w:space="0" w:color="auto"/>
      </w:divBdr>
    </w:div>
    <w:div w:id="557713221">
      <w:bodyDiv w:val="1"/>
      <w:marLeft w:val="0"/>
      <w:marRight w:val="0"/>
      <w:marTop w:val="0"/>
      <w:marBottom w:val="0"/>
      <w:divBdr>
        <w:top w:val="none" w:sz="0" w:space="0" w:color="auto"/>
        <w:left w:val="none" w:sz="0" w:space="0" w:color="auto"/>
        <w:bottom w:val="none" w:sz="0" w:space="0" w:color="auto"/>
        <w:right w:val="none" w:sz="0" w:space="0" w:color="auto"/>
      </w:divBdr>
    </w:div>
    <w:div w:id="630356697">
      <w:bodyDiv w:val="1"/>
      <w:marLeft w:val="0"/>
      <w:marRight w:val="0"/>
      <w:marTop w:val="0"/>
      <w:marBottom w:val="0"/>
      <w:divBdr>
        <w:top w:val="none" w:sz="0" w:space="0" w:color="auto"/>
        <w:left w:val="none" w:sz="0" w:space="0" w:color="auto"/>
        <w:bottom w:val="none" w:sz="0" w:space="0" w:color="auto"/>
        <w:right w:val="none" w:sz="0" w:space="0" w:color="auto"/>
      </w:divBdr>
    </w:div>
    <w:div w:id="689918219">
      <w:bodyDiv w:val="1"/>
      <w:marLeft w:val="0"/>
      <w:marRight w:val="0"/>
      <w:marTop w:val="0"/>
      <w:marBottom w:val="0"/>
      <w:divBdr>
        <w:top w:val="none" w:sz="0" w:space="0" w:color="auto"/>
        <w:left w:val="none" w:sz="0" w:space="0" w:color="auto"/>
        <w:bottom w:val="none" w:sz="0" w:space="0" w:color="auto"/>
        <w:right w:val="none" w:sz="0" w:space="0" w:color="auto"/>
      </w:divBdr>
    </w:div>
    <w:div w:id="769424492">
      <w:bodyDiv w:val="1"/>
      <w:marLeft w:val="0"/>
      <w:marRight w:val="0"/>
      <w:marTop w:val="0"/>
      <w:marBottom w:val="0"/>
      <w:divBdr>
        <w:top w:val="none" w:sz="0" w:space="0" w:color="auto"/>
        <w:left w:val="none" w:sz="0" w:space="0" w:color="auto"/>
        <w:bottom w:val="none" w:sz="0" w:space="0" w:color="auto"/>
        <w:right w:val="none" w:sz="0" w:space="0" w:color="auto"/>
      </w:divBdr>
      <w:divsChild>
        <w:div w:id="443504877">
          <w:marLeft w:val="0"/>
          <w:marRight w:val="0"/>
          <w:marTop w:val="0"/>
          <w:marBottom w:val="0"/>
          <w:divBdr>
            <w:top w:val="none" w:sz="0" w:space="0" w:color="auto"/>
            <w:left w:val="none" w:sz="0" w:space="0" w:color="auto"/>
            <w:bottom w:val="none" w:sz="0" w:space="0" w:color="auto"/>
            <w:right w:val="none" w:sz="0" w:space="0" w:color="auto"/>
          </w:divBdr>
          <w:divsChild>
            <w:div w:id="1118063872">
              <w:marLeft w:val="0"/>
              <w:marRight w:val="0"/>
              <w:marTop w:val="0"/>
              <w:marBottom w:val="0"/>
              <w:divBdr>
                <w:top w:val="none" w:sz="0" w:space="0" w:color="auto"/>
                <w:left w:val="none" w:sz="0" w:space="0" w:color="auto"/>
                <w:bottom w:val="none" w:sz="0" w:space="0" w:color="auto"/>
                <w:right w:val="none" w:sz="0" w:space="0" w:color="auto"/>
              </w:divBdr>
              <w:divsChild>
                <w:div w:id="1529442557">
                  <w:marLeft w:val="0"/>
                  <w:marRight w:val="0"/>
                  <w:marTop w:val="0"/>
                  <w:marBottom w:val="0"/>
                  <w:divBdr>
                    <w:top w:val="none" w:sz="0" w:space="0" w:color="auto"/>
                    <w:left w:val="none" w:sz="0" w:space="0" w:color="auto"/>
                    <w:bottom w:val="none" w:sz="0" w:space="0" w:color="auto"/>
                    <w:right w:val="none" w:sz="0" w:space="0" w:color="auto"/>
                  </w:divBdr>
                  <w:divsChild>
                    <w:div w:id="15952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9126442">
      <w:bodyDiv w:val="1"/>
      <w:marLeft w:val="0"/>
      <w:marRight w:val="0"/>
      <w:marTop w:val="0"/>
      <w:marBottom w:val="0"/>
      <w:divBdr>
        <w:top w:val="none" w:sz="0" w:space="0" w:color="auto"/>
        <w:left w:val="none" w:sz="0" w:space="0" w:color="auto"/>
        <w:bottom w:val="none" w:sz="0" w:space="0" w:color="auto"/>
        <w:right w:val="none" w:sz="0" w:space="0" w:color="auto"/>
      </w:divBdr>
    </w:div>
    <w:div w:id="923076251">
      <w:bodyDiv w:val="1"/>
      <w:marLeft w:val="0"/>
      <w:marRight w:val="0"/>
      <w:marTop w:val="0"/>
      <w:marBottom w:val="0"/>
      <w:divBdr>
        <w:top w:val="none" w:sz="0" w:space="0" w:color="auto"/>
        <w:left w:val="none" w:sz="0" w:space="0" w:color="auto"/>
        <w:bottom w:val="none" w:sz="0" w:space="0" w:color="auto"/>
        <w:right w:val="none" w:sz="0" w:space="0" w:color="auto"/>
      </w:divBdr>
    </w:div>
    <w:div w:id="977420658">
      <w:bodyDiv w:val="1"/>
      <w:marLeft w:val="0"/>
      <w:marRight w:val="0"/>
      <w:marTop w:val="0"/>
      <w:marBottom w:val="0"/>
      <w:divBdr>
        <w:top w:val="none" w:sz="0" w:space="0" w:color="auto"/>
        <w:left w:val="none" w:sz="0" w:space="0" w:color="auto"/>
        <w:bottom w:val="none" w:sz="0" w:space="0" w:color="auto"/>
        <w:right w:val="none" w:sz="0" w:space="0" w:color="auto"/>
      </w:divBdr>
    </w:div>
    <w:div w:id="1030882830">
      <w:bodyDiv w:val="1"/>
      <w:marLeft w:val="0"/>
      <w:marRight w:val="0"/>
      <w:marTop w:val="0"/>
      <w:marBottom w:val="0"/>
      <w:divBdr>
        <w:top w:val="none" w:sz="0" w:space="0" w:color="auto"/>
        <w:left w:val="none" w:sz="0" w:space="0" w:color="auto"/>
        <w:bottom w:val="none" w:sz="0" w:space="0" w:color="auto"/>
        <w:right w:val="none" w:sz="0" w:space="0" w:color="auto"/>
      </w:divBdr>
    </w:div>
    <w:div w:id="1042291704">
      <w:bodyDiv w:val="1"/>
      <w:marLeft w:val="0"/>
      <w:marRight w:val="0"/>
      <w:marTop w:val="0"/>
      <w:marBottom w:val="0"/>
      <w:divBdr>
        <w:top w:val="none" w:sz="0" w:space="0" w:color="auto"/>
        <w:left w:val="none" w:sz="0" w:space="0" w:color="auto"/>
        <w:bottom w:val="none" w:sz="0" w:space="0" w:color="auto"/>
        <w:right w:val="none" w:sz="0" w:space="0" w:color="auto"/>
      </w:divBdr>
    </w:div>
    <w:div w:id="1066301229">
      <w:bodyDiv w:val="1"/>
      <w:marLeft w:val="0"/>
      <w:marRight w:val="0"/>
      <w:marTop w:val="0"/>
      <w:marBottom w:val="0"/>
      <w:divBdr>
        <w:top w:val="none" w:sz="0" w:space="0" w:color="auto"/>
        <w:left w:val="none" w:sz="0" w:space="0" w:color="auto"/>
        <w:bottom w:val="none" w:sz="0" w:space="0" w:color="auto"/>
        <w:right w:val="none" w:sz="0" w:space="0" w:color="auto"/>
      </w:divBdr>
    </w:div>
    <w:div w:id="1135638621">
      <w:bodyDiv w:val="1"/>
      <w:marLeft w:val="0"/>
      <w:marRight w:val="0"/>
      <w:marTop w:val="0"/>
      <w:marBottom w:val="0"/>
      <w:divBdr>
        <w:top w:val="none" w:sz="0" w:space="0" w:color="auto"/>
        <w:left w:val="none" w:sz="0" w:space="0" w:color="auto"/>
        <w:bottom w:val="none" w:sz="0" w:space="0" w:color="auto"/>
        <w:right w:val="none" w:sz="0" w:space="0" w:color="auto"/>
      </w:divBdr>
    </w:div>
    <w:div w:id="1141121105">
      <w:bodyDiv w:val="1"/>
      <w:marLeft w:val="0"/>
      <w:marRight w:val="0"/>
      <w:marTop w:val="0"/>
      <w:marBottom w:val="0"/>
      <w:divBdr>
        <w:top w:val="none" w:sz="0" w:space="0" w:color="auto"/>
        <w:left w:val="none" w:sz="0" w:space="0" w:color="auto"/>
        <w:bottom w:val="none" w:sz="0" w:space="0" w:color="auto"/>
        <w:right w:val="none" w:sz="0" w:space="0" w:color="auto"/>
      </w:divBdr>
    </w:div>
    <w:div w:id="1175650683">
      <w:bodyDiv w:val="1"/>
      <w:marLeft w:val="0"/>
      <w:marRight w:val="0"/>
      <w:marTop w:val="0"/>
      <w:marBottom w:val="0"/>
      <w:divBdr>
        <w:top w:val="none" w:sz="0" w:space="0" w:color="auto"/>
        <w:left w:val="none" w:sz="0" w:space="0" w:color="auto"/>
        <w:bottom w:val="none" w:sz="0" w:space="0" w:color="auto"/>
        <w:right w:val="none" w:sz="0" w:space="0" w:color="auto"/>
      </w:divBdr>
    </w:div>
    <w:div w:id="1187866224">
      <w:bodyDiv w:val="1"/>
      <w:marLeft w:val="0"/>
      <w:marRight w:val="0"/>
      <w:marTop w:val="0"/>
      <w:marBottom w:val="0"/>
      <w:divBdr>
        <w:top w:val="none" w:sz="0" w:space="0" w:color="auto"/>
        <w:left w:val="none" w:sz="0" w:space="0" w:color="auto"/>
        <w:bottom w:val="none" w:sz="0" w:space="0" w:color="auto"/>
        <w:right w:val="none" w:sz="0" w:space="0" w:color="auto"/>
      </w:divBdr>
      <w:divsChild>
        <w:div w:id="2025939436">
          <w:marLeft w:val="0"/>
          <w:marRight w:val="0"/>
          <w:marTop w:val="0"/>
          <w:marBottom w:val="0"/>
          <w:divBdr>
            <w:top w:val="none" w:sz="0" w:space="0" w:color="auto"/>
            <w:left w:val="none" w:sz="0" w:space="0" w:color="auto"/>
            <w:bottom w:val="none" w:sz="0" w:space="0" w:color="auto"/>
            <w:right w:val="none" w:sz="0" w:space="0" w:color="auto"/>
          </w:divBdr>
          <w:divsChild>
            <w:div w:id="419376021">
              <w:marLeft w:val="0"/>
              <w:marRight w:val="0"/>
              <w:marTop w:val="0"/>
              <w:marBottom w:val="0"/>
              <w:divBdr>
                <w:top w:val="none" w:sz="0" w:space="0" w:color="auto"/>
                <w:left w:val="none" w:sz="0" w:space="0" w:color="auto"/>
                <w:bottom w:val="none" w:sz="0" w:space="0" w:color="auto"/>
                <w:right w:val="none" w:sz="0" w:space="0" w:color="auto"/>
              </w:divBdr>
              <w:divsChild>
                <w:div w:id="82674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801483">
      <w:bodyDiv w:val="1"/>
      <w:marLeft w:val="0"/>
      <w:marRight w:val="0"/>
      <w:marTop w:val="0"/>
      <w:marBottom w:val="0"/>
      <w:divBdr>
        <w:top w:val="none" w:sz="0" w:space="0" w:color="auto"/>
        <w:left w:val="none" w:sz="0" w:space="0" w:color="auto"/>
        <w:bottom w:val="none" w:sz="0" w:space="0" w:color="auto"/>
        <w:right w:val="none" w:sz="0" w:space="0" w:color="auto"/>
      </w:divBdr>
    </w:div>
    <w:div w:id="1251045233">
      <w:bodyDiv w:val="1"/>
      <w:marLeft w:val="0"/>
      <w:marRight w:val="0"/>
      <w:marTop w:val="0"/>
      <w:marBottom w:val="0"/>
      <w:divBdr>
        <w:top w:val="none" w:sz="0" w:space="0" w:color="auto"/>
        <w:left w:val="none" w:sz="0" w:space="0" w:color="auto"/>
        <w:bottom w:val="none" w:sz="0" w:space="0" w:color="auto"/>
        <w:right w:val="none" w:sz="0" w:space="0" w:color="auto"/>
      </w:divBdr>
    </w:div>
    <w:div w:id="1333028495">
      <w:bodyDiv w:val="1"/>
      <w:marLeft w:val="0"/>
      <w:marRight w:val="0"/>
      <w:marTop w:val="0"/>
      <w:marBottom w:val="0"/>
      <w:divBdr>
        <w:top w:val="none" w:sz="0" w:space="0" w:color="auto"/>
        <w:left w:val="none" w:sz="0" w:space="0" w:color="auto"/>
        <w:bottom w:val="none" w:sz="0" w:space="0" w:color="auto"/>
        <w:right w:val="none" w:sz="0" w:space="0" w:color="auto"/>
      </w:divBdr>
    </w:div>
    <w:div w:id="1361659229">
      <w:bodyDiv w:val="1"/>
      <w:marLeft w:val="0"/>
      <w:marRight w:val="0"/>
      <w:marTop w:val="0"/>
      <w:marBottom w:val="0"/>
      <w:divBdr>
        <w:top w:val="none" w:sz="0" w:space="0" w:color="auto"/>
        <w:left w:val="none" w:sz="0" w:space="0" w:color="auto"/>
        <w:bottom w:val="none" w:sz="0" w:space="0" w:color="auto"/>
        <w:right w:val="none" w:sz="0" w:space="0" w:color="auto"/>
      </w:divBdr>
      <w:divsChild>
        <w:div w:id="2071148096">
          <w:marLeft w:val="0"/>
          <w:marRight w:val="0"/>
          <w:marTop w:val="0"/>
          <w:marBottom w:val="0"/>
          <w:divBdr>
            <w:top w:val="none" w:sz="0" w:space="0" w:color="auto"/>
            <w:left w:val="none" w:sz="0" w:space="0" w:color="auto"/>
            <w:bottom w:val="none" w:sz="0" w:space="0" w:color="auto"/>
            <w:right w:val="none" w:sz="0" w:space="0" w:color="auto"/>
          </w:divBdr>
          <w:divsChild>
            <w:div w:id="1535000113">
              <w:marLeft w:val="0"/>
              <w:marRight w:val="0"/>
              <w:marTop w:val="0"/>
              <w:marBottom w:val="0"/>
              <w:divBdr>
                <w:top w:val="none" w:sz="0" w:space="0" w:color="auto"/>
                <w:left w:val="none" w:sz="0" w:space="0" w:color="auto"/>
                <w:bottom w:val="none" w:sz="0" w:space="0" w:color="auto"/>
                <w:right w:val="none" w:sz="0" w:space="0" w:color="auto"/>
              </w:divBdr>
              <w:divsChild>
                <w:div w:id="132273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061008">
      <w:bodyDiv w:val="1"/>
      <w:marLeft w:val="0"/>
      <w:marRight w:val="0"/>
      <w:marTop w:val="0"/>
      <w:marBottom w:val="0"/>
      <w:divBdr>
        <w:top w:val="none" w:sz="0" w:space="0" w:color="auto"/>
        <w:left w:val="none" w:sz="0" w:space="0" w:color="auto"/>
        <w:bottom w:val="none" w:sz="0" w:space="0" w:color="auto"/>
        <w:right w:val="none" w:sz="0" w:space="0" w:color="auto"/>
      </w:divBdr>
    </w:div>
    <w:div w:id="1378162513">
      <w:bodyDiv w:val="1"/>
      <w:marLeft w:val="0"/>
      <w:marRight w:val="0"/>
      <w:marTop w:val="0"/>
      <w:marBottom w:val="0"/>
      <w:divBdr>
        <w:top w:val="none" w:sz="0" w:space="0" w:color="auto"/>
        <w:left w:val="none" w:sz="0" w:space="0" w:color="auto"/>
        <w:bottom w:val="none" w:sz="0" w:space="0" w:color="auto"/>
        <w:right w:val="none" w:sz="0" w:space="0" w:color="auto"/>
      </w:divBdr>
    </w:div>
    <w:div w:id="1457866222">
      <w:bodyDiv w:val="1"/>
      <w:marLeft w:val="0"/>
      <w:marRight w:val="0"/>
      <w:marTop w:val="0"/>
      <w:marBottom w:val="0"/>
      <w:divBdr>
        <w:top w:val="none" w:sz="0" w:space="0" w:color="auto"/>
        <w:left w:val="none" w:sz="0" w:space="0" w:color="auto"/>
        <w:bottom w:val="none" w:sz="0" w:space="0" w:color="auto"/>
        <w:right w:val="none" w:sz="0" w:space="0" w:color="auto"/>
      </w:divBdr>
      <w:divsChild>
        <w:div w:id="1223829389">
          <w:marLeft w:val="0"/>
          <w:marRight w:val="0"/>
          <w:marTop w:val="0"/>
          <w:marBottom w:val="0"/>
          <w:divBdr>
            <w:top w:val="none" w:sz="0" w:space="0" w:color="auto"/>
            <w:left w:val="none" w:sz="0" w:space="0" w:color="auto"/>
            <w:bottom w:val="none" w:sz="0" w:space="0" w:color="auto"/>
            <w:right w:val="none" w:sz="0" w:space="0" w:color="auto"/>
          </w:divBdr>
          <w:divsChild>
            <w:div w:id="1744179346">
              <w:marLeft w:val="0"/>
              <w:marRight w:val="0"/>
              <w:marTop w:val="0"/>
              <w:marBottom w:val="0"/>
              <w:divBdr>
                <w:top w:val="none" w:sz="0" w:space="0" w:color="auto"/>
                <w:left w:val="none" w:sz="0" w:space="0" w:color="auto"/>
                <w:bottom w:val="none" w:sz="0" w:space="0" w:color="auto"/>
                <w:right w:val="none" w:sz="0" w:space="0" w:color="auto"/>
              </w:divBdr>
              <w:divsChild>
                <w:div w:id="27749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821131">
      <w:bodyDiv w:val="1"/>
      <w:marLeft w:val="0"/>
      <w:marRight w:val="0"/>
      <w:marTop w:val="0"/>
      <w:marBottom w:val="0"/>
      <w:divBdr>
        <w:top w:val="none" w:sz="0" w:space="0" w:color="auto"/>
        <w:left w:val="none" w:sz="0" w:space="0" w:color="auto"/>
        <w:bottom w:val="none" w:sz="0" w:space="0" w:color="auto"/>
        <w:right w:val="none" w:sz="0" w:space="0" w:color="auto"/>
      </w:divBdr>
    </w:div>
    <w:div w:id="1544093846">
      <w:bodyDiv w:val="1"/>
      <w:marLeft w:val="0"/>
      <w:marRight w:val="0"/>
      <w:marTop w:val="0"/>
      <w:marBottom w:val="0"/>
      <w:divBdr>
        <w:top w:val="none" w:sz="0" w:space="0" w:color="auto"/>
        <w:left w:val="none" w:sz="0" w:space="0" w:color="auto"/>
        <w:bottom w:val="none" w:sz="0" w:space="0" w:color="auto"/>
        <w:right w:val="none" w:sz="0" w:space="0" w:color="auto"/>
      </w:divBdr>
    </w:div>
    <w:div w:id="1548762850">
      <w:bodyDiv w:val="1"/>
      <w:marLeft w:val="0"/>
      <w:marRight w:val="0"/>
      <w:marTop w:val="0"/>
      <w:marBottom w:val="0"/>
      <w:divBdr>
        <w:top w:val="none" w:sz="0" w:space="0" w:color="auto"/>
        <w:left w:val="none" w:sz="0" w:space="0" w:color="auto"/>
        <w:bottom w:val="none" w:sz="0" w:space="0" w:color="auto"/>
        <w:right w:val="none" w:sz="0" w:space="0" w:color="auto"/>
      </w:divBdr>
    </w:div>
    <w:div w:id="1658991148">
      <w:bodyDiv w:val="1"/>
      <w:marLeft w:val="0"/>
      <w:marRight w:val="0"/>
      <w:marTop w:val="0"/>
      <w:marBottom w:val="0"/>
      <w:divBdr>
        <w:top w:val="none" w:sz="0" w:space="0" w:color="auto"/>
        <w:left w:val="none" w:sz="0" w:space="0" w:color="auto"/>
        <w:bottom w:val="none" w:sz="0" w:space="0" w:color="auto"/>
        <w:right w:val="none" w:sz="0" w:space="0" w:color="auto"/>
      </w:divBdr>
    </w:div>
    <w:div w:id="1673609675">
      <w:bodyDiv w:val="1"/>
      <w:marLeft w:val="0"/>
      <w:marRight w:val="0"/>
      <w:marTop w:val="0"/>
      <w:marBottom w:val="0"/>
      <w:divBdr>
        <w:top w:val="none" w:sz="0" w:space="0" w:color="auto"/>
        <w:left w:val="none" w:sz="0" w:space="0" w:color="auto"/>
        <w:bottom w:val="none" w:sz="0" w:space="0" w:color="auto"/>
        <w:right w:val="none" w:sz="0" w:space="0" w:color="auto"/>
      </w:divBdr>
    </w:div>
    <w:div w:id="1684699897">
      <w:bodyDiv w:val="1"/>
      <w:marLeft w:val="0"/>
      <w:marRight w:val="0"/>
      <w:marTop w:val="0"/>
      <w:marBottom w:val="0"/>
      <w:divBdr>
        <w:top w:val="none" w:sz="0" w:space="0" w:color="auto"/>
        <w:left w:val="none" w:sz="0" w:space="0" w:color="auto"/>
        <w:bottom w:val="none" w:sz="0" w:space="0" w:color="auto"/>
        <w:right w:val="none" w:sz="0" w:space="0" w:color="auto"/>
      </w:divBdr>
    </w:div>
    <w:div w:id="1750812376">
      <w:bodyDiv w:val="1"/>
      <w:marLeft w:val="0"/>
      <w:marRight w:val="0"/>
      <w:marTop w:val="0"/>
      <w:marBottom w:val="0"/>
      <w:divBdr>
        <w:top w:val="none" w:sz="0" w:space="0" w:color="auto"/>
        <w:left w:val="none" w:sz="0" w:space="0" w:color="auto"/>
        <w:bottom w:val="none" w:sz="0" w:space="0" w:color="auto"/>
        <w:right w:val="none" w:sz="0" w:space="0" w:color="auto"/>
      </w:divBdr>
    </w:div>
    <w:div w:id="1753428323">
      <w:bodyDiv w:val="1"/>
      <w:marLeft w:val="0"/>
      <w:marRight w:val="0"/>
      <w:marTop w:val="0"/>
      <w:marBottom w:val="0"/>
      <w:divBdr>
        <w:top w:val="none" w:sz="0" w:space="0" w:color="auto"/>
        <w:left w:val="none" w:sz="0" w:space="0" w:color="auto"/>
        <w:bottom w:val="none" w:sz="0" w:space="0" w:color="auto"/>
        <w:right w:val="none" w:sz="0" w:space="0" w:color="auto"/>
      </w:divBdr>
    </w:div>
    <w:div w:id="1765414148">
      <w:bodyDiv w:val="1"/>
      <w:marLeft w:val="0"/>
      <w:marRight w:val="0"/>
      <w:marTop w:val="0"/>
      <w:marBottom w:val="0"/>
      <w:divBdr>
        <w:top w:val="none" w:sz="0" w:space="0" w:color="auto"/>
        <w:left w:val="none" w:sz="0" w:space="0" w:color="auto"/>
        <w:bottom w:val="none" w:sz="0" w:space="0" w:color="auto"/>
        <w:right w:val="none" w:sz="0" w:space="0" w:color="auto"/>
      </w:divBdr>
    </w:div>
    <w:div w:id="1830058330">
      <w:bodyDiv w:val="1"/>
      <w:marLeft w:val="0"/>
      <w:marRight w:val="0"/>
      <w:marTop w:val="0"/>
      <w:marBottom w:val="0"/>
      <w:divBdr>
        <w:top w:val="none" w:sz="0" w:space="0" w:color="auto"/>
        <w:left w:val="none" w:sz="0" w:space="0" w:color="auto"/>
        <w:bottom w:val="none" w:sz="0" w:space="0" w:color="auto"/>
        <w:right w:val="none" w:sz="0" w:space="0" w:color="auto"/>
      </w:divBdr>
      <w:divsChild>
        <w:div w:id="162362559">
          <w:marLeft w:val="0"/>
          <w:marRight w:val="0"/>
          <w:marTop w:val="0"/>
          <w:marBottom w:val="0"/>
          <w:divBdr>
            <w:top w:val="none" w:sz="0" w:space="0" w:color="auto"/>
            <w:left w:val="none" w:sz="0" w:space="0" w:color="auto"/>
            <w:bottom w:val="none" w:sz="0" w:space="0" w:color="auto"/>
            <w:right w:val="none" w:sz="0" w:space="0" w:color="auto"/>
          </w:divBdr>
          <w:divsChild>
            <w:div w:id="827941999">
              <w:marLeft w:val="0"/>
              <w:marRight w:val="0"/>
              <w:marTop w:val="0"/>
              <w:marBottom w:val="0"/>
              <w:divBdr>
                <w:top w:val="none" w:sz="0" w:space="0" w:color="auto"/>
                <w:left w:val="none" w:sz="0" w:space="0" w:color="auto"/>
                <w:bottom w:val="none" w:sz="0" w:space="0" w:color="auto"/>
                <w:right w:val="none" w:sz="0" w:space="0" w:color="auto"/>
              </w:divBdr>
              <w:divsChild>
                <w:div w:id="23235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857235">
      <w:bodyDiv w:val="1"/>
      <w:marLeft w:val="0"/>
      <w:marRight w:val="0"/>
      <w:marTop w:val="0"/>
      <w:marBottom w:val="0"/>
      <w:divBdr>
        <w:top w:val="none" w:sz="0" w:space="0" w:color="auto"/>
        <w:left w:val="none" w:sz="0" w:space="0" w:color="auto"/>
        <w:bottom w:val="none" w:sz="0" w:space="0" w:color="auto"/>
        <w:right w:val="none" w:sz="0" w:space="0" w:color="auto"/>
      </w:divBdr>
    </w:div>
    <w:div w:id="1951542224">
      <w:bodyDiv w:val="1"/>
      <w:marLeft w:val="0"/>
      <w:marRight w:val="0"/>
      <w:marTop w:val="0"/>
      <w:marBottom w:val="0"/>
      <w:divBdr>
        <w:top w:val="none" w:sz="0" w:space="0" w:color="auto"/>
        <w:left w:val="none" w:sz="0" w:space="0" w:color="auto"/>
        <w:bottom w:val="none" w:sz="0" w:space="0" w:color="auto"/>
        <w:right w:val="none" w:sz="0" w:space="0" w:color="auto"/>
      </w:divBdr>
      <w:divsChild>
        <w:div w:id="1995253432">
          <w:marLeft w:val="0"/>
          <w:marRight w:val="0"/>
          <w:marTop w:val="0"/>
          <w:marBottom w:val="0"/>
          <w:divBdr>
            <w:top w:val="none" w:sz="0" w:space="0" w:color="auto"/>
            <w:left w:val="none" w:sz="0" w:space="0" w:color="auto"/>
            <w:bottom w:val="none" w:sz="0" w:space="0" w:color="auto"/>
            <w:right w:val="none" w:sz="0" w:space="0" w:color="auto"/>
          </w:divBdr>
          <w:divsChild>
            <w:div w:id="11762496">
              <w:marLeft w:val="0"/>
              <w:marRight w:val="0"/>
              <w:marTop w:val="0"/>
              <w:marBottom w:val="0"/>
              <w:divBdr>
                <w:top w:val="none" w:sz="0" w:space="0" w:color="auto"/>
                <w:left w:val="none" w:sz="0" w:space="0" w:color="auto"/>
                <w:bottom w:val="none" w:sz="0" w:space="0" w:color="auto"/>
                <w:right w:val="none" w:sz="0" w:space="0" w:color="auto"/>
              </w:divBdr>
              <w:divsChild>
                <w:div w:id="641085100">
                  <w:marLeft w:val="0"/>
                  <w:marRight w:val="0"/>
                  <w:marTop w:val="0"/>
                  <w:marBottom w:val="0"/>
                  <w:divBdr>
                    <w:top w:val="none" w:sz="0" w:space="0" w:color="auto"/>
                    <w:left w:val="none" w:sz="0" w:space="0" w:color="auto"/>
                    <w:bottom w:val="none" w:sz="0" w:space="0" w:color="auto"/>
                    <w:right w:val="none" w:sz="0" w:space="0" w:color="auto"/>
                  </w:divBdr>
                  <w:divsChild>
                    <w:div w:id="36726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357221">
      <w:bodyDiv w:val="1"/>
      <w:marLeft w:val="0"/>
      <w:marRight w:val="0"/>
      <w:marTop w:val="0"/>
      <w:marBottom w:val="0"/>
      <w:divBdr>
        <w:top w:val="none" w:sz="0" w:space="0" w:color="auto"/>
        <w:left w:val="none" w:sz="0" w:space="0" w:color="auto"/>
        <w:bottom w:val="none" w:sz="0" w:space="0" w:color="auto"/>
        <w:right w:val="none" w:sz="0" w:space="0" w:color="auto"/>
      </w:divBdr>
      <w:divsChild>
        <w:div w:id="2112890702">
          <w:marLeft w:val="0"/>
          <w:marRight w:val="0"/>
          <w:marTop w:val="0"/>
          <w:marBottom w:val="0"/>
          <w:divBdr>
            <w:top w:val="none" w:sz="0" w:space="0" w:color="auto"/>
            <w:left w:val="none" w:sz="0" w:space="0" w:color="auto"/>
            <w:bottom w:val="none" w:sz="0" w:space="0" w:color="auto"/>
            <w:right w:val="none" w:sz="0" w:space="0" w:color="auto"/>
          </w:divBdr>
          <w:divsChild>
            <w:div w:id="623541403">
              <w:marLeft w:val="0"/>
              <w:marRight w:val="0"/>
              <w:marTop w:val="0"/>
              <w:marBottom w:val="0"/>
              <w:divBdr>
                <w:top w:val="none" w:sz="0" w:space="0" w:color="auto"/>
                <w:left w:val="none" w:sz="0" w:space="0" w:color="auto"/>
                <w:bottom w:val="none" w:sz="0" w:space="0" w:color="auto"/>
                <w:right w:val="none" w:sz="0" w:space="0" w:color="auto"/>
              </w:divBdr>
              <w:divsChild>
                <w:div w:id="191393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164520">
      <w:bodyDiv w:val="1"/>
      <w:marLeft w:val="0"/>
      <w:marRight w:val="0"/>
      <w:marTop w:val="0"/>
      <w:marBottom w:val="0"/>
      <w:divBdr>
        <w:top w:val="none" w:sz="0" w:space="0" w:color="auto"/>
        <w:left w:val="none" w:sz="0" w:space="0" w:color="auto"/>
        <w:bottom w:val="none" w:sz="0" w:space="0" w:color="auto"/>
        <w:right w:val="none" w:sz="0" w:space="0" w:color="auto"/>
      </w:divBdr>
    </w:div>
    <w:div w:id="2026401626">
      <w:bodyDiv w:val="1"/>
      <w:marLeft w:val="0"/>
      <w:marRight w:val="0"/>
      <w:marTop w:val="0"/>
      <w:marBottom w:val="0"/>
      <w:divBdr>
        <w:top w:val="none" w:sz="0" w:space="0" w:color="auto"/>
        <w:left w:val="none" w:sz="0" w:space="0" w:color="auto"/>
        <w:bottom w:val="none" w:sz="0" w:space="0" w:color="auto"/>
        <w:right w:val="none" w:sz="0" w:space="0" w:color="auto"/>
      </w:divBdr>
    </w:div>
    <w:div w:id="2055961096">
      <w:bodyDiv w:val="1"/>
      <w:marLeft w:val="0"/>
      <w:marRight w:val="0"/>
      <w:marTop w:val="0"/>
      <w:marBottom w:val="0"/>
      <w:divBdr>
        <w:top w:val="none" w:sz="0" w:space="0" w:color="auto"/>
        <w:left w:val="none" w:sz="0" w:space="0" w:color="auto"/>
        <w:bottom w:val="none" w:sz="0" w:space="0" w:color="auto"/>
        <w:right w:val="none" w:sz="0" w:space="0" w:color="auto"/>
      </w:divBdr>
    </w:div>
    <w:div w:id="2073310181">
      <w:bodyDiv w:val="1"/>
      <w:marLeft w:val="0"/>
      <w:marRight w:val="0"/>
      <w:marTop w:val="0"/>
      <w:marBottom w:val="0"/>
      <w:divBdr>
        <w:top w:val="none" w:sz="0" w:space="0" w:color="auto"/>
        <w:left w:val="none" w:sz="0" w:space="0" w:color="auto"/>
        <w:bottom w:val="none" w:sz="0" w:space="0" w:color="auto"/>
        <w:right w:val="none" w:sz="0" w:space="0" w:color="auto"/>
      </w:divBdr>
    </w:div>
    <w:div w:id="214296444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500DBD-36F7-424E-A7C9-FD1096DD2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39</Pages>
  <Words>9011</Words>
  <Characters>49564</Characters>
  <Application>Microsoft Office Word</Application>
  <DocSecurity>0</DocSecurity>
  <Lines>413</Lines>
  <Paragraphs>116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Takeda</Company>
  <LinksUpToDate>false</LinksUpToDate>
  <CharactersWithSpaces>58459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Monica Sarasti</dc:creator>
  <cp:lastModifiedBy>User</cp:lastModifiedBy>
  <cp:revision>3</cp:revision>
  <cp:lastPrinted>2019-01-07T18:16:00Z</cp:lastPrinted>
  <dcterms:created xsi:type="dcterms:W3CDTF">2019-02-13T18:50:00Z</dcterms:created>
  <dcterms:modified xsi:type="dcterms:W3CDTF">2019-03-12T01:59:00Z</dcterms:modified>
</cp:coreProperties>
</file>