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verview"/>
    <w:p>
      <w:pPr>
        <w:pStyle w:val="Heading2"/>
      </w:pPr>
      <w:r>
        <w:t xml:space="preserve">Overview</w:t>
      </w:r>
    </w:p>
    <w:p>
      <w:pPr>
        <w:pStyle w:val="FirstParagraph"/>
      </w:pPr>
      <w:r>
        <w:t xml:space="preserve">BART-Survival is a Python package that allows time-to-event (survival analyses) in discrete-time using the non-parametric machine learning algorithm, Bayesian Additive Regression Trees (BART). BART_Survival combines the performance of the BART algorithm from the PyMC-BART library with the complementary data and model structural formatting required to provide a convenient approach to conducting high performance, non-parametric survival analysis.</w:t>
      </w:r>
    </w:p>
    <w:p>
      <w:pPr>
        <w:pStyle w:val="BodyText"/>
      </w:pPr>
      <w:r>
        <w:t xml:space="preserve">This repository contains the source code and documentation for the BART_SURVIVAL package as well as user-guides/example notebooks. We additionally provide the code used in conducting the validation study of the algorithm.</w:t>
      </w:r>
    </w:p>
    <w:bookmarkStart w:id="22" w:name="background"/>
    <w:p>
      <w:pPr>
        <w:pStyle w:val="Heading3"/>
      </w:pPr>
      <w:r>
        <w:t xml:space="preserve">Background</w:t>
      </w:r>
    </w:p>
    <w:p>
      <w:pPr>
        <w:pStyle w:val="FirstParagraph"/>
      </w:pPr>
      <w:r>
        <w:t xml:space="preserve">Survival analysis methods are statistical methods used to describe the risk of an event occurrence over a period of time. The BART-Survival package provides a discrete-time survival method which aims to model survival as a function of the cumulative risk of event occurence over the series of discrete time intervals.</w:t>
      </w:r>
    </w:p>
    <w:p>
      <w:pPr>
        <w:pStyle w:val="BodyText"/>
      </w:pPr>
      <w:r>
        <w:t xml:space="preserve">Using discrete-time intervals provides a convenient approach to flexibly model the latent probability of event as a non-parametric function of the distinct time interval and a set of observation covariates. The latent probabilities can then be used for deriving survival probability or other estimates.</w:t>
      </w:r>
    </w:p>
    <w:p>
      <w:pPr>
        <w:pStyle w:val="BodyText"/>
      </w:pPr>
      <w:r>
        <w:t xml:space="preserve">The foundation of the method is simple. First create a sequence of time intervals, denoted as</w:t>
      </w:r>
      <w:r>
        <w:t xml:space="preserve"> </w:t>
      </w:r>
      <m:oMath>
        <m:sSub>
          <m:e>
            <m:r>
              <m:t>t</m:t>
            </m:r>
          </m:e>
          <m:sub>
            <m:r>
              <m:t>j</m:t>
            </m:r>
          </m:sub>
        </m:sSub>
      </m:oMath>
      <w:r>
        <w:t xml:space="preserve"> </w:t>
      </w:r>
      <w:r>
        <w:t xml:space="preserve">with (</w:t>
      </w:r>
      <m:oMath>
        <m:r>
          <m:t>j</m:t>
        </m:r>
        <m:r>
          <m:rPr>
            <m:sty m:val="p"/>
          </m:rPr>
          <m:t>=</m:t>
        </m:r>
        <m:r>
          <m:t>1</m:t>
        </m:r>
        <m:r>
          <m:rPr>
            <m:sty m:val="p"/>
          </m:rPr>
          <m:t>,</m:t>
        </m:r>
        <m:r>
          <m:rPr>
            <m:sty m:val="p"/>
          </m:rPr>
          <m:t>.</m:t>
        </m:r>
        <m:r>
          <m:rPr>
            <m:sty m:val="p"/>
          </m:rPr>
          <m:t>.</m:t>
        </m:r>
        <m:r>
          <m:rPr>
            <m:sty m:val="p"/>
          </m:rPr>
          <m:t>.</m:t>
        </m:r>
        <m:r>
          <m:rPr>
            <m:sty m:val="p"/>
          </m:rPr>
          <m:t>,</m:t>
        </m:r>
        <m:r>
          <m:t>k</m:t>
        </m:r>
      </m:oMath>
      <w:r>
        <w:t xml:space="preserve">), from the range of observed event times. Then for each interval</w:t>
      </w:r>
      <w:r>
        <w:t xml:space="preserve"> </w:t>
      </w:r>
      <m:oMath>
        <m:sSub>
          <m:e>
            <m:r>
              <m:t>t</m:t>
            </m:r>
          </m:e>
          <m:sub>
            <m:r>
              <m:t>j</m:t>
            </m:r>
          </m:sub>
        </m:sSub>
      </m:oMath>
      <w:r>
        <w:t xml:space="preserve"> </w:t>
      </w:r>
      <w:r>
        <w:t xml:space="preserve">obtain the number of observations with an event, along with the total number of observations at risk for having an event. Finally, the risk of event occurence within each interval</w:t>
      </w:r>
      <w:r>
        <w:t xml:space="preserve"> </w:t>
      </w:r>
      <m:oMath>
        <m:sSub>
          <m:e>
            <m:r>
              <m:t>t</m:t>
            </m:r>
          </m:e>
          <m:sub>
            <m:r>
              <m:t>j</m:t>
            </m:r>
          </m:sub>
        </m:sSub>
      </m:oMath>
      <w:r>
        <w:t xml:space="preserve"> </w:t>
      </w:r>
      <w:r>
        <w:t xml:space="preserve">can naively be derived as:</w:t>
      </w:r>
    </w:p>
    <w:p>
      <w:pPr>
        <w:pStyle w:val="BodyText"/>
      </w:pPr>
      <w:r>
        <w:t xml:space="preserve">$$ 
    \begin{equation}
    P_{t_j} = {{n \space \text{events}}_{t_j} \over {{n \space \text{at risk}}_{t_j}}}
    \end{equation}
    $$</w:t>
      </w:r>
    </w:p>
    <w:p>
      <w:pPr>
        <w:pStyle w:val="FirstParagraph"/>
      </w:pPr>
      <w:r>
        <w:t xml:space="preserve">and the survival probability</w:t>
      </w:r>
      <w:r>
        <w:t xml:space="preserve"> </w:t>
      </w:r>
      <m:oMath>
        <m:r>
          <m:t>S</m:t>
        </m:r>
        <m:d>
          <m:dPr>
            <m:begChr m:val="("/>
            <m:endChr m:val=")"/>
            <m:sepChr m:val=""/>
            <m:grow/>
          </m:dPr>
          <m:e>
            <m:r>
              <m:t>t</m:t>
            </m:r>
          </m:e>
        </m:d>
      </m:oMath>
      <w:r>
        <w:t xml:space="preserve"> </w:t>
      </w:r>
      <w:r>
        <w:t xml:space="preserve">at a time</w:t>
      </w:r>
      <w:r>
        <w:t xml:space="preserve"> </w:t>
      </w:r>
      <m:oMath>
        <m:r>
          <m:t>q</m:t>
        </m:r>
      </m:oMath>
      <w:r>
        <w:t xml:space="preserve">, can be derived as:</w:t>
      </w:r>
    </w:p>
    <w:p>
      <w:pPr>
        <w:pStyle w:val="BodyText"/>
      </w:pPr>
      <m:oMathPara>
        <m:oMathParaPr>
          <m:jc m:val="center"/>
        </m:oMathParaPr>
        <m:oMath>
          <m:r>
            <m:t>S</m:t>
          </m:r>
          <m:d>
            <m:dPr>
              <m:begChr m:val="("/>
              <m:endChr m:val=")"/>
              <m:sepChr m:val=""/>
              <m:grow/>
            </m:dPr>
            <m:e>
              <m:sSub>
                <m:e>
                  <m:r>
                    <m:t>t</m:t>
                  </m:r>
                </m:e>
                <m:sub>
                  <m:r>
                    <m:t>q</m:t>
                  </m:r>
                </m:sub>
              </m:sSub>
            </m:e>
          </m:d>
          <m:r>
            <m:rPr>
              <m:sty m:val="p"/>
            </m:rPr>
            <m:t>=</m:t>
          </m:r>
          <m:nary>
            <m:naryPr>
              <m:chr m:val="∏"/>
              <m:limLoc m:val="undOvr"/>
              <m:subHide m:val="off"/>
              <m:supHide m:val="off"/>
            </m:naryPr>
            <m:sub>
              <m:r>
                <m:t>j</m:t>
              </m:r>
              <m:r>
                <m:rPr>
                  <m:sty m:val="p"/>
                </m:rPr>
                <m:t>=</m:t>
              </m:r>
              <m:r>
                <m:t>1</m:t>
              </m:r>
            </m:sub>
            <m:sup>
              <m:r>
                <m:t>q</m:t>
              </m:r>
            </m:sup>
            <m:e>
              <m:d>
                <m:dPr>
                  <m:begChr m:val="("/>
                  <m:endChr m:val=")"/>
                  <m:sepChr m:val=""/>
                  <m:grow/>
                </m:dPr>
                <m:e>
                  <m:r>
                    <m:t>1</m:t>
                  </m:r>
                  <m:r>
                    <m:rPr>
                      <m:sty m:val="p"/>
                    </m:rPr>
                    <m:t>−</m:t>
                  </m:r>
                  <m:sSub>
                    <m:e>
                      <m:r>
                        <m:t>P</m:t>
                      </m:r>
                    </m:e>
                    <m:sub>
                      <m:sSub>
                        <m:e>
                          <m:r>
                            <m:t>t</m:t>
                          </m:r>
                        </m:e>
                        <m:sub>
                          <m:r>
                            <m:t>j</m:t>
                          </m:r>
                        </m:sub>
                      </m:sSub>
                    </m:sub>
                  </m:sSub>
                </m:e>
              </m:d>
            </m:e>
          </m:nary>
        </m:oMath>
      </m:oMathPara>
    </w:p>
    <w:p>
      <w:pPr>
        <w:pStyle w:val="FirstParagraph"/>
      </w:pPr>
      <w:r>
        <w:t xml:space="preserve">where</w:t>
      </w:r>
      <w:r>
        <w:t xml:space="preserve"> </w:t>
      </w:r>
      <m:oMath>
        <m:r>
          <m:t>q</m:t>
        </m:r>
        <m:r>
          <m:rPr>
            <m:sty m:val="p"/>
          </m:rPr>
          <m:t>∈</m:t>
        </m:r>
        <m:r>
          <m:t>j</m:t>
        </m:r>
      </m:oMath>
      <w:r>
        <w:t xml:space="preserve">.</w:t>
      </w:r>
    </w:p>
    <w:p>
      <w:pPr>
        <w:pStyle w:val="BodyText"/>
      </w:pPr>
      <w:r>
        <w:t xml:space="preserve">BART-Survival builds off this simple foundation by replacing</w:t>
      </w:r>
      <w:r>
        <w:t xml:space="preserve"> </w:t>
      </w:r>
      <m:oMath>
        <m:sSub>
          <m:e>
            <m:r>
              <m:t>P</m:t>
            </m:r>
          </m:e>
          <m:sub>
            <m:r>
              <m:t>t</m:t>
            </m:r>
          </m:sub>
        </m:sSub>
      </m:oMath>
      <w:r>
        <w:t xml:space="preserve"> </w:t>
      </w:r>
      <w:r>
        <w:t xml:space="preserve">with a probability risk estimate,</w:t>
      </w:r>
      <w:r>
        <w:t xml:space="preserve"> </w:t>
      </w:r>
      <m:oMath>
        <m:sSub>
          <m:e>
            <m:r>
              <m:t>p</m:t>
            </m:r>
          </m:e>
          <m:sub>
            <m:sSub>
              <m:e>
                <m:r>
                  <m:t>t</m:t>
                </m:r>
              </m:e>
              <m:sub>
                <m:r>
                  <m:t>j</m:t>
                </m:r>
              </m:sub>
            </m:sSub>
            <m:r>
              <m:rPr>
                <m:sty m:val="p"/>
              </m:rPr>
              <m:t>|</m:t>
            </m:r>
            <m:sSub>
              <m:e>
                <m:r>
                  <m:t>x</m:t>
                </m:r>
              </m:e>
              <m:sub>
                <m:r>
                  <m:t>i</m:t>
                </m:r>
              </m:sub>
            </m:sSub>
          </m:sub>
        </m:sSub>
      </m:oMath>
      <w:r>
        <w:t xml:space="preserve"> </w:t>
      </w:r>
      <w:r>
        <w:t xml:space="preserve">yielded from a BART regression model for each distinct observation in the dataset and survival can be estimated as:</w:t>
      </w:r>
    </w:p>
    <w:p>
      <w:pPr>
        <w:pStyle w:val="BodyText"/>
      </w:pPr>
      <m:oMathPara>
        <m:oMathParaPr>
          <m:jc m:val="center"/>
        </m:oMathParaPr>
        <m:oMath>
          <m:r>
            <m:t>S</m:t>
          </m:r>
          <m:d>
            <m:dPr>
              <m:begChr m:val="("/>
              <m:endChr m:val=")"/>
              <m:sepChr m:val=""/>
              <m:grow/>
            </m:dPr>
            <m:e>
              <m:sSub>
                <m:e>
                  <m:r>
                    <m:t>t</m:t>
                  </m:r>
                </m:e>
                <m:sub>
                  <m:r>
                    <m:t>q</m:t>
                  </m:r>
                </m:sub>
              </m:sSub>
              <m:r>
                <m:rPr>
                  <m:sty m:val="p"/>
                </m:rPr>
                <m:t>|</m:t>
              </m:r>
              <m:sSub>
                <m:e>
                  <m:r>
                    <m:t>x</m:t>
                  </m:r>
                </m:e>
                <m:sub>
                  <m:r>
                    <m:t>i</m:t>
                  </m:r>
                </m:sub>
              </m:sSub>
            </m:e>
          </m:d>
          <m:r>
            <m:rPr>
              <m:sty m:val="p"/>
            </m:rPr>
            <m:t>=</m:t>
          </m:r>
          <m:nary>
            <m:naryPr>
              <m:chr m:val="∏"/>
              <m:limLoc m:val="undOvr"/>
              <m:subHide m:val="off"/>
              <m:supHide m:val="off"/>
            </m:naryPr>
            <m:sub>
              <m:r>
                <m:t>j</m:t>
              </m:r>
              <m:r>
                <m:rPr>
                  <m:sty m:val="p"/>
                </m:rPr>
                <m:t>=</m:t>
              </m:r>
              <m:r>
                <m:t>1</m:t>
              </m:r>
            </m:sub>
            <m:sup>
              <m:r>
                <m:t>q</m:t>
              </m:r>
            </m:sup>
            <m:e>
              <m:d>
                <m:dPr>
                  <m:begChr m:val="("/>
                  <m:endChr m:val=")"/>
                  <m:sepChr m:val=""/>
                  <m:grow/>
                </m:dPr>
                <m:e>
                  <m:r>
                    <m:t>1</m:t>
                  </m:r>
                  <m:r>
                    <m:rPr>
                      <m:sty m:val="p"/>
                    </m:rPr>
                    <m:t>−</m:t>
                  </m:r>
                  <m:sSub>
                    <m:e>
                      <m:r>
                        <m:t>p</m:t>
                      </m:r>
                    </m:e>
                    <m:sub>
                      <m:sSub>
                        <m:e>
                          <m:r>
                            <m:t>t</m:t>
                          </m:r>
                        </m:e>
                        <m:sub>
                          <m:r>
                            <m:t>j</m:t>
                          </m:r>
                        </m:sub>
                      </m:sSub>
                      <m:r>
                        <m:rPr>
                          <m:sty m:val="p"/>
                        </m:rPr>
                        <m:t>|</m:t>
                      </m:r>
                      <m:sSub>
                        <m:e>
                          <m:r>
                            <m:t>x</m:t>
                          </m:r>
                        </m:e>
                        <m:sub>
                          <m:r>
                            <m:t>i</m:t>
                          </m:r>
                        </m:sub>
                      </m:sSub>
                    </m:sub>
                  </m:sSub>
                </m:e>
              </m:d>
            </m:e>
          </m:nary>
        </m:oMath>
      </m:oMathPara>
    </w:p>
    <w:p>
      <w:pPr>
        <w:pStyle w:val="FirstParagraph"/>
      </w:pPr>
      <w:r>
        <w:t xml:space="preserve">To properly model</w:t>
      </w:r>
      <w:r>
        <w:t xml:space="preserve"> </w:t>
      </w:r>
      <m:oMath>
        <m:sSub>
          <m:e>
            <m:r>
              <m:t>p</m:t>
            </m:r>
          </m:e>
          <m:sub>
            <m:r>
              <m:t>t</m:t>
            </m:r>
            <m:r>
              <m:rPr>
                <m:sty m:val="p"/>
              </m:rPr>
              <m:t>|</m:t>
            </m:r>
            <m:r>
              <m:t>x</m:t>
            </m:r>
          </m:sub>
        </m:sSub>
      </m:oMath>
      <w:r>
        <w:t xml:space="preserve">, the data requires an transformation from the standard dataset to a</w:t>
      </w:r>
      <w:r>
        <w:t xml:space="preserve"> </w:t>
      </w:r>
      <w:r>
        <w:rPr>
          <w:i/>
          <w:iCs/>
        </w:rPr>
        <w:t xml:space="preserve">augmented</w:t>
      </w:r>
      <w:r>
        <w:t xml:space="preserve"> </w:t>
      </w:r>
      <w:r>
        <w:t xml:space="preserve">dataset. Standard survival data is given as a paired (</w:t>
      </w:r>
      <w:r>
        <w:rPr>
          <w:b/>
          <w:bCs/>
        </w:rPr>
        <w:t xml:space="preserve">event status</w:t>
      </w:r>
      <w:r>
        <w:t xml:space="preserve">,</w:t>
      </w:r>
      <w:r>
        <w:t xml:space="preserve"> </w:t>
      </w:r>
      <w:r>
        <w:rPr>
          <w:b/>
          <w:bCs/>
        </w:rPr>
        <w:t xml:space="preserve">event time</w:t>
      </w:r>
      <w:r>
        <w:t xml:space="preserve">) outcome and set of covariates for each observation.</w:t>
      </w:r>
      <w:r>
        <w:t xml:space="preserve"> </w:t>
      </w:r>
      <w:r>
        <w:rPr>
          <w:b/>
          <w:bCs/>
        </w:rPr>
        <w:t xml:space="preserve">Event status</w:t>
      </w:r>
      <w:r>
        <w:t xml:space="preserve"> </w:t>
      </w:r>
      <w:r>
        <w:t xml:space="preserve">is typically a binary variable (1=event; 0=censored) and</w:t>
      </w:r>
      <w:r>
        <w:t xml:space="preserve"> </w:t>
      </w:r>
      <w:r>
        <w:rPr>
          <w:b/>
          <w:bCs/>
        </w:rPr>
        <w:t xml:space="preserve">event time</w:t>
      </w:r>
      <w:r>
        <w:t xml:space="preserve"> </w:t>
      </w:r>
      <w:r>
        <w:t xml:space="preserve">is some continous representation of time.</w:t>
      </w:r>
    </w:p>
    <w:p>
      <w:pPr>
        <w:pStyle w:val="BodyText"/>
      </w:pPr>
      <w:r>
        <w:t xml:space="preserve">The</w:t>
      </w:r>
      <w:r>
        <w:t xml:space="preserve"> </w:t>
      </w:r>
      <w:r>
        <w:rPr>
          <w:i/>
          <w:iCs/>
        </w:rPr>
        <w:t xml:space="preserve">augmented</w:t>
      </w:r>
      <w:r>
        <w:t xml:space="preserve"> </w:t>
      </w:r>
      <w:r>
        <w:t xml:space="preserve">dataset transforms the generic dataset from a single, paired (</w:t>
      </w:r>
      <w:r>
        <w:rPr>
          <w:b/>
          <w:bCs/>
        </w:rPr>
        <w:t xml:space="preserve">event status</w:t>
      </w:r>
      <w:r>
        <w:t xml:space="preserve">,</w:t>
      </w:r>
      <w:r>
        <w:t xml:space="preserve"> </w:t>
      </w:r>
      <w:r>
        <w:rPr>
          <w:b/>
          <w:bCs/>
        </w:rPr>
        <w:t xml:space="preserve">event time</w:t>
      </w:r>
      <w:r>
        <w:t xml:space="preserve">) outcome per observation, to a sequence of single (</w:t>
      </w:r>
      <w:r>
        <w:rPr>
          <w:b/>
          <w:bCs/>
        </w:rPr>
        <w:t xml:space="preserve">event status</w:t>
      </w:r>
      <w:r>
        <w:t xml:space="preserve">) outcomes over the series of discrete-time intervals, up to the given</w:t>
      </w:r>
      <w:r>
        <w:t xml:space="preserve"> </w:t>
      </w:r>
      <w:r>
        <w:rPr>
          <w:b/>
          <w:bCs/>
        </w:rPr>
        <w:t xml:space="preserve">event time</w:t>
      </w:r>
      <w:r>
        <w:t xml:space="preserve">.</w:t>
      </w:r>
    </w:p>
    <w:p>
      <w:pPr>
        <w:pStyle w:val="BodyText"/>
      </w:pPr>
      <w:r>
        <w:t xml:space="preserve">For example if the unique set of a dataset’s</w:t>
      </w:r>
      <w:r>
        <w:t xml:space="preserve"> </w:t>
      </w:r>
      <w:r>
        <w:rPr>
          <w:b/>
          <w:bCs/>
        </w:rPr>
        <w:t xml:space="preserve">event times</w:t>
      </w:r>
      <w:r>
        <w:t xml:space="preserve"> </w:t>
      </w:r>
      <w:r>
        <w:t xml:space="preserve">is</w:t>
      </w:r>
      <w:r>
        <w:t xml:space="preserve"> </w:t>
      </w:r>
      <w:r>
        <w:rPr>
          <w:b/>
          <w:bCs/>
        </w:rPr>
        <w:t xml:space="preserve">{4,6,7,8,12,14}</w:t>
      </w:r>
      <w:r>
        <w:t xml:space="preserve">, and a single observation’s paired outcome is (</w:t>
      </w:r>
      <w:r>
        <w:rPr>
          <w:b/>
          <w:bCs/>
        </w:rPr>
        <w:t xml:space="preserve">event status</w:t>
      </w:r>
      <w:r>
        <w:t xml:space="preserve"> </w:t>
      </w:r>
      <w:r>
        <w:t xml:space="preserve">= 1,</w:t>
      </w:r>
      <w:r>
        <w:t xml:space="preserve"> </w:t>
      </w:r>
      <w:r>
        <w:rPr>
          <w:b/>
          <w:bCs/>
        </w:rPr>
        <w:t xml:space="preserve">event times</w:t>
      </w:r>
      <w:r>
        <w:t xml:space="preserve"> </w:t>
      </w:r>
      <w:r>
        <w:t xml:space="preserve">= 12), then the observation will be represented in the</w:t>
      </w:r>
      <w:r>
        <w:t xml:space="preserve"> </w:t>
      </w:r>
      <w:r>
        <w:rPr>
          <w:i/>
          <w:iCs/>
        </w:rPr>
        <w:t xml:space="preserve">augmented</w:t>
      </w:r>
      <w:r>
        <w:t xml:space="preserve"> </w:t>
      </w:r>
      <w:r>
        <w:t xml:space="preserve">dataset as the sequence of observations:</w:t>
      </w:r>
    </w:p>
    <w:p>
      <w:pPr>
        <w:pStyle w:val="BodyText"/>
      </w:pPr>
      <w:r>
        <w:t xml:space="preserve">$$</w:t>
      </w:r>
    </w:p>
    <w:p>
      <w:pPr>
        <w:pStyle w:val="BodyText"/>
      </w:pPr>
      <w:r>
        <w:t xml:space="preserve">$$</w:t>
      </w:r>
    </w:p>
    <w:p>
      <w:pPr>
        <w:pStyle w:val="BodyText"/>
      </w:pPr>
      <w:r>
        <w:t xml:space="preserve">Each row in the</w:t>
      </w:r>
      <w:r>
        <w:t xml:space="preserve"> </w:t>
      </w:r>
      <w:r>
        <w:rPr>
          <w:i/>
          <w:iCs/>
        </w:rPr>
        <w:t xml:space="preserve">augmented</w:t>
      </w:r>
      <w:r>
        <w:t xml:space="preserve"> </w:t>
      </w:r>
      <w:r>
        <w:t xml:space="preserve">dataset is treated as an independent observation, with</w:t>
      </w:r>
      <w:r>
        <w:t xml:space="preserve"> </w:t>
      </w:r>
      <w:r>
        <w:rPr>
          <w:b/>
          <w:bCs/>
        </w:rPr>
        <w:t xml:space="preserve">event status</w:t>
      </w:r>
      <w:r>
        <w:t xml:space="preserve"> </w:t>
      </w:r>
      <w:r>
        <w:t xml:space="preserve">as the outcome</w:t>
      </w:r>
      <w:r>
        <w:t xml:space="preserve"> </w:t>
      </w:r>
      <m:oMath>
        <m:r>
          <m:t>Y</m:t>
        </m:r>
      </m:oMath>
      <w:r>
        <w:t xml:space="preserve"> </w:t>
      </w:r>
      <w:r>
        <w:t xml:space="preserve">and the</w:t>
      </w:r>
      <w:r>
        <w:t xml:space="preserve"> </w:t>
      </w:r>
      <w:r>
        <w:rPr>
          <w:b/>
          <w:bCs/>
        </w:rPr>
        <w:t xml:space="preserve">event time</w:t>
      </w:r>
      <w:r>
        <w:t xml:space="preserve"> </w:t>
      </w:r>
      <m:oMath>
        <m:r>
          <m:t>T</m:t>
        </m:r>
      </m:oMath>
      <w:r>
        <w:t xml:space="preserve"> </w:t>
      </w:r>
      <w:r>
        <w:t xml:space="preserve">as an added covariate. Now each of the original observations are represented by</w:t>
      </w:r>
      <w:r>
        <w:t xml:space="preserve"> </w:t>
      </w:r>
      <m:oMath>
        <m:r>
          <m:t>j</m:t>
        </m:r>
      </m:oMath>
      <w:r>
        <w:t xml:space="preserve"> </w:t>
      </w:r>
      <w:r>
        <w:t xml:space="preserve">rows (</w:t>
      </w:r>
      <m:oMath>
        <m:r>
          <m:t>j</m:t>
        </m:r>
        <m:r>
          <m:rPr>
            <m:sty m:val="p"/>
          </m:rPr>
          <m:t>=</m:t>
        </m:r>
        <m:r>
          <m:t>1</m:t>
        </m:r>
        <m:r>
          <m:rPr>
            <m:sty m:val="p"/>
          </m:rPr>
          <m:t>,</m:t>
        </m:r>
        <m:r>
          <m:rPr>
            <m:sty m:val="p"/>
          </m:rPr>
          <m:t>.</m:t>
        </m:r>
        <m:r>
          <m:rPr>
            <m:sty m:val="p"/>
          </m:rPr>
          <m:t>.</m:t>
        </m:r>
        <m:r>
          <m:rPr>
            <m:sty m:val="p"/>
          </m:rPr>
          <m:t>.</m:t>
        </m:r>
        <m:r>
          <m:rPr>
            <m:sty m:val="p"/>
          </m:rPr>
          <m:t>,</m:t>
        </m:r>
        <m:sSub>
          <m:e>
            <m:r>
              <m:t>i</m:t>
            </m:r>
          </m:e>
          <m:sub>
            <m:r>
              <m:rPr>
                <m:nor/>
                <m:sty m:val="p"/>
              </m:rPr>
              <m:t>event time</m:t>
            </m:r>
          </m:sub>
        </m:sSub>
        <m:r>
          <m:rPr>
            <m:sty m:val="p"/>
          </m:rPr>
          <m:t>)</m:t>
        </m:r>
      </m:oMath>
      <w:r>
        <w:t xml:space="preserve"> </w:t>
      </w:r>
      <w:r>
        <w:t xml:space="preserve">and the corresponding variables can be denoted as (</w:t>
      </w:r>
      <m:oMath>
        <m:sSub>
          <m:e>
            <m:r>
              <m:t>y</m:t>
            </m:r>
          </m:e>
          <m:sub>
            <m:r>
              <m:t>i</m:t>
            </m:r>
            <m:r>
              <m:t>j</m:t>
            </m:r>
          </m:sub>
        </m:sSub>
      </m:oMath>
      <w:r>
        <w:t xml:space="preserve">,</w:t>
      </w:r>
      <w:r>
        <w:t xml:space="preserve"> </w:t>
      </w:r>
      <m:oMath>
        <m:sSub>
          <m:e>
            <m:r>
              <m:t>t</m:t>
            </m:r>
          </m:e>
          <m:sub>
            <m:r>
              <m:t>j</m:t>
            </m:r>
          </m:sub>
        </m:sSub>
      </m:oMath>
      <w:r>
        <w:t xml:space="preserve">,</w:t>
      </w:r>
      <w:r>
        <w:t xml:space="preserve"> </w:t>
      </w:r>
      <m:oMath>
        <m:sSub>
          <m:e>
            <m:r>
              <m:t>x</m:t>
            </m:r>
          </m:e>
          <m:sub>
            <m:r>
              <m:t>i</m:t>
            </m:r>
            <m:r>
              <m:t>j</m:t>
            </m:r>
          </m:sub>
        </m:sSub>
      </m:oMath>
      <w:r>
        <w:t xml:space="preserve">). A full explanation of this transformation is provided under the</w:t>
      </w:r>
      <w:r>
        <w:t xml:space="preserve"> </w:t>
      </w:r>
      <w:hyperlink w:anchor="Xd0366718ed9e2e616dd3b769883b029548a223b">
        <w:r>
          <w:rPr>
            <w:rStyle w:val="Hyperlink"/>
          </w:rPr>
          <w:t xml:space="preserve">Transformation</w:t>
        </w:r>
      </w:hyperlink>
      <w:r>
        <w:t xml:space="preserve"> </w:t>
      </w:r>
      <w:r>
        <w:t xml:space="preserve">heading below.</w:t>
      </w:r>
    </w:p>
    <w:p>
      <w:pPr>
        <w:pStyle w:val="BodyText"/>
      </w:pPr>
      <w:r>
        <w:t xml:space="preserve">Using the new</w:t>
      </w:r>
      <w:r>
        <w:t xml:space="preserve"> </w:t>
      </w:r>
      <w:r>
        <w:rPr>
          <w:i/>
          <w:iCs/>
        </w:rPr>
        <w:t xml:space="preserve">augmented</w:t>
      </w:r>
      <w:r>
        <w:t xml:space="preserve"> </w:t>
      </w:r>
      <w:r>
        <w:t xml:space="preserve">dataset, the model is simplified to a probit regression of</w:t>
      </w:r>
      <w:r>
        <w:t xml:space="preserve"> </w:t>
      </w:r>
      <m:oMath>
        <m:sSub>
          <m:e>
            <m:r>
              <m:t>y</m:t>
            </m:r>
          </m:e>
          <m:sub>
            <m:r>
              <m:t>i</m:t>
            </m:r>
            <m:r>
              <m:t>j</m:t>
            </m:r>
          </m:sub>
        </m:sSub>
      </m:oMath>
      <w:r>
        <w:t xml:space="preserve"> </w:t>
      </w:r>
      <w:r>
        <w:t xml:space="preserve">on time</w:t>
      </w:r>
      <w:r>
        <w:t xml:space="preserve"> </w:t>
      </w:r>
      <m:oMath>
        <m:sSub>
          <m:e>
            <m:r>
              <m:t>t</m:t>
            </m:r>
          </m:e>
          <m:sub>
            <m:r>
              <m:t>j</m:t>
            </m:r>
          </m:sub>
        </m:sSub>
      </m:oMath>
      <w:r>
        <w:t xml:space="preserve"> </w:t>
      </w:r>
      <w:r>
        <w:t xml:space="preserve">and covariates</w:t>
      </w:r>
      <w:r>
        <w:t xml:space="preserve"> </w:t>
      </w:r>
      <m:oMath>
        <m:sSub>
          <m:e>
            <m:r>
              <m:t>x</m:t>
            </m:r>
          </m:e>
          <m:sub>
            <m:r>
              <m:t>i</m:t>
            </m:r>
            <m:r>
              <m:t>j</m:t>
            </m:r>
          </m:sub>
        </m:sSub>
      </m:oMath>
      <w:r>
        <w:t xml:space="preserve">, which yields a latent value</w:t>
      </w:r>
      <w:r>
        <w:t xml:space="preserve"> </w:t>
      </w:r>
      <m:oMath>
        <m:sSub>
          <m:e>
            <m:r>
              <m:t>p</m:t>
            </m:r>
          </m:e>
          <m:sub>
            <m:r>
              <m:t>i</m:t>
            </m:r>
            <m:r>
              <m:t>j</m:t>
            </m:r>
          </m:sub>
        </m:sSub>
      </m:oMath>
      <w:r>
        <w:t xml:space="preserve"> </w:t>
      </w:r>
      <w:r>
        <w:t xml:space="preserve">corresponding to</w:t>
      </w:r>
      <w:r>
        <w:t xml:space="preserve"> </w:t>
      </w:r>
      <m:oMath>
        <m:r>
          <m:t>P</m:t>
        </m:r>
        <m:d>
          <m:dPr>
            <m:begChr m:val="("/>
            <m:endChr m:val=")"/>
            <m:sepChr m:val=""/>
            <m:grow/>
          </m:dPr>
          <m:e>
            <m:sSub>
              <m:e>
                <m:r>
                  <m:t>y</m:t>
                </m:r>
              </m:e>
              <m:sub>
                <m:r>
                  <m:t>i</m:t>
                </m:r>
                <m:r>
                  <m:t>j</m:t>
                </m:r>
              </m:sub>
            </m:sSub>
            <m:r>
              <m:rPr>
                <m:sty m:val="p"/>
              </m:rPr>
              <m:t>=</m:t>
            </m:r>
            <m:r>
              <m:t>1</m:t>
            </m:r>
          </m:e>
        </m:d>
      </m:oMath>
      <w:r>
        <w:t xml:space="preserve">. Explicitly the model is defined as:</w:t>
      </w:r>
    </w:p>
    <w:p>
      <w:pPr>
        <w:pStyle w:val="BodyText"/>
      </w:pPr>
      <m:oMathPara>
        <m:oMathParaPr>
          <m:jc m:val="center"/>
        </m:oMathParaPr>
        <m:oMath>
          <m:m>
            <m:mPr>
              <m:baseJc m:val="center"/>
              <m:plcHide m:val="on"/>
              <m:mcs>
                <m:mc>
                  <m:mcPr>
                    <m:mcJc m:val="right"/>
                    <m:count m:val="1"/>
                  </m:mcPr>
                </m:mc>
              </m:mcs>
            </m:mPr>
            <m:mr>
              <m:e>
                <m:sSub>
                  <m:e>
                    <m:r>
                      <m:t>y</m:t>
                    </m:r>
                  </m:e>
                  <m:sub>
                    <m:r>
                      <m:t>i</m:t>
                    </m:r>
                    <m:r>
                      <m:t>j</m:t>
                    </m:r>
                  </m:sub>
                </m:sSub>
                <m:r>
                  <m:rPr>
                    <m:sty m:val="p"/>
                  </m:rPr>
                  <m:t>|</m:t>
                </m:r>
                <m:sSub>
                  <m:e>
                    <m:r>
                      <m:t>p</m:t>
                    </m:r>
                  </m:e>
                  <m:sub>
                    <m:r>
                      <m:t>i</m:t>
                    </m:r>
                    <m:r>
                      <m:t>j</m:t>
                    </m:r>
                  </m:sub>
                </m:sSub>
                <m:r>
                  <m:rPr>
                    <m:sty m:val="p"/>
                  </m:rPr>
                  <m:t>∼</m:t>
                </m:r>
                <m:r>
                  <m:t>B</m:t>
                </m:r>
                <m:r>
                  <m:t>e</m:t>
                </m:r>
                <m:r>
                  <m:t>r</m:t>
                </m:r>
                <m:r>
                  <m:t>n</m:t>
                </m:r>
                <m:r>
                  <m:t>o</m:t>
                </m:r>
                <m:r>
                  <m:t>u</m:t>
                </m:r>
                <m:r>
                  <m:t>l</m:t>
                </m:r>
                <m:r>
                  <m:t>l</m:t>
                </m:r>
                <m:r>
                  <m:t>i</m:t>
                </m:r>
                <m:d>
                  <m:dPr>
                    <m:begChr m:val="("/>
                    <m:endChr m:val=")"/>
                    <m:sepChr m:val=""/>
                    <m:grow/>
                  </m:dPr>
                  <m:e>
                    <m:sSub>
                      <m:e>
                        <m:r>
                          <m:t>p</m:t>
                        </m:r>
                      </m:e>
                      <m:sub>
                        <m:r>
                          <m:t>i</m:t>
                        </m:r>
                        <m:r>
                          <m:t>j</m:t>
                        </m:r>
                      </m:sub>
                    </m:sSub>
                  </m:e>
                </m:d>
              </m:e>
            </m:mr>
            <m:mr>
              <m:e>
                <m:sSub>
                  <m:e>
                    <m:r>
                      <m:t>p</m:t>
                    </m:r>
                  </m:e>
                  <m:sub>
                    <m:r>
                      <m:t>i</m:t>
                    </m:r>
                    <m:r>
                      <m:t>j</m:t>
                    </m:r>
                  </m:sub>
                </m:sSub>
                <m:r>
                  <m:rPr>
                    <m:sty m:val="p"/>
                  </m:rPr>
                  <m:t>|</m:t>
                </m:r>
                <m:sSub>
                  <m:e>
                    <m:r>
                      <m:t>μ</m:t>
                    </m:r>
                  </m:e>
                  <m:sub>
                    <m:r>
                      <m:t>i</m:t>
                    </m:r>
                    <m:r>
                      <m:t>j</m:t>
                    </m:r>
                  </m:sub>
                </m:sSub>
                <m:r>
                  <m:rPr>
                    <m:sty m:val="p"/>
                  </m:rPr>
                  <m:t>=</m:t>
                </m:r>
                <m:r>
                  <m:t>Φ</m:t>
                </m:r>
                <m:d>
                  <m:dPr>
                    <m:begChr m:val="("/>
                    <m:endChr m:val=")"/>
                    <m:sepChr m:val=""/>
                    <m:grow/>
                  </m:dPr>
                  <m:e>
                    <m:sSub>
                      <m:e>
                        <m:r>
                          <m:t>μ</m:t>
                        </m:r>
                      </m:e>
                      <m:sub>
                        <m:r>
                          <m:t>i</m:t>
                        </m:r>
                        <m:r>
                          <m:t>j</m:t>
                        </m:r>
                      </m:sub>
                    </m:sSub>
                  </m:e>
                </m:d>
              </m:e>
            </m:mr>
            <m:mr>
              <m:e>
                <m:sSub>
                  <m:e>
                    <m:r>
                      <m:t>μ</m:t>
                    </m:r>
                  </m:e>
                  <m:sub>
                    <m:r>
                      <m:t>i</m:t>
                    </m:r>
                    <m:r>
                      <m:t>j</m:t>
                    </m:r>
                  </m:sub>
                </m:sSub>
                <m:r>
                  <m:rPr>
                    <m:sty m:val="p"/>
                  </m:rPr>
                  <m:t>∼</m:t>
                </m:r>
                <m:r>
                  <m:rPr>
                    <m:nor/>
                    <m:sty m:val="p"/>
                  </m:rPr>
                  <m:t>BART</m:t>
                </m:r>
                <m:d>
                  <m:dPr>
                    <m:begChr m:val="("/>
                    <m:endChr m:val=")"/>
                    <m:sepChr m:val=""/>
                    <m:grow/>
                  </m:dPr>
                  <m:e>
                    <m:r>
                      <m:t>j</m:t>
                    </m:r>
                    <m:r>
                      <m:rPr>
                        <m:sty m:val="p"/>
                      </m:rPr>
                      <m:t>,</m:t>
                    </m:r>
                    <m:sSub>
                      <m:e>
                        <m:r>
                          <m:t>x</m:t>
                        </m:r>
                      </m:e>
                      <m:sub>
                        <m:r>
                          <m:t>i</m:t>
                        </m:r>
                      </m:sub>
                    </m:sSub>
                  </m:e>
                </m:d>
              </m:e>
            </m:mr>
            <m:mr>
              <m:e/>
            </m:mr>
          </m:m>
        </m:oMath>
      </m:oMathPara>
    </w:p>
    <w:p>
      <w:pPr>
        <w:pStyle w:val="FirstParagraph"/>
      </w:pPr>
      <w:r>
        <w:t xml:space="preserve">where</w:t>
      </w:r>
      <w:r>
        <w:t xml:space="preserve"> </w:t>
      </w:r>
      <m:oMath>
        <m:r>
          <m:t>Φ</m:t>
        </m:r>
      </m:oMath>
      <w:r>
        <w:t xml:space="preserve"> </w:t>
      </w:r>
      <w:r>
        <w:t xml:space="preserve">is the CDF of the Normal distribution.</w:t>
      </w:r>
    </w:p>
    <w:p>
      <w:pPr>
        <w:pStyle w:val="BodyText"/>
      </w:pPr>
      <w:r>
        <w:t xml:space="preserve">A trained BART-Survival model yields the</w:t>
      </w:r>
      <w:r>
        <w:t xml:space="preserve"> </w:t>
      </w:r>
      <m:oMath>
        <m:sSub>
          <m:e>
            <m:r>
              <m:t>p</m:t>
            </m:r>
          </m:e>
          <m:sub>
            <m:r>
              <m:t>i</m:t>
            </m:r>
            <m:r>
              <m:t>j</m:t>
            </m:r>
          </m:sub>
        </m:sSub>
      </m:oMath>
      <w:r>
        <w:t xml:space="preserve"> </w:t>
      </w:r>
      <w:r>
        <w:t xml:space="preserve">esimates which can be used to derive survival as decribed in equation (3).</w:t>
      </w:r>
    </w:p>
    <w:bookmarkStart w:id="20" w:name="inference"/>
    <w:p>
      <w:pPr>
        <w:pStyle w:val="Heading4"/>
      </w:pPr>
      <w:r>
        <w:t xml:space="preserve">Inference</w:t>
      </w:r>
    </w:p>
    <w:p>
      <w:pPr>
        <w:pStyle w:val="FirstParagraph"/>
      </w:pPr>
      <w:r>
        <w:t xml:space="preserve">A typical goal of survival regression models is to derive a statistical estimate for the effect of a variable on the outcome. The classic example being Hazard Ratios simply derived from the coefficients of Cox Proportional Hazard Models.</w:t>
      </w:r>
    </w:p>
    <w:p>
      <w:pPr>
        <w:pStyle w:val="BodyText"/>
      </w:pPr>
      <w:r>
        <w:t xml:space="preserve">With BART-Survival, the underlying BART algorithm does not rely on a linear equation and does not produce coefficient that can be treated as measures of effects. Instead, variable effects are summarized as marginial effect estimates which can derived through use of partial depence functions.</w:t>
      </w:r>
    </w:p>
    <w:p>
      <w:pPr>
        <w:pStyle w:val="BodyText"/>
      </w:pPr>
      <w:r>
        <w:t xml:space="preserve">The partial dependence function method is relatively simple. It involves generating predictions of</w:t>
      </w:r>
      <w:r>
        <w:t xml:space="preserve"> </w:t>
      </w:r>
      <m:oMath>
        <m:r>
          <m:t>p</m:t>
        </m:r>
      </m:oMath>
      <w:r>
        <w:t xml:space="preserve"> </w:t>
      </w:r>
      <w:r>
        <w:t xml:space="preserve">from a trained BART-Survival model using a</w:t>
      </w:r>
      <w:r>
        <w:t xml:space="preserve"> </w:t>
      </w:r>
      <w:r>
        <w:rPr>
          <w:i/>
          <w:iCs/>
        </w:rPr>
        <w:t xml:space="preserve">augmented partial dependence</w:t>
      </w:r>
      <w:r>
        <w:t xml:space="preserve"> </w:t>
      </w:r>
      <w:r>
        <w:t xml:space="preserve">(</w:t>
      </w:r>
      <w:r>
        <w:rPr>
          <w:i/>
          <w:iCs/>
        </w:rPr>
        <w:t xml:space="preserve">APD</w:t>
      </w:r>
      <w:r>
        <w:t xml:space="preserve">) dataset as input.</w:t>
      </w:r>
    </w:p>
    <w:p>
      <w:pPr>
        <w:pStyle w:val="BodyText"/>
      </w:pPr>
      <w:r>
        <w:t xml:space="preserve">The</w:t>
      </w:r>
      <w:r>
        <w:t xml:space="preserve"> </w:t>
      </w:r>
      <w:r>
        <w:rPr>
          <w:i/>
          <w:iCs/>
        </w:rPr>
        <w:t xml:space="preserve">APD</w:t>
      </w:r>
      <w:r>
        <w:t xml:space="preserve"> </w:t>
      </w:r>
      <w:r>
        <w:t xml:space="preserve">dataset is generated so that a specific variable</w:t>
      </w:r>
      <w:r>
        <w:t xml:space="preserve"> </w:t>
      </w:r>
      <m:oMath>
        <m:sSub>
          <m:e>
            <m:r>
              <m:t>x</m:t>
            </m:r>
          </m:e>
          <m:sub>
            <m:d>
              <m:dPr>
                <m:begChr m:val="["/>
                <m:endChr m:val="]"/>
                <m:sepChr m:val=""/>
                <m:grow/>
              </m:dPr>
              <m:e>
                <m:r>
                  <m:t>I</m:t>
                </m:r>
              </m:e>
            </m:d>
          </m:sub>
        </m:sSub>
      </m:oMath>
      <w:r>
        <w:t xml:space="preserve"> </w:t>
      </w:r>
      <w:r>
        <w:t xml:space="preserve">is deterministically set to a specific value for all observations while the other covariates</w:t>
      </w:r>
      <w:r>
        <w:t xml:space="preserve"> </w:t>
      </w:r>
      <m:oMath>
        <m:sSub>
          <m:e>
            <m:r>
              <m:t>x</m:t>
            </m:r>
          </m:e>
          <m:sub>
            <m:r>
              <m:t>i</m:t>
            </m:r>
            <m:d>
              <m:dPr>
                <m:begChr m:val="["/>
                <m:endChr m:val="]"/>
                <m:sepChr m:val=""/>
                <m:grow/>
              </m:dPr>
              <m:e>
                <m:r>
                  <m:t>O</m:t>
                </m:r>
              </m:e>
            </m:d>
          </m:sub>
        </m:sSub>
      </m:oMath>
      <w:r>
        <w:t xml:space="preserve"> </w:t>
      </w:r>
      <w:r>
        <w:t xml:space="preserve">remain as observed. Each observation is then expanded over the time-intervals</w:t>
      </w:r>
      <w:r>
        <w:t xml:space="preserve"> </w:t>
      </w:r>
      <m:oMath>
        <m:r>
          <m:t>1</m:t>
        </m:r>
        <m:r>
          <m:rPr>
            <m:sty m:val="p"/>
          </m:rPr>
          <m:t>,</m:t>
        </m:r>
        <m:r>
          <m:rPr>
            <m:sty m:val="p"/>
          </m:rPr>
          <m:t>.</m:t>
        </m:r>
        <m:r>
          <m:rPr>
            <m:sty m:val="p"/>
          </m:rPr>
          <m:t>.</m:t>
        </m:r>
        <m:r>
          <m:rPr>
            <m:sty m:val="p"/>
          </m:rPr>
          <m:t>.</m:t>
        </m:r>
        <m:r>
          <m:rPr>
            <m:sty m:val="p"/>
          </m:rPr>
          <m:t>,</m:t>
        </m:r>
        <m:sSub>
          <m:e>
            <m:r>
              <m:t>j</m:t>
            </m:r>
          </m:e>
          <m:sub>
            <m:sSub>
              <m:e>
                <m:r>
                  <m:t>T</m:t>
                </m:r>
              </m:e>
              <m:sub>
                <m:r>
                  <m:t>m</m:t>
                </m:r>
                <m:r>
                  <m:t>a</m:t>
                </m:r>
                <m:r>
                  <m:t>x</m:t>
                </m:r>
              </m:sub>
            </m:sSub>
          </m:sub>
        </m:sSub>
      </m:oMath>
      <w:r>
        <w:t xml:space="preserve"> </w:t>
      </w:r>
      <w:r>
        <w:t xml:space="preserve">to create the discrete-time datasets.</w:t>
      </w:r>
    </w:p>
    <w:p>
      <w:pPr>
        <w:pStyle w:val="BodyText"/>
      </w:pPr>
      <w:r>
        <w:t xml:space="preserve">Mulitple</w:t>
      </w:r>
      <w:r>
        <w:t xml:space="preserve"> </w:t>
      </w:r>
      <w:r>
        <w:rPr>
          <w:i/>
          <w:iCs/>
        </w:rPr>
        <w:t xml:space="preserve">APD</w:t>
      </w:r>
      <w:r>
        <w:t xml:space="preserve"> </w:t>
      </w:r>
      <w:r>
        <w:t xml:space="preserve">datasets can be created, each with different values of the specific variable of interest (i.e. </w:t>
      </w:r>
      <m:oMath>
        <m:sSub>
          <m:e>
            <m:r>
              <m:t>x</m:t>
            </m:r>
          </m:e>
          <m:sub>
            <m:sSub>
              <m:e>
                <m:d>
                  <m:dPr>
                    <m:begChr m:val="["/>
                    <m:endChr m:val="]"/>
                    <m:sepChr m:val=""/>
                    <m:grow/>
                  </m:dPr>
                  <m:e>
                    <m:r>
                      <m:t>I</m:t>
                    </m:r>
                  </m:e>
                </m:d>
              </m:e>
              <m:sub>
                <m:r>
                  <m:t>1</m:t>
                </m:r>
              </m:sub>
            </m:sSub>
          </m:sub>
        </m:sSub>
      </m:oMath>
      <w:r>
        <w:t xml:space="preserve">,</w:t>
      </w:r>
      <w:r>
        <w:t xml:space="preserve"> </w:t>
      </w:r>
      <m:oMath>
        <m:sSub>
          <m:e>
            <m:r>
              <m:t>x</m:t>
            </m:r>
          </m:e>
          <m:sub>
            <m:sSub>
              <m:e>
                <m:d>
                  <m:dPr>
                    <m:begChr m:val="["/>
                    <m:endChr m:val="]"/>
                    <m:sepChr m:val=""/>
                    <m:grow/>
                  </m:dPr>
                  <m:e>
                    <m:r>
                      <m:t>I</m:t>
                    </m:r>
                  </m:e>
                </m:d>
              </m:e>
              <m:sub>
                <m:r>
                  <m:t>2</m:t>
                </m:r>
              </m:sub>
            </m:sSub>
          </m:sub>
        </m:sSub>
        <m:r>
          <m:rPr>
            <m:sty m:val="p"/>
          </m:rPr>
          <m:t>)</m:t>
        </m:r>
      </m:oMath>
      <w:r>
        <w:t xml:space="preserve">. The</w:t>
      </w:r>
      <w:r>
        <w:t xml:space="preserve"> </w:t>
      </w:r>
      <m:oMath>
        <m:sSub>
          <m:e>
            <m:r>
              <m:t>p</m:t>
            </m:r>
          </m:e>
          <m:sub>
            <m:r>
              <m:t>i</m:t>
            </m:r>
            <m:r>
              <m:t>j</m:t>
            </m:r>
          </m:sub>
        </m:sSub>
      </m:oMath>
      <w:r>
        <w:t xml:space="preserve"> </w:t>
      </w:r>
      <w:r>
        <w:t xml:space="preserve">values from each predicted dataset (</w:t>
      </w:r>
      <m:oMath>
        <m:sSub>
          <m:e>
            <m:r>
              <m:t>p</m:t>
            </m:r>
          </m:e>
          <m:sub>
            <m:d>
              <m:dPr>
                <m:begChr m:val="["/>
                <m:endChr m:val="]"/>
                <m:sepChr m:val=""/>
                <m:grow/>
              </m:dPr>
              <m:e>
                <m:r>
                  <m:t>1</m:t>
                </m:r>
              </m:e>
            </m:d>
          </m:sub>
        </m:sSub>
      </m:oMath>
      <w:r>
        <w:t xml:space="preserve">,</w:t>
      </w:r>
      <w:r>
        <w:t xml:space="preserve"> </w:t>
      </w:r>
      <m:oMath>
        <m:sSub>
          <m:e>
            <m:r>
              <m:t>p</m:t>
            </m:r>
          </m:e>
          <m:sub>
            <m:d>
              <m:dPr>
                <m:begChr m:val="["/>
                <m:endChr m:val="]"/>
                <m:sepChr m:val=""/>
                <m:grow/>
              </m:dPr>
              <m:e>
                <m:r>
                  <m:t>2</m:t>
                </m:r>
              </m:e>
            </m:d>
          </m:sub>
        </m:sSub>
      </m:oMath>
      <w:r>
        <w:t xml:space="preserve">), can then be contrasted.</w:t>
      </w:r>
    </w:p>
    <w:p>
      <w:pPr>
        <w:pStyle w:val="BodyText"/>
      </w:pPr>
      <w:r>
        <w:t xml:space="preserve">Common marginal effect estimates derived from these predicted values include:</w:t>
      </w:r>
    </w:p>
    <w:p>
      <w:pPr>
        <w:numPr>
          <w:ilvl w:val="0"/>
          <w:numId w:val="1001"/>
        </w:numPr>
      </w:pPr>
      <w:r>
        <w:t xml:space="preserve">Marginal difference is survival probability at time</w:t>
      </w:r>
      <w:r>
        <w:t xml:space="preserve"> </w:t>
      </w:r>
      <m:oMath>
        <m:r>
          <m:t>j</m:t>
        </m:r>
      </m:oMath>
      <w:r>
        <w:t xml:space="preserve">:</w:t>
      </w:r>
    </w:p>
    <w:p>
      <w:pPr>
        <w:pStyle w:val="BodyText"/>
      </w:pPr>
      <m:oMathPara>
        <m:oMathParaPr>
          <m:jc m:val="center"/>
        </m:oMathParaPr>
        <m:oMath>
          <m:sSub>
            <m:e>
              <m:r>
                <m:rPr>
                  <m:nor/>
                  <m:sty m:val="p"/>
                </m:rPr>
                <m:t>Risk Diff.</m:t>
              </m:r>
            </m:e>
            <m:sub>
              <m:r>
                <m:t>m</m:t>
              </m:r>
              <m:r>
                <m:t>a</m:t>
              </m:r>
              <m:r>
                <m:t>r</m:t>
              </m:r>
              <m:r>
                <m:t>g</m:t>
              </m:r>
            </m:sub>
          </m:sSub>
          <m:r>
            <m:rPr>
              <m:sty m:val="p"/>
            </m:rPr>
            <m:t>=</m:t>
          </m:r>
          <m:sSub>
            <m:e>
              <m:r>
                <m:t>E</m:t>
              </m:r>
            </m:e>
            <m:sub>
              <m:r>
                <m:t>i</m:t>
              </m:r>
            </m:sub>
          </m:sSub>
          <m:d>
            <m:dPr>
              <m:begChr m:val="["/>
              <m:endChr m:val="]"/>
              <m:sepChr m:val=""/>
              <m:grow/>
            </m:dPr>
            <m:e>
              <m:sSub>
                <m:e>
                  <m:r>
                    <m:t>S</m:t>
                  </m:r>
                </m:e>
                <m:sub>
                  <m:sSub>
                    <m:e>
                      <m:r>
                        <m:t>p</m:t>
                      </m:r>
                    </m:e>
                    <m:sub>
                      <m:d>
                        <m:dPr>
                          <m:begChr m:val="["/>
                          <m:endChr m:val="]"/>
                          <m:sepChr m:val=""/>
                          <m:grow/>
                        </m:dPr>
                        <m:e>
                          <m:r>
                            <m:t>2</m:t>
                          </m:r>
                        </m:e>
                      </m:d>
                    </m:sub>
                  </m:sSub>
                </m:sub>
              </m:sSub>
              <m:d>
                <m:dPr>
                  <m:begChr m:val="("/>
                  <m:endChr m:val=")"/>
                  <m:sepChr m:val=""/>
                  <m:grow/>
                </m:dPr>
                <m:e>
                  <m:sSub>
                    <m:e>
                      <m:r>
                        <m:t>t</m:t>
                      </m:r>
                    </m:e>
                    <m:sub>
                      <m:r>
                        <m:t>j</m:t>
                      </m:r>
                    </m:sub>
                  </m:sSub>
                </m:e>
              </m:d>
            </m:e>
          </m:d>
          <m:r>
            <m:rPr>
              <m:sty m:val="p"/>
            </m:rPr>
            <m:t>−</m:t>
          </m:r>
          <m:sSub>
            <m:e>
              <m:r>
                <m:t>E</m:t>
              </m:r>
            </m:e>
            <m:sub>
              <m:r>
                <m:t>i</m:t>
              </m:r>
            </m:sub>
          </m:sSub>
          <m:d>
            <m:dPr>
              <m:begChr m:val="["/>
              <m:endChr m:val="]"/>
              <m:sepChr m:val=""/>
              <m:grow/>
            </m:dPr>
            <m:e>
              <m:sSub>
                <m:e>
                  <m:r>
                    <m:t>S</m:t>
                  </m:r>
                </m:e>
                <m:sub>
                  <m:sSub>
                    <m:e>
                      <m:r>
                        <m:t>p</m:t>
                      </m:r>
                    </m:e>
                    <m:sub>
                      <m:d>
                        <m:dPr>
                          <m:begChr m:val="["/>
                          <m:endChr m:val="]"/>
                          <m:sepChr m:val=""/>
                          <m:grow/>
                        </m:dPr>
                        <m:e>
                          <m:r>
                            <m:t>1</m:t>
                          </m:r>
                        </m:e>
                      </m:d>
                    </m:sub>
                  </m:sSub>
                </m:sub>
              </m:sSub>
              <m:d>
                <m:dPr>
                  <m:begChr m:val="("/>
                  <m:endChr m:val=")"/>
                  <m:sepChr m:val=""/>
                  <m:grow/>
                </m:dPr>
                <m:e>
                  <m:sSub>
                    <m:e>
                      <m:r>
                        <m:t>t</m:t>
                      </m:r>
                    </m:e>
                    <m:sub>
                      <m:r>
                        <m:t>j</m:t>
                      </m:r>
                    </m:sub>
                  </m:sSub>
                </m:e>
              </m:d>
              <m:r>
                <m:rPr>
                  <m:sty m:val="p"/>
                </m:rPr>
                <m:t>)</m:t>
              </m:r>
            </m:e>
          </m:d>
        </m:oMath>
      </m:oMathPara>
    </w:p>
    <w:p>
      <w:pPr>
        <w:numPr>
          <w:ilvl w:val="0"/>
          <w:numId w:val="1001"/>
        </w:numPr>
      </w:pPr>
      <w:r>
        <w:t xml:space="preserve">Marginal Risk Ratio at time</w:t>
      </w:r>
      <w:r>
        <w:t xml:space="preserve"> </w:t>
      </w:r>
      <m:oMath>
        <m:r>
          <m:t>j</m:t>
        </m:r>
      </m:oMath>
      <w:r>
        <w:t xml:space="preserve">:</w:t>
      </w:r>
    </w:p>
    <w:p>
      <w:pPr>
        <w:pStyle w:val="BodyText"/>
      </w:pPr>
      <w:r>
        <w:t xml:space="preserve">$$
    \text{RR}_{marg} = {E_{i}[p_{[2]_{j}}] \over E_{i}[p_{[1]_{j}}]}
    $$</w:t>
      </w:r>
    </w:p>
    <w:p>
      <w:pPr>
        <w:numPr>
          <w:ilvl w:val="0"/>
          <w:numId w:val="1001"/>
        </w:numPr>
      </w:pPr>
      <w:r>
        <w:t xml:space="preserve">Marginal Hazard Ratio (assuming constant hazard rates):</w:t>
      </w:r>
    </w:p>
    <w:p>
      <w:pPr>
        <w:pStyle w:val="BodyText"/>
      </w:pPr>
      <w:r>
        <w:t xml:space="preserve">$$
    \text{HR}_{marg} = {
    E_{ij}[p_{[2]}] \over E_{ij}[p_{[1]}]
    }
    $$</w:t>
      </w:r>
    </w:p>
    <w:p>
      <w:pPr>
        <w:pStyle w:val="FirstParagraph"/>
      </w:pPr>
      <w:r>
        <w:t xml:space="preserve">Uncertaintity intervals for the estimates are additionally generated from the posterior predictive distributions and naturally accompany the estimated point values.</w:t>
      </w:r>
    </w:p>
    <w:bookmarkEnd w:id="20"/>
    <w:bookmarkStart w:id="21" w:name="summary"/>
    <w:p>
      <w:pPr>
        <w:pStyle w:val="Heading4"/>
      </w:pPr>
      <w:r>
        <w:t xml:space="preserve">Summary</w:t>
      </w:r>
    </w:p>
    <w:p>
      <w:pPr>
        <w:pStyle w:val="FirstParagraph"/>
      </w:pPr>
      <w:r>
        <w:t xml:space="preserve">The BART-Survival package provide the algorithms necessary to complete the 3 major steps of the survival analysis.</w:t>
      </w:r>
    </w:p>
    <w:p>
      <w:pPr>
        <w:pStyle w:val="Compact"/>
        <w:numPr>
          <w:ilvl w:val="0"/>
          <w:numId w:val="1002"/>
        </w:numPr>
      </w:pPr>
      <w:r>
        <w:t xml:space="preserve">Generate augmented dataset</w:t>
      </w:r>
    </w:p>
    <w:p>
      <w:pPr>
        <w:pStyle w:val="Compact"/>
        <w:numPr>
          <w:ilvl w:val="0"/>
          <w:numId w:val="1002"/>
        </w:numPr>
      </w:pPr>
      <w:r>
        <w:t xml:space="preserve">Train-predict-transform the BART model and estimates</w:t>
      </w:r>
    </w:p>
    <w:p>
      <w:pPr>
        <w:pStyle w:val="Compact"/>
        <w:numPr>
          <w:ilvl w:val="0"/>
          <w:numId w:val="1002"/>
        </w:numPr>
      </w:pPr>
      <w:r>
        <w:t xml:space="preserve">Generate</w:t>
      </w:r>
      <w:r>
        <w:t xml:space="preserve"> </w:t>
      </w:r>
      <w:r>
        <w:rPr>
          <w:i/>
          <w:iCs/>
        </w:rPr>
        <w:t xml:space="preserve">augmented partial dependece</w:t>
      </w:r>
      <w:r>
        <w:t xml:space="preserve"> </w:t>
      </w:r>
      <w:r>
        <w:t xml:space="preserve">datasets and generate estimates.</w:t>
      </w:r>
    </w:p>
    <w:bookmarkEnd w:id="21"/>
    <w:bookmarkEnd w:id="22"/>
    <w:bookmarkStart w:id="23" w:name="installation"/>
    <w:p>
      <w:pPr>
        <w:pStyle w:val="Heading3"/>
      </w:pPr>
      <w:r>
        <w:t xml:space="preserve">Installation</w:t>
      </w:r>
    </w:p>
    <w:p>
      <w:pPr>
        <w:pStyle w:val="FirstParagraph"/>
      </w:pPr>
      <w:r>
        <w:t xml:space="preserve">Bart-Survival can be accessed directly from PyPi:</w:t>
      </w:r>
      <w:r>
        <w:t xml:space="preserve"> </w:t>
      </w:r>
      <w:r>
        <w:rPr>
          <w:rStyle w:val="VerbatimChar"/>
        </w:rPr>
        <w:t xml:space="preserve">pip install bart-survival==0.1.1</w:t>
      </w:r>
    </w:p>
    <w:p>
      <w:pPr>
        <w:pStyle w:val="BodyText"/>
      </w:pPr>
      <w:r>
        <w:t xml:space="preserve">Additonaly the whl/tar.gz and src code is accessible in the github repo:</w:t>
      </w:r>
      <w:r>
        <w:t xml:space="preserve"> </w:t>
      </w:r>
      <w:r>
        <w:t xml:space="preserve">https://github.com/CDCgov/BART-Survival/dist</w:t>
      </w:r>
      <w:r>
        <w:t xml:space="preserve"> </w:t>
      </w:r>
      <w:r>
        <w:t xml:space="preserve">https://github.com/CDCgov/BART-Survival/src</w:t>
      </w:r>
    </w:p>
    <w:bookmarkEnd w:id="23"/>
    <w:bookmarkStart w:id="24" w:name="demonstration"/>
    <w:p>
      <w:pPr>
        <w:pStyle w:val="Heading3"/>
      </w:pPr>
      <w:r>
        <w:t xml:space="preserve">Demonstration</w:t>
      </w:r>
    </w:p>
    <w:bookmarkEnd w:id="24"/>
    <w:bookmarkStart w:id="25" w:name="api"/>
    <w:p>
      <w:pPr>
        <w:pStyle w:val="Heading3"/>
      </w:pPr>
      <w:r>
        <w:t xml:space="preserve">API</w:t>
      </w:r>
    </w:p>
    <w:p>
      <w:pPr>
        <w:pStyle w:val="FirstParagraph"/>
      </w:pPr>
      <w:r>
        <w:t xml:space="preserve">https://cdcgov.github.io/BART-Survival/build/html/index.html</w:t>
      </w:r>
    </w:p>
    <w:bookmarkEnd w:id="25"/>
    <w:bookmarkStart w:id="26" w:name="user-guideexample-notebooks"/>
    <w:p>
      <w:pPr>
        <w:pStyle w:val="Heading3"/>
      </w:pPr>
      <w:r>
        <w:t xml:space="preserve">User Guide/Example Notebooks</w:t>
      </w:r>
    </w:p>
    <w:p>
      <w:pPr>
        <w:pStyle w:val="FirstParagraph"/>
      </w:pPr>
      <w:r>
        <w:t xml:space="preserve">https://github.com/CDCgov/BART-Survival/blob/main/examples/example1.ipynb</w:t>
      </w:r>
    </w:p>
    <w:p>
      <w:pPr>
        <w:pStyle w:val="BodyText"/>
      </w:pPr>
      <w:r>
        <w:t xml:space="preserve">https://github.com/CDCgov/BART-Survival/blob/main/examples/example2.ipynb</w:t>
      </w:r>
    </w:p>
    <w:bookmarkEnd w:id="26"/>
    <w:bookmarkStart w:id="27" w:name="validation-study-links"/>
    <w:p>
      <w:pPr>
        <w:pStyle w:val="Heading3"/>
      </w:pPr>
      <w:r>
        <w:t xml:space="preserve">Validation study links</w:t>
      </w:r>
    </w:p>
    <w:p>
      <w:pPr>
        <w:pStyle w:val="FirstParagraph"/>
      </w:pPr>
      <w:r>
        <w:rPr>
          <w:b/>
          <w:bCs/>
        </w:rPr>
        <w:t xml:space="preserve">COMING SOON</w:t>
      </w:r>
    </w:p>
    <w:bookmarkEnd w:id="27"/>
    <w:bookmarkEnd w:id="28"/>
    <w:bookmarkStart w:id="54" w:name="cdcgov-general-disclaimers"/>
    <w:p>
      <w:pPr>
        <w:pStyle w:val="Heading1"/>
      </w:pPr>
      <w:r>
        <w:t xml:space="preserve">CDCgov General Disclaimers</w:t>
      </w:r>
    </w:p>
    <w:p>
      <w:pPr>
        <w:pStyle w:val="FirstParagraph"/>
      </w:pPr>
      <w:r>
        <w:t xml:space="preserve">This repository was created for use by CDC programs to collaborate on public health related projects in support of the</w:t>
      </w:r>
      <w:r>
        <w:t xml:space="preserve"> </w:t>
      </w:r>
      <w:hyperlink r:id="rId29">
        <w:r>
          <w:rPr>
            <w:rStyle w:val="Hyperlink"/>
          </w:rPr>
          <w:t xml:space="preserve">CDC mission</w:t>
        </w:r>
      </w:hyperlink>
      <w:r>
        <w:t xml:space="preserve">. GitHub is not hosted by the CDC, but is a third party website used by CDC and its partners to share information and collaborate on software. CDC use of GitHub does not imply an endorsement of any one particular service, product, or enterprise.</w:t>
      </w:r>
    </w:p>
    <w:bookmarkStart w:id="36" w:name="related-documents"/>
    <w:p>
      <w:pPr>
        <w:pStyle w:val="Heading2"/>
      </w:pPr>
      <w:r>
        <w:t xml:space="preserve">Related Documents</w:t>
      </w:r>
    </w:p>
    <w:p>
      <w:pPr>
        <w:pStyle w:val="Compact"/>
        <w:numPr>
          <w:ilvl w:val="0"/>
          <w:numId w:val="1003"/>
        </w:numPr>
      </w:pPr>
      <w:hyperlink r:id="rId30">
        <w:r>
          <w:rPr>
            <w:rStyle w:val="Hyperlink"/>
          </w:rPr>
          <w:t xml:space="preserve">Open Practices</w:t>
        </w:r>
      </w:hyperlink>
    </w:p>
    <w:p>
      <w:pPr>
        <w:pStyle w:val="Compact"/>
        <w:numPr>
          <w:ilvl w:val="0"/>
          <w:numId w:val="1003"/>
        </w:numPr>
      </w:pPr>
      <w:hyperlink r:id="rId31">
        <w:r>
          <w:rPr>
            <w:rStyle w:val="Hyperlink"/>
          </w:rPr>
          <w:t xml:space="preserve">Rules of Behavior</w:t>
        </w:r>
      </w:hyperlink>
    </w:p>
    <w:p>
      <w:pPr>
        <w:pStyle w:val="Compact"/>
        <w:numPr>
          <w:ilvl w:val="0"/>
          <w:numId w:val="1003"/>
        </w:numPr>
      </w:pPr>
      <w:hyperlink r:id="rId32">
        <w:r>
          <w:rPr>
            <w:rStyle w:val="Hyperlink"/>
          </w:rPr>
          <w:t xml:space="preserve">Disclaimer</w:t>
        </w:r>
      </w:hyperlink>
    </w:p>
    <w:p>
      <w:pPr>
        <w:pStyle w:val="Compact"/>
        <w:numPr>
          <w:ilvl w:val="0"/>
          <w:numId w:val="1003"/>
        </w:numPr>
      </w:pPr>
      <w:hyperlink r:id="rId33">
        <w:r>
          <w:rPr>
            <w:rStyle w:val="Hyperlink"/>
          </w:rPr>
          <w:t xml:space="preserve">Contribution Notice</w:t>
        </w:r>
      </w:hyperlink>
    </w:p>
    <w:p>
      <w:pPr>
        <w:pStyle w:val="Compact"/>
        <w:numPr>
          <w:ilvl w:val="0"/>
          <w:numId w:val="1003"/>
        </w:numPr>
      </w:pPr>
      <w:hyperlink r:id="rId34">
        <w:r>
          <w:rPr>
            <w:rStyle w:val="Hyperlink"/>
          </w:rPr>
          <w:t xml:space="preserve">Code of Conduct</w:t>
        </w:r>
      </w:hyperlink>
    </w:p>
    <w:p>
      <w:pPr>
        <w:pStyle w:val="Compact"/>
        <w:numPr>
          <w:ilvl w:val="0"/>
          <w:numId w:val="1003"/>
        </w:numPr>
      </w:pPr>
      <w:hyperlink r:id="rId35">
        <w:r>
          <w:rPr>
            <w:rStyle w:val="Hyperlink"/>
          </w:rPr>
          <w:t xml:space="preserve">Licence</w:t>
        </w:r>
      </w:hyperlink>
    </w:p>
    <w:bookmarkEnd w:id="36"/>
    <w:bookmarkStart w:id="38" w:name="public-domain-standard-notice"/>
    <w:p>
      <w:pPr>
        <w:pStyle w:val="Heading2"/>
      </w:pPr>
      <w:r>
        <w:t xml:space="preserve">Public Domain Standard Notice</w:t>
      </w:r>
    </w:p>
    <w:p>
      <w:pPr>
        <w:pStyle w:val="FirstParagraph"/>
      </w:pPr>
      <w:r>
        <w:t xml:space="preserve">This repository constitutes a work of the United States Government and is not</w:t>
      </w:r>
      <w:r>
        <w:t xml:space="preserve"> </w:t>
      </w:r>
      <w:r>
        <w:t xml:space="preserve">subject to domestic copyright protection under 17 USC § 105. This repository is in</w:t>
      </w:r>
      <w:r>
        <w:t xml:space="preserve"> </w:t>
      </w:r>
      <w:r>
        <w:t xml:space="preserve">the public domain within the United States, and copyright and related rights in</w:t>
      </w:r>
      <w:r>
        <w:t xml:space="preserve"> </w:t>
      </w:r>
      <w:r>
        <w:t xml:space="preserve">the work worldwide are waived through the</w:t>
      </w:r>
      <w:r>
        <w:t xml:space="preserve"> </w:t>
      </w:r>
      <w:hyperlink r:id="rId37">
        <w:r>
          <w:rPr>
            <w:rStyle w:val="Hyperlink"/>
          </w:rPr>
          <w:t xml:space="preserve">CC0 1.0 Universal public domain dedication</w:t>
        </w:r>
      </w:hyperlink>
      <w:r>
        <w:t xml:space="preserve">.</w:t>
      </w:r>
      <w:r>
        <w:t xml:space="preserve"> </w:t>
      </w:r>
      <w:r>
        <w:t xml:space="preserve">All contributions to this repository will be released under the CC0 dedication. By</w:t>
      </w:r>
      <w:r>
        <w:t xml:space="preserve"> </w:t>
      </w:r>
      <w:r>
        <w:t xml:space="preserve">submitting a pull request you are agreeing to comply with this waiver of</w:t>
      </w:r>
      <w:r>
        <w:t xml:space="preserve"> </w:t>
      </w:r>
      <w:r>
        <w:t xml:space="preserve">copyright interest.</w:t>
      </w:r>
    </w:p>
    <w:bookmarkEnd w:id="38"/>
    <w:bookmarkStart w:id="39" w:name="license-standard-notice"/>
    <w:p>
      <w:pPr>
        <w:pStyle w:val="Heading2"/>
      </w:pPr>
      <w:r>
        <w:t xml:space="preserve">License Standard Notice</w:t>
      </w:r>
    </w:p>
    <w:p>
      <w:pPr>
        <w:pStyle w:val="FirstParagraph"/>
      </w:pPr>
      <w:r>
        <w:t xml:space="preserve">The repository utilizes code licensed under the terms of the Apache Software</w:t>
      </w:r>
      <w:r>
        <w:t xml:space="preserve"> </w:t>
      </w:r>
      <w:r>
        <w:t xml:space="preserve">License and therefore is licensed under ASL v2 or later.</w:t>
      </w:r>
    </w:p>
    <w:p>
      <w:pPr>
        <w:pStyle w:val="BodyText"/>
      </w:pPr>
      <w:r>
        <w:t xml:space="preserve">This source code in this repository is free: you can redistribute it and/or modify it under</w:t>
      </w:r>
      <w:r>
        <w:t xml:space="preserve"> </w:t>
      </w:r>
      <w:r>
        <w:t xml:space="preserve">the terms of the Apache Software License version 2, or (at your option) any</w:t>
      </w:r>
      <w:r>
        <w:t xml:space="preserve"> </w:t>
      </w:r>
      <w:r>
        <w:t xml:space="preserve">later version.</w:t>
      </w:r>
    </w:p>
    <w:p>
      <w:pPr>
        <w:pStyle w:val="BodyText"/>
      </w:pPr>
      <w:r>
        <w:t xml:space="preserve">This source code in this repository is distributed in the hope that it will be useful, but WITHOUT ANY</w:t>
      </w:r>
      <w:r>
        <w:t xml:space="preserve"> </w:t>
      </w:r>
      <w:r>
        <w:t xml:space="preserve">WARRANTY; without even the implied warranty of MERCHANTABILITY or FITNESS FOR A</w:t>
      </w:r>
      <w:r>
        <w:t xml:space="preserve"> </w:t>
      </w:r>
      <w:r>
        <w:t xml:space="preserve">PARTICULAR PURPOSE. See the Apache Software License for more details.</w:t>
      </w:r>
    </w:p>
    <w:p>
      <w:pPr>
        <w:pStyle w:val="BodyText"/>
      </w:pPr>
      <w:r>
        <w:t xml:space="preserve">You should have received a copy of the Apache Software License along with this</w:t>
      </w:r>
      <w:r>
        <w:t xml:space="preserve"> </w:t>
      </w:r>
      <w:r>
        <w:t xml:space="preserve">program. If not, see http://www.apache.org/licenses/LICENSE-2.0.html</w:t>
      </w:r>
    </w:p>
    <w:p>
      <w:pPr>
        <w:pStyle w:val="BodyText"/>
      </w:pPr>
      <w:r>
        <w:t xml:space="preserve">The source code forked from other open source projects will inherit its license.</w:t>
      </w:r>
    </w:p>
    <w:bookmarkEnd w:id="39"/>
    <w:bookmarkStart w:id="41" w:name="privacy-standard-notice"/>
    <w:p>
      <w:pPr>
        <w:pStyle w:val="Heading2"/>
      </w:pPr>
      <w:r>
        <w:t xml:space="preserve">Privacy Standard Notice</w:t>
      </w:r>
    </w:p>
    <w:p>
      <w:pPr>
        <w:pStyle w:val="FirstParagraph"/>
      </w:pPr>
      <w:r>
        <w:t xml:space="preserve">This repository contains only non-sensitive, publicly available data and</w:t>
      </w:r>
      <w:r>
        <w:t xml:space="preserve"> </w:t>
      </w:r>
      <w:r>
        <w:t xml:space="preserve">information. All material and community participation is covered by the</w:t>
      </w:r>
      <w:r>
        <w:t xml:space="preserve"> </w:t>
      </w:r>
      <w:hyperlink r:id="rId32">
        <w:r>
          <w:rPr>
            <w:rStyle w:val="Hyperlink"/>
          </w:rPr>
          <w:t xml:space="preserve">Disclaimer</w:t>
        </w:r>
      </w:hyperlink>
      <w:r>
        <w:t xml:space="preserve"> </w:t>
      </w:r>
      <w:r>
        <w:t xml:space="preserve">and</w:t>
      </w:r>
      <w:r>
        <w:t xml:space="preserve"> </w:t>
      </w:r>
      <w:hyperlink r:id="rId34">
        <w:r>
          <w:rPr>
            <w:rStyle w:val="Hyperlink"/>
          </w:rPr>
          <w:t xml:space="preserve">Code of Conduct</w:t>
        </w:r>
      </w:hyperlink>
      <w:r>
        <w:t xml:space="preserve">.</w:t>
      </w:r>
      <w:r>
        <w:t xml:space="preserve"> </w:t>
      </w:r>
      <w:r>
        <w:t xml:space="preserve">For more information about CDC’s privacy policy, please visit</w:t>
      </w:r>
      <w:r>
        <w:t xml:space="preserve"> </w:t>
      </w:r>
      <w:hyperlink r:id="rId40">
        <w:r>
          <w:rPr>
            <w:rStyle w:val="Hyperlink"/>
          </w:rPr>
          <w:t xml:space="preserve">http://www.cdc.gov/other/privacy.html</w:t>
        </w:r>
      </w:hyperlink>
      <w:r>
        <w:t xml:space="preserve">.</w:t>
      </w:r>
    </w:p>
    <w:bookmarkEnd w:id="41"/>
    <w:bookmarkStart w:id="46" w:name="contributing-standard-notice"/>
    <w:p>
      <w:pPr>
        <w:pStyle w:val="Heading2"/>
      </w:pPr>
      <w:r>
        <w:t xml:space="preserve">Contributing Standard Notice</w:t>
      </w:r>
    </w:p>
    <w:p>
      <w:pPr>
        <w:pStyle w:val="FirstParagraph"/>
      </w:pPr>
      <w:r>
        <w:t xml:space="preserve">Anyone is encouraged to contribute to the repository by</w:t>
      </w:r>
      <w:r>
        <w:t xml:space="preserve"> </w:t>
      </w:r>
      <w:hyperlink r:id="rId42">
        <w:r>
          <w:rPr>
            <w:rStyle w:val="Hyperlink"/>
          </w:rPr>
          <w:t xml:space="preserve">forking</w:t>
        </w:r>
      </w:hyperlink>
      <w:r>
        <w:t xml:space="preserve"> </w:t>
      </w:r>
      <w:r>
        <w:t xml:space="preserve">and submitting a pull request. (If you are new to GitHub, you might start with a</w:t>
      </w:r>
      <w:r>
        <w:t xml:space="preserve"> </w:t>
      </w:r>
      <w:hyperlink r:id="rId43">
        <w:r>
          <w:rPr>
            <w:rStyle w:val="Hyperlink"/>
          </w:rPr>
          <w:t xml:space="preserve">basic tutorial</w:t>
        </w:r>
      </w:hyperlink>
      <w:r>
        <w:t xml:space="preserve">.) By contributing</w:t>
      </w:r>
      <w:r>
        <w:t xml:space="preserve"> </w:t>
      </w:r>
      <w:r>
        <w:t xml:space="preserve">to this project, you grant a world-wide, royalty-free, perpetual, irrevocable,</w:t>
      </w:r>
      <w:r>
        <w:t xml:space="preserve"> </w:t>
      </w:r>
      <w:r>
        <w:t xml:space="preserve">non-exclusive, transferable license to all users under the terms of the</w:t>
      </w:r>
      <w:r>
        <w:t xml:space="preserve"> </w:t>
      </w:r>
      <w:hyperlink r:id="rId44">
        <w:r>
          <w:rPr>
            <w:rStyle w:val="Hyperlink"/>
          </w:rPr>
          <w:t xml:space="preserve">Apache Software License v2</w:t>
        </w:r>
      </w:hyperlink>
      <w:r>
        <w:t xml:space="preserve"> </w:t>
      </w:r>
      <w:r>
        <w:t xml:space="preserve">or</w:t>
      </w:r>
      <w:r>
        <w:t xml:space="preserve"> </w:t>
      </w:r>
      <w:r>
        <w:t xml:space="preserve">later.</w:t>
      </w:r>
    </w:p>
    <w:p>
      <w:pPr>
        <w:pStyle w:val="BodyText"/>
      </w:pPr>
      <w:r>
        <w:t xml:space="preserve">All comments, messages, pull requests, and other submissions received through</w:t>
      </w:r>
      <w:r>
        <w:t xml:space="preserve"> </w:t>
      </w:r>
      <w:r>
        <w:t xml:space="preserve">CDC including this GitHub page may be subject to applicable federal law, including but not limited to the Federal Records Act, and may be archived. Learn more at</w:t>
      </w:r>
      <w:r>
        <w:t xml:space="preserve"> </w:t>
      </w:r>
      <w:hyperlink r:id="rId45">
        <w:r>
          <w:rPr>
            <w:rStyle w:val="Hyperlink"/>
          </w:rPr>
          <w:t xml:space="preserve">http://www.cdc.gov/other/privacy.html</w:t>
        </w:r>
      </w:hyperlink>
      <w:r>
        <w:t xml:space="preserve">.</w:t>
      </w:r>
    </w:p>
    <w:bookmarkEnd w:id="46"/>
    <w:bookmarkStart w:id="48" w:name="records-management-standard-notice"/>
    <w:p>
      <w:pPr>
        <w:pStyle w:val="Heading2"/>
      </w:pPr>
      <w:r>
        <w:t xml:space="preserve">Records Management Standard Notice</w:t>
      </w:r>
    </w:p>
    <w:p>
      <w:pPr>
        <w:pStyle w:val="FirstParagraph"/>
      </w:pPr>
      <w:r>
        <w:t xml:space="preserve">This repository is not a source of government records, but is a copy to increase</w:t>
      </w:r>
      <w:r>
        <w:t xml:space="preserve"> </w:t>
      </w:r>
      <w:r>
        <w:t xml:space="preserve">collaboration and collaborative potential. All government records will be</w:t>
      </w:r>
      <w:r>
        <w:t xml:space="preserve"> </w:t>
      </w:r>
      <w:r>
        <w:t xml:space="preserve">published through the</w:t>
      </w:r>
      <w:r>
        <w:t xml:space="preserve"> </w:t>
      </w:r>
      <w:hyperlink r:id="rId47">
        <w:r>
          <w:rPr>
            <w:rStyle w:val="Hyperlink"/>
          </w:rPr>
          <w:t xml:space="preserve">CDC web site</w:t>
        </w:r>
      </w:hyperlink>
      <w:r>
        <w:t xml:space="preserve">.</w:t>
      </w:r>
    </w:p>
    <w:bookmarkEnd w:id="48"/>
    <w:bookmarkStart w:id="53" w:name="additional-standard-notices"/>
    <w:p>
      <w:pPr>
        <w:pStyle w:val="Heading2"/>
      </w:pPr>
      <w:r>
        <w:t xml:space="preserve">Additional Standard Notices</w:t>
      </w:r>
    </w:p>
    <w:p>
      <w:pPr>
        <w:pStyle w:val="FirstParagraph"/>
      </w:pPr>
      <w:r>
        <w:t xml:space="preserve">Please refer to</w:t>
      </w:r>
      <w:r>
        <w:t xml:space="preserve"> </w:t>
      </w:r>
      <w:hyperlink r:id="rId49">
        <w:r>
          <w:rPr>
            <w:rStyle w:val="Hyperlink"/>
          </w:rPr>
          <w:t xml:space="preserve">CDC’s Template Repository</w:t>
        </w:r>
      </w:hyperlink>
      <w:r>
        <w:t xml:space="preserve"> </w:t>
      </w:r>
      <w:r>
        <w:t xml:space="preserve">for more information about</w:t>
      </w:r>
      <w:r>
        <w:t xml:space="preserve"> </w:t>
      </w:r>
      <w:hyperlink r:id="rId50">
        <w:r>
          <w:rPr>
            <w:rStyle w:val="Hyperlink"/>
          </w:rPr>
          <w:t xml:space="preserve">contributing to this repository</w:t>
        </w:r>
      </w:hyperlink>
      <w:r>
        <w:t xml:space="preserve">,</w:t>
      </w:r>
      <w:r>
        <w:t xml:space="preserve"> </w:t>
      </w:r>
      <w:hyperlink r:id="rId51">
        <w:r>
          <w:rPr>
            <w:rStyle w:val="Hyperlink"/>
          </w:rPr>
          <w:t xml:space="preserve">public domain notices and disclaimers</w:t>
        </w:r>
      </w:hyperlink>
      <w:r>
        <w:t xml:space="preserve">, and</w:t>
      </w:r>
      <w:r>
        <w:t xml:space="preserve"> </w:t>
      </w:r>
      <w:hyperlink r:id="rId52">
        <w:r>
          <w:rPr>
            <w:rStyle w:val="Hyperlink"/>
          </w:rPr>
          <w:t xml:space="preserve">code of conduct</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CONTRIBUTING.md" TargetMode="External" /><Relationship Type="http://schemas.openxmlformats.org/officeDocument/2006/relationships/hyperlink" Id="rId32" Target="DISCLAIMER.md" TargetMode="External" /><Relationship Type="http://schemas.openxmlformats.org/officeDocument/2006/relationships/hyperlink" Id="rId34" Target="code-of-conduct.md" TargetMode="External" /><Relationship Type="http://schemas.openxmlformats.org/officeDocument/2006/relationships/hyperlink" Id="rId44" Target="http://www.apache.org/licenses/LICENSE-2.0.html" TargetMode="External" /><Relationship Type="http://schemas.openxmlformats.org/officeDocument/2006/relationships/hyperlink" Id="rId47" Target="http://www.cdc.gov" TargetMode="External" /><Relationship Type="http://schemas.openxmlformats.org/officeDocument/2006/relationships/hyperlink" Id="rId45" Target="http://www.cdc.gov/other/privacy.html" TargetMode="External" /><Relationship Type="http://schemas.openxmlformats.org/officeDocument/2006/relationships/hyperlink" Id="rId37" Target="https://creativecommons.org/publicdomain/zero/1.0/" TargetMode="External" /><Relationship Type="http://schemas.openxmlformats.org/officeDocument/2006/relationships/hyperlink" Id="rId49" Target="https://github.com/CDCgov/template" TargetMode="External" /><Relationship Type="http://schemas.openxmlformats.org/officeDocument/2006/relationships/hyperlink" Id="rId50" Target="https://github.com/CDCgov/template/blob/main/CONTRIBUTING.md" TargetMode="External" /><Relationship Type="http://schemas.openxmlformats.org/officeDocument/2006/relationships/hyperlink" Id="rId51" Target="https://github.com/CDCgov/template/blob/main/DISCLAIMER.md" TargetMode="External" /><Relationship Type="http://schemas.openxmlformats.org/officeDocument/2006/relationships/hyperlink" Id="rId52" Target="https://github.com/CDCgov/template/blob/main/code-of-conduct.md" TargetMode="External" /><Relationship Type="http://schemas.openxmlformats.org/officeDocument/2006/relationships/hyperlink" Id="rId42" Target="https://help.github.com/articles/fork-a-repo" TargetMode="External" /><Relationship Type="http://schemas.openxmlformats.org/officeDocument/2006/relationships/hyperlink" Id="rId43" Target="https://help.github.com/articles/set-up-git" TargetMode="External" /><Relationship Type="http://schemas.openxmlformats.org/officeDocument/2006/relationships/hyperlink" Id="rId29" Target="https://www.cdc.gov/about/organization/mission.htm" TargetMode="External" /><Relationship Type="http://schemas.openxmlformats.org/officeDocument/2006/relationships/hyperlink" Id="rId40" Target="https://www.cdc.gov/other/privacy.html" TargetMode="External" /><Relationship Type="http://schemas.openxmlformats.org/officeDocument/2006/relationships/hyperlink" Id="rId35" Target="licence" TargetMode="External" /><Relationship Type="http://schemas.openxmlformats.org/officeDocument/2006/relationships/hyperlink" Id="rId30" Target="open_practices.md" TargetMode="External" /><Relationship Type="http://schemas.openxmlformats.org/officeDocument/2006/relationships/hyperlink" Id="rId31" Target="rules_of_behavior.md" TargetMode="External" /></Relationships>
</file>

<file path=word/_rels/footnotes.xml.rels><?xml version="1.0" encoding="UTF-8"?><Relationships xmlns="http://schemas.openxmlformats.org/package/2006/relationships"><Relationship Type="http://schemas.openxmlformats.org/officeDocument/2006/relationships/hyperlink" Id="rId33" Target="CONTRIBUTING.md" TargetMode="External" /><Relationship Type="http://schemas.openxmlformats.org/officeDocument/2006/relationships/hyperlink" Id="rId32" Target="DISCLAIMER.md" TargetMode="External" /><Relationship Type="http://schemas.openxmlformats.org/officeDocument/2006/relationships/hyperlink" Id="rId34" Target="code-of-conduct.md" TargetMode="External" /><Relationship Type="http://schemas.openxmlformats.org/officeDocument/2006/relationships/hyperlink" Id="rId44" Target="http://www.apache.org/licenses/LICENSE-2.0.html" TargetMode="External" /><Relationship Type="http://schemas.openxmlformats.org/officeDocument/2006/relationships/hyperlink" Id="rId47" Target="http://www.cdc.gov" TargetMode="External" /><Relationship Type="http://schemas.openxmlformats.org/officeDocument/2006/relationships/hyperlink" Id="rId45" Target="http://www.cdc.gov/other/privacy.html" TargetMode="External" /><Relationship Type="http://schemas.openxmlformats.org/officeDocument/2006/relationships/hyperlink" Id="rId37" Target="https://creativecommons.org/publicdomain/zero/1.0/" TargetMode="External" /><Relationship Type="http://schemas.openxmlformats.org/officeDocument/2006/relationships/hyperlink" Id="rId49" Target="https://github.com/CDCgov/template" TargetMode="External" /><Relationship Type="http://schemas.openxmlformats.org/officeDocument/2006/relationships/hyperlink" Id="rId50" Target="https://github.com/CDCgov/template/blob/main/CONTRIBUTING.md" TargetMode="External" /><Relationship Type="http://schemas.openxmlformats.org/officeDocument/2006/relationships/hyperlink" Id="rId51" Target="https://github.com/CDCgov/template/blob/main/DISCLAIMER.md" TargetMode="External" /><Relationship Type="http://schemas.openxmlformats.org/officeDocument/2006/relationships/hyperlink" Id="rId52" Target="https://github.com/CDCgov/template/blob/main/code-of-conduct.md" TargetMode="External" /><Relationship Type="http://schemas.openxmlformats.org/officeDocument/2006/relationships/hyperlink" Id="rId42" Target="https://help.github.com/articles/fork-a-repo" TargetMode="External" /><Relationship Type="http://schemas.openxmlformats.org/officeDocument/2006/relationships/hyperlink" Id="rId43" Target="https://help.github.com/articles/set-up-git" TargetMode="External" /><Relationship Type="http://schemas.openxmlformats.org/officeDocument/2006/relationships/hyperlink" Id="rId29" Target="https://www.cdc.gov/about/organization/mission.htm" TargetMode="External" /><Relationship Type="http://schemas.openxmlformats.org/officeDocument/2006/relationships/hyperlink" Id="rId40" Target="https://www.cdc.gov/other/privacy.html" TargetMode="External" /><Relationship Type="http://schemas.openxmlformats.org/officeDocument/2006/relationships/hyperlink" Id="rId35" Target="licence" TargetMode="External" /><Relationship Type="http://schemas.openxmlformats.org/officeDocument/2006/relationships/hyperlink" Id="rId30" Target="open_practices.md" TargetMode="External" /><Relationship Type="http://schemas.openxmlformats.org/officeDocument/2006/relationships/hyperlink" Id="rId31" Target="rules_of_behavio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2024-09-06T13:14:16Z</dcterms:created>
  <dcterms:modified xsi:type="dcterms:W3CDTF">2024-09-06T13:14:16Z</dcterms:modified>
</cp:coreProperties>
</file>

<file path=docProps/custom.xml><?xml version="1.0" encoding="utf-8"?>
<Properties xmlns="http://schemas.openxmlformats.org/officeDocument/2006/custom-properties" xmlns:vt="http://schemas.openxmlformats.org/officeDocument/2006/docPropsVTypes"/>
</file>