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64128" w14:textId="77777777" w:rsidR="008129B5" w:rsidRPr="00CA198C" w:rsidRDefault="008129B5" w:rsidP="008129B5"/>
    <w:tbl>
      <w:tblPr>
        <w:tblStyle w:val="TableGrid8"/>
        <w:tblW w:w="5114" w:type="pct"/>
        <w:tblInd w:w="-162" w:type="dxa"/>
        <w:tblBorders>
          <w:top w:val="single" w:sz="6" w:space="0" w:color="008080"/>
          <w:left w:val="single" w:sz="6" w:space="0" w:color="008080"/>
          <w:bottom w:val="single" w:sz="6" w:space="0" w:color="008080"/>
          <w:right w:val="single" w:sz="6" w:space="0" w:color="008080"/>
          <w:insideH w:val="single" w:sz="6" w:space="0" w:color="008080"/>
          <w:insideV w:val="single" w:sz="6" w:space="0" w:color="008080"/>
        </w:tblBorders>
        <w:tblLook w:val="01E0" w:firstRow="1" w:lastRow="1" w:firstColumn="1" w:lastColumn="1" w:noHBand="0" w:noVBand="0"/>
      </w:tblPr>
      <w:tblGrid>
        <w:gridCol w:w="2199"/>
        <w:gridCol w:w="8094"/>
      </w:tblGrid>
      <w:tr w:rsidR="008129B5" w:rsidRPr="00A763E1" w14:paraId="5866412F" w14:textId="77777777" w:rsidTr="00930ED9">
        <w:trPr>
          <w:cnfStyle w:val="100000000000" w:firstRow="1" w:lastRow="0" w:firstColumn="0" w:lastColumn="0" w:oddVBand="0" w:evenVBand="0" w:oddHBand="0" w:evenHBand="0" w:firstRowFirstColumn="0" w:firstRowLastColumn="0" w:lastRowFirstColumn="0" w:lastRowLastColumn="0"/>
          <w:trHeight w:val="1488"/>
        </w:trPr>
        <w:tc>
          <w:tcPr>
            <w:cnfStyle w:val="000100000000" w:firstRow="0" w:lastRow="0" w:firstColumn="0" w:lastColumn="1" w:oddVBand="0" w:evenVBand="0" w:oddHBand="0" w:evenHBand="0" w:firstRowFirstColumn="0" w:firstRowLastColumn="0" w:lastRowFirstColumn="0" w:lastRowLastColumn="0"/>
            <w:tcW w:w="5000" w:type="pct"/>
            <w:gridSpan w:val="2"/>
            <w:tcBorders>
              <w:bottom w:val="single" w:sz="6" w:space="0" w:color="008080"/>
            </w:tcBorders>
            <w:shd w:val="clear" w:color="auto" w:fill="D9D9D9" w:themeFill="background1" w:themeFillShade="D9"/>
          </w:tcPr>
          <w:p w14:paraId="58664129" w14:textId="77777777" w:rsidR="008129B5" w:rsidRPr="00C561D0" w:rsidRDefault="008129B5" w:rsidP="00546603">
            <w:pPr>
              <w:jc w:val="center"/>
              <w:rPr>
                <w:smallCaps/>
                <w:sz w:val="22"/>
                <w:szCs w:val="22"/>
              </w:rPr>
            </w:pPr>
          </w:p>
          <w:p w14:paraId="5866412A" w14:textId="77777777" w:rsidR="008129B5" w:rsidRPr="00A763E1" w:rsidRDefault="008129B5" w:rsidP="005F01E4">
            <w:pPr>
              <w:jc w:val="center"/>
              <w:rPr>
                <w:bCs w:val="0"/>
                <w:color w:val="auto"/>
                <w:sz w:val="32"/>
                <w:szCs w:val="32"/>
              </w:rPr>
            </w:pPr>
            <w:r w:rsidRPr="00A763E1">
              <w:rPr>
                <w:bCs w:val="0"/>
                <w:color w:val="auto"/>
                <w:sz w:val="32"/>
                <w:szCs w:val="32"/>
              </w:rPr>
              <w:t>Indicator Template</w:t>
            </w:r>
          </w:p>
          <w:p w14:paraId="5866412B" w14:textId="77777777" w:rsidR="005F01E4" w:rsidRPr="00A763E1" w:rsidRDefault="005F01E4" w:rsidP="005F01E4">
            <w:pPr>
              <w:jc w:val="center"/>
              <w:rPr>
                <w:bCs w:val="0"/>
                <w:color w:val="auto"/>
                <w:sz w:val="32"/>
                <w:szCs w:val="32"/>
              </w:rPr>
            </w:pPr>
            <w:r w:rsidRPr="00A763E1">
              <w:rPr>
                <w:bCs w:val="0"/>
                <w:color w:val="auto"/>
                <w:sz w:val="32"/>
                <w:szCs w:val="32"/>
              </w:rPr>
              <w:t xml:space="preserve">Content Area: </w:t>
            </w:r>
            <w:r w:rsidR="00EB241A" w:rsidRPr="00A763E1">
              <w:rPr>
                <w:bCs w:val="0"/>
                <w:color w:val="auto"/>
                <w:sz w:val="32"/>
                <w:szCs w:val="32"/>
              </w:rPr>
              <w:t>Heart Attack</w:t>
            </w:r>
          </w:p>
          <w:p w14:paraId="5866412C" w14:textId="4438AE7D" w:rsidR="008129B5" w:rsidRPr="00A763E1" w:rsidRDefault="005F01E4" w:rsidP="005F01E4">
            <w:pPr>
              <w:jc w:val="center"/>
              <w:rPr>
                <w:bCs w:val="0"/>
                <w:color w:val="auto"/>
                <w:sz w:val="32"/>
                <w:szCs w:val="32"/>
              </w:rPr>
            </w:pPr>
            <w:r w:rsidRPr="00A763E1">
              <w:rPr>
                <w:bCs w:val="0"/>
                <w:color w:val="auto"/>
                <w:sz w:val="32"/>
                <w:szCs w:val="32"/>
              </w:rPr>
              <w:t xml:space="preserve">Indicator: </w:t>
            </w:r>
            <w:r w:rsidR="008129B5" w:rsidRPr="00A763E1">
              <w:rPr>
                <w:bCs w:val="0"/>
                <w:color w:val="auto"/>
                <w:sz w:val="32"/>
                <w:szCs w:val="32"/>
              </w:rPr>
              <w:t>Hospitalizations</w:t>
            </w:r>
            <w:r w:rsidRPr="00A763E1">
              <w:rPr>
                <w:bCs w:val="0"/>
                <w:color w:val="auto"/>
                <w:sz w:val="32"/>
                <w:szCs w:val="32"/>
              </w:rPr>
              <w:t xml:space="preserve"> for </w:t>
            </w:r>
            <w:r w:rsidR="00EB241A" w:rsidRPr="00A763E1">
              <w:rPr>
                <w:bCs w:val="0"/>
                <w:color w:val="auto"/>
                <w:sz w:val="32"/>
                <w:szCs w:val="32"/>
              </w:rPr>
              <w:t>Heart Attack</w:t>
            </w:r>
          </w:p>
          <w:p w14:paraId="3E9C97FA" w14:textId="77777777" w:rsidR="008129B5" w:rsidRPr="00A763E1" w:rsidRDefault="008129B5" w:rsidP="005F01E4">
            <w:pPr>
              <w:jc w:val="center"/>
              <w:rPr>
                <w:b w:val="0"/>
                <w:bCs w:val="0"/>
                <w:color w:val="auto"/>
              </w:rPr>
            </w:pPr>
            <w:r w:rsidRPr="00A763E1">
              <w:rPr>
                <w:b w:val="0"/>
                <w:bCs w:val="0"/>
                <w:color w:val="auto"/>
              </w:rPr>
              <w:t>Environmental Public Health Tracking</w:t>
            </w:r>
          </w:p>
          <w:p w14:paraId="5866412E" w14:textId="1D8107E3" w:rsidR="00DC4824" w:rsidRPr="00A763E1" w:rsidRDefault="00330837" w:rsidP="005F01E4">
            <w:pPr>
              <w:jc w:val="center"/>
              <w:rPr>
                <w:b w:val="0"/>
                <w:bCs w:val="0"/>
                <w:sz w:val="28"/>
                <w:szCs w:val="28"/>
              </w:rPr>
            </w:pPr>
            <w:r w:rsidRPr="00A763E1">
              <w:rPr>
                <w:b w:val="0"/>
                <w:bCs w:val="0"/>
                <w:color w:val="auto"/>
              </w:rPr>
              <w:t xml:space="preserve">August </w:t>
            </w:r>
            <w:r w:rsidR="00570A16" w:rsidRPr="00A763E1">
              <w:rPr>
                <w:b w:val="0"/>
                <w:bCs w:val="0"/>
                <w:color w:val="auto"/>
              </w:rPr>
              <w:t>2021</w:t>
            </w:r>
          </w:p>
        </w:tc>
      </w:tr>
      <w:tr w:rsidR="008129B5" w:rsidRPr="00A763E1" w14:paraId="58664132" w14:textId="77777777" w:rsidTr="00930ED9">
        <w:tc>
          <w:tcPr>
            <w:tcW w:w="1068" w:type="pct"/>
          </w:tcPr>
          <w:p w14:paraId="58664130" w14:textId="77777777" w:rsidR="008129B5" w:rsidRPr="00A763E1" w:rsidRDefault="008129B5" w:rsidP="00C561D0">
            <w:pPr>
              <w:rPr>
                <w:rFonts w:asciiTheme="minorHAnsi" w:hAnsiTheme="minorHAnsi" w:cstheme="minorHAnsi"/>
                <w:b/>
              </w:rPr>
            </w:pPr>
            <w:r w:rsidRPr="00A763E1">
              <w:rPr>
                <w:rFonts w:asciiTheme="minorHAnsi" w:hAnsiTheme="minorHAnsi" w:cstheme="minorHAnsi"/>
                <w:b/>
              </w:rPr>
              <w:t>Type of EPHT Indicator</w:t>
            </w:r>
          </w:p>
        </w:tc>
        <w:tc>
          <w:tcPr>
            <w:cnfStyle w:val="000100000000" w:firstRow="0" w:lastRow="0" w:firstColumn="0" w:lastColumn="1" w:oddVBand="0" w:evenVBand="0" w:oddHBand="0" w:evenHBand="0" w:firstRowFirstColumn="0" w:firstRowLastColumn="0" w:lastRowFirstColumn="0" w:lastRowLastColumn="0"/>
            <w:tcW w:w="3932" w:type="pct"/>
          </w:tcPr>
          <w:p w14:paraId="58664131" w14:textId="77777777" w:rsidR="008129B5" w:rsidRPr="00A763E1" w:rsidRDefault="008129B5" w:rsidP="00C561D0">
            <w:pPr>
              <w:rPr>
                <w:rFonts w:asciiTheme="minorHAnsi" w:hAnsiTheme="minorHAnsi" w:cstheme="minorHAnsi"/>
                <w:b w:val="0"/>
              </w:rPr>
            </w:pPr>
            <w:r w:rsidRPr="00A763E1">
              <w:rPr>
                <w:rFonts w:asciiTheme="minorHAnsi" w:hAnsiTheme="minorHAnsi" w:cstheme="minorHAnsi"/>
                <w:b w:val="0"/>
              </w:rPr>
              <w:t>Health outcome</w:t>
            </w:r>
          </w:p>
        </w:tc>
      </w:tr>
      <w:tr w:rsidR="008129B5" w:rsidRPr="00A763E1" w14:paraId="58664137" w14:textId="77777777" w:rsidTr="00930ED9">
        <w:tc>
          <w:tcPr>
            <w:tcW w:w="1068" w:type="pct"/>
          </w:tcPr>
          <w:p w14:paraId="58664133" w14:textId="77777777" w:rsidR="008129B5" w:rsidRPr="00A763E1" w:rsidRDefault="008129B5" w:rsidP="00C561D0">
            <w:pPr>
              <w:rPr>
                <w:rFonts w:asciiTheme="minorHAnsi" w:hAnsiTheme="minorHAnsi" w:cstheme="minorHAnsi"/>
                <w:b/>
              </w:rPr>
            </w:pPr>
            <w:r w:rsidRPr="00A763E1">
              <w:rPr>
                <w:rFonts w:asciiTheme="minorHAnsi" w:hAnsiTheme="minorHAnsi" w:cstheme="minorHAnsi"/>
                <w:b/>
              </w:rPr>
              <w:t>Measures</w:t>
            </w:r>
          </w:p>
        </w:tc>
        <w:tc>
          <w:tcPr>
            <w:cnfStyle w:val="000100000000" w:firstRow="0" w:lastRow="0" w:firstColumn="0" w:lastColumn="1" w:oddVBand="0" w:evenVBand="0" w:oddHBand="0" w:evenHBand="0" w:firstRowFirstColumn="0" w:firstRowLastColumn="0" w:lastRowFirstColumn="0" w:lastRowLastColumn="0"/>
            <w:tcW w:w="3932" w:type="pct"/>
          </w:tcPr>
          <w:p w14:paraId="1CDA4117" w14:textId="4D8ABD89" w:rsidR="0027019F" w:rsidRPr="00A763E1" w:rsidRDefault="0027019F" w:rsidP="008B5B2D">
            <w:pPr>
              <w:pStyle w:val="ListParagraph"/>
              <w:numPr>
                <w:ilvl w:val="0"/>
                <w:numId w:val="15"/>
              </w:numPr>
              <w:ind w:left="433"/>
              <w:rPr>
                <w:rFonts w:asciiTheme="minorHAnsi" w:hAnsiTheme="minorHAnsi" w:cstheme="minorHAnsi"/>
                <w:b w:val="0"/>
              </w:rPr>
            </w:pPr>
            <w:r w:rsidRPr="00A763E1">
              <w:rPr>
                <w:rFonts w:asciiTheme="minorHAnsi" w:hAnsiTheme="minorHAnsi" w:cstheme="minorHAnsi"/>
                <w:b w:val="0"/>
                <w:color w:val="000000"/>
              </w:rPr>
              <w:t xml:space="preserve">Number of Hospitalizations </w:t>
            </w:r>
            <w:r w:rsidR="00AD10DE" w:rsidRPr="00A763E1">
              <w:rPr>
                <w:rFonts w:asciiTheme="minorHAnsi" w:hAnsiTheme="minorHAnsi" w:cstheme="minorHAnsi"/>
                <w:b w:val="0"/>
                <w:color w:val="000000"/>
              </w:rPr>
              <w:t xml:space="preserve">for </w:t>
            </w:r>
            <w:r w:rsidRPr="00A763E1">
              <w:rPr>
                <w:rFonts w:asciiTheme="minorHAnsi" w:hAnsiTheme="minorHAnsi" w:cstheme="minorHAnsi"/>
                <w:b w:val="0"/>
                <w:color w:val="000000"/>
              </w:rPr>
              <w:t xml:space="preserve">Heart Attack among Persons &gt;=35 Years of Age </w:t>
            </w:r>
          </w:p>
          <w:p w14:paraId="2149A115" w14:textId="4046B022" w:rsidR="0027019F" w:rsidRPr="00A763E1" w:rsidRDefault="0027019F" w:rsidP="008B5B2D">
            <w:pPr>
              <w:pStyle w:val="ListParagraph"/>
              <w:numPr>
                <w:ilvl w:val="0"/>
                <w:numId w:val="15"/>
              </w:numPr>
              <w:ind w:left="433"/>
              <w:rPr>
                <w:rFonts w:asciiTheme="minorHAnsi" w:hAnsiTheme="minorHAnsi" w:cstheme="minorHAnsi"/>
                <w:b w:val="0"/>
              </w:rPr>
            </w:pPr>
            <w:r w:rsidRPr="00A763E1">
              <w:rPr>
                <w:rFonts w:asciiTheme="minorHAnsi" w:hAnsiTheme="minorHAnsi" w:cstheme="minorHAnsi"/>
                <w:b w:val="0"/>
                <w:color w:val="000000"/>
              </w:rPr>
              <w:t xml:space="preserve">Crude Rate of Hospitalizations </w:t>
            </w:r>
            <w:r w:rsidR="00540965" w:rsidRPr="00A763E1">
              <w:rPr>
                <w:rFonts w:asciiTheme="minorHAnsi" w:hAnsiTheme="minorHAnsi" w:cstheme="minorHAnsi"/>
                <w:b w:val="0"/>
                <w:color w:val="000000"/>
              </w:rPr>
              <w:t xml:space="preserve">for </w:t>
            </w:r>
            <w:r w:rsidRPr="00A763E1">
              <w:rPr>
                <w:rFonts w:asciiTheme="minorHAnsi" w:hAnsiTheme="minorHAnsi" w:cstheme="minorHAnsi"/>
                <w:b w:val="0"/>
                <w:color w:val="000000"/>
              </w:rPr>
              <w:t>Heart Attack among Persons &gt;=35 Years of Age per 10,000 Population</w:t>
            </w:r>
          </w:p>
          <w:p w14:paraId="08C02BAF" w14:textId="563155DF" w:rsidR="009E52E1" w:rsidRPr="00A763E1" w:rsidRDefault="0027019F">
            <w:pPr>
              <w:pStyle w:val="ListParagraph"/>
              <w:numPr>
                <w:ilvl w:val="0"/>
                <w:numId w:val="15"/>
              </w:numPr>
              <w:ind w:left="433"/>
              <w:rPr>
                <w:rFonts w:asciiTheme="minorHAnsi" w:hAnsiTheme="minorHAnsi" w:cstheme="minorHAnsi"/>
                <w:b w:val="0"/>
              </w:rPr>
            </w:pPr>
            <w:r w:rsidRPr="00A763E1">
              <w:rPr>
                <w:rFonts w:asciiTheme="minorHAnsi" w:hAnsiTheme="minorHAnsi" w:cstheme="minorHAnsi"/>
                <w:b w:val="0"/>
                <w:color w:val="000000"/>
              </w:rPr>
              <w:t xml:space="preserve">Age-adjusted Rate of Hospitalizations </w:t>
            </w:r>
            <w:r w:rsidR="00981E8D" w:rsidRPr="00A763E1">
              <w:rPr>
                <w:rFonts w:asciiTheme="minorHAnsi" w:hAnsiTheme="minorHAnsi" w:cstheme="minorHAnsi"/>
                <w:b w:val="0"/>
                <w:color w:val="000000"/>
              </w:rPr>
              <w:t>for</w:t>
            </w:r>
            <w:r w:rsidRPr="00A763E1">
              <w:rPr>
                <w:rFonts w:asciiTheme="minorHAnsi" w:hAnsiTheme="minorHAnsi" w:cstheme="minorHAnsi"/>
                <w:b w:val="0"/>
                <w:color w:val="000000"/>
              </w:rPr>
              <w:t xml:space="preserve"> Heart Attack among Persons &gt;=35 Years of Age per 10,000 Population</w:t>
            </w:r>
          </w:p>
          <w:p w14:paraId="7F69E2F4" w14:textId="1C349BA3" w:rsidR="009E52E1" w:rsidRPr="00A763E1" w:rsidRDefault="009E52E1" w:rsidP="009E52E1">
            <w:pPr>
              <w:pStyle w:val="ListParagraph"/>
              <w:ind w:left="433"/>
              <w:rPr>
                <w:rFonts w:asciiTheme="minorHAnsi" w:hAnsiTheme="minorHAnsi" w:cstheme="minorHAnsi"/>
                <w:bCs w:val="0"/>
              </w:rPr>
            </w:pPr>
          </w:p>
          <w:p w14:paraId="5B42E719" w14:textId="77777777" w:rsidR="009E52E1" w:rsidRPr="00A763E1" w:rsidRDefault="009E52E1" w:rsidP="009E52E1">
            <w:pPr>
              <w:pStyle w:val="ListParagraph"/>
              <w:ind w:left="73"/>
              <w:rPr>
                <w:rFonts w:asciiTheme="minorHAnsi" w:hAnsiTheme="minorHAnsi" w:cstheme="minorHAnsi"/>
                <w:color w:val="000000"/>
              </w:rPr>
            </w:pPr>
            <w:r w:rsidRPr="00A763E1">
              <w:rPr>
                <w:rFonts w:asciiTheme="minorHAnsi" w:hAnsiTheme="minorHAnsi" w:cstheme="minorHAnsi"/>
                <w:b w:val="0"/>
                <w:bCs w:val="0"/>
                <w:color w:val="000000"/>
              </w:rPr>
              <w:t>Measures use the following combinations of geographic boundaries and temporal aggregation:</w:t>
            </w:r>
          </w:p>
          <w:p w14:paraId="30A89D66" w14:textId="77777777" w:rsidR="009E52E1" w:rsidRPr="00A763E1" w:rsidRDefault="009E52E1" w:rsidP="009E52E1">
            <w:pPr>
              <w:pStyle w:val="ListParagraph"/>
              <w:numPr>
                <w:ilvl w:val="0"/>
                <w:numId w:val="39"/>
              </w:numPr>
              <w:rPr>
                <w:rFonts w:asciiTheme="minorHAnsi" w:hAnsiTheme="minorHAnsi" w:cstheme="minorHAnsi"/>
                <w:b w:val="0"/>
                <w:bCs w:val="0"/>
                <w:color w:val="000000"/>
              </w:rPr>
            </w:pPr>
            <w:r w:rsidRPr="00A763E1">
              <w:rPr>
                <w:rFonts w:asciiTheme="minorHAnsi" w:hAnsiTheme="minorHAnsi" w:cstheme="minorHAnsi"/>
                <w:b w:val="0"/>
                <w:bCs w:val="0"/>
                <w:color w:val="000000"/>
              </w:rPr>
              <w:t>Census tract, 5-year period</w:t>
            </w:r>
          </w:p>
          <w:p w14:paraId="4FAB1A6F" w14:textId="77777777" w:rsidR="009E52E1" w:rsidRPr="00A763E1" w:rsidRDefault="009E52E1" w:rsidP="009E52E1">
            <w:pPr>
              <w:pStyle w:val="ListParagraph"/>
              <w:numPr>
                <w:ilvl w:val="0"/>
                <w:numId w:val="39"/>
              </w:numPr>
              <w:rPr>
                <w:rFonts w:asciiTheme="minorHAnsi" w:hAnsiTheme="minorHAnsi" w:cstheme="minorHAnsi"/>
                <w:b w:val="0"/>
                <w:bCs w:val="0"/>
                <w:color w:val="000000"/>
              </w:rPr>
            </w:pPr>
            <w:r w:rsidRPr="00A763E1">
              <w:rPr>
                <w:rFonts w:asciiTheme="minorHAnsi" w:hAnsiTheme="minorHAnsi" w:cstheme="minorHAnsi"/>
                <w:b w:val="0"/>
                <w:bCs w:val="0"/>
                <w:color w:val="000000"/>
              </w:rPr>
              <w:t>5,000 Minimum Person Population Area, 3-year period</w:t>
            </w:r>
          </w:p>
          <w:p w14:paraId="7221FFFE" w14:textId="77777777" w:rsidR="009E52E1" w:rsidRPr="00A763E1" w:rsidRDefault="009E52E1" w:rsidP="009E52E1">
            <w:pPr>
              <w:pStyle w:val="ListParagraph"/>
              <w:numPr>
                <w:ilvl w:val="0"/>
                <w:numId w:val="39"/>
              </w:numPr>
              <w:rPr>
                <w:rFonts w:asciiTheme="minorHAnsi" w:hAnsiTheme="minorHAnsi" w:cstheme="minorHAnsi"/>
                <w:b w:val="0"/>
                <w:bCs w:val="0"/>
                <w:color w:val="000000"/>
              </w:rPr>
            </w:pPr>
            <w:r w:rsidRPr="00A763E1">
              <w:rPr>
                <w:rFonts w:asciiTheme="minorHAnsi" w:hAnsiTheme="minorHAnsi" w:cstheme="minorHAnsi"/>
                <w:b w:val="0"/>
                <w:bCs w:val="0"/>
                <w:color w:val="000000"/>
              </w:rPr>
              <w:t>20,000 Minimum Person Population Area, 1-year period</w:t>
            </w:r>
          </w:p>
          <w:p w14:paraId="1D66B427" w14:textId="77777777" w:rsidR="009E52E1" w:rsidRPr="00A763E1" w:rsidRDefault="009E52E1" w:rsidP="009E52E1">
            <w:pPr>
              <w:pStyle w:val="ListParagraph"/>
              <w:numPr>
                <w:ilvl w:val="0"/>
                <w:numId w:val="39"/>
              </w:numPr>
              <w:rPr>
                <w:rFonts w:asciiTheme="minorHAnsi" w:hAnsiTheme="minorHAnsi" w:cstheme="minorHAnsi"/>
                <w:b w:val="0"/>
                <w:bCs w:val="0"/>
                <w:color w:val="000000"/>
              </w:rPr>
            </w:pPr>
            <w:r w:rsidRPr="00A763E1">
              <w:rPr>
                <w:rFonts w:asciiTheme="minorHAnsi" w:hAnsiTheme="minorHAnsi" w:cstheme="minorHAnsi"/>
                <w:b w:val="0"/>
                <w:bCs w:val="0"/>
                <w:color w:val="000000"/>
              </w:rPr>
              <w:t>County, 1-year period</w:t>
            </w:r>
          </w:p>
          <w:p w14:paraId="0819FFD5" w14:textId="77777777" w:rsidR="009E52E1" w:rsidRPr="00A763E1" w:rsidRDefault="009E52E1" w:rsidP="009E52E1">
            <w:pPr>
              <w:pStyle w:val="ListParagraph"/>
              <w:numPr>
                <w:ilvl w:val="0"/>
                <w:numId w:val="39"/>
              </w:numPr>
              <w:rPr>
                <w:rFonts w:asciiTheme="minorHAnsi" w:hAnsiTheme="minorHAnsi" w:cstheme="minorHAnsi"/>
                <w:b w:val="0"/>
                <w:bCs w:val="0"/>
                <w:color w:val="000000"/>
              </w:rPr>
            </w:pPr>
            <w:r w:rsidRPr="00A763E1">
              <w:rPr>
                <w:rFonts w:asciiTheme="minorHAnsi" w:hAnsiTheme="minorHAnsi" w:cstheme="minorHAnsi"/>
                <w:b w:val="0"/>
                <w:bCs w:val="0"/>
                <w:color w:val="000000"/>
              </w:rPr>
              <w:t>State, 1-year period</w:t>
            </w:r>
          </w:p>
          <w:p w14:paraId="29436C65" w14:textId="77777777" w:rsidR="009E52E1" w:rsidRPr="00A763E1" w:rsidRDefault="009E52E1" w:rsidP="00182079">
            <w:pPr>
              <w:pStyle w:val="ListParagraph"/>
              <w:ind w:left="433"/>
              <w:rPr>
                <w:rFonts w:asciiTheme="minorHAnsi" w:hAnsiTheme="minorHAnsi" w:cstheme="minorHAnsi"/>
                <w:b w:val="0"/>
              </w:rPr>
            </w:pPr>
          </w:p>
          <w:p w14:paraId="58664136" w14:textId="6159CC01" w:rsidR="00200336" w:rsidRPr="00A763E1" w:rsidRDefault="00200336" w:rsidP="00182079">
            <w:pPr>
              <w:pStyle w:val="ListParagraph"/>
              <w:ind w:left="433"/>
              <w:rPr>
                <w:rFonts w:asciiTheme="minorHAnsi" w:hAnsiTheme="minorHAnsi" w:cstheme="minorHAnsi"/>
                <w:b w:val="0"/>
              </w:rPr>
            </w:pPr>
          </w:p>
        </w:tc>
      </w:tr>
      <w:tr w:rsidR="008129B5" w:rsidRPr="00A763E1" w14:paraId="5866413C" w14:textId="77777777" w:rsidTr="00930ED9">
        <w:tc>
          <w:tcPr>
            <w:tcW w:w="1068" w:type="pct"/>
          </w:tcPr>
          <w:p w14:paraId="58664138" w14:textId="77777777" w:rsidR="008129B5" w:rsidRPr="00A763E1" w:rsidRDefault="008129B5" w:rsidP="00C561D0">
            <w:pPr>
              <w:rPr>
                <w:rFonts w:asciiTheme="minorHAnsi" w:hAnsiTheme="minorHAnsi" w:cstheme="minorHAnsi"/>
                <w:b/>
              </w:rPr>
            </w:pPr>
            <w:r w:rsidRPr="00A763E1">
              <w:rPr>
                <w:rFonts w:asciiTheme="minorHAnsi" w:hAnsiTheme="minorHAnsi" w:cstheme="minorHAnsi"/>
                <w:b/>
              </w:rPr>
              <w:t>Derivation of Measure(s)</w:t>
            </w:r>
          </w:p>
        </w:tc>
        <w:tc>
          <w:tcPr>
            <w:cnfStyle w:val="000100000000" w:firstRow="0" w:lastRow="0" w:firstColumn="0" w:lastColumn="1" w:oddVBand="0" w:evenVBand="0" w:oddHBand="0" w:evenHBand="0" w:firstRowFirstColumn="0" w:firstRowLastColumn="0" w:lastRowFirstColumn="0" w:lastRowLastColumn="0"/>
            <w:tcW w:w="3932" w:type="pct"/>
          </w:tcPr>
          <w:tbl>
            <w:tblPr>
              <w:tblW w:w="0" w:type="auto"/>
              <w:tblBorders>
                <w:top w:val="nil"/>
                <w:left w:val="nil"/>
                <w:bottom w:val="nil"/>
                <w:right w:val="nil"/>
              </w:tblBorders>
              <w:tblLook w:val="0000" w:firstRow="0" w:lastRow="0" w:firstColumn="0" w:lastColumn="0" w:noHBand="0" w:noVBand="0"/>
            </w:tblPr>
            <w:tblGrid>
              <w:gridCol w:w="7878"/>
            </w:tblGrid>
            <w:tr w:rsidR="00B8569F" w:rsidRPr="00A763E1" w14:paraId="17A1FA09" w14:textId="77777777" w:rsidTr="00B8569F">
              <w:trPr>
                <w:trHeight w:val="227"/>
              </w:trPr>
              <w:tc>
                <w:tcPr>
                  <w:tcW w:w="0" w:type="auto"/>
                </w:tcPr>
                <w:p w14:paraId="7B2D65A9" w14:textId="1C237F79" w:rsidR="00B8569F" w:rsidRPr="00A763E1" w:rsidRDefault="00A936E8" w:rsidP="00A474E0">
                  <w:pPr>
                    <w:pStyle w:val="Default"/>
                    <w:rPr>
                      <w:rFonts w:asciiTheme="minorHAnsi" w:hAnsiTheme="minorHAnsi" w:cstheme="minorHAnsi"/>
                    </w:rPr>
                  </w:pPr>
                  <w:r w:rsidRPr="00A763E1">
                    <w:rPr>
                      <w:rFonts w:asciiTheme="minorHAnsi" w:eastAsia="Times New Roman" w:hAnsiTheme="minorHAnsi" w:cstheme="minorHAnsi"/>
                      <w:i/>
                    </w:rPr>
                    <w:t xml:space="preserve">Numerator: </w:t>
                  </w:r>
                  <w:r w:rsidRPr="00A763E1">
                    <w:rPr>
                      <w:rFonts w:asciiTheme="minorHAnsi" w:eastAsia="Times New Roman" w:hAnsiTheme="minorHAnsi" w:cstheme="minorHAnsi"/>
                    </w:rPr>
                    <w:t xml:space="preserve">Resident hospitalizations for </w:t>
                  </w:r>
                  <w:r w:rsidR="007C2A15" w:rsidRPr="00A763E1">
                    <w:rPr>
                      <w:rFonts w:asciiTheme="minorHAnsi" w:eastAsia="Times New Roman" w:hAnsiTheme="minorHAnsi" w:cstheme="minorHAnsi"/>
                    </w:rPr>
                    <w:t>Acute Myocardial Infarction (AMI)</w:t>
                  </w:r>
                  <w:r w:rsidRPr="00A763E1">
                    <w:rPr>
                      <w:rFonts w:asciiTheme="minorHAnsi" w:eastAsia="Times New Roman" w:hAnsiTheme="minorHAnsi" w:cstheme="minorHAnsi"/>
                    </w:rPr>
                    <w:t xml:space="preserve">, </w:t>
                  </w:r>
                  <w:r w:rsidR="004338C7" w:rsidRPr="00A763E1">
                    <w:rPr>
                      <w:rFonts w:asciiTheme="minorHAnsi" w:eastAsia="Times New Roman" w:hAnsiTheme="minorHAnsi" w:cstheme="minorHAnsi"/>
                    </w:rPr>
                    <w:t>or Heart attack</w:t>
                  </w:r>
                  <w:r w:rsidR="0065138F" w:rsidRPr="00A763E1">
                    <w:rPr>
                      <w:rFonts w:asciiTheme="minorHAnsi" w:eastAsia="Times New Roman" w:hAnsiTheme="minorHAnsi" w:cstheme="minorHAnsi"/>
                    </w:rPr>
                    <w:t>, using</w:t>
                  </w:r>
                  <w:r w:rsidR="00BC77DC" w:rsidRPr="00A763E1">
                    <w:rPr>
                      <w:rFonts w:asciiTheme="minorHAnsi" w:eastAsia="Times New Roman" w:hAnsiTheme="minorHAnsi" w:cstheme="minorHAnsi"/>
                    </w:rPr>
                    <w:t xml:space="preserve"> International Classification of Diseases, Ninth Revision, Clinical Modification code 410 (</w:t>
                  </w:r>
                  <w:r w:rsidRPr="00A763E1">
                    <w:rPr>
                      <w:rFonts w:asciiTheme="minorHAnsi" w:eastAsia="Times New Roman" w:hAnsiTheme="minorHAnsi" w:cstheme="minorHAnsi"/>
                    </w:rPr>
                    <w:t>ICD-9-CM: 410</w:t>
                  </w:r>
                  <w:r w:rsidR="00BC77DC" w:rsidRPr="00A763E1">
                    <w:rPr>
                      <w:rFonts w:asciiTheme="minorHAnsi" w:eastAsia="Times New Roman" w:hAnsiTheme="minorHAnsi" w:cstheme="minorHAnsi"/>
                    </w:rPr>
                    <w:t>)</w:t>
                  </w:r>
                  <w:r w:rsidR="0065138F" w:rsidRPr="00A763E1">
                    <w:rPr>
                      <w:rFonts w:asciiTheme="minorHAnsi" w:eastAsia="Times New Roman" w:hAnsiTheme="minorHAnsi" w:cstheme="minorHAnsi"/>
                    </w:rPr>
                    <w:t xml:space="preserve"> or</w:t>
                  </w:r>
                  <w:r w:rsidR="0021253B" w:rsidRPr="00A763E1">
                    <w:rPr>
                      <w:rFonts w:asciiTheme="minorHAnsi" w:eastAsia="Times New Roman" w:hAnsiTheme="minorHAnsi" w:cstheme="minorHAnsi"/>
                    </w:rPr>
                    <w:t xml:space="preserve"> </w:t>
                  </w:r>
                  <w:r w:rsidR="00BC77DC" w:rsidRPr="00A763E1">
                    <w:rPr>
                      <w:rFonts w:asciiTheme="minorHAnsi" w:eastAsia="Times New Roman" w:hAnsiTheme="minorHAnsi" w:cstheme="minorHAnsi"/>
                    </w:rPr>
                    <w:t xml:space="preserve">International Classification of Diseases, Tenth Revision, Clinical Modification codes </w:t>
                  </w:r>
                  <w:r w:rsidR="00756402" w:rsidRPr="00A763E1">
                    <w:rPr>
                      <w:rFonts w:asciiTheme="minorHAnsi" w:eastAsia="Times New Roman" w:hAnsiTheme="minorHAnsi" w:cstheme="minorHAnsi"/>
                    </w:rPr>
                    <w:t>I</w:t>
                  </w:r>
                  <w:r w:rsidR="00BC77DC" w:rsidRPr="00A763E1">
                    <w:rPr>
                      <w:rFonts w:asciiTheme="minorHAnsi" w:eastAsia="Times New Roman" w:hAnsiTheme="minorHAnsi" w:cstheme="minorHAnsi"/>
                    </w:rPr>
                    <w:t>21-</w:t>
                  </w:r>
                  <w:r w:rsidR="00756402" w:rsidRPr="00A763E1">
                    <w:rPr>
                      <w:rFonts w:asciiTheme="minorHAnsi" w:eastAsia="Times New Roman" w:hAnsiTheme="minorHAnsi" w:cstheme="minorHAnsi"/>
                    </w:rPr>
                    <w:t>I</w:t>
                  </w:r>
                  <w:r w:rsidR="00BC77DC" w:rsidRPr="00A763E1">
                    <w:rPr>
                      <w:rFonts w:asciiTheme="minorHAnsi" w:eastAsia="Times New Roman" w:hAnsiTheme="minorHAnsi" w:cstheme="minorHAnsi"/>
                    </w:rPr>
                    <w:t>22 (</w:t>
                  </w:r>
                  <w:r w:rsidR="00B8569F" w:rsidRPr="00A763E1">
                    <w:rPr>
                      <w:rFonts w:asciiTheme="minorHAnsi" w:hAnsiTheme="minorHAnsi" w:cstheme="minorHAnsi"/>
                    </w:rPr>
                    <w:t>ICD-10-CM</w:t>
                  </w:r>
                  <w:r w:rsidR="0065138F" w:rsidRPr="00A763E1">
                    <w:rPr>
                      <w:rFonts w:asciiTheme="minorHAnsi" w:hAnsiTheme="minorHAnsi" w:cstheme="minorHAnsi"/>
                    </w:rPr>
                    <w:t>:</w:t>
                  </w:r>
                  <w:r w:rsidR="007C2A15" w:rsidRPr="00A763E1">
                    <w:rPr>
                      <w:rFonts w:asciiTheme="minorHAnsi" w:hAnsiTheme="minorHAnsi" w:cstheme="minorHAnsi"/>
                    </w:rPr>
                    <w:t xml:space="preserve"> </w:t>
                  </w:r>
                  <w:r w:rsidR="00B8569F" w:rsidRPr="00A763E1">
                    <w:rPr>
                      <w:rFonts w:asciiTheme="minorHAnsi" w:hAnsiTheme="minorHAnsi" w:cstheme="minorHAnsi"/>
                    </w:rPr>
                    <w:t>I21-I22</w:t>
                  </w:r>
                  <w:r w:rsidR="00BC77DC" w:rsidRPr="00A763E1">
                    <w:rPr>
                      <w:rFonts w:asciiTheme="minorHAnsi" w:hAnsiTheme="minorHAnsi" w:cstheme="minorHAnsi"/>
                    </w:rPr>
                    <w:t>)</w:t>
                  </w:r>
                  <w:r w:rsidR="00B8569F" w:rsidRPr="00A763E1">
                    <w:rPr>
                      <w:rFonts w:asciiTheme="minorHAnsi" w:hAnsiTheme="minorHAnsi" w:cstheme="minorHAnsi"/>
                    </w:rPr>
                    <w:t xml:space="preserve"> </w:t>
                  </w:r>
                  <w:r w:rsidR="000F6CA4" w:rsidRPr="00A763E1">
                    <w:rPr>
                      <w:rFonts w:asciiTheme="minorHAnsi" w:hAnsiTheme="minorHAnsi" w:cstheme="minorHAnsi"/>
                    </w:rPr>
                    <w:t>as the primary diagnosis</w:t>
                  </w:r>
                  <w:r w:rsidR="0065138F" w:rsidRPr="00A763E1">
                    <w:rPr>
                      <w:rFonts w:asciiTheme="minorHAnsi" w:hAnsiTheme="minorHAnsi" w:cstheme="minorHAnsi"/>
                    </w:rPr>
                    <w:t xml:space="preserve"> codes</w:t>
                  </w:r>
                </w:p>
              </w:tc>
            </w:tr>
          </w:tbl>
          <w:p w14:paraId="5866413A" w14:textId="5A414F62" w:rsidR="00A936E8" w:rsidRPr="00A763E1" w:rsidRDefault="00B8569F" w:rsidP="00A474E0">
            <w:pPr>
              <w:rPr>
                <w:rFonts w:asciiTheme="minorHAnsi" w:eastAsia="Times New Roman" w:hAnsiTheme="minorHAnsi" w:cstheme="minorHAnsi"/>
                <w:b w:val="0"/>
                <w:bCs w:val="0"/>
              </w:rPr>
            </w:pPr>
            <w:r w:rsidRPr="00A763E1">
              <w:rPr>
                <w:rFonts w:asciiTheme="minorHAnsi" w:eastAsia="Times New Roman" w:hAnsiTheme="minorHAnsi" w:cstheme="minorHAnsi"/>
                <w:b w:val="0"/>
                <w:bCs w:val="0"/>
              </w:rPr>
              <w:t xml:space="preserve">  </w:t>
            </w:r>
            <w:r w:rsidR="00A936E8" w:rsidRPr="00A763E1">
              <w:rPr>
                <w:rFonts w:asciiTheme="minorHAnsi" w:eastAsia="Times New Roman" w:hAnsiTheme="minorHAnsi" w:cstheme="minorHAnsi"/>
                <w:b w:val="0"/>
                <w:bCs w:val="0"/>
                <w:i/>
              </w:rPr>
              <w:t xml:space="preserve">Denominator: </w:t>
            </w:r>
            <w:r w:rsidR="00A936E8" w:rsidRPr="00A763E1">
              <w:rPr>
                <w:rFonts w:asciiTheme="minorHAnsi" w:eastAsia="Times New Roman" w:hAnsiTheme="minorHAnsi" w:cstheme="minorHAnsi"/>
                <w:b w:val="0"/>
                <w:bCs w:val="0"/>
              </w:rPr>
              <w:t>Mid</w:t>
            </w:r>
            <w:r w:rsidR="0065138F" w:rsidRPr="00A763E1">
              <w:rPr>
                <w:rFonts w:asciiTheme="minorHAnsi" w:eastAsia="Times New Roman" w:hAnsiTheme="minorHAnsi" w:cstheme="minorHAnsi"/>
                <w:b w:val="0"/>
                <w:bCs w:val="0"/>
              </w:rPr>
              <w:t>-</w:t>
            </w:r>
            <w:r w:rsidR="00A936E8" w:rsidRPr="00A763E1">
              <w:rPr>
                <w:rFonts w:asciiTheme="minorHAnsi" w:eastAsia="Times New Roman" w:hAnsiTheme="minorHAnsi" w:cstheme="minorHAnsi"/>
                <w:b w:val="0"/>
                <w:bCs w:val="0"/>
              </w:rPr>
              <w:t xml:space="preserve">year resident population </w:t>
            </w:r>
            <w:r w:rsidR="00200336" w:rsidRPr="00A763E1">
              <w:rPr>
                <w:rFonts w:asciiTheme="minorHAnsi" w:eastAsia="Times New Roman" w:hAnsiTheme="minorHAnsi" w:cstheme="minorHAnsi"/>
                <w:b w:val="0"/>
                <w:bCs w:val="0"/>
              </w:rPr>
              <w:t>aged 35</w:t>
            </w:r>
            <w:r w:rsidR="0065138F" w:rsidRPr="00A763E1">
              <w:rPr>
                <w:rFonts w:asciiTheme="minorHAnsi" w:eastAsia="Times New Roman" w:hAnsiTheme="minorHAnsi" w:cstheme="minorHAnsi"/>
                <w:b w:val="0"/>
                <w:bCs w:val="0"/>
              </w:rPr>
              <w:t xml:space="preserve"> years</w:t>
            </w:r>
            <w:r w:rsidR="00200336" w:rsidRPr="00A763E1">
              <w:rPr>
                <w:rFonts w:asciiTheme="minorHAnsi" w:eastAsia="Times New Roman" w:hAnsiTheme="minorHAnsi" w:cstheme="minorHAnsi"/>
                <w:b w:val="0"/>
                <w:bCs w:val="0"/>
              </w:rPr>
              <w:t xml:space="preserve"> and over</w:t>
            </w:r>
          </w:p>
          <w:p w14:paraId="5866413B" w14:textId="18DDF37D" w:rsidR="008129B5" w:rsidRPr="00A763E1" w:rsidRDefault="00B8569F" w:rsidP="00A474E0">
            <w:pPr>
              <w:ind w:firstLine="120"/>
              <w:rPr>
                <w:rFonts w:asciiTheme="minorHAnsi" w:hAnsiTheme="minorHAnsi" w:cstheme="minorHAnsi"/>
                <w:b w:val="0"/>
              </w:rPr>
            </w:pPr>
            <w:r w:rsidRPr="00A763E1">
              <w:rPr>
                <w:rFonts w:asciiTheme="minorHAnsi" w:eastAsia="Times New Roman" w:hAnsiTheme="minorHAnsi" w:cstheme="minorHAnsi"/>
                <w:b w:val="0"/>
                <w:bCs w:val="0"/>
                <w:i/>
              </w:rPr>
              <w:t>Age-a</w:t>
            </w:r>
            <w:r w:rsidR="00A936E8" w:rsidRPr="00A763E1">
              <w:rPr>
                <w:rFonts w:asciiTheme="minorHAnsi" w:eastAsia="Times New Roman" w:hAnsiTheme="minorHAnsi" w:cstheme="minorHAnsi"/>
                <w:b w:val="0"/>
                <w:bCs w:val="0"/>
                <w:i/>
              </w:rPr>
              <w:t xml:space="preserve">djustment: </w:t>
            </w:r>
            <w:r w:rsidR="00A936E8" w:rsidRPr="00A763E1">
              <w:rPr>
                <w:rFonts w:asciiTheme="minorHAnsi" w:eastAsia="Times New Roman" w:hAnsiTheme="minorHAnsi" w:cstheme="minorHAnsi"/>
                <w:b w:val="0"/>
                <w:bCs w:val="0"/>
              </w:rPr>
              <w:t xml:space="preserve">Age-adjustment by the direct method </w:t>
            </w:r>
            <w:r w:rsidR="0065138F" w:rsidRPr="00A763E1">
              <w:rPr>
                <w:rFonts w:asciiTheme="minorHAnsi" w:eastAsia="Times New Roman" w:hAnsiTheme="minorHAnsi" w:cstheme="minorHAnsi"/>
                <w:b w:val="0"/>
                <w:bCs w:val="0"/>
              </w:rPr>
              <w:t>using</w:t>
            </w:r>
            <w:r w:rsidR="00A936E8" w:rsidRPr="00A763E1">
              <w:rPr>
                <w:rFonts w:asciiTheme="minorHAnsi" w:eastAsia="Times New Roman" w:hAnsiTheme="minorHAnsi" w:cstheme="minorHAnsi"/>
                <w:b w:val="0"/>
                <w:bCs w:val="0"/>
              </w:rPr>
              <w:t xml:space="preserve"> Year 2000 U</w:t>
            </w:r>
            <w:r w:rsidR="0065138F" w:rsidRPr="00A763E1">
              <w:rPr>
                <w:rFonts w:asciiTheme="minorHAnsi" w:eastAsia="Times New Roman" w:hAnsiTheme="minorHAnsi" w:cstheme="minorHAnsi"/>
                <w:b w:val="0"/>
                <w:bCs w:val="0"/>
              </w:rPr>
              <w:t>.</w:t>
            </w:r>
            <w:r w:rsidR="00A936E8" w:rsidRPr="00A763E1">
              <w:rPr>
                <w:rFonts w:asciiTheme="minorHAnsi" w:eastAsia="Times New Roman" w:hAnsiTheme="minorHAnsi" w:cstheme="minorHAnsi"/>
                <w:b w:val="0"/>
                <w:bCs w:val="0"/>
              </w:rPr>
              <w:t>S</w:t>
            </w:r>
            <w:r w:rsidR="0065138F" w:rsidRPr="00A763E1">
              <w:rPr>
                <w:rFonts w:asciiTheme="minorHAnsi" w:eastAsia="Times New Roman" w:hAnsiTheme="minorHAnsi" w:cstheme="minorHAnsi"/>
                <w:b w:val="0"/>
                <w:bCs w:val="0"/>
              </w:rPr>
              <w:t>.</w:t>
            </w:r>
            <w:r w:rsidR="00A936E8" w:rsidRPr="00A763E1">
              <w:rPr>
                <w:rFonts w:asciiTheme="minorHAnsi" w:eastAsia="Times New Roman" w:hAnsiTheme="minorHAnsi" w:cstheme="minorHAnsi"/>
                <w:b w:val="0"/>
                <w:bCs w:val="0"/>
              </w:rPr>
              <w:t xml:space="preserve"> Standard population</w:t>
            </w:r>
          </w:p>
        </w:tc>
      </w:tr>
      <w:tr w:rsidR="008129B5" w:rsidRPr="00A763E1" w14:paraId="58664141" w14:textId="77777777" w:rsidTr="00930ED9">
        <w:trPr>
          <w:trHeight w:val="300"/>
        </w:trPr>
        <w:tc>
          <w:tcPr>
            <w:tcW w:w="1068" w:type="pct"/>
          </w:tcPr>
          <w:p w14:paraId="5866413D" w14:textId="1CCE3305" w:rsidR="008129B5" w:rsidRPr="00A763E1" w:rsidRDefault="008129B5" w:rsidP="00C561D0">
            <w:pPr>
              <w:rPr>
                <w:rFonts w:asciiTheme="minorHAnsi" w:hAnsiTheme="minorHAnsi" w:cstheme="minorHAnsi"/>
                <w:b/>
              </w:rPr>
            </w:pPr>
            <w:r w:rsidRPr="00A763E1">
              <w:rPr>
                <w:rFonts w:asciiTheme="minorHAnsi" w:hAnsiTheme="minorHAnsi" w:cstheme="minorHAnsi"/>
                <w:b/>
              </w:rPr>
              <w:t>Unit</w:t>
            </w:r>
          </w:p>
        </w:tc>
        <w:tc>
          <w:tcPr>
            <w:cnfStyle w:val="000100000000" w:firstRow="0" w:lastRow="0" w:firstColumn="0" w:lastColumn="1" w:oddVBand="0" w:evenVBand="0" w:oddHBand="0" w:evenHBand="0" w:firstRowFirstColumn="0" w:firstRowLastColumn="0" w:lastRowFirstColumn="0" w:lastRowLastColumn="0"/>
            <w:tcW w:w="3932" w:type="pct"/>
          </w:tcPr>
          <w:p w14:paraId="5866413E" w14:textId="77777777" w:rsidR="00546603" w:rsidRPr="00A763E1" w:rsidRDefault="00546603" w:rsidP="00C561D0">
            <w:pPr>
              <w:pStyle w:val="ListParagraph"/>
              <w:numPr>
                <w:ilvl w:val="0"/>
                <w:numId w:val="11"/>
              </w:numPr>
              <w:rPr>
                <w:rFonts w:asciiTheme="minorHAnsi" w:hAnsiTheme="minorHAnsi" w:cstheme="minorHAnsi"/>
                <w:b w:val="0"/>
              </w:rPr>
            </w:pPr>
            <w:r w:rsidRPr="00A763E1">
              <w:rPr>
                <w:rFonts w:asciiTheme="minorHAnsi" w:hAnsiTheme="minorHAnsi" w:cstheme="minorHAnsi"/>
                <w:b w:val="0"/>
              </w:rPr>
              <w:t>Age-adjusted rate per 10,000 population</w:t>
            </w:r>
          </w:p>
          <w:p w14:paraId="5866413F" w14:textId="79EE37D7" w:rsidR="00546603" w:rsidRPr="00A763E1" w:rsidRDefault="002D5E7C" w:rsidP="00C561D0">
            <w:pPr>
              <w:pStyle w:val="ListParagraph"/>
              <w:numPr>
                <w:ilvl w:val="0"/>
                <w:numId w:val="11"/>
              </w:numPr>
              <w:rPr>
                <w:rFonts w:asciiTheme="minorHAnsi" w:hAnsiTheme="minorHAnsi" w:cstheme="minorHAnsi"/>
                <w:b w:val="0"/>
              </w:rPr>
            </w:pPr>
            <w:r w:rsidRPr="00A763E1">
              <w:rPr>
                <w:rFonts w:asciiTheme="minorHAnsi" w:hAnsiTheme="minorHAnsi" w:cstheme="minorHAnsi"/>
                <w:b w:val="0"/>
              </w:rPr>
              <w:t>Crude r</w:t>
            </w:r>
            <w:r w:rsidR="00546603" w:rsidRPr="00A763E1">
              <w:rPr>
                <w:rFonts w:asciiTheme="minorHAnsi" w:hAnsiTheme="minorHAnsi" w:cstheme="minorHAnsi"/>
                <w:b w:val="0"/>
              </w:rPr>
              <w:t>ate per 10,000 population</w:t>
            </w:r>
          </w:p>
          <w:p w14:paraId="58664140" w14:textId="77777777" w:rsidR="008129B5" w:rsidRPr="00A763E1" w:rsidRDefault="00546603" w:rsidP="00C561D0">
            <w:pPr>
              <w:pStyle w:val="ListParagraph"/>
              <w:numPr>
                <w:ilvl w:val="0"/>
                <w:numId w:val="11"/>
              </w:numPr>
              <w:rPr>
                <w:rFonts w:asciiTheme="minorHAnsi" w:hAnsiTheme="minorHAnsi" w:cstheme="minorHAnsi"/>
                <w:b w:val="0"/>
              </w:rPr>
            </w:pPr>
            <w:r w:rsidRPr="00A763E1">
              <w:rPr>
                <w:rFonts w:asciiTheme="minorHAnsi" w:hAnsiTheme="minorHAnsi" w:cstheme="minorHAnsi"/>
                <w:b w:val="0"/>
              </w:rPr>
              <w:t>Number</w:t>
            </w:r>
          </w:p>
        </w:tc>
      </w:tr>
      <w:tr w:rsidR="008129B5" w:rsidRPr="00A763E1" w14:paraId="58664144" w14:textId="77777777" w:rsidTr="00930ED9">
        <w:tc>
          <w:tcPr>
            <w:tcW w:w="1068" w:type="pct"/>
          </w:tcPr>
          <w:p w14:paraId="58664142" w14:textId="77777777" w:rsidR="008129B5" w:rsidRPr="00A763E1" w:rsidRDefault="008129B5" w:rsidP="00C561D0">
            <w:pPr>
              <w:rPr>
                <w:rFonts w:asciiTheme="minorHAnsi" w:hAnsiTheme="minorHAnsi" w:cstheme="minorHAnsi"/>
                <w:b/>
              </w:rPr>
            </w:pPr>
            <w:r w:rsidRPr="00A763E1">
              <w:rPr>
                <w:rFonts w:asciiTheme="minorHAnsi" w:hAnsiTheme="minorHAnsi" w:cstheme="minorHAnsi"/>
                <w:b/>
              </w:rPr>
              <w:t>Geographic Scope</w:t>
            </w:r>
          </w:p>
        </w:tc>
        <w:tc>
          <w:tcPr>
            <w:cnfStyle w:val="000100000000" w:firstRow="0" w:lastRow="0" w:firstColumn="0" w:lastColumn="1" w:oddVBand="0" w:evenVBand="0" w:oddHBand="0" w:evenHBand="0" w:firstRowFirstColumn="0" w:firstRowLastColumn="0" w:lastRowFirstColumn="0" w:lastRowLastColumn="0"/>
            <w:tcW w:w="3932" w:type="pct"/>
          </w:tcPr>
          <w:p w14:paraId="58664143" w14:textId="12AEEF5E" w:rsidR="008129B5" w:rsidRPr="00A763E1" w:rsidRDefault="262502E2" w:rsidP="005658FE">
            <w:pPr>
              <w:rPr>
                <w:rFonts w:asciiTheme="minorHAnsi" w:hAnsiTheme="minorHAnsi" w:cstheme="minorBidi"/>
                <w:b w:val="0"/>
              </w:rPr>
            </w:pPr>
            <w:r w:rsidRPr="00A763E1">
              <w:rPr>
                <w:rFonts w:asciiTheme="minorHAnsi" w:hAnsiTheme="minorHAnsi" w:cstheme="minorBidi"/>
                <w:b w:val="0"/>
                <w:bCs w:val="0"/>
              </w:rPr>
              <w:t xml:space="preserve">US </w:t>
            </w:r>
            <w:r w:rsidR="008129B5" w:rsidRPr="00A763E1">
              <w:rPr>
                <w:rFonts w:asciiTheme="minorHAnsi" w:hAnsiTheme="minorHAnsi" w:cstheme="minorBidi"/>
                <w:b w:val="0"/>
                <w:bCs w:val="0"/>
              </w:rPr>
              <w:t>State</w:t>
            </w:r>
            <w:r w:rsidR="7F7B7B6B" w:rsidRPr="00A763E1">
              <w:rPr>
                <w:rFonts w:asciiTheme="minorHAnsi" w:hAnsiTheme="minorHAnsi" w:cstheme="minorBidi"/>
                <w:b w:val="0"/>
                <w:bCs w:val="0"/>
              </w:rPr>
              <w:t>s</w:t>
            </w:r>
            <w:r w:rsidR="008D6A63" w:rsidRPr="00A763E1">
              <w:rPr>
                <w:rFonts w:asciiTheme="minorHAnsi" w:hAnsiTheme="minorHAnsi" w:cstheme="minorBidi"/>
                <w:b w:val="0"/>
                <w:bCs w:val="0"/>
              </w:rPr>
              <w:t xml:space="preserve"> and count</w:t>
            </w:r>
            <w:r w:rsidR="227BD279" w:rsidRPr="00A763E1">
              <w:rPr>
                <w:rFonts w:asciiTheme="minorHAnsi" w:hAnsiTheme="minorHAnsi" w:cstheme="minorBidi"/>
                <w:b w:val="0"/>
                <w:bCs w:val="0"/>
              </w:rPr>
              <w:t>ies</w:t>
            </w:r>
          </w:p>
        </w:tc>
      </w:tr>
      <w:tr w:rsidR="008129B5" w:rsidRPr="00A763E1" w14:paraId="58664147" w14:textId="77777777" w:rsidTr="00930ED9">
        <w:tc>
          <w:tcPr>
            <w:tcW w:w="1068" w:type="pct"/>
          </w:tcPr>
          <w:p w14:paraId="58664145" w14:textId="77777777" w:rsidR="008129B5" w:rsidRPr="00A763E1" w:rsidRDefault="008129B5" w:rsidP="00C561D0">
            <w:pPr>
              <w:rPr>
                <w:rFonts w:asciiTheme="minorHAnsi" w:hAnsiTheme="minorHAnsi" w:cstheme="minorBidi"/>
                <w:b/>
              </w:rPr>
            </w:pPr>
            <w:r w:rsidRPr="00A763E1">
              <w:rPr>
                <w:rFonts w:asciiTheme="minorHAnsi" w:hAnsiTheme="minorHAnsi" w:cstheme="minorBidi"/>
                <w:b/>
              </w:rPr>
              <w:t>Geographic Scale</w:t>
            </w:r>
          </w:p>
        </w:tc>
        <w:tc>
          <w:tcPr>
            <w:cnfStyle w:val="000100000000" w:firstRow="0" w:lastRow="0" w:firstColumn="0" w:lastColumn="1" w:oddVBand="0" w:evenVBand="0" w:oddHBand="0" w:evenHBand="0" w:firstRowFirstColumn="0" w:firstRowLastColumn="0" w:lastRowFirstColumn="0" w:lastRowLastColumn="0"/>
            <w:tcW w:w="3932" w:type="pct"/>
          </w:tcPr>
          <w:p w14:paraId="58664146" w14:textId="496CE826" w:rsidR="008129B5" w:rsidRPr="00A763E1" w:rsidRDefault="008129B5" w:rsidP="00C561D0">
            <w:pPr>
              <w:rPr>
                <w:rFonts w:asciiTheme="minorHAnsi" w:hAnsiTheme="minorHAnsi" w:cstheme="minorBidi"/>
              </w:rPr>
            </w:pPr>
            <w:r w:rsidRPr="00A763E1">
              <w:rPr>
                <w:rFonts w:asciiTheme="minorHAnsi" w:hAnsiTheme="minorHAnsi" w:cstheme="minorBidi"/>
                <w:b w:val="0"/>
              </w:rPr>
              <w:t>Residents of jurisdiction</w:t>
            </w:r>
            <w:r w:rsidR="00200336" w:rsidRPr="00A763E1">
              <w:rPr>
                <w:rFonts w:asciiTheme="minorHAnsi" w:hAnsiTheme="minorHAnsi" w:cstheme="minorBidi"/>
                <w:b w:val="0"/>
              </w:rPr>
              <w:t xml:space="preserve"> –</w:t>
            </w:r>
            <w:r w:rsidR="003E62A3" w:rsidRPr="00A763E1">
              <w:rPr>
                <w:rFonts w:asciiTheme="minorHAnsi" w:hAnsiTheme="minorHAnsi" w:cstheme="minorBidi"/>
                <w:b w:val="0"/>
              </w:rPr>
              <w:t xml:space="preserve"> </w:t>
            </w:r>
            <w:r w:rsidR="00583CAC" w:rsidRPr="00A763E1">
              <w:rPr>
                <w:rFonts w:asciiTheme="minorHAnsi" w:hAnsiTheme="minorHAnsi" w:cstheme="minorBidi"/>
                <w:b w:val="0"/>
              </w:rPr>
              <w:t>census tract, 5,000 minimum population area, 20,000 minimum population area, county, combined counties, and/or state</w:t>
            </w:r>
          </w:p>
        </w:tc>
      </w:tr>
      <w:tr w:rsidR="008129B5" w:rsidRPr="00A763E1" w14:paraId="5866414A" w14:textId="77777777" w:rsidTr="00930ED9">
        <w:tc>
          <w:tcPr>
            <w:tcW w:w="1068" w:type="pct"/>
          </w:tcPr>
          <w:p w14:paraId="58664148" w14:textId="77777777" w:rsidR="008129B5" w:rsidRPr="00A763E1" w:rsidRDefault="008129B5" w:rsidP="00C561D0">
            <w:pPr>
              <w:rPr>
                <w:rFonts w:asciiTheme="minorHAnsi" w:hAnsiTheme="minorHAnsi" w:cstheme="minorHAnsi"/>
                <w:b/>
              </w:rPr>
            </w:pPr>
            <w:r w:rsidRPr="00A763E1">
              <w:rPr>
                <w:rFonts w:asciiTheme="minorHAnsi" w:hAnsiTheme="minorHAnsi" w:cstheme="minorHAnsi"/>
                <w:b/>
              </w:rPr>
              <w:t>Time Period</w:t>
            </w:r>
          </w:p>
        </w:tc>
        <w:tc>
          <w:tcPr>
            <w:cnfStyle w:val="000100000000" w:firstRow="0" w:lastRow="0" w:firstColumn="0" w:lastColumn="1" w:oddVBand="0" w:evenVBand="0" w:oddHBand="0" w:evenHBand="0" w:firstRowFirstColumn="0" w:firstRowLastColumn="0" w:lastRowFirstColumn="0" w:lastRowLastColumn="0"/>
            <w:tcW w:w="3932" w:type="pct"/>
          </w:tcPr>
          <w:p w14:paraId="58664149" w14:textId="456137F1" w:rsidR="008129B5" w:rsidRPr="00A763E1" w:rsidRDefault="008129B5" w:rsidP="005658FE">
            <w:pPr>
              <w:rPr>
                <w:rFonts w:asciiTheme="minorHAnsi" w:hAnsiTheme="minorHAnsi" w:cstheme="minorHAnsi"/>
                <w:b w:val="0"/>
              </w:rPr>
            </w:pPr>
            <w:r w:rsidRPr="00A763E1">
              <w:rPr>
                <w:rFonts w:asciiTheme="minorHAnsi" w:hAnsiTheme="minorHAnsi" w:cstheme="minorHAnsi"/>
                <w:b w:val="0"/>
              </w:rPr>
              <w:t xml:space="preserve">Hospital admissions between January 1 to December 31, inclusive, for each year </w:t>
            </w:r>
            <w:r w:rsidR="00B8569F" w:rsidRPr="00A763E1">
              <w:rPr>
                <w:rFonts w:asciiTheme="minorHAnsi" w:hAnsiTheme="minorHAnsi" w:cstheme="minorHAnsi"/>
                <w:b w:val="0"/>
              </w:rPr>
              <w:t xml:space="preserve">2000 </w:t>
            </w:r>
            <w:r w:rsidR="005658FE" w:rsidRPr="00A763E1">
              <w:rPr>
                <w:rFonts w:asciiTheme="minorHAnsi" w:hAnsiTheme="minorHAnsi" w:cstheme="minorHAnsi"/>
                <w:b w:val="0"/>
              </w:rPr>
              <w:t>–</w:t>
            </w:r>
            <w:r w:rsidR="003E62A3" w:rsidRPr="00A763E1">
              <w:rPr>
                <w:rFonts w:asciiTheme="minorHAnsi" w:hAnsiTheme="minorHAnsi" w:cstheme="minorHAnsi"/>
                <w:b w:val="0"/>
              </w:rPr>
              <w:t xml:space="preserve"> </w:t>
            </w:r>
            <w:r w:rsidR="005658FE" w:rsidRPr="00A763E1">
              <w:rPr>
                <w:rFonts w:asciiTheme="minorHAnsi" w:hAnsiTheme="minorHAnsi" w:cstheme="minorHAnsi"/>
                <w:b w:val="0"/>
              </w:rPr>
              <w:t xml:space="preserve">most recent complete year available </w:t>
            </w:r>
          </w:p>
        </w:tc>
      </w:tr>
      <w:tr w:rsidR="008129B5" w:rsidRPr="00A763E1" w14:paraId="5866414D" w14:textId="77777777" w:rsidTr="00930ED9">
        <w:tc>
          <w:tcPr>
            <w:tcW w:w="1068" w:type="pct"/>
          </w:tcPr>
          <w:p w14:paraId="5866414B" w14:textId="77777777" w:rsidR="008129B5" w:rsidRPr="00A763E1" w:rsidRDefault="008129B5" w:rsidP="00C561D0">
            <w:pPr>
              <w:rPr>
                <w:rFonts w:asciiTheme="minorHAnsi" w:hAnsiTheme="minorHAnsi" w:cstheme="minorHAnsi"/>
                <w:b/>
              </w:rPr>
            </w:pPr>
            <w:r w:rsidRPr="00A763E1">
              <w:rPr>
                <w:rFonts w:asciiTheme="minorHAnsi" w:hAnsiTheme="minorHAnsi" w:cstheme="minorHAnsi"/>
                <w:b/>
              </w:rPr>
              <w:t>Time Scale</w:t>
            </w:r>
          </w:p>
        </w:tc>
        <w:tc>
          <w:tcPr>
            <w:cnfStyle w:val="000100000000" w:firstRow="0" w:lastRow="0" w:firstColumn="0" w:lastColumn="1" w:oddVBand="0" w:evenVBand="0" w:oddHBand="0" w:evenHBand="0" w:firstRowFirstColumn="0" w:firstRowLastColumn="0" w:lastRowFirstColumn="0" w:lastRowLastColumn="0"/>
            <w:tcW w:w="3932" w:type="pct"/>
          </w:tcPr>
          <w:p w14:paraId="5866414C" w14:textId="165CD380" w:rsidR="008129B5" w:rsidRPr="00A763E1" w:rsidRDefault="005658FE" w:rsidP="00E52D11">
            <w:pPr>
              <w:rPr>
                <w:rFonts w:asciiTheme="minorHAnsi" w:hAnsiTheme="minorHAnsi" w:cstheme="minorHAnsi"/>
                <w:b w:val="0"/>
              </w:rPr>
            </w:pPr>
            <w:r w:rsidRPr="00A763E1">
              <w:rPr>
                <w:rFonts w:asciiTheme="minorHAnsi" w:hAnsiTheme="minorHAnsi" w:cstheme="minorHAnsi"/>
                <w:b w:val="0"/>
              </w:rPr>
              <w:t>Annual</w:t>
            </w:r>
            <w:r w:rsidR="003E62A3" w:rsidRPr="00A763E1">
              <w:rPr>
                <w:rFonts w:asciiTheme="minorHAnsi" w:hAnsiTheme="minorHAnsi" w:cstheme="minorHAnsi"/>
                <w:b w:val="0"/>
              </w:rPr>
              <w:t>, 3</w:t>
            </w:r>
            <w:r w:rsidR="0065138F" w:rsidRPr="00A763E1">
              <w:rPr>
                <w:rFonts w:asciiTheme="minorHAnsi" w:hAnsiTheme="minorHAnsi" w:cstheme="minorHAnsi"/>
                <w:b w:val="0"/>
              </w:rPr>
              <w:t>-</w:t>
            </w:r>
            <w:r w:rsidR="003E62A3" w:rsidRPr="00A763E1">
              <w:rPr>
                <w:rFonts w:asciiTheme="minorHAnsi" w:hAnsiTheme="minorHAnsi" w:cstheme="minorHAnsi"/>
                <w:b w:val="0"/>
              </w:rPr>
              <w:t>year</w:t>
            </w:r>
            <w:r w:rsidR="0065138F" w:rsidRPr="00A763E1">
              <w:rPr>
                <w:rFonts w:asciiTheme="minorHAnsi" w:hAnsiTheme="minorHAnsi" w:cstheme="minorHAnsi"/>
                <w:b w:val="0"/>
              </w:rPr>
              <w:t xml:space="preserve"> period</w:t>
            </w:r>
            <w:r w:rsidR="003E62A3" w:rsidRPr="00A763E1">
              <w:rPr>
                <w:rFonts w:asciiTheme="minorHAnsi" w:hAnsiTheme="minorHAnsi" w:cstheme="minorHAnsi"/>
                <w:b w:val="0"/>
              </w:rPr>
              <w:t>, or 5</w:t>
            </w:r>
            <w:r w:rsidR="0065138F" w:rsidRPr="00A763E1">
              <w:rPr>
                <w:rFonts w:asciiTheme="minorHAnsi" w:hAnsiTheme="minorHAnsi" w:cstheme="minorHAnsi"/>
                <w:b w:val="0"/>
              </w:rPr>
              <w:t>-</w:t>
            </w:r>
            <w:r w:rsidR="003E62A3" w:rsidRPr="00A763E1">
              <w:rPr>
                <w:rFonts w:asciiTheme="minorHAnsi" w:hAnsiTheme="minorHAnsi" w:cstheme="minorHAnsi"/>
                <w:b w:val="0"/>
              </w:rPr>
              <w:t>year</w:t>
            </w:r>
            <w:r w:rsidR="0065138F" w:rsidRPr="00A763E1">
              <w:rPr>
                <w:rFonts w:asciiTheme="minorHAnsi" w:hAnsiTheme="minorHAnsi" w:cstheme="minorHAnsi"/>
                <w:b w:val="0"/>
              </w:rPr>
              <w:t xml:space="preserve"> period</w:t>
            </w:r>
          </w:p>
        </w:tc>
      </w:tr>
      <w:tr w:rsidR="008129B5" w:rsidRPr="00A763E1" w14:paraId="58664155" w14:textId="77777777" w:rsidTr="00E52D11">
        <w:trPr>
          <w:trHeight w:val="192"/>
        </w:trPr>
        <w:tc>
          <w:tcPr>
            <w:tcW w:w="1068" w:type="pct"/>
          </w:tcPr>
          <w:p w14:paraId="5866414E" w14:textId="77777777" w:rsidR="008129B5" w:rsidRPr="00A763E1" w:rsidRDefault="008129B5" w:rsidP="00C561D0">
            <w:pPr>
              <w:rPr>
                <w:rFonts w:asciiTheme="minorHAnsi" w:hAnsiTheme="minorHAnsi" w:cstheme="minorHAnsi"/>
                <w:b/>
              </w:rPr>
            </w:pPr>
            <w:r w:rsidRPr="00A763E1">
              <w:rPr>
                <w:rFonts w:asciiTheme="minorHAnsi" w:hAnsiTheme="minorHAnsi" w:cstheme="minorHAnsi"/>
                <w:b/>
              </w:rPr>
              <w:t>Rationale</w:t>
            </w:r>
          </w:p>
        </w:tc>
        <w:tc>
          <w:tcPr>
            <w:cnfStyle w:val="000100000000" w:firstRow="0" w:lastRow="0" w:firstColumn="0" w:lastColumn="1" w:oddVBand="0" w:evenVBand="0" w:oddHBand="0" w:evenHBand="0" w:firstRowFirstColumn="0" w:firstRowLastColumn="0" w:lastRowFirstColumn="0" w:lastRowLastColumn="0"/>
            <w:tcW w:w="3932" w:type="pct"/>
            <w:shd w:val="clear" w:color="auto" w:fill="FFFFFF" w:themeFill="background1"/>
          </w:tcPr>
          <w:p w14:paraId="4534DF5B" w14:textId="31BA38F7" w:rsidR="00AF5830" w:rsidRPr="00A763E1" w:rsidRDefault="004338C7" w:rsidP="00E52D11">
            <w:pPr>
              <w:rPr>
                <w:rFonts w:asciiTheme="minorHAnsi" w:eastAsia="Times New Roman" w:hAnsiTheme="minorHAnsi" w:cstheme="minorHAnsi"/>
              </w:rPr>
            </w:pPr>
            <w:r w:rsidRPr="00A763E1">
              <w:rPr>
                <w:rFonts w:asciiTheme="minorHAnsi" w:hAnsiTheme="minorHAnsi" w:cstheme="minorHAnsi"/>
                <w:b w:val="0"/>
                <w:bCs w:val="0"/>
                <w:color w:val="000000"/>
                <w:shd w:val="clear" w:color="auto" w:fill="FFFFFF"/>
              </w:rPr>
              <w:t xml:space="preserve">Heart disease is the leading cause of death in the United States, causing </w:t>
            </w:r>
            <w:r w:rsidR="00D06BE0" w:rsidRPr="00A763E1">
              <w:rPr>
                <w:rFonts w:asciiTheme="minorHAnsi" w:hAnsiTheme="minorHAnsi" w:cstheme="minorHAnsi"/>
                <w:b w:val="0"/>
                <w:bCs w:val="0"/>
                <w:color w:val="000000"/>
                <w:shd w:val="clear" w:color="auto" w:fill="FFFFFF"/>
              </w:rPr>
              <w:t xml:space="preserve">almost </w:t>
            </w:r>
            <w:r w:rsidRPr="00A763E1">
              <w:rPr>
                <w:rFonts w:asciiTheme="minorHAnsi" w:hAnsiTheme="minorHAnsi" w:cstheme="minorHAnsi"/>
                <w:b w:val="0"/>
                <w:bCs w:val="0"/>
                <w:color w:val="000000"/>
                <w:shd w:val="clear" w:color="auto" w:fill="FFFFFF"/>
              </w:rPr>
              <w:t>1 in 4 deaths.</w:t>
            </w:r>
            <w:r w:rsidRPr="00A763E1">
              <w:rPr>
                <w:rFonts w:asciiTheme="minorHAnsi" w:hAnsiTheme="minorHAnsi" w:cstheme="minorHAnsi"/>
                <w:b w:val="0"/>
                <w:bCs w:val="0"/>
                <w:color w:val="000000"/>
                <w:shd w:val="clear" w:color="auto" w:fill="FFFFFF"/>
                <w:vertAlign w:val="superscript"/>
              </w:rPr>
              <w:t>1</w:t>
            </w:r>
            <w:r w:rsidRPr="00A763E1">
              <w:rPr>
                <w:rFonts w:asciiTheme="minorHAnsi" w:hAnsiTheme="minorHAnsi" w:cstheme="minorHAnsi"/>
                <w:b w:val="0"/>
                <w:bCs w:val="0"/>
                <w:color w:val="000000"/>
                <w:shd w:val="clear" w:color="auto" w:fill="FFFFFF"/>
              </w:rPr>
              <w:t> </w:t>
            </w:r>
            <w:r w:rsidRPr="00A763E1">
              <w:rPr>
                <w:rFonts w:asciiTheme="minorHAnsi" w:hAnsiTheme="minorHAnsi" w:cstheme="minorHAnsi"/>
                <w:b w:val="0"/>
                <w:bCs w:val="0"/>
                <w:color w:val="000000"/>
                <w:shd w:val="clear" w:color="auto" w:fill="FFFFFF" w:themeFill="background1"/>
              </w:rPr>
              <w:t>A heart attack is clinically referred to as a myocardial infarction or an acute myocardial infarction (MI or AMI</w:t>
            </w:r>
            <w:r w:rsidR="006C07D4" w:rsidRPr="00A763E1">
              <w:rPr>
                <w:rFonts w:asciiTheme="minorHAnsi" w:hAnsiTheme="minorHAnsi" w:cstheme="minorHAnsi"/>
                <w:b w:val="0"/>
                <w:bCs w:val="0"/>
                <w:color w:val="000000"/>
                <w:shd w:val="clear" w:color="auto" w:fill="FFFFFF" w:themeFill="background1"/>
              </w:rPr>
              <w:t>; referred to hereafter as AMI</w:t>
            </w:r>
            <w:r w:rsidRPr="00A763E1">
              <w:rPr>
                <w:rFonts w:asciiTheme="minorHAnsi" w:hAnsiTheme="minorHAnsi" w:cstheme="minorHAnsi"/>
                <w:b w:val="0"/>
                <w:bCs w:val="0"/>
                <w:color w:val="000000"/>
                <w:shd w:val="clear" w:color="auto" w:fill="FFFFFF" w:themeFill="background1"/>
              </w:rPr>
              <w:t xml:space="preserve">). It </w:t>
            </w:r>
            <w:r w:rsidRPr="00A763E1">
              <w:rPr>
                <w:rFonts w:asciiTheme="minorHAnsi" w:hAnsiTheme="minorHAnsi" w:cstheme="minorHAnsi"/>
                <w:b w:val="0"/>
                <w:bCs w:val="0"/>
                <w:color w:val="000000"/>
                <w:shd w:val="clear" w:color="auto" w:fill="FFFFFF" w:themeFill="background1"/>
              </w:rPr>
              <w:lastRenderedPageBreak/>
              <w:t>occurs when a section of the heart muscle dies or is damaged because of reduced blood supply.</w:t>
            </w:r>
            <w:r w:rsidRPr="00A763E1">
              <w:rPr>
                <w:rFonts w:asciiTheme="minorHAnsi" w:hAnsiTheme="minorHAnsi" w:cstheme="minorHAnsi"/>
                <w:b w:val="0"/>
                <w:bCs w:val="0"/>
                <w:color w:val="000000"/>
                <w:shd w:val="clear" w:color="auto" w:fill="FFFFFF" w:themeFill="background1"/>
                <w:vertAlign w:val="superscript"/>
              </w:rPr>
              <w:t>2</w:t>
            </w:r>
            <w:r w:rsidRPr="00A763E1">
              <w:rPr>
                <w:rFonts w:asciiTheme="minorHAnsi" w:hAnsiTheme="minorHAnsi" w:cstheme="minorHAnsi"/>
                <w:color w:val="000000"/>
                <w:shd w:val="clear" w:color="auto" w:fill="FFFFFF" w:themeFill="background1"/>
                <w:vertAlign w:val="superscript"/>
              </w:rPr>
              <w:t xml:space="preserve"> </w:t>
            </w:r>
            <w:r w:rsidR="009D7713" w:rsidRPr="00A763E1">
              <w:rPr>
                <w:rFonts w:asciiTheme="minorHAnsi" w:eastAsia="Times New Roman" w:hAnsiTheme="minorHAnsi" w:cstheme="minorHAnsi"/>
                <w:b w:val="0"/>
                <w:bCs w:val="0"/>
                <w:shd w:val="clear" w:color="auto" w:fill="FFFFFF" w:themeFill="background1"/>
              </w:rPr>
              <w:t>The</w:t>
            </w:r>
            <w:r w:rsidR="009D7713" w:rsidRPr="00A763E1">
              <w:rPr>
                <w:rFonts w:asciiTheme="minorHAnsi" w:eastAsia="Times New Roman" w:hAnsiTheme="minorHAnsi" w:cstheme="minorHAnsi"/>
                <w:b w:val="0"/>
                <w:bCs w:val="0"/>
              </w:rPr>
              <w:t xml:space="preserve"> </w:t>
            </w:r>
            <w:r w:rsidR="006D0AB0" w:rsidRPr="00A763E1">
              <w:rPr>
                <w:rFonts w:asciiTheme="minorHAnsi" w:eastAsia="Times New Roman" w:hAnsiTheme="minorHAnsi" w:cstheme="minorHAnsi"/>
                <w:b w:val="0"/>
                <w:bCs w:val="0"/>
                <w:lang w:eastAsia="ko-KR"/>
              </w:rPr>
              <w:t xml:space="preserve">American Heart Association </w:t>
            </w:r>
            <w:r w:rsidR="009D7713" w:rsidRPr="00A763E1">
              <w:rPr>
                <w:rFonts w:asciiTheme="minorHAnsi" w:eastAsia="Times New Roman" w:hAnsiTheme="minorHAnsi" w:cstheme="minorHAnsi"/>
                <w:b w:val="0"/>
                <w:bCs w:val="0"/>
                <w:lang w:eastAsia="ko-KR"/>
              </w:rPr>
              <w:t xml:space="preserve">(AHA) </w:t>
            </w:r>
            <w:r w:rsidR="006D0AB0" w:rsidRPr="00A763E1">
              <w:rPr>
                <w:rFonts w:asciiTheme="minorHAnsi" w:eastAsia="Times New Roman" w:hAnsiTheme="minorHAnsi" w:cstheme="minorHAnsi"/>
                <w:b w:val="0"/>
                <w:bCs w:val="0"/>
                <w:lang w:eastAsia="ko-KR"/>
              </w:rPr>
              <w:t xml:space="preserve">estimated 805,000 new attacks and </w:t>
            </w:r>
            <w:r w:rsidR="001E036E" w:rsidRPr="00A763E1">
              <w:rPr>
                <w:rFonts w:asciiTheme="minorHAnsi" w:eastAsia="Times New Roman" w:hAnsiTheme="minorHAnsi" w:cstheme="minorHAnsi"/>
                <w:b w:val="0"/>
                <w:bCs w:val="0"/>
                <w:lang w:eastAsia="ko-KR"/>
              </w:rPr>
              <w:t xml:space="preserve">200,000 recurrent </w:t>
            </w:r>
            <w:r w:rsidR="0048297F" w:rsidRPr="00A763E1">
              <w:rPr>
                <w:rFonts w:asciiTheme="minorHAnsi" w:eastAsia="Times New Roman" w:hAnsiTheme="minorHAnsi" w:cstheme="minorHAnsi"/>
                <w:b w:val="0"/>
                <w:bCs w:val="0"/>
                <w:lang w:eastAsia="ko-KR"/>
              </w:rPr>
              <w:t>attacks</w:t>
            </w:r>
            <w:r w:rsidR="001E036E" w:rsidRPr="00A763E1">
              <w:rPr>
                <w:rFonts w:asciiTheme="minorHAnsi" w:eastAsia="Times New Roman" w:hAnsiTheme="minorHAnsi" w:cstheme="minorHAnsi"/>
                <w:b w:val="0"/>
                <w:bCs w:val="0"/>
                <w:lang w:eastAsia="ko-KR"/>
              </w:rPr>
              <w:t xml:space="preserve"> of acute myocardial </w:t>
            </w:r>
            <w:r w:rsidR="0048297F" w:rsidRPr="00A763E1">
              <w:rPr>
                <w:rFonts w:asciiTheme="minorHAnsi" w:eastAsia="Times New Roman" w:hAnsiTheme="minorHAnsi" w:cstheme="minorHAnsi"/>
                <w:b w:val="0"/>
                <w:bCs w:val="0"/>
                <w:lang w:eastAsia="ko-KR"/>
              </w:rPr>
              <w:t>infarction</w:t>
            </w:r>
            <w:r w:rsidR="001E036E" w:rsidRPr="00A763E1">
              <w:rPr>
                <w:rFonts w:asciiTheme="minorHAnsi" w:eastAsia="Times New Roman" w:hAnsiTheme="minorHAnsi" w:cstheme="minorHAnsi"/>
                <w:b w:val="0"/>
                <w:bCs w:val="0"/>
                <w:lang w:eastAsia="ko-KR"/>
              </w:rPr>
              <w:t xml:space="preserve"> annually</w:t>
            </w:r>
            <w:r w:rsidR="004B58B8" w:rsidRPr="00A763E1">
              <w:rPr>
                <w:rFonts w:asciiTheme="minorHAnsi" w:eastAsia="Times New Roman" w:hAnsiTheme="minorHAnsi" w:cstheme="minorHAnsi"/>
                <w:b w:val="0"/>
                <w:bCs w:val="0"/>
                <w:lang w:eastAsia="ko-KR"/>
              </w:rPr>
              <w:t>.</w:t>
            </w:r>
            <w:r w:rsidR="00930ED9" w:rsidRPr="00A763E1">
              <w:rPr>
                <w:rFonts w:asciiTheme="minorHAnsi" w:eastAsia="Times New Roman" w:hAnsiTheme="minorHAnsi" w:cstheme="minorHAnsi"/>
                <w:vertAlign w:val="superscript"/>
                <w:lang w:eastAsia="ko-KR"/>
              </w:rPr>
              <w:t>3</w:t>
            </w:r>
            <w:r w:rsidR="004B58B8" w:rsidRPr="00A763E1">
              <w:rPr>
                <w:rFonts w:asciiTheme="minorHAnsi" w:eastAsia="Times New Roman" w:hAnsiTheme="minorHAnsi" w:cstheme="minorHAnsi"/>
                <w:b w:val="0"/>
                <w:bCs w:val="0"/>
                <w:lang w:eastAsia="ko-KR"/>
              </w:rPr>
              <w:t xml:space="preserve"> </w:t>
            </w:r>
            <w:r w:rsidR="00AF5830" w:rsidRPr="00A763E1">
              <w:rPr>
                <w:rFonts w:asciiTheme="minorHAnsi" w:eastAsia="Times New Roman" w:hAnsiTheme="minorHAnsi" w:cstheme="minorHAnsi"/>
                <w:b w:val="0"/>
                <w:bCs w:val="0"/>
              </w:rPr>
              <w:t xml:space="preserve">According </w:t>
            </w:r>
            <w:r w:rsidR="0048297F" w:rsidRPr="00A763E1">
              <w:rPr>
                <w:rFonts w:asciiTheme="minorHAnsi" w:eastAsia="Times New Roman" w:hAnsiTheme="minorHAnsi" w:cstheme="minorHAnsi"/>
                <w:b w:val="0"/>
                <w:bCs w:val="0"/>
              </w:rPr>
              <w:t xml:space="preserve">to </w:t>
            </w:r>
            <w:r w:rsidR="006C07D4" w:rsidRPr="00A763E1">
              <w:rPr>
                <w:rFonts w:asciiTheme="minorHAnsi" w:eastAsia="Times New Roman" w:hAnsiTheme="minorHAnsi" w:cstheme="minorHAnsi"/>
                <w:b w:val="0"/>
                <w:bCs w:val="0"/>
              </w:rPr>
              <w:t xml:space="preserve">the </w:t>
            </w:r>
            <w:r w:rsidR="0048297F" w:rsidRPr="00A763E1">
              <w:rPr>
                <w:rFonts w:asciiTheme="minorHAnsi" w:eastAsia="Times New Roman" w:hAnsiTheme="minorHAnsi" w:cstheme="minorHAnsi"/>
                <w:b w:val="0"/>
                <w:bCs w:val="0"/>
              </w:rPr>
              <w:t>AHA</w:t>
            </w:r>
            <w:r w:rsidR="0027405C" w:rsidRPr="00A763E1">
              <w:rPr>
                <w:rFonts w:asciiTheme="minorHAnsi" w:eastAsia="Times New Roman" w:hAnsiTheme="minorHAnsi" w:cstheme="minorHAnsi"/>
                <w:b w:val="0"/>
                <w:bCs w:val="0"/>
              </w:rPr>
              <w:t xml:space="preserve"> </w:t>
            </w:r>
            <w:r w:rsidR="007C1711" w:rsidRPr="00A763E1">
              <w:rPr>
                <w:rFonts w:asciiTheme="minorHAnsi" w:eastAsia="Times New Roman" w:hAnsiTheme="minorHAnsi" w:cstheme="minorHAnsi"/>
                <w:b w:val="0"/>
                <w:bCs w:val="0"/>
              </w:rPr>
              <w:t xml:space="preserve">2020 </w:t>
            </w:r>
            <w:r w:rsidR="00AF5830" w:rsidRPr="00A763E1">
              <w:rPr>
                <w:rFonts w:asciiTheme="minorHAnsi" w:eastAsia="Times New Roman" w:hAnsiTheme="minorHAnsi" w:cstheme="minorHAnsi"/>
                <w:b w:val="0"/>
                <w:bCs w:val="0"/>
              </w:rPr>
              <w:t>Heart Disease and Stroke Statistics Report</w:t>
            </w:r>
            <w:r w:rsidR="00516F70" w:rsidRPr="00A763E1">
              <w:rPr>
                <w:rFonts w:asciiTheme="minorHAnsi" w:eastAsia="Times New Roman" w:hAnsiTheme="minorHAnsi" w:cstheme="minorHAnsi"/>
                <w:b w:val="0"/>
                <w:bCs w:val="0"/>
              </w:rPr>
              <w:t>,</w:t>
            </w:r>
            <w:r w:rsidR="0027405C" w:rsidRPr="00A763E1">
              <w:rPr>
                <w:rFonts w:asciiTheme="minorHAnsi" w:eastAsia="Times New Roman" w:hAnsiTheme="minorHAnsi" w:cstheme="minorHAnsi"/>
                <w:b w:val="0"/>
                <w:bCs w:val="0"/>
              </w:rPr>
              <w:t xml:space="preserve"> </w:t>
            </w:r>
            <w:r w:rsidR="00B93B71" w:rsidRPr="00A763E1">
              <w:rPr>
                <w:rFonts w:asciiTheme="minorHAnsi" w:eastAsia="Times New Roman" w:hAnsiTheme="minorHAnsi" w:cstheme="minorHAnsi"/>
                <w:b w:val="0"/>
                <w:bCs w:val="0"/>
              </w:rPr>
              <w:t xml:space="preserve">prevalence of </w:t>
            </w:r>
            <w:r w:rsidR="0027405C" w:rsidRPr="00A763E1">
              <w:rPr>
                <w:rFonts w:asciiTheme="minorHAnsi" w:eastAsia="Times New Roman" w:hAnsiTheme="minorHAnsi" w:cstheme="minorHAnsi"/>
                <w:b w:val="0"/>
                <w:bCs w:val="0"/>
              </w:rPr>
              <w:t xml:space="preserve">new and recurrent </w:t>
            </w:r>
            <w:r w:rsidR="006C07D4" w:rsidRPr="00A763E1">
              <w:rPr>
                <w:rFonts w:asciiTheme="minorHAnsi" w:eastAsia="Times New Roman" w:hAnsiTheme="minorHAnsi" w:cstheme="minorHAnsi"/>
                <w:b w:val="0"/>
                <w:bCs w:val="0"/>
              </w:rPr>
              <w:t>A</w:t>
            </w:r>
            <w:r w:rsidR="0027405C" w:rsidRPr="00A763E1">
              <w:rPr>
                <w:rFonts w:asciiTheme="minorHAnsi" w:eastAsia="Times New Roman" w:hAnsiTheme="minorHAnsi" w:cstheme="minorHAnsi"/>
                <w:b w:val="0"/>
                <w:bCs w:val="0"/>
              </w:rPr>
              <w:t>MI for both men</w:t>
            </w:r>
            <w:r w:rsidR="00AF5830" w:rsidRPr="00A763E1">
              <w:rPr>
                <w:rFonts w:asciiTheme="minorHAnsi" w:eastAsia="Times New Roman" w:hAnsiTheme="minorHAnsi" w:cstheme="minorHAnsi"/>
                <w:b w:val="0"/>
                <w:bCs w:val="0"/>
              </w:rPr>
              <w:t xml:space="preserve"> </w:t>
            </w:r>
            <w:r w:rsidR="0027405C" w:rsidRPr="00A763E1">
              <w:rPr>
                <w:rFonts w:asciiTheme="minorHAnsi" w:eastAsia="Times New Roman" w:hAnsiTheme="minorHAnsi" w:cstheme="minorHAnsi"/>
                <w:b w:val="0"/>
                <w:bCs w:val="0"/>
              </w:rPr>
              <w:t>an</w:t>
            </w:r>
            <w:r w:rsidR="00AF5830" w:rsidRPr="00A763E1">
              <w:rPr>
                <w:rFonts w:asciiTheme="minorHAnsi" w:eastAsia="Times New Roman" w:hAnsiTheme="minorHAnsi" w:cstheme="minorHAnsi"/>
                <w:b w:val="0"/>
                <w:bCs w:val="0"/>
              </w:rPr>
              <w:t>d</w:t>
            </w:r>
            <w:r w:rsidR="0027405C" w:rsidRPr="00A763E1">
              <w:rPr>
                <w:rFonts w:asciiTheme="minorHAnsi" w:eastAsia="Times New Roman" w:hAnsiTheme="minorHAnsi" w:cstheme="minorHAnsi"/>
                <w:b w:val="0"/>
                <w:bCs w:val="0"/>
              </w:rPr>
              <w:t xml:space="preserve"> women </w:t>
            </w:r>
            <w:r w:rsidR="00B93B71" w:rsidRPr="00A763E1">
              <w:rPr>
                <w:rFonts w:asciiTheme="minorHAnsi" w:eastAsia="Times New Roman" w:hAnsiTheme="minorHAnsi" w:cstheme="minorHAnsi"/>
                <w:b w:val="0"/>
                <w:bCs w:val="0"/>
              </w:rPr>
              <w:t xml:space="preserve">was </w:t>
            </w:r>
            <w:r w:rsidR="007C1711" w:rsidRPr="00A763E1">
              <w:rPr>
                <w:rFonts w:asciiTheme="minorHAnsi" w:eastAsia="Times New Roman" w:hAnsiTheme="minorHAnsi" w:cstheme="minorHAnsi"/>
                <w:b w:val="0"/>
                <w:bCs w:val="0"/>
              </w:rPr>
              <w:t>3.0</w:t>
            </w:r>
            <w:r w:rsidR="0027405C" w:rsidRPr="00A763E1">
              <w:rPr>
                <w:rFonts w:asciiTheme="minorHAnsi" w:eastAsia="Times New Roman" w:hAnsiTheme="minorHAnsi" w:cstheme="minorHAnsi"/>
                <w:b w:val="0"/>
                <w:bCs w:val="0"/>
              </w:rPr>
              <w:t>%</w:t>
            </w:r>
            <w:r w:rsidR="00516F70" w:rsidRPr="00A763E1">
              <w:rPr>
                <w:rFonts w:asciiTheme="minorHAnsi" w:eastAsia="Times New Roman" w:hAnsiTheme="minorHAnsi" w:cstheme="minorHAnsi"/>
                <w:b w:val="0"/>
                <w:bCs w:val="0"/>
              </w:rPr>
              <w:t xml:space="preserve"> among Americans aged 20 years and older (approximately 7.0 million Americans)</w:t>
            </w:r>
            <w:r w:rsidR="0027405C" w:rsidRPr="00A763E1">
              <w:rPr>
                <w:rFonts w:asciiTheme="minorHAnsi" w:eastAsia="Times New Roman" w:hAnsiTheme="minorHAnsi" w:cstheme="minorHAnsi"/>
                <w:b w:val="0"/>
                <w:bCs w:val="0"/>
              </w:rPr>
              <w:t>.</w:t>
            </w:r>
            <w:r w:rsidR="007C1711" w:rsidRPr="00A763E1">
              <w:rPr>
                <w:rFonts w:asciiTheme="minorHAnsi" w:eastAsia="Times New Roman" w:hAnsiTheme="minorHAnsi" w:cstheme="minorHAnsi"/>
                <w:vertAlign w:val="superscript"/>
              </w:rPr>
              <w:t>3</w:t>
            </w:r>
            <w:r w:rsidR="007C1711" w:rsidRPr="00A763E1">
              <w:rPr>
                <w:rFonts w:asciiTheme="minorHAnsi" w:eastAsia="Times New Roman" w:hAnsiTheme="minorHAnsi" w:cstheme="minorHAnsi"/>
                <w:b w:val="0"/>
                <w:bCs w:val="0"/>
              </w:rPr>
              <w:t xml:space="preserve"> </w:t>
            </w:r>
          </w:p>
          <w:p w14:paraId="58664152" w14:textId="77777777" w:rsidR="00A936E8" w:rsidRPr="00A763E1" w:rsidRDefault="00A936E8" w:rsidP="00E52D11">
            <w:pPr>
              <w:rPr>
                <w:rFonts w:asciiTheme="minorHAnsi" w:eastAsia="Times New Roman" w:hAnsiTheme="minorHAnsi" w:cstheme="minorHAnsi"/>
                <w:b w:val="0"/>
                <w:bCs w:val="0"/>
              </w:rPr>
            </w:pPr>
          </w:p>
          <w:p w14:paraId="1236CA3E" w14:textId="7E67C843" w:rsidR="009D7713" w:rsidRPr="00A763E1" w:rsidRDefault="009D7713" w:rsidP="00E52D11">
            <w:pPr>
              <w:rPr>
                <w:rFonts w:asciiTheme="minorHAnsi" w:eastAsia="Times New Roman" w:hAnsiTheme="minorHAnsi" w:cstheme="minorHAnsi"/>
                <w:color w:val="000000"/>
                <w:lang w:eastAsia="ko-KR"/>
              </w:rPr>
            </w:pPr>
            <w:r w:rsidRPr="00A763E1">
              <w:rPr>
                <w:rFonts w:asciiTheme="minorHAnsi" w:eastAsia="Times New Roman" w:hAnsiTheme="minorHAnsi" w:cstheme="minorHAnsi"/>
                <w:b w:val="0"/>
                <w:bCs w:val="0"/>
                <w:color w:val="000000"/>
                <w:lang w:eastAsia="ko-KR"/>
              </w:rPr>
              <w:t>Heart disease is largely related to factors such as high blood pressure, smoking, diet, physical inactivity, and living and working conditions that lead to unhealthy behaviors.</w:t>
            </w:r>
            <w:r w:rsidRPr="00A763E1">
              <w:rPr>
                <w:rFonts w:asciiTheme="minorHAnsi" w:eastAsia="Times New Roman" w:hAnsiTheme="minorHAnsi" w:cstheme="minorHAnsi"/>
                <w:b w:val="0"/>
                <w:bCs w:val="0"/>
                <w:color w:val="000000"/>
                <w:vertAlign w:val="superscript"/>
                <w:lang w:eastAsia="ko-KR"/>
              </w:rPr>
              <w:t>5</w:t>
            </w:r>
            <w:r w:rsidR="00930ED9" w:rsidRPr="00A763E1">
              <w:rPr>
                <w:rFonts w:asciiTheme="minorHAnsi" w:eastAsia="Times New Roman" w:hAnsiTheme="minorHAnsi" w:cstheme="minorHAnsi"/>
                <w:b w:val="0"/>
                <w:bCs w:val="0"/>
                <w:color w:val="000000"/>
                <w:vertAlign w:val="superscript"/>
                <w:lang w:eastAsia="ko-KR"/>
              </w:rPr>
              <w:t>,6</w:t>
            </w:r>
            <w:r w:rsidRPr="00A763E1">
              <w:rPr>
                <w:rFonts w:asciiTheme="minorHAnsi" w:eastAsia="Times New Roman" w:hAnsiTheme="minorHAnsi" w:cstheme="minorHAnsi"/>
                <w:b w:val="0"/>
                <w:bCs w:val="0"/>
                <w:color w:val="000000"/>
                <w:lang w:eastAsia="ko-KR"/>
              </w:rPr>
              <w:t> It is also the most common heart problem related to exposure to fine particles over a long period.</w:t>
            </w:r>
            <w:r w:rsidR="00930ED9" w:rsidRPr="00A763E1">
              <w:rPr>
                <w:rFonts w:asciiTheme="minorHAnsi" w:eastAsia="Times New Roman" w:hAnsiTheme="minorHAnsi" w:cstheme="minorHAnsi"/>
                <w:b w:val="0"/>
                <w:bCs w:val="0"/>
                <w:color w:val="000000"/>
                <w:vertAlign w:val="superscript"/>
                <w:lang w:eastAsia="ko-KR"/>
              </w:rPr>
              <w:t>7,8</w:t>
            </w:r>
            <w:r w:rsidRPr="00A763E1">
              <w:rPr>
                <w:rFonts w:asciiTheme="minorHAnsi" w:eastAsia="Times New Roman" w:hAnsiTheme="minorHAnsi" w:cstheme="minorHAnsi"/>
                <w:b w:val="0"/>
                <w:bCs w:val="0"/>
                <w:color w:val="000000"/>
                <w:lang w:eastAsia="ko-KR"/>
              </w:rPr>
              <w:t> In 2004, the AHA scientific statement on “Air Pollution and Cardiovascular Disease” concluded that exposure to particulate matter (PM) air pollution contributes to cardiovascular illness and death.</w:t>
            </w:r>
            <w:r w:rsidR="00E52D11" w:rsidRPr="00A763E1">
              <w:rPr>
                <w:rFonts w:asciiTheme="minorHAnsi" w:eastAsia="Times New Roman" w:hAnsiTheme="minorHAnsi" w:cstheme="minorHAnsi"/>
                <w:b w:val="0"/>
                <w:bCs w:val="0"/>
                <w:color w:val="000000"/>
                <w:vertAlign w:val="superscript"/>
                <w:lang w:eastAsia="ko-KR"/>
              </w:rPr>
              <w:t>7</w:t>
            </w:r>
            <w:r w:rsidRPr="00A763E1">
              <w:rPr>
                <w:rFonts w:asciiTheme="minorHAnsi" w:eastAsia="Times New Roman" w:hAnsiTheme="minorHAnsi" w:cstheme="minorHAnsi"/>
                <w:b w:val="0"/>
                <w:bCs w:val="0"/>
                <w:color w:val="000000"/>
                <w:lang w:eastAsia="ko-KR"/>
              </w:rPr>
              <w:t> Numerous epidemiologic studies report that air pollutants (PM</w:t>
            </w:r>
            <w:r w:rsidRPr="00A763E1">
              <w:rPr>
                <w:rFonts w:asciiTheme="minorHAnsi" w:eastAsia="Times New Roman" w:hAnsiTheme="minorHAnsi" w:cstheme="minorHAnsi"/>
                <w:b w:val="0"/>
                <w:bCs w:val="0"/>
                <w:color w:val="000000"/>
                <w:vertAlign w:val="subscript"/>
                <w:lang w:eastAsia="ko-KR"/>
              </w:rPr>
              <w:t>2.5</w:t>
            </w:r>
            <w:r w:rsidRPr="00A763E1">
              <w:rPr>
                <w:rFonts w:asciiTheme="minorHAnsi" w:eastAsia="Times New Roman" w:hAnsiTheme="minorHAnsi" w:cstheme="minorHAnsi"/>
                <w:b w:val="0"/>
                <w:bCs w:val="0"/>
                <w:color w:val="000000"/>
                <w:lang w:eastAsia="ko-KR"/>
              </w:rPr>
              <w:t>, NO</w:t>
            </w:r>
            <w:r w:rsidRPr="00A763E1">
              <w:rPr>
                <w:rFonts w:asciiTheme="minorHAnsi" w:eastAsia="Times New Roman" w:hAnsiTheme="minorHAnsi" w:cstheme="minorHAnsi"/>
                <w:b w:val="0"/>
                <w:bCs w:val="0"/>
                <w:color w:val="000000"/>
                <w:vertAlign w:val="subscript"/>
                <w:lang w:eastAsia="ko-KR"/>
              </w:rPr>
              <w:t>2</w:t>
            </w:r>
            <w:r w:rsidRPr="00A763E1">
              <w:rPr>
                <w:rFonts w:asciiTheme="minorHAnsi" w:eastAsia="Times New Roman" w:hAnsiTheme="minorHAnsi" w:cstheme="minorHAnsi"/>
                <w:b w:val="0"/>
                <w:bCs w:val="0"/>
                <w:color w:val="000000"/>
                <w:lang w:eastAsia="ko-KR"/>
              </w:rPr>
              <w:t>, and ozone) are associated with increased risk of cardiovascular death.</w:t>
            </w:r>
            <w:r w:rsidRPr="00A763E1">
              <w:rPr>
                <w:rFonts w:asciiTheme="minorHAnsi" w:eastAsia="Times New Roman" w:hAnsiTheme="minorHAnsi" w:cstheme="minorHAnsi"/>
                <w:b w:val="0"/>
                <w:bCs w:val="0"/>
                <w:color w:val="000000"/>
                <w:vertAlign w:val="superscript"/>
                <w:lang w:eastAsia="ko-KR"/>
              </w:rPr>
              <w:t>7,8,9</w:t>
            </w:r>
            <w:r w:rsidR="00E52D11" w:rsidRPr="00A763E1">
              <w:rPr>
                <w:rFonts w:asciiTheme="minorHAnsi" w:eastAsia="Times New Roman" w:hAnsiTheme="minorHAnsi" w:cstheme="minorHAnsi"/>
                <w:b w:val="0"/>
                <w:bCs w:val="0"/>
                <w:color w:val="000000"/>
                <w:vertAlign w:val="superscript"/>
                <w:lang w:eastAsia="ko-KR"/>
              </w:rPr>
              <w:t>,10</w:t>
            </w:r>
            <w:r w:rsidRPr="00A763E1">
              <w:rPr>
                <w:rFonts w:asciiTheme="minorHAnsi" w:eastAsia="Times New Roman" w:hAnsiTheme="minorHAnsi" w:cstheme="minorHAnsi"/>
                <w:b w:val="0"/>
                <w:bCs w:val="0"/>
                <w:color w:val="000000"/>
                <w:lang w:eastAsia="ko-KR"/>
              </w:rPr>
              <w:t> The AHA also confirm</w:t>
            </w:r>
            <w:r w:rsidR="00516F70" w:rsidRPr="00A763E1">
              <w:rPr>
                <w:rFonts w:asciiTheme="minorHAnsi" w:eastAsia="Times New Roman" w:hAnsiTheme="minorHAnsi" w:cstheme="minorHAnsi"/>
                <w:b w:val="0"/>
                <w:bCs w:val="0"/>
                <w:color w:val="000000"/>
                <w:lang w:eastAsia="ko-KR"/>
              </w:rPr>
              <w:t>ed</w:t>
            </w:r>
            <w:r w:rsidRPr="00A763E1">
              <w:rPr>
                <w:rFonts w:asciiTheme="minorHAnsi" w:eastAsia="Times New Roman" w:hAnsiTheme="minorHAnsi" w:cstheme="minorHAnsi"/>
                <w:b w:val="0"/>
                <w:bCs w:val="0"/>
                <w:color w:val="000000"/>
                <w:lang w:eastAsia="ko-KR"/>
              </w:rPr>
              <w:t xml:space="preserve"> that PM</w:t>
            </w:r>
            <w:r w:rsidRPr="00A763E1">
              <w:rPr>
                <w:rFonts w:asciiTheme="minorHAnsi" w:eastAsia="Times New Roman" w:hAnsiTheme="minorHAnsi" w:cstheme="minorHAnsi"/>
                <w:b w:val="0"/>
                <w:bCs w:val="0"/>
                <w:color w:val="000000"/>
                <w:vertAlign w:val="subscript"/>
                <w:lang w:eastAsia="ko-KR"/>
              </w:rPr>
              <w:t>2.5</w:t>
            </w:r>
            <w:r w:rsidRPr="00A763E1">
              <w:rPr>
                <w:rFonts w:asciiTheme="minorHAnsi" w:eastAsia="Times New Roman" w:hAnsiTheme="minorHAnsi" w:cstheme="minorHAnsi"/>
                <w:b w:val="0"/>
                <w:bCs w:val="0"/>
                <w:color w:val="000000"/>
                <w:lang w:eastAsia="ko-KR"/>
              </w:rPr>
              <w:t> exposure is deemed a modifiable factor that contributes to cardiovascular illness and death.</w:t>
            </w:r>
            <w:r w:rsidR="00E52D11" w:rsidRPr="00A763E1">
              <w:rPr>
                <w:rFonts w:asciiTheme="minorHAnsi" w:eastAsia="Times New Roman" w:hAnsiTheme="minorHAnsi" w:cstheme="minorHAnsi"/>
                <w:b w:val="0"/>
                <w:bCs w:val="0"/>
                <w:color w:val="000000"/>
                <w:vertAlign w:val="superscript"/>
                <w:lang w:eastAsia="ko-KR"/>
              </w:rPr>
              <w:t>8</w:t>
            </w:r>
            <w:r w:rsidRPr="00A763E1">
              <w:rPr>
                <w:rFonts w:asciiTheme="minorHAnsi" w:eastAsia="Times New Roman" w:hAnsiTheme="minorHAnsi" w:cstheme="minorHAnsi"/>
                <w:b w:val="0"/>
                <w:bCs w:val="0"/>
                <w:color w:val="000000"/>
                <w:lang w:eastAsia="ko-KR"/>
              </w:rPr>
              <w:t> Strategic examination and reduction of individuals' exposure to these air pollutants may result in a concurrent decrease in the number of deaths related to cardiovascular diseases.</w:t>
            </w:r>
          </w:p>
          <w:p w14:paraId="64BE0ECF" w14:textId="77777777" w:rsidR="00E52D11" w:rsidRPr="00A763E1" w:rsidRDefault="00E52D11" w:rsidP="00E52D11">
            <w:pPr>
              <w:rPr>
                <w:rFonts w:asciiTheme="minorHAnsi" w:eastAsia="Times New Roman" w:hAnsiTheme="minorHAnsi" w:cstheme="minorHAnsi"/>
                <w:b w:val="0"/>
                <w:bCs w:val="0"/>
                <w:color w:val="000000"/>
                <w:lang w:eastAsia="ko-KR"/>
              </w:rPr>
            </w:pPr>
          </w:p>
          <w:p w14:paraId="5AF979EC" w14:textId="5D8D545A" w:rsidR="009D7713" w:rsidRPr="00A763E1" w:rsidRDefault="009D7713" w:rsidP="00E52D11">
            <w:pPr>
              <w:rPr>
                <w:rFonts w:asciiTheme="minorHAnsi" w:eastAsia="Times New Roman" w:hAnsiTheme="minorHAnsi" w:cstheme="minorHAnsi"/>
                <w:b w:val="0"/>
                <w:bCs w:val="0"/>
                <w:color w:val="000000"/>
                <w:lang w:eastAsia="ko-KR"/>
              </w:rPr>
            </w:pPr>
            <w:r w:rsidRPr="00A763E1">
              <w:rPr>
                <w:rFonts w:asciiTheme="minorHAnsi" w:eastAsia="Times New Roman" w:hAnsiTheme="minorHAnsi" w:cstheme="minorHAnsi"/>
                <w:b w:val="0"/>
                <w:bCs w:val="0"/>
                <w:color w:val="000000"/>
                <w:lang w:eastAsia="ko-KR"/>
              </w:rPr>
              <w:t>In addition to air pollution, extreme temperatures-hot and cold spells-are also associated with excess ischemic heart disease and deaths from heart attack.</w:t>
            </w:r>
            <w:r w:rsidRPr="00A763E1">
              <w:rPr>
                <w:rFonts w:asciiTheme="minorHAnsi" w:eastAsia="Times New Roman" w:hAnsiTheme="minorHAnsi" w:cstheme="minorHAnsi"/>
                <w:b w:val="0"/>
                <w:bCs w:val="0"/>
                <w:color w:val="000000"/>
                <w:vertAlign w:val="superscript"/>
                <w:lang w:eastAsia="ko-KR"/>
              </w:rPr>
              <w:t>1</w:t>
            </w:r>
            <w:r w:rsidR="00E52D11" w:rsidRPr="00A763E1">
              <w:rPr>
                <w:rFonts w:asciiTheme="minorHAnsi" w:eastAsia="Times New Roman" w:hAnsiTheme="minorHAnsi" w:cstheme="minorHAnsi"/>
                <w:b w:val="0"/>
                <w:bCs w:val="0"/>
                <w:color w:val="000000"/>
                <w:vertAlign w:val="superscript"/>
                <w:lang w:eastAsia="ko-KR"/>
              </w:rPr>
              <w:t>1</w:t>
            </w:r>
            <w:r w:rsidRPr="00A763E1">
              <w:rPr>
                <w:rFonts w:asciiTheme="minorHAnsi" w:eastAsia="Times New Roman" w:hAnsiTheme="minorHAnsi" w:cstheme="minorHAnsi"/>
                <w:b w:val="0"/>
                <w:bCs w:val="0"/>
                <w:color w:val="000000"/>
                <w:lang w:eastAsia="ko-KR"/>
              </w:rPr>
              <w:t> Exposure to cold increased the risk of heart attack</w:t>
            </w:r>
            <w:r w:rsidR="001A5ABA" w:rsidRPr="00A763E1">
              <w:rPr>
                <w:rFonts w:asciiTheme="minorHAnsi" w:eastAsia="Times New Roman" w:hAnsiTheme="minorHAnsi" w:cstheme="minorHAnsi"/>
                <w:b w:val="0"/>
                <w:bCs w:val="0"/>
                <w:color w:val="000000"/>
                <w:lang w:eastAsia="ko-KR"/>
              </w:rPr>
              <w:t>,</w:t>
            </w:r>
            <w:r w:rsidRPr="00A763E1">
              <w:rPr>
                <w:rFonts w:asciiTheme="minorHAnsi" w:eastAsia="Times New Roman" w:hAnsiTheme="minorHAnsi" w:cstheme="minorHAnsi"/>
                <w:b w:val="0"/>
                <w:bCs w:val="0"/>
                <w:color w:val="000000"/>
                <w:lang w:eastAsia="ko-KR"/>
              </w:rPr>
              <w:t xml:space="preserve"> and exposure to heat and cold are both associated with increased risk of dying after a heart attack.</w:t>
            </w:r>
            <w:r w:rsidRPr="00A763E1">
              <w:rPr>
                <w:rFonts w:asciiTheme="minorHAnsi" w:eastAsia="Times New Roman" w:hAnsiTheme="minorHAnsi" w:cstheme="minorHAnsi"/>
                <w:b w:val="0"/>
                <w:bCs w:val="0"/>
                <w:color w:val="000000"/>
                <w:vertAlign w:val="superscript"/>
                <w:lang w:eastAsia="ko-KR"/>
              </w:rPr>
              <w:t>11</w:t>
            </w:r>
            <w:r w:rsidR="00E52D11" w:rsidRPr="00A763E1">
              <w:rPr>
                <w:rFonts w:asciiTheme="minorHAnsi" w:eastAsia="Times New Roman" w:hAnsiTheme="minorHAnsi" w:cstheme="minorHAnsi"/>
                <w:b w:val="0"/>
                <w:bCs w:val="0"/>
                <w:color w:val="000000"/>
                <w:vertAlign w:val="superscript"/>
                <w:lang w:eastAsia="ko-KR"/>
              </w:rPr>
              <w:t>,12</w:t>
            </w:r>
            <w:r w:rsidRPr="00A763E1">
              <w:rPr>
                <w:rFonts w:asciiTheme="minorHAnsi" w:eastAsia="Times New Roman" w:hAnsiTheme="minorHAnsi" w:cstheme="minorHAnsi"/>
                <w:b w:val="0"/>
                <w:bCs w:val="0"/>
                <w:color w:val="000000"/>
                <w:lang w:eastAsia="ko-KR"/>
              </w:rPr>
              <w:t> With the frequency of extreme temperatures projected to escalate, better understanding of this relationship could help identify high-risk individuals and more effectively guide preventive actions.</w:t>
            </w:r>
            <w:r w:rsidRPr="00A763E1">
              <w:rPr>
                <w:rFonts w:asciiTheme="minorHAnsi" w:eastAsia="Times New Roman" w:hAnsiTheme="minorHAnsi" w:cstheme="minorHAnsi"/>
                <w:b w:val="0"/>
                <w:bCs w:val="0"/>
                <w:color w:val="000000"/>
                <w:vertAlign w:val="superscript"/>
                <w:lang w:eastAsia="ko-KR"/>
              </w:rPr>
              <w:t>1</w:t>
            </w:r>
            <w:r w:rsidR="00E52D11" w:rsidRPr="00A763E1">
              <w:rPr>
                <w:rFonts w:asciiTheme="minorHAnsi" w:eastAsia="Times New Roman" w:hAnsiTheme="minorHAnsi" w:cstheme="minorHAnsi"/>
                <w:b w:val="0"/>
                <w:bCs w:val="0"/>
                <w:color w:val="000000"/>
                <w:vertAlign w:val="superscript"/>
                <w:lang w:eastAsia="ko-KR"/>
              </w:rPr>
              <w:t>1</w:t>
            </w:r>
          </w:p>
          <w:p w14:paraId="151B37A1" w14:textId="5031D3D5" w:rsidR="006421DF" w:rsidRPr="00A763E1" w:rsidRDefault="006421DF" w:rsidP="00E52D11">
            <w:pPr>
              <w:rPr>
                <w:rFonts w:asciiTheme="minorHAnsi" w:eastAsia="Times New Roman" w:hAnsiTheme="minorHAnsi" w:cstheme="minorHAnsi"/>
              </w:rPr>
            </w:pPr>
          </w:p>
          <w:p w14:paraId="208D321E" w14:textId="2D0FC817" w:rsidR="00CB2AD0" w:rsidRPr="00A763E1" w:rsidRDefault="00B371DB" w:rsidP="00E52D11">
            <w:pPr>
              <w:rPr>
                <w:rFonts w:asciiTheme="minorHAnsi" w:hAnsiTheme="minorHAnsi" w:cstheme="minorBidi"/>
                <w:vertAlign w:val="superscript"/>
              </w:rPr>
            </w:pPr>
            <w:r w:rsidRPr="00A763E1">
              <w:rPr>
                <w:rFonts w:asciiTheme="minorHAnsi" w:hAnsiTheme="minorHAnsi" w:cstheme="minorBidi"/>
                <w:b w:val="0"/>
              </w:rPr>
              <w:t xml:space="preserve">CDC’s Tracking Program developed sub-county geographies based on having a minimum population threshold of 5,000 and 20,000 persons. For data prior to 2020, these populations are based on population data of the 2010 Decennial Census. After the 2020 Decennial Census data </w:t>
            </w:r>
            <w:r w:rsidR="00F14AEB" w:rsidRPr="00A763E1">
              <w:rPr>
                <w:rFonts w:asciiTheme="minorHAnsi" w:hAnsiTheme="minorHAnsi" w:cstheme="minorBidi"/>
                <w:b w:val="0"/>
              </w:rPr>
              <w:t xml:space="preserve">are </w:t>
            </w:r>
            <w:r w:rsidRPr="00A763E1">
              <w:rPr>
                <w:rFonts w:asciiTheme="minorHAnsi" w:hAnsiTheme="minorHAnsi" w:cstheme="minorBidi"/>
                <w:b w:val="0"/>
              </w:rPr>
              <w:t xml:space="preserve">available, sub-county geographies will be aggregated based on the population of the Decennial Census for that decade, with health data reported during that decade using the corresponding geographies. The </w:t>
            </w:r>
            <w:r w:rsidR="00A8423B" w:rsidRPr="00A763E1">
              <w:rPr>
                <w:rFonts w:asciiTheme="minorHAnsi" w:hAnsiTheme="minorHAnsi" w:cstheme="minorBidi"/>
                <w:b w:val="0"/>
              </w:rPr>
              <w:t>5,000-person</w:t>
            </w:r>
            <w:r w:rsidRPr="00A763E1">
              <w:rPr>
                <w:rFonts w:asciiTheme="minorHAnsi" w:hAnsiTheme="minorHAnsi" w:cstheme="minorBidi"/>
                <w:b w:val="0"/>
              </w:rPr>
              <w:t xml:space="preserve"> minimum population geographies are created by aggregating census tracts by block group population-weighted centroids until the minimum population threshold is achieved. The </w:t>
            </w:r>
            <w:r w:rsidR="00A8423B" w:rsidRPr="00A763E1">
              <w:rPr>
                <w:rFonts w:asciiTheme="minorHAnsi" w:hAnsiTheme="minorHAnsi" w:cstheme="minorBidi"/>
                <w:b w:val="0"/>
              </w:rPr>
              <w:t>20,000-person</w:t>
            </w:r>
            <w:r w:rsidRPr="00A763E1">
              <w:rPr>
                <w:rFonts w:asciiTheme="minorHAnsi" w:hAnsiTheme="minorHAnsi" w:cstheme="minorBidi"/>
                <w:b w:val="0"/>
              </w:rPr>
              <w:t xml:space="preserve"> minimum population geographies are created by aggregating</w:t>
            </w:r>
            <w:r w:rsidRPr="00A763E1">
              <w:rPr>
                <w:rFonts w:asciiTheme="minorHAnsi" w:hAnsiTheme="minorHAnsi" w:cstheme="minorBidi"/>
              </w:rPr>
              <w:t xml:space="preserve"> </w:t>
            </w:r>
            <w:r w:rsidRPr="00A763E1">
              <w:rPr>
                <w:rFonts w:asciiTheme="minorHAnsi" w:hAnsiTheme="minorHAnsi" w:cstheme="minorBidi"/>
                <w:b w:val="0"/>
              </w:rPr>
              <w:t xml:space="preserve">the </w:t>
            </w:r>
            <w:r w:rsidR="00A8423B" w:rsidRPr="00A763E1">
              <w:rPr>
                <w:rFonts w:asciiTheme="minorHAnsi" w:hAnsiTheme="minorHAnsi" w:cstheme="minorBidi"/>
                <w:b w:val="0"/>
              </w:rPr>
              <w:t>5,000-person</w:t>
            </w:r>
            <w:r w:rsidRPr="00A763E1">
              <w:rPr>
                <w:rFonts w:asciiTheme="minorHAnsi" w:hAnsiTheme="minorHAnsi" w:cstheme="minorBidi"/>
                <w:b w:val="0"/>
              </w:rPr>
              <w:t xml:space="preserve"> minimum population geographies by census tract population-weighted centroids until the minimum population threshold is achieved. These two sets of geographies also contain areas of combined counties. Where possible, counties below the desired minimum population are combined with neighboring counties also below the desired minimum population until the minimum population threshold is achieved. Where not possible, these counties are left as independent counties. Census tracts with zero population are not included in </w:t>
            </w:r>
            <w:r w:rsidRPr="00A763E1">
              <w:rPr>
                <w:rFonts w:asciiTheme="minorHAnsi" w:hAnsiTheme="minorHAnsi" w:cstheme="minorBidi"/>
                <w:b w:val="0"/>
              </w:rPr>
              <w:lastRenderedPageBreak/>
              <w:t xml:space="preserve">the described aggregations methods and remain as zero population census tracts. By using these geographies to display health data, the Tracking Program can provide statistically stable health information for smaller communities than standard county-level data can provide, while protecting </w:t>
            </w:r>
            <w:r w:rsidR="00ED6DAD" w:rsidRPr="00A763E1">
              <w:rPr>
                <w:rFonts w:asciiTheme="minorHAnsi" w:hAnsiTheme="minorHAnsi" w:cstheme="minorBidi"/>
                <w:b w:val="0"/>
              </w:rPr>
              <w:t xml:space="preserve">the </w:t>
            </w:r>
            <w:r w:rsidRPr="00A763E1">
              <w:rPr>
                <w:rFonts w:asciiTheme="minorHAnsi" w:hAnsiTheme="minorHAnsi" w:cstheme="minorBidi"/>
                <w:b w:val="0"/>
              </w:rPr>
              <w:t>confidentiality of the residents of these geographies.</w:t>
            </w:r>
            <w:r w:rsidR="00930ED9" w:rsidRPr="00A763E1">
              <w:rPr>
                <w:rFonts w:asciiTheme="minorHAnsi" w:hAnsiTheme="minorHAnsi" w:cstheme="minorBidi"/>
                <w:b w:val="0"/>
                <w:vertAlign w:val="superscript"/>
              </w:rPr>
              <w:t>1</w:t>
            </w:r>
            <w:r w:rsidRPr="00A763E1">
              <w:rPr>
                <w:rFonts w:asciiTheme="minorHAnsi" w:hAnsiTheme="minorHAnsi" w:cstheme="minorBidi"/>
                <w:b w:val="0"/>
                <w:vertAlign w:val="superscript"/>
              </w:rPr>
              <w:t>3</w:t>
            </w:r>
            <w:r w:rsidR="0051545A" w:rsidRPr="00A763E1">
              <w:rPr>
                <w:rFonts w:asciiTheme="minorHAnsi" w:hAnsiTheme="minorHAnsi" w:cstheme="minorBidi"/>
                <w:b w:val="0"/>
                <w:vertAlign w:val="superscript"/>
              </w:rPr>
              <w:t xml:space="preserve"> </w:t>
            </w:r>
            <w:bookmarkStart w:id="0" w:name="_Hlk80703229"/>
            <w:r w:rsidR="0051545A" w:rsidRPr="00A763E1">
              <w:rPr>
                <w:rFonts w:asciiTheme="minorHAnsi" w:hAnsiTheme="minorHAnsi" w:cstheme="minorBidi"/>
              </w:rPr>
              <w:fldChar w:fldCharType="begin"/>
            </w:r>
            <w:r w:rsidR="0051545A" w:rsidRPr="00A763E1">
              <w:rPr>
                <w:rFonts w:asciiTheme="minorHAnsi" w:hAnsiTheme="minorHAnsi" w:cstheme="minorBidi"/>
                <w:b w:val="0"/>
              </w:rPr>
              <w:instrText xml:space="preserve"> HYPERLINK "https://github.com/CDCgov/EPHTracking-Subcounty" </w:instrText>
            </w:r>
            <w:r w:rsidR="0051545A" w:rsidRPr="00A763E1">
              <w:rPr>
                <w:rFonts w:asciiTheme="minorHAnsi" w:hAnsiTheme="minorHAnsi" w:cstheme="minorBidi"/>
              </w:rPr>
              <w:fldChar w:fldCharType="separate"/>
            </w:r>
            <w:r w:rsidR="0051545A" w:rsidRPr="00A763E1">
              <w:rPr>
                <w:rStyle w:val="Hyperlink"/>
                <w:rFonts w:asciiTheme="minorHAnsi" w:hAnsiTheme="minorHAnsi" w:cstheme="minorBidi"/>
                <w:b w:val="0"/>
              </w:rPr>
              <w:t>For detailed information on the Tracking Program’s aggregation methodology, please visit our GitHub repository.</w:t>
            </w:r>
            <w:r w:rsidR="0051545A" w:rsidRPr="00A763E1">
              <w:rPr>
                <w:rFonts w:asciiTheme="minorHAnsi" w:hAnsiTheme="minorHAnsi" w:cstheme="minorBidi"/>
              </w:rPr>
              <w:fldChar w:fldCharType="end"/>
            </w:r>
            <w:bookmarkEnd w:id="0"/>
          </w:p>
          <w:p w14:paraId="58664154" w14:textId="3F6BAB08" w:rsidR="00E52D11" w:rsidRPr="00A763E1" w:rsidRDefault="00E52D11" w:rsidP="00E52D11">
            <w:pPr>
              <w:rPr>
                <w:rFonts w:asciiTheme="minorHAnsi" w:hAnsiTheme="minorHAnsi" w:cstheme="minorHAnsi"/>
                <w:b w:val="0"/>
                <w:color w:val="000000"/>
              </w:rPr>
            </w:pPr>
          </w:p>
        </w:tc>
      </w:tr>
      <w:tr w:rsidR="008129B5" w:rsidRPr="00A763E1" w14:paraId="58664162" w14:textId="77777777" w:rsidTr="00930ED9">
        <w:tc>
          <w:tcPr>
            <w:tcW w:w="1068" w:type="pct"/>
          </w:tcPr>
          <w:p w14:paraId="58664156" w14:textId="77777777" w:rsidR="008129B5" w:rsidRPr="00A763E1" w:rsidRDefault="008129B5" w:rsidP="00C561D0">
            <w:pPr>
              <w:rPr>
                <w:rFonts w:asciiTheme="minorHAnsi" w:hAnsiTheme="minorHAnsi" w:cstheme="minorHAnsi"/>
                <w:b/>
              </w:rPr>
            </w:pPr>
            <w:r w:rsidRPr="00A763E1">
              <w:rPr>
                <w:rFonts w:asciiTheme="minorHAnsi" w:hAnsiTheme="minorHAnsi" w:cstheme="minorHAnsi"/>
                <w:b/>
              </w:rPr>
              <w:lastRenderedPageBreak/>
              <w:t>Use of the Measure</w:t>
            </w:r>
          </w:p>
        </w:tc>
        <w:tc>
          <w:tcPr>
            <w:cnfStyle w:val="000100000000" w:firstRow="0" w:lastRow="0" w:firstColumn="0" w:lastColumn="1" w:oddVBand="0" w:evenVBand="0" w:oddHBand="0" w:evenHBand="0" w:firstRowFirstColumn="0" w:firstRowLastColumn="0" w:lastRowFirstColumn="0" w:lastRowLastColumn="0"/>
            <w:tcW w:w="3932" w:type="pct"/>
          </w:tcPr>
          <w:p w14:paraId="58664157" w14:textId="48AFCDD8" w:rsidR="00CB2AD0" w:rsidRPr="00A763E1" w:rsidRDefault="00D536A0" w:rsidP="00CB2AD0">
            <w:pPr>
              <w:rPr>
                <w:rFonts w:asciiTheme="minorHAnsi" w:eastAsia="Times New Roman" w:hAnsiTheme="minorHAnsi" w:cstheme="minorBidi"/>
                <w:b w:val="0"/>
              </w:rPr>
            </w:pPr>
            <w:r w:rsidRPr="00A763E1">
              <w:rPr>
                <w:rFonts w:asciiTheme="minorHAnsi" w:eastAsia="Times New Roman" w:hAnsiTheme="minorHAnsi" w:cstheme="minorBidi"/>
                <w:b w:val="0"/>
              </w:rPr>
              <w:t>These measures can be used to assess the burden of heart attack, monitor trends over time</w:t>
            </w:r>
            <w:r w:rsidRPr="00A763E1">
              <w:rPr>
                <w:rFonts w:asciiTheme="minorHAnsi" w:eastAsia="Times New Roman" w:hAnsiTheme="minorHAnsi" w:cstheme="minorBidi"/>
                <w:b w:val="0"/>
                <w:bCs w:val="0"/>
              </w:rPr>
              <w:t xml:space="preserve">, </w:t>
            </w:r>
            <w:r w:rsidRPr="00A763E1">
              <w:rPr>
                <w:rFonts w:asciiTheme="minorHAnsi" w:hAnsiTheme="minorHAnsi"/>
                <w:b w:val="0"/>
                <w:bCs w:val="0"/>
                <w:color w:val="000000" w:themeColor="text1"/>
                <w:sz w:val="23"/>
              </w:rPr>
              <w:t xml:space="preserve">identify high-risk groups, and enhance prevention, education, and evaluation efforts. </w:t>
            </w:r>
            <w:r w:rsidR="00CB2AD0" w:rsidRPr="00A763E1">
              <w:rPr>
                <w:rFonts w:asciiTheme="minorHAnsi" w:eastAsia="Times New Roman" w:hAnsiTheme="minorHAnsi" w:cstheme="minorBidi"/>
                <w:b w:val="0"/>
                <w:bCs w:val="0"/>
              </w:rPr>
              <w:t>The</w:t>
            </w:r>
            <w:r w:rsidR="00CB2AD0" w:rsidRPr="00A763E1">
              <w:rPr>
                <w:rFonts w:asciiTheme="minorHAnsi" w:eastAsia="Times New Roman" w:hAnsiTheme="minorHAnsi" w:cstheme="minorBidi"/>
                <w:b w:val="0"/>
              </w:rPr>
              <w:t xml:space="preserve"> development of standardized measures </w:t>
            </w:r>
            <w:r w:rsidR="00B93B71" w:rsidRPr="00A763E1">
              <w:rPr>
                <w:rFonts w:asciiTheme="minorHAnsi" w:eastAsia="Times New Roman" w:hAnsiTheme="minorHAnsi" w:cstheme="minorBidi"/>
                <w:b w:val="0"/>
              </w:rPr>
              <w:t xml:space="preserve">and </w:t>
            </w:r>
            <w:r w:rsidR="00CB2AD0" w:rsidRPr="00A763E1">
              <w:rPr>
                <w:rFonts w:asciiTheme="minorHAnsi" w:eastAsia="Times New Roman" w:hAnsiTheme="minorHAnsi" w:cstheme="minorBidi"/>
                <w:b w:val="0"/>
              </w:rPr>
              <w:t>method</w:t>
            </w:r>
            <w:r w:rsidR="00B93B71" w:rsidRPr="00A763E1">
              <w:rPr>
                <w:rFonts w:asciiTheme="minorHAnsi" w:eastAsia="Times New Roman" w:hAnsiTheme="minorHAnsi" w:cstheme="minorBidi"/>
                <w:b w:val="0"/>
              </w:rPr>
              <w:t>s</w:t>
            </w:r>
            <w:r w:rsidR="00CB2AD0" w:rsidRPr="00A763E1">
              <w:rPr>
                <w:rFonts w:asciiTheme="minorHAnsi" w:eastAsia="Times New Roman" w:hAnsiTheme="minorHAnsi" w:cstheme="minorBidi"/>
                <w:b w:val="0"/>
              </w:rPr>
              <w:t xml:space="preserve"> for AMI hospital</w:t>
            </w:r>
            <w:r w:rsidR="00B93B71" w:rsidRPr="00A763E1">
              <w:rPr>
                <w:rFonts w:asciiTheme="minorHAnsi" w:eastAsia="Times New Roman" w:hAnsiTheme="minorHAnsi" w:cstheme="minorBidi"/>
                <w:b w:val="0"/>
              </w:rPr>
              <w:t>izations</w:t>
            </w:r>
            <w:r w:rsidR="00CB2AD0" w:rsidRPr="00A763E1">
              <w:rPr>
                <w:rFonts w:asciiTheme="minorHAnsi" w:eastAsia="Times New Roman" w:hAnsiTheme="minorHAnsi" w:cstheme="minorBidi"/>
                <w:b w:val="0"/>
              </w:rPr>
              <w:t xml:space="preserve"> among residents in each state will inform multiple users at the national, state, and local levels.  </w:t>
            </w:r>
          </w:p>
          <w:p w14:paraId="58664158" w14:textId="77777777" w:rsidR="00790627" w:rsidRPr="00A763E1" w:rsidRDefault="00790627" w:rsidP="00C561D0">
            <w:pPr>
              <w:rPr>
                <w:rFonts w:asciiTheme="minorHAnsi" w:hAnsiTheme="minorHAnsi" w:cstheme="minorHAnsi"/>
                <w:b w:val="0"/>
              </w:rPr>
            </w:pPr>
          </w:p>
          <w:p w14:paraId="58664159" w14:textId="77777777" w:rsidR="00790627" w:rsidRPr="00A763E1" w:rsidRDefault="00790627" w:rsidP="00C561D0">
            <w:pPr>
              <w:rPr>
                <w:rFonts w:asciiTheme="minorHAnsi" w:hAnsiTheme="minorHAnsi" w:cstheme="minorHAnsi"/>
                <w:b w:val="0"/>
              </w:rPr>
            </w:pPr>
            <w:r w:rsidRPr="00A763E1">
              <w:rPr>
                <w:rFonts w:asciiTheme="minorHAnsi" w:hAnsiTheme="minorHAnsi" w:cstheme="minorHAnsi"/>
                <w:b w:val="0"/>
              </w:rPr>
              <w:t>These measures will address the following surveillance functions:</w:t>
            </w:r>
          </w:p>
          <w:p w14:paraId="5866415A" w14:textId="77777777" w:rsidR="00790627" w:rsidRPr="00A763E1" w:rsidRDefault="00790627" w:rsidP="00C561D0">
            <w:pPr>
              <w:rPr>
                <w:rFonts w:asciiTheme="minorHAnsi" w:hAnsiTheme="minorHAnsi" w:cstheme="minorHAnsi"/>
                <w:b w:val="0"/>
              </w:rPr>
            </w:pPr>
          </w:p>
          <w:p w14:paraId="5866415B" w14:textId="77777777" w:rsidR="00790627" w:rsidRPr="00A763E1" w:rsidRDefault="00790627" w:rsidP="00C561D0">
            <w:pPr>
              <w:pStyle w:val="ListParagraph"/>
              <w:numPr>
                <w:ilvl w:val="0"/>
                <w:numId w:val="16"/>
              </w:numPr>
              <w:rPr>
                <w:rFonts w:asciiTheme="minorHAnsi" w:hAnsiTheme="minorHAnsi" w:cstheme="minorHAnsi"/>
                <w:b w:val="0"/>
              </w:rPr>
            </w:pPr>
            <w:r w:rsidRPr="00A763E1">
              <w:rPr>
                <w:rFonts w:asciiTheme="minorHAnsi" w:hAnsiTheme="minorHAnsi" w:cstheme="minorHAnsi"/>
                <w:b w:val="0"/>
              </w:rPr>
              <w:t>Examination of time trends in AMI hospitalizations.</w:t>
            </w:r>
          </w:p>
          <w:p w14:paraId="5866415C" w14:textId="77777777" w:rsidR="00790627" w:rsidRPr="00A763E1" w:rsidRDefault="00790627" w:rsidP="00C561D0">
            <w:pPr>
              <w:pStyle w:val="ListParagraph"/>
              <w:numPr>
                <w:ilvl w:val="0"/>
                <w:numId w:val="16"/>
              </w:numPr>
              <w:rPr>
                <w:rFonts w:asciiTheme="minorHAnsi" w:hAnsiTheme="minorHAnsi" w:cstheme="minorHAnsi"/>
                <w:b w:val="0"/>
              </w:rPr>
            </w:pPr>
            <w:r w:rsidRPr="00A763E1">
              <w:rPr>
                <w:rFonts w:asciiTheme="minorHAnsi" w:hAnsiTheme="minorHAnsi" w:cstheme="minorHAnsi"/>
                <w:b w:val="0"/>
              </w:rPr>
              <w:t>Identification of seasonal trends.</w:t>
            </w:r>
          </w:p>
          <w:p w14:paraId="5866415D" w14:textId="77777777" w:rsidR="00790627" w:rsidRPr="00A763E1" w:rsidRDefault="00790627" w:rsidP="00C561D0">
            <w:pPr>
              <w:pStyle w:val="ListParagraph"/>
              <w:numPr>
                <w:ilvl w:val="0"/>
                <w:numId w:val="16"/>
              </w:numPr>
              <w:rPr>
                <w:rFonts w:asciiTheme="minorHAnsi" w:hAnsiTheme="minorHAnsi" w:cstheme="minorHAnsi"/>
                <w:b w:val="0"/>
              </w:rPr>
            </w:pPr>
            <w:r w:rsidRPr="00A763E1">
              <w:rPr>
                <w:rFonts w:asciiTheme="minorHAnsi" w:hAnsiTheme="minorHAnsi" w:cstheme="minorHAnsi"/>
                <w:b w:val="0"/>
              </w:rPr>
              <w:t>Assessment of geographic differences in hospitalizations.</w:t>
            </w:r>
          </w:p>
          <w:p w14:paraId="5866415E" w14:textId="77777777" w:rsidR="00790627" w:rsidRPr="00A763E1" w:rsidRDefault="00790627" w:rsidP="00C561D0">
            <w:pPr>
              <w:pStyle w:val="ListParagraph"/>
              <w:numPr>
                <w:ilvl w:val="0"/>
                <w:numId w:val="16"/>
              </w:numPr>
              <w:rPr>
                <w:rFonts w:asciiTheme="minorHAnsi" w:hAnsiTheme="minorHAnsi" w:cstheme="minorHAnsi"/>
                <w:b w:val="0"/>
              </w:rPr>
            </w:pPr>
            <w:r w:rsidRPr="00A763E1">
              <w:rPr>
                <w:rFonts w:asciiTheme="minorHAnsi" w:hAnsiTheme="minorHAnsi" w:cstheme="minorHAnsi"/>
                <w:b w:val="0"/>
              </w:rPr>
              <w:t>Evaluation of differences in AMI hospitalizations by age, gender, and race/ethnicity.</w:t>
            </w:r>
          </w:p>
          <w:p w14:paraId="5866415F" w14:textId="692AEF5F" w:rsidR="00790627" w:rsidRPr="00A763E1" w:rsidRDefault="00790627" w:rsidP="00C561D0">
            <w:pPr>
              <w:pStyle w:val="ListParagraph"/>
              <w:numPr>
                <w:ilvl w:val="0"/>
                <w:numId w:val="16"/>
              </w:numPr>
              <w:rPr>
                <w:rFonts w:asciiTheme="minorHAnsi" w:hAnsiTheme="minorHAnsi" w:cstheme="minorHAnsi"/>
                <w:b w:val="0"/>
              </w:rPr>
            </w:pPr>
            <w:r w:rsidRPr="00A763E1">
              <w:rPr>
                <w:rFonts w:asciiTheme="minorHAnsi" w:hAnsiTheme="minorHAnsi" w:cstheme="minorHAnsi"/>
                <w:b w:val="0"/>
              </w:rPr>
              <w:t>Determination of populations in need of targeted interventions</w:t>
            </w:r>
            <w:r w:rsidR="00B93B71" w:rsidRPr="00A763E1">
              <w:rPr>
                <w:rFonts w:asciiTheme="minorHAnsi" w:hAnsiTheme="minorHAnsi" w:cstheme="minorHAnsi"/>
                <w:b w:val="0"/>
              </w:rPr>
              <w:t>.</w:t>
            </w:r>
          </w:p>
          <w:p w14:paraId="58664160" w14:textId="1B78A133" w:rsidR="00790627" w:rsidRPr="00A763E1" w:rsidRDefault="000333C4" w:rsidP="00C561D0">
            <w:pPr>
              <w:pStyle w:val="ListParagraph"/>
              <w:numPr>
                <w:ilvl w:val="0"/>
                <w:numId w:val="16"/>
              </w:numPr>
              <w:rPr>
                <w:rFonts w:asciiTheme="minorHAnsi" w:hAnsiTheme="minorHAnsi" w:cstheme="minorHAnsi"/>
                <w:b w:val="0"/>
              </w:rPr>
            </w:pPr>
            <w:r w:rsidRPr="00A763E1">
              <w:rPr>
                <w:rFonts w:asciiTheme="minorHAnsi" w:hAnsiTheme="minorHAnsi" w:cstheme="minorHAnsi"/>
                <w:b w:val="0"/>
              </w:rPr>
              <w:t xml:space="preserve">Identification </w:t>
            </w:r>
            <w:r w:rsidR="00790627" w:rsidRPr="00A763E1">
              <w:rPr>
                <w:rFonts w:asciiTheme="minorHAnsi" w:hAnsiTheme="minorHAnsi" w:cstheme="minorHAnsi"/>
                <w:b w:val="0"/>
              </w:rPr>
              <w:t xml:space="preserve">of possible environmental relationships warranting further investigation or environmental public health </w:t>
            </w:r>
            <w:proofErr w:type="gramStart"/>
            <w:r w:rsidR="00790627" w:rsidRPr="00A763E1">
              <w:rPr>
                <w:rFonts w:asciiTheme="minorHAnsi" w:hAnsiTheme="minorHAnsi" w:cstheme="minorHAnsi"/>
                <w:b w:val="0"/>
              </w:rPr>
              <w:t>action</w:t>
            </w:r>
            <w:r w:rsidRPr="00A763E1">
              <w:rPr>
                <w:rFonts w:asciiTheme="minorHAnsi" w:hAnsiTheme="minorHAnsi" w:cstheme="minorHAnsi"/>
                <w:b w:val="0"/>
              </w:rPr>
              <w:t>, when</w:t>
            </w:r>
            <w:proofErr w:type="gramEnd"/>
            <w:r w:rsidRPr="00A763E1">
              <w:rPr>
                <w:rFonts w:asciiTheme="minorHAnsi" w:hAnsiTheme="minorHAnsi" w:cstheme="minorHAnsi"/>
                <w:b w:val="0"/>
              </w:rPr>
              <w:t xml:space="preserve"> AMI data are linked with environmental variables</w:t>
            </w:r>
            <w:r w:rsidR="00B93B71" w:rsidRPr="00A763E1">
              <w:rPr>
                <w:rFonts w:asciiTheme="minorHAnsi" w:hAnsiTheme="minorHAnsi" w:cstheme="minorHAnsi"/>
                <w:b w:val="0"/>
              </w:rPr>
              <w:t>.</w:t>
            </w:r>
          </w:p>
          <w:p w14:paraId="58664161" w14:textId="77777777" w:rsidR="008129B5" w:rsidRPr="00A763E1" w:rsidRDefault="008129B5" w:rsidP="00C561D0">
            <w:pPr>
              <w:rPr>
                <w:rFonts w:asciiTheme="minorHAnsi" w:hAnsiTheme="minorHAnsi" w:cstheme="minorHAnsi"/>
                <w:b w:val="0"/>
              </w:rPr>
            </w:pPr>
          </w:p>
        </w:tc>
      </w:tr>
      <w:tr w:rsidR="008129B5" w:rsidRPr="00A763E1" w14:paraId="5866416D" w14:textId="77777777" w:rsidTr="00930ED9">
        <w:tc>
          <w:tcPr>
            <w:tcW w:w="1068" w:type="pct"/>
          </w:tcPr>
          <w:p w14:paraId="58664163" w14:textId="77777777" w:rsidR="008129B5" w:rsidRPr="00A763E1" w:rsidRDefault="008129B5" w:rsidP="00C561D0">
            <w:pPr>
              <w:rPr>
                <w:rFonts w:asciiTheme="minorHAnsi" w:hAnsiTheme="minorHAnsi" w:cstheme="minorHAnsi"/>
                <w:b/>
              </w:rPr>
            </w:pPr>
            <w:r w:rsidRPr="00A763E1">
              <w:rPr>
                <w:rFonts w:asciiTheme="minorHAnsi" w:hAnsiTheme="minorHAnsi" w:cstheme="minorHAnsi"/>
                <w:b/>
              </w:rPr>
              <w:t>Limitations of the Measure</w:t>
            </w:r>
          </w:p>
        </w:tc>
        <w:tc>
          <w:tcPr>
            <w:cnfStyle w:val="000100000000" w:firstRow="0" w:lastRow="0" w:firstColumn="0" w:lastColumn="1" w:oddVBand="0" w:evenVBand="0" w:oddHBand="0" w:evenHBand="0" w:firstRowFirstColumn="0" w:firstRowLastColumn="0" w:lastRowFirstColumn="0" w:lastRowLastColumn="0"/>
            <w:tcW w:w="3932" w:type="pct"/>
          </w:tcPr>
          <w:p w14:paraId="6B45323B" w14:textId="40FAEE66" w:rsidR="004C0621" w:rsidRPr="00A763E1" w:rsidRDefault="004C0621" w:rsidP="004C0621">
            <w:pPr>
              <w:numPr>
                <w:ilvl w:val="0"/>
                <w:numId w:val="26"/>
              </w:numPr>
              <w:rPr>
                <w:rFonts w:asciiTheme="minorHAnsi" w:eastAsiaTheme="minorHAnsi" w:hAnsiTheme="minorHAnsi" w:cstheme="minorHAnsi"/>
                <w:color w:val="000000"/>
              </w:rPr>
            </w:pPr>
            <w:r w:rsidRPr="00A763E1">
              <w:rPr>
                <w:rFonts w:asciiTheme="minorHAnsi" w:hAnsiTheme="minorHAnsi" w:cstheme="minorHAnsi"/>
                <w:b w:val="0"/>
              </w:rPr>
              <w:t>On October 1, 2015 in the United States, th</w:t>
            </w:r>
            <w:r w:rsidR="00B12CC5" w:rsidRPr="00A763E1">
              <w:rPr>
                <w:rFonts w:asciiTheme="minorHAnsi" w:hAnsiTheme="minorHAnsi" w:cstheme="minorHAnsi"/>
                <w:b w:val="0"/>
              </w:rPr>
              <w:t>e</w:t>
            </w:r>
            <w:r w:rsidRPr="00A763E1">
              <w:rPr>
                <w:rFonts w:asciiTheme="minorHAnsi" w:hAnsiTheme="minorHAnsi" w:cstheme="minorHAnsi"/>
                <w:b w:val="0"/>
              </w:rPr>
              <w:t xml:space="preserve"> ICD-10-CM replaced th</w:t>
            </w:r>
            <w:r w:rsidR="00B12CC5" w:rsidRPr="00A763E1">
              <w:rPr>
                <w:rFonts w:asciiTheme="minorHAnsi" w:hAnsiTheme="minorHAnsi" w:cstheme="minorHAnsi"/>
                <w:b w:val="0"/>
              </w:rPr>
              <w:t>e I</w:t>
            </w:r>
            <w:r w:rsidRPr="00A763E1">
              <w:rPr>
                <w:rFonts w:asciiTheme="minorHAnsi" w:hAnsiTheme="minorHAnsi" w:cstheme="minorHAnsi"/>
                <w:b w:val="0"/>
              </w:rPr>
              <w:t>CD-9-CM for coding of medical terminology and disease classification. As a direct result of this change, there are nearly five times as many diagnosis codes in ICD-10-CM than in ICD-9-CM, allowing f</w:t>
            </w:r>
            <w:r w:rsidR="00B93B71" w:rsidRPr="00A763E1">
              <w:rPr>
                <w:rFonts w:asciiTheme="minorHAnsi" w:hAnsiTheme="minorHAnsi" w:cstheme="minorHAnsi"/>
                <w:b w:val="0"/>
              </w:rPr>
              <w:t>or f</w:t>
            </w:r>
            <w:r w:rsidRPr="00A763E1">
              <w:rPr>
                <w:rFonts w:asciiTheme="minorHAnsi" w:hAnsiTheme="minorHAnsi" w:cstheme="minorHAnsi"/>
                <w:b w:val="0"/>
              </w:rPr>
              <w:t>urther expansion than was possible with ICD-9-CM. This coding change impacts information classifications for hospital discharge, emergency department, and outpatient records for administrative and financial transactions in all healthcare settings. Differences in counts and rates in years prior to 2015 (ICD-9-CM) compared with 2015 (ICD-9-CM and ICD-10-CM) and subsequent years (ICD-10-CM) could be a result of this coding change and not an actual difference in the number of events.</w:t>
            </w:r>
          </w:p>
          <w:p w14:paraId="5742D2FA" w14:textId="5ACB7663" w:rsidR="0070328E" w:rsidRPr="00A763E1" w:rsidRDefault="0070328E" w:rsidP="004C0621">
            <w:pPr>
              <w:numPr>
                <w:ilvl w:val="0"/>
                <w:numId w:val="26"/>
              </w:numPr>
              <w:rPr>
                <w:rFonts w:asciiTheme="minorHAnsi" w:eastAsiaTheme="minorHAnsi" w:hAnsiTheme="minorHAnsi" w:cstheme="minorHAnsi"/>
                <w:b w:val="0"/>
                <w:bCs w:val="0"/>
                <w:color w:val="000000"/>
              </w:rPr>
            </w:pPr>
            <w:r w:rsidRPr="00A763E1">
              <w:rPr>
                <w:rFonts w:asciiTheme="minorHAnsi" w:eastAsia="Times New Roman" w:hAnsiTheme="minorHAnsi" w:cstheme="minorHAnsi"/>
                <w:b w:val="0"/>
                <w:bCs w:val="0"/>
                <w:color w:val="000000"/>
              </w:rPr>
              <w:t xml:space="preserve">Although duplicate records and transfers from one hospital to another are excluded, the measures are based upon events, not individuals, because no unique identifier is always available. When multiple admissions are not identified, the true prevalence will be overestimated. </w:t>
            </w:r>
          </w:p>
          <w:p w14:paraId="58664164" w14:textId="4A899658" w:rsidR="00790627" w:rsidRPr="00A763E1" w:rsidRDefault="00790627" w:rsidP="00D536A0">
            <w:pPr>
              <w:numPr>
                <w:ilvl w:val="0"/>
                <w:numId w:val="26"/>
              </w:numPr>
              <w:rPr>
                <w:rFonts w:asciiTheme="minorHAnsi" w:eastAsia="Times New Roman" w:hAnsiTheme="minorHAnsi" w:cstheme="minorBidi"/>
                <w:b w:val="0"/>
                <w:bCs w:val="0"/>
                <w:color w:val="000000"/>
              </w:rPr>
            </w:pPr>
            <w:r w:rsidRPr="00A763E1">
              <w:rPr>
                <w:rFonts w:asciiTheme="minorHAnsi" w:hAnsiTheme="minorHAnsi"/>
                <w:b w:val="0"/>
                <w:bCs w:val="0"/>
                <w:color w:val="000000" w:themeColor="text1"/>
              </w:rPr>
              <w:t xml:space="preserve">Hospitalization data for AMI </w:t>
            </w:r>
            <w:r w:rsidR="0096730D" w:rsidRPr="00A763E1">
              <w:rPr>
                <w:rFonts w:asciiTheme="minorHAnsi" w:hAnsiTheme="minorHAnsi"/>
                <w:b w:val="0"/>
                <w:bCs w:val="0"/>
                <w:color w:val="000000" w:themeColor="text1"/>
              </w:rPr>
              <w:t xml:space="preserve">does not include </w:t>
            </w:r>
            <w:r w:rsidRPr="00A763E1">
              <w:rPr>
                <w:rFonts w:asciiTheme="minorHAnsi" w:hAnsiTheme="minorHAnsi"/>
                <w:b w:val="0"/>
                <w:bCs w:val="0"/>
                <w:color w:val="000000" w:themeColor="text1"/>
              </w:rPr>
              <w:t xml:space="preserve">individuals who do not receive medical care or who are not hospitalized, including those who die in emergency rooms, in nursing homes, or at home without being admitted to a hospital, and those treated in outpatient settings.  </w:t>
            </w:r>
          </w:p>
          <w:p w14:paraId="58664165" w14:textId="77777777" w:rsidR="00790627" w:rsidRPr="00A763E1" w:rsidRDefault="00790627" w:rsidP="00D536A0">
            <w:pPr>
              <w:numPr>
                <w:ilvl w:val="0"/>
                <w:numId w:val="26"/>
              </w:numPr>
              <w:rPr>
                <w:rFonts w:asciiTheme="minorHAnsi" w:eastAsia="Times New Roman" w:hAnsiTheme="minorHAnsi" w:cstheme="minorHAnsi"/>
                <w:b w:val="0"/>
                <w:bCs w:val="0"/>
                <w:color w:val="000000"/>
              </w:rPr>
            </w:pPr>
            <w:r w:rsidRPr="00A763E1">
              <w:rPr>
                <w:rFonts w:asciiTheme="minorHAnsi" w:eastAsia="Times New Roman" w:hAnsiTheme="minorHAnsi" w:cstheme="minorHAnsi"/>
                <w:b w:val="0"/>
                <w:bCs w:val="0"/>
                <w:color w:val="000000"/>
              </w:rPr>
              <w:lastRenderedPageBreak/>
              <w:t>Differences in rates by time or area may reflect differences or changes in diagnostic techniques and criteria and in the coding of AMI or in medical care access.</w:t>
            </w:r>
          </w:p>
          <w:p w14:paraId="58664166" w14:textId="77777777" w:rsidR="00790627" w:rsidRPr="00A763E1" w:rsidRDefault="00790627" w:rsidP="00D536A0">
            <w:pPr>
              <w:numPr>
                <w:ilvl w:val="0"/>
                <w:numId w:val="26"/>
              </w:numPr>
              <w:rPr>
                <w:rFonts w:asciiTheme="minorHAnsi" w:eastAsia="Times New Roman" w:hAnsiTheme="minorHAnsi" w:cstheme="minorHAnsi"/>
                <w:b w:val="0"/>
                <w:bCs w:val="0"/>
                <w:color w:val="000000"/>
              </w:rPr>
            </w:pPr>
            <w:r w:rsidRPr="00A763E1">
              <w:rPr>
                <w:rFonts w:asciiTheme="minorHAnsi" w:eastAsia="Times New Roman" w:hAnsiTheme="minorHAnsi" w:cstheme="minorHAnsi"/>
                <w:b w:val="0"/>
                <w:bCs w:val="0"/>
                <w:color w:val="000000"/>
              </w:rPr>
              <w:t>Differences in rates by area may be due to different socio</w:t>
            </w:r>
            <w:r w:rsidR="00AD27A0" w:rsidRPr="00A763E1">
              <w:rPr>
                <w:rFonts w:asciiTheme="minorHAnsi" w:eastAsia="Times New Roman" w:hAnsiTheme="minorHAnsi" w:cstheme="minorHAnsi"/>
                <w:b w:val="0"/>
                <w:bCs w:val="0"/>
                <w:color w:val="000000"/>
              </w:rPr>
              <w:t>-</w:t>
            </w:r>
            <w:r w:rsidRPr="00A763E1">
              <w:rPr>
                <w:rFonts w:asciiTheme="minorHAnsi" w:eastAsia="Times New Roman" w:hAnsiTheme="minorHAnsi" w:cstheme="minorHAnsi"/>
                <w:b w:val="0"/>
                <w:bCs w:val="0"/>
                <w:color w:val="000000"/>
              </w:rPr>
              <w:t>demographic characteristics and associated behaviors.</w:t>
            </w:r>
          </w:p>
          <w:p w14:paraId="58664167" w14:textId="1B599AC4" w:rsidR="00790627" w:rsidRPr="00A763E1" w:rsidRDefault="00790627" w:rsidP="00D536A0">
            <w:pPr>
              <w:numPr>
                <w:ilvl w:val="0"/>
                <w:numId w:val="26"/>
              </w:numPr>
              <w:rPr>
                <w:rFonts w:asciiTheme="minorHAnsi" w:eastAsia="Times New Roman" w:hAnsiTheme="minorHAnsi" w:cstheme="minorHAnsi"/>
                <w:b w:val="0"/>
                <w:bCs w:val="0"/>
                <w:color w:val="000000"/>
              </w:rPr>
            </w:pPr>
            <w:r w:rsidRPr="00A763E1">
              <w:rPr>
                <w:rFonts w:asciiTheme="minorHAnsi" w:eastAsia="Times New Roman" w:hAnsiTheme="minorHAnsi" w:cstheme="minorHAnsi"/>
                <w:b w:val="0"/>
                <w:bCs w:val="0"/>
                <w:color w:val="000000"/>
              </w:rPr>
              <w:t>When comparing rates across geographic areas, a variety o</w:t>
            </w:r>
            <w:r w:rsidR="00B93B71" w:rsidRPr="00A763E1">
              <w:rPr>
                <w:rFonts w:asciiTheme="minorHAnsi" w:eastAsia="Times New Roman" w:hAnsiTheme="minorHAnsi" w:cstheme="minorHAnsi"/>
                <w:b w:val="0"/>
                <w:bCs w:val="0"/>
                <w:color w:val="000000"/>
              </w:rPr>
              <w:t>f</w:t>
            </w:r>
            <w:r w:rsidRPr="00A763E1">
              <w:rPr>
                <w:rFonts w:asciiTheme="minorHAnsi" w:eastAsia="Times New Roman" w:hAnsiTheme="minorHAnsi" w:cstheme="minorHAnsi"/>
                <w:b w:val="0"/>
                <w:bCs w:val="0"/>
                <w:color w:val="000000"/>
              </w:rPr>
              <w:t xml:space="preserve"> non-environmental factors, such as access to medical care and diet, can impact the likelihood of persons hospitalized for AMI.</w:t>
            </w:r>
          </w:p>
          <w:p w14:paraId="58664168" w14:textId="23575195" w:rsidR="00790627" w:rsidRPr="00A763E1" w:rsidRDefault="00790627" w:rsidP="00D536A0">
            <w:pPr>
              <w:numPr>
                <w:ilvl w:val="0"/>
                <w:numId w:val="26"/>
              </w:numPr>
              <w:rPr>
                <w:rFonts w:asciiTheme="minorHAnsi" w:eastAsia="Times New Roman" w:hAnsiTheme="minorHAnsi" w:cstheme="minorHAnsi"/>
                <w:b w:val="0"/>
                <w:bCs w:val="0"/>
                <w:color w:val="000000"/>
              </w:rPr>
            </w:pPr>
            <w:r w:rsidRPr="00A763E1">
              <w:rPr>
                <w:rFonts w:asciiTheme="minorHAnsi" w:eastAsia="Times New Roman" w:hAnsiTheme="minorHAnsi" w:cstheme="minorHAnsi"/>
                <w:b w:val="0"/>
                <w:bCs w:val="0"/>
                <w:color w:val="000000"/>
              </w:rPr>
              <w:t xml:space="preserve">Reporting rates at the state and/or county level will not show the true </w:t>
            </w:r>
            <w:r w:rsidR="00FF570E" w:rsidRPr="00A763E1">
              <w:rPr>
                <w:rFonts w:asciiTheme="minorHAnsi" w:eastAsia="Times New Roman" w:hAnsiTheme="minorHAnsi" w:cstheme="minorHAnsi"/>
                <w:b w:val="0"/>
                <w:bCs w:val="0"/>
                <w:color w:val="000000"/>
              </w:rPr>
              <w:t xml:space="preserve">disparities in </w:t>
            </w:r>
            <w:r w:rsidRPr="00A763E1">
              <w:rPr>
                <w:rFonts w:asciiTheme="minorHAnsi" w:eastAsia="Times New Roman" w:hAnsiTheme="minorHAnsi" w:cstheme="minorHAnsi"/>
                <w:b w:val="0"/>
                <w:bCs w:val="0"/>
                <w:color w:val="000000"/>
              </w:rPr>
              <w:t xml:space="preserve">AMI burden </w:t>
            </w:r>
            <w:r w:rsidR="00B93B71" w:rsidRPr="00A763E1">
              <w:rPr>
                <w:rFonts w:asciiTheme="minorHAnsi" w:eastAsia="Times New Roman" w:hAnsiTheme="minorHAnsi" w:cstheme="minorHAnsi"/>
                <w:b w:val="0"/>
                <w:bCs w:val="0"/>
                <w:color w:val="000000"/>
              </w:rPr>
              <w:t xml:space="preserve">compared to </w:t>
            </w:r>
            <w:r w:rsidRPr="00A763E1">
              <w:rPr>
                <w:rFonts w:asciiTheme="minorHAnsi" w:eastAsia="Times New Roman" w:hAnsiTheme="minorHAnsi" w:cstheme="minorHAnsi"/>
                <w:b w:val="0"/>
                <w:bCs w:val="0"/>
                <w:color w:val="000000"/>
              </w:rPr>
              <w:t>a more local level (i.e.</w:t>
            </w:r>
            <w:r w:rsidR="00B93B71" w:rsidRPr="00A763E1">
              <w:rPr>
                <w:rFonts w:asciiTheme="minorHAnsi" w:eastAsia="Times New Roman" w:hAnsiTheme="minorHAnsi" w:cstheme="minorHAnsi"/>
                <w:b w:val="0"/>
                <w:bCs w:val="0"/>
                <w:color w:val="000000"/>
              </w:rPr>
              <w:t>,</w:t>
            </w:r>
            <w:r w:rsidRPr="00A763E1">
              <w:rPr>
                <w:rFonts w:asciiTheme="minorHAnsi" w:eastAsia="Times New Roman" w:hAnsiTheme="minorHAnsi" w:cstheme="minorHAnsi"/>
                <w:b w:val="0"/>
                <w:bCs w:val="0"/>
                <w:color w:val="000000"/>
              </w:rPr>
              <w:t xml:space="preserve"> </w:t>
            </w:r>
            <w:r w:rsidR="00B93B71" w:rsidRPr="00A763E1">
              <w:rPr>
                <w:rFonts w:asciiTheme="minorHAnsi" w:eastAsia="Times New Roman" w:hAnsiTheme="minorHAnsi" w:cstheme="minorHAnsi"/>
                <w:b w:val="0"/>
                <w:bCs w:val="0"/>
                <w:color w:val="000000"/>
              </w:rPr>
              <w:t xml:space="preserve">sub-county, </w:t>
            </w:r>
            <w:r w:rsidRPr="00A763E1">
              <w:rPr>
                <w:rFonts w:asciiTheme="minorHAnsi" w:eastAsia="Times New Roman" w:hAnsiTheme="minorHAnsi" w:cstheme="minorHAnsi"/>
                <w:b w:val="0"/>
                <w:bCs w:val="0"/>
                <w:color w:val="000000"/>
              </w:rPr>
              <w:t>neighborhood).</w:t>
            </w:r>
          </w:p>
          <w:p w14:paraId="58664169" w14:textId="77777777" w:rsidR="00790627" w:rsidRPr="00A763E1" w:rsidRDefault="00790627" w:rsidP="00D536A0">
            <w:pPr>
              <w:numPr>
                <w:ilvl w:val="0"/>
                <w:numId w:val="26"/>
              </w:numPr>
              <w:rPr>
                <w:rFonts w:asciiTheme="minorHAnsi" w:eastAsia="Times New Roman" w:hAnsiTheme="minorHAnsi" w:cstheme="minorHAnsi"/>
                <w:b w:val="0"/>
                <w:bCs w:val="0"/>
                <w:color w:val="000000"/>
              </w:rPr>
            </w:pPr>
            <w:r w:rsidRPr="00A763E1">
              <w:rPr>
                <w:rFonts w:asciiTheme="minorHAnsi" w:eastAsia="Times New Roman" w:hAnsiTheme="minorHAnsi" w:cstheme="minorHAnsi"/>
                <w:b w:val="0"/>
                <w:bCs w:val="0"/>
                <w:color w:val="000000"/>
              </w:rPr>
              <w:t>Reporting rates at the state and/or county level will not be geographically resolved enough to be linked with many types of environmental data.</w:t>
            </w:r>
          </w:p>
          <w:p w14:paraId="5866416A" w14:textId="1F7EA161" w:rsidR="00790627" w:rsidRPr="00A763E1" w:rsidRDefault="00790627" w:rsidP="00D536A0">
            <w:pPr>
              <w:numPr>
                <w:ilvl w:val="0"/>
                <w:numId w:val="26"/>
              </w:numPr>
              <w:rPr>
                <w:rFonts w:asciiTheme="minorHAnsi" w:eastAsia="Times New Roman" w:hAnsiTheme="minorHAnsi" w:cstheme="minorHAnsi"/>
                <w:b w:val="0"/>
                <w:bCs w:val="0"/>
                <w:color w:val="000000"/>
              </w:rPr>
            </w:pPr>
            <w:r w:rsidRPr="00A763E1">
              <w:rPr>
                <w:rFonts w:asciiTheme="minorHAnsi" w:eastAsia="Times New Roman" w:hAnsiTheme="minorHAnsi" w:cstheme="minorHAnsi"/>
                <w:b w:val="0"/>
                <w:bCs w:val="0"/>
                <w:color w:val="000000"/>
              </w:rPr>
              <w:t>When looking at small geographic levels (e.g.</w:t>
            </w:r>
            <w:r w:rsidR="00B93B71" w:rsidRPr="00A763E1">
              <w:rPr>
                <w:rFonts w:asciiTheme="minorHAnsi" w:eastAsia="Times New Roman" w:hAnsiTheme="minorHAnsi" w:cstheme="minorHAnsi"/>
                <w:b w:val="0"/>
                <w:bCs w:val="0"/>
                <w:color w:val="000000"/>
              </w:rPr>
              <w:t>, sub-county,</w:t>
            </w:r>
            <w:r w:rsidRPr="00A763E1">
              <w:rPr>
                <w:rFonts w:asciiTheme="minorHAnsi" w:eastAsia="Times New Roman" w:hAnsiTheme="minorHAnsi" w:cstheme="minorHAnsi"/>
                <w:b w:val="0"/>
                <w:bCs w:val="0"/>
                <w:color w:val="000000"/>
              </w:rPr>
              <w:t xml:space="preserve"> ZIP code), users must take into consideration appropriate cell suppression rules imposed by the data providers or individual state programs.</w:t>
            </w:r>
          </w:p>
          <w:p w14:paraId="7AEAEFE2" w14:textId="77777777" w:rsidR="008129B5" w:rsidRPr="00A763E1" w:rsidRDefault="00790627" w:rsidP="00D536A0">
            <w:pPr>
              <w:numPr>
                <w:ilvl w:val="0"/>
                <w:numId w:val="26"/>
              </w:numPr>
              <w:rPr>
                <w:rFonts w:asciiTheme="minorHAnsi" w:hAnsiTheme="minorHAnsi"/>
                <w:b w:val="0"/>
                <w:color w:val="000000"/>
              </w:rPr>
            </w:pPr>
            <w:r w:rsidRPr="00A763E1">
              <w:rPr>
                <w:rFonts w:asciiTheme="minorHAnsi" w:eastAsia="Times New Roman" w:hAnsiTheme="minorHAnsi" w:cstheme="minorHAnsi"/>
                <w:b w:val="0"/>
                <w:bCs w:val="0"/>
                <w:color w:val="000000"/>
              </w:rPr>
              <w:t>Even at the county level</w:t>
            </w:r>
            <w:r w:rsidR="00B93B71" w:rsidRPr="00A763E1">
              <w:rPr>
                <w:rFonts w:asciiTheme="minorHAnsi" w:eastAsia="Times New Roman" w:hAnsiTheme="minorHAnsi" w:cstheme="minorHAnsi"/>
                <w:b w:val="0"/>
                <w:bCs w:val="0"/>
                <w:color w:val="000000"/>
              </w:rPr>
              <w:t>,</w:t>
            </w:r>
            <w:r w:rsidRPr="00A763E1">
              <w:rPr>
                <w:rFonts w:asciiTheme="minorHAnsi" w:eastAsia="Times New Roman" w:hAnsiTheme="minorHAnsi" w:cstheme="minorHAnsi"/>
                <w:b w:val="0"/>
                <w:bCs w:val="0"/>
                <w:color w:val="000000"/>
              </w:rPr>
              <w:t xml:space="preserve"> it can be expected that the measures generated will often be based upon numbers too small to report or present without violating state and federal privacy guidelines and regulations. Careful adherence to cell suppression rules in cross tabulations is necessary and methods to increase cell sizes by combining data across time (e.g., months, years) and geographic areas may be appropriate.</w:t>
            </w:r>
          </w:p>
          <w:p w14:paraId="7C4CBA75" w14:textId="77777777" w:rsidR="00A72CC5" w:rsidRPr="00A763E1" w:rsidRDefault="00D51B47" w:rsidP="00D536A0">
            <w:pPr>
              <w:numPr>
                <w:ilvl w:val="0"/>
                <w:numId w:val="26"/>
              </w:numPr>
              <w:rPr>
                <w:rFonts w:asciiTheme="minorHAnsi" w:hAnsiTheme="minorHAnsi" w:cstheme="minorHAnsi"/>
                <w:b w:val="0"/>
                <w:bCs w:val="0"/>
                <w:color w:val="000000"/>
              </w:rPr>
            </w:pPr>
            <w:r w:rsidRPr="00A763E1">
              <w:rPr>
                <w:rFonts w:asciiTheme="minorHAnsi" w:eastAsia="Times New Roman" w:hAnsiTheme="minorHAnsi" w:cstheme="minorHAnsi"/>
                <w:b w:val="0"/>
                <w:bCs w:val="0"/>
                <w:color w:val="000000"/>
              </w:rPr>
              <w:t xml:space="preserve">The Tracking Program’s sub-county geographies are created using populations of United States </w:t>
            </w:r>
            <w:r w:rsidRPr="00A763E1">
              <w:rPr>
                <w:rFonts w:asciiTheme="minorHAnsi" w:hAnsiTheme="minorHAnsi" w:cstheme="minorHAnsi"/>
                <w:b w:val="0"/>
                <w:bCs w:val="0"/>
                <w:color w:val="000000"/>
              </w:rPr>
              <w:t xml:space="preserve">Decennial </w:t>
            </w:r>
            <w:r w:rsidRPr="00A763E1">
              <w:rPr>
                <w:rFonts w:asciiTheme="minorHAnsi" w:eastAsia="Times New Roman" w:hAnsiTheme="minorHAnsi" w:cstheme="minorHAnsi"/>
                <w:b w:val="0"/>
                <w:bCs w:val="0"/>
                <w:color w:val="000000"/>
              </w:rPr>
              <w:t>Census. Measures towards the end of the decade may be less reliable as population shift occurs.</w:t>
            </w:r>
          </w:p>
          <w:p w14:paraId="5866416C" w14:textId="2966D0B3" w:rsidR="00F2193F" w:rsidRPr="00A763E1" w:rsidRDefault="00F2193F" w:rsidP="00D536A0">
            <w:pPr>
              <w:numPr>
                <w:ilvl w:val="0"/>
                <w:numId w:val="26"/>
              </w:numPr>
              <w:rPr>
                <w:rFonts w:asciiTheme="minorHAnsi" w:hAnsiTheme="minorHAnsi" w:cstheme="minorHAnsi"/>
                <w:b w:val="0"/>
                <w:color w:val="000000"/>
              </w:rPr>
            </w:pPr>
            <w:r w:rsidRPr="00A763E1">
              <w:rPr>
                <w:rFonts w:asciiTheme="minorHAnsi" w:hAnsiTheme="minorHAnsi" w:cstheme="minorHAnsi"/>
                <w:b w:val="0"/>
                <w:bCs w:val="0"/>
                <w:color w:val="000000"/>
              </w:rPr>
              <w:t>Limitations associated with the sub-county aggregation methodology are described in</w:t>
            </w:r>
            <w:r w:rsidR="00A12AEF" w:rsidRPr="00A763E1">
              <w:rPr>
                <w:rFonts w:asciiTheme="minorHAnsi" w:hAnsiTheme="minorHAnsi" w:cstheme="minorHAnsi"/>
                <w:b w:val="0"/>
                <w:bCs w:val="0"/>
                <w:color w:val="000000"/>
              </w:rPr>
              <w:t xml:space="preserve"> </w:t>
            </w:r>
            <w:hyperlink r:id="rId7" w:history="1">
              <w:r w:rsidR="00A071DB" w:rsidRPr="00A763E1">
                <w:rPr>
                  <w:rStyle w:val="Hyperlink"/>
                  <w:rFonts w:asciiTheme="minorHAnsi" w:hAnsiTheme="minorHAnsi" w:cstheme="minorBidi"/>
                  <w:b w:val="0"/>
                </w:rPr>
                <w:t>our GitHub repository.</w:t>
              </w:r>
            </w:hyperlink>
          </w:p>
        </w:tc>
      </w:tr>
      <w:tr w:rsidR="008129B5" w:rsidRPr="00A763E1" w14:paraId="58664171" w14:textId="77777777" w:rsidTr="00930ED9">
        <w:tc>
          <w:tcPr>
            <w:tcW w:w="1068" w:type="pct"/>
          </w:tcPr>
          <w:p w14:paraId="5866416E" w14:textId="77777777" w:rsidR="008129B5" w:rsidRPr="00A763E1" w:rsidRDefault="008129B5" w:rsidP="00C561D0">
            <w:pPr>
              <w:rPr>
                <w:rFonts w:asciiTheme="minorHAnsi" w:hAnsiTheme="minorHAnsi" w:cstheme="minorHAnsi"/>
                <w:b/>
              </w:rPr>
            </w:pPr>
            <w:r w:rsidRPr="00A763E1">
              <w:rPr>
                <w:rFonts w:asciiTheme="minorHAnsi" w:hAnsiTheme="minorHAnsi" w:cstheme="minorHAnsi"/>
                <w:b/>
              </w:rPr>
              <w:lastRenderedPageBreak/>
              <w:t>Data Sources</w:t>
            </w:r>
          </w:p>
        </w:tc>
        <w:tc>
          <w:tcPr>
            <w:cnfStyle w:val="000100000000" w:firstRow="0" w:lastRow="0" w:firstColumn="0" w:lastColumn="1" w:oddVBand="0" w:evenVBand="0" w:oddHBand="0" w:evenHBand="0" w:firstRowFirstColumn="0" w:firstRowLastColumn="0" w:lastRowFirstColumn="0" w:lastRowLastColumn="0"/>
            <w:tcW w:w="3932" w:type="pct"/>
          </w:tcPr>
          <w:p w14:paraId="5866416F" w14:textId="51DABF8E" w:rsidR="00790627" w:rsidRPr="00A763E1" w:rsidRDefault="00790627" w:rsidP="00C561D0">
            <w:pPr>
              <w:rPr>
                <w:rFonts w:asciiTheme="minorHAnsi" w:hAnsiTheme="minorHAnsi" w:cstheme="minorHAnsi"/>
                <w:b w:val="0"/>
                <w:i/>
                <w:color w:val="000000"/>
              </w:rPr>
            </w:pPr>
            <w:r w:rsidRPr="00A763E1">
              <w:rPr>
                <w:rFonts w:asciiTheme="minorHAnsi" w:hAnsiTheme="minorHAnsi" w:cstheme="minorHAnsi"/>
                <w:b w:val="0"/>
                <w:i/>
                <w:color w:val="000000"/>
              </w:rPr>
              <w:t>Numerator:</w:t>
            </w:r>
            <w:r w:rsidR="003E62A3" w:rsidRPr="00A763E1">
              <w:rPr>
                <w:rFonts w:asciiTheme="minorHAnsi" w:hAnsiTheme="minorHAnsi" w:cstheme="minorHAnsi"/>
                <w:b w:val="0"/>
                <w:i/>
                <w:color w:val="000000"/>
              </w:rPr>
              <w:t xml:space="preserve"> </w:t>
            </w:r>
            <w:r w:rsidRPr="00A763E1">
              <w:rPr>
                <w:rFonts w:asciiTheme="minorHAnsi" w:hAnsiTheme="minorHAnsi" w:cstheme="minorHAnsi"/>
                <w:b w:val="0"/>
                <w:color w:val="000000"/>
              </w:rPr>
              <w:t>State inpatient hospitalization data (using admission date)</w:t>
            </w:r>
          </w:p>
          <w:p w14:paraId="58664170" w14:textId="41543177" w:rsidR="008129B5" w:rsidRPr="00A763E1" w:rsidRDefault="00790627" w:rsidP="00C561D0">
            <w:pPr>
              <w:rPr>
                <w:rFonts w:asciiTheme="minorHAnsi" w:hAnsiTheme="minorHAnsi" w:cstheme="minorHAnsi"/>
                <w:b w:val="0"/>
                <w:color w:val="000000"/>
              </w:rPr>
            </w:pPr>
            <w:r w:rsidRPr="00A763E1">
              <w:rPr>
                <w:rFonts w:asciiTheme="minorHAnsi" w:hAnsiTheme="minorHAnsi" w:cstheme="minorHAnsi"/>
                <w:b w:val="0"/>
                <w:i/>
                <w:color w:val="000000"/>
              </w:rPr>
              <w:t>Denominator:</w:t>
            </w:r>
            <w:r w:rsidRPr="00A763E1">
              <w:rPr>
                <w:rFonts w:asciiTheme="minorHAnsi" w:hAnsiTheme="minorHAnsi" w:cstheme="minorHAnsi"/>
                <w:b w:val="0"/>
                <w:i/>
                <w:color w:val="000000"/>
              </w:rPr>
              <w:tab/>
            </w:r>
            <w:r w:rsidRPr="00A763E1">
              <w:rPr>
                <w:rFonts w:asciiTheme="minorHAnsi" w:hAnsiTheme="minorHAnsi" w:cstheme="minorHAnsi"/>
                <w:b w:val="0"/>
                <w:color w:val="000000"/>
              </w:rPr>
              <w:t>U</w:t>
            </w:r>
            <w:r w:rsidR="00B93B71" w:rsidRPr="00A763E1">
              <w:rPr>
                <w:rFonts w:asciiTheme="minorHAnsi" w:hAnsiTheme="minorHAnsi" w:cstheme="minorHAnsi"/>
                <w:b w:val="0"/>
                <w:color w:val="000000"/>
              </w:rPr>
              <w:t>.</w:t>
            </w:r>
            <w:r w:rsidRPr="00A763E1">
              <w:rPr>
                <w:rFonts w:asciiTheme="minorHAnsi" w:hAnsiTheme="minorHAnsi" w:cstheme="minorHAnsi"/>
                <w:b w:val="0"/>
                <w:color w:val="000000"/>
              </w:rPr>
              <w:t>S</w:t>
            </w:r>
            <w:r w:rsidR="00B93B71" w:rsidRPr="00A763E1">
              <w:rPr>
                <w:rFonts w:asciiTheme="minorHAnsi" w:hAnsiTheme="minorHAnsi" w:cstheme="minorHAnsi"/>
                <w:b w:val="0"/>
                <w:color w:val="000000"/>
              </w:rPr>
              <w:t>.</w:t>
            </w:r>
            <w:r w:rsidRPr="00A763E1">
              <w:rPr>
                <w:rFonts w:asciiTheme="minorHAnsi" w:hAnsiTheme="minorHAnsi" w:cstheme="minorHAnsi"/>
                <w:b w:val="0"/>
                <w:color w:val="000000"/>
              </w:rPr>
              <w:t xml:space="preserve"> Census Bureau population data</w:t>
            </w:r>
          </w:p>
        </w:tc>
      </w:tr>
      <w:tr w:rsidR="008129B5" w:rsidRPr="00A763E1" w14:paraId="58664185" w14:textId="77777777" w:rsidTr="00930ED9">
        <w:tc>
          <w:tcPr>
            <w:tcW w:w="1068" w:type="pct"/>
          </w:tcPr>
          <w:p w14:paraId="58664172" w14:textId="77777777" w:rsidR="008129B5" w:rsidRPr="00A763E1" w:rsidRDefault="008129B5" w:rsidP="00C561D0">
            <w:pPr>
              <w:rPr>
                <w:rFonts w:asciiTheme="minorHAnsi" w:hAnsiTheme="minorHAnsi" w:cstheme="minorHAnsi"/>
                <w:b/>
              </w:rPr>
            </w:pPr>
            <w:r w:rsidRPr="00A763E1">
              <w:rPr>
                <w:rFonts w:asciiTheme="minorHAnsi" w:hAnsiTheme="minorHAnsi" w:cstheme="minorHAnsi"/>
                <w:b/>
              </w:rPr>
              <w:t>Limitations of Data Sources</w:t>
            </w:r>
          </w:p>
          <w:p w14:paraId="58664173" w14:textId="77777777" w:rsidR="008129B5" w:rsidRPr="00A763E1" w:rsidRDefault="008129B5" w:rsidP="00C561D0">
            <w:pPr>
              <w:rPr>
                <w:rFonts w:asciiTheme="minorHAnsi" w:hAnsiTheme="minorHAnsi" w:cstheme="minorHAnsi"/>
                <w:b/>
              </w:rPr>
            </w:pPr>
          </w:p>
        </w:tc>
        <w:tc>
          <w:tcPr>
            <w:cnfStyle w:val="000100000000" w:firstRow="0" w:lastRow="0" w:firstColumn="0" w:lastColumn="1" w:oddVBand="0" w:evenVBand="0" w:oddHBand="0" w:evenHBand="0" w:firstRowFirstColumn="0" w:firstRowLastColumn="0" w:lastRowFirstColumn="0" w:lastRowLastColumn="0"/>
            <w:tcW w:w="3932" w:type="pct"/>
          </w:tcPr>
          <w:p w14:paraId="246C4146" w14:textId="59BCD2F8" w:rsidR="001D6AE1" w:rsidRPr="00A763E1" w:rsidRDefault="00381D3C" w:rsidP="00C53E5A">
            <w:pPr>
              <w:pStyle w:val="ListParagraph"/>
              <w:numPr>
                <w:ilvl w:val="0"/>
                <w:numId w:val="30"/>
              </w:numPr>
              <w:spacing w:afterLines="200" w:after="480" w:line="276" w:lineRule="auto"/>
              <w:rPr>
                <w:rFonts w:asciiTheme="minorHAnsi" w:eastAsiaTheme="minorEastAsia" w:hAnsiTheme="minorHAnsi" w:cstheme="minorHAnsi"/>
                <w:b w:val="0"/>
                <w:color w:val="000000"/>
                <w:lang w:eastAsia="en-US"/>
              </w:rPr>
            </w:pPr>
            <w:r w:rsidRPr="00A763E1">
              <w:rPr>
                <w:rFonts w:asciiTheme="minorHAnsi" w:hAnsiTheme="minorHAnsi" w:cstheme="minorHAnsi"/>
                <w:b w:val="0"/>
              </w:rPr>
              <w:t xml:space="preserve">Hospitalizations for </w:t>
            </w:r>
            <w:r w:rsidR="00B93B71" w:rsidRPr="00A763E1">
              <w:rPr>
                <w:rFonts w:asciiTheme="minorHAnsi" w:hAnsiTheme="minorHAnsi" w:cstheme="minorHAnsi"/>
                <w:b w:val="0"/>
              </w:rPr>
              <w:t>AMI</w:t>
            </w:r>
            <w:r w:rsidRPr="00A763E1">
              <w:rPr>
                <w:rFonts w:asciiTheme="minorHAnsi" w:hAnsiTheme="minorHAnsi" w:cstheme="minorHAnsi"/>
                <w:b w:val="0"/>
                <w:color w:val="000000"/>
              </w:rPr>
              <w:t xml:space="preserve"> measures exclude transfers </w:t>
            </w:r>
            <w:r w:rsidRPr="00A763E1">
              <w:rPr>
                <w:rFonts w:asciiTheme="minorHAnsi" w:hAnsiTheme="minorHAnsi" w:cstheme="minorHAnsi"/>
                <w:b w:val="0"/>
              </w:rPr>
              <w:t>(</w:t>
            </w:r>
            <w:r w:rsidR="00AB7020" w:rsidRPr="00A763E1">
              <w:rPr>
                <w:rFonts w:asciiTheme="minorHAnsi" w:hAnsiTheme="minorHAnsi" w:cstheme="minorHAnsi"/>
                <w:b w:val="0"/>
              </w:rPr>
              <w:t xml:space="preserve">i.e., </w:t>
            </w:r>
            <w:r w:rsidRPr="00A763E1">
              <w:rPr>
                <w:rFonts w:asciiTheme="minorHAnsi" w:hAnsiTheme="minorHAnsi" w:cstheme="minorHAnsi"/>
                <w:b w:val="0"/>
                <w:color w:val="000000"/>
              </w:rPr>
              <w:t>a patient discharged from one facility and readmitted to a second facility on the same day) based on unique identifiers consisting of dat</w:t>
            </w:r>
            <w:r w:rsidR="00AB7020" w:rsidRPr="00A763E1">
              <w:rPr>
                <w:rFonts w:asciiTheme="minorHAnsi" w:hAnsiTheme="minorHAnsi" w:cstheme="minorHAnsi"/>
                <w:b w:val="0"/>
                <w:color w:val="000000"/>
              </w:rPr>
              <w:t>e</w:t>
            </w:r>
            <w:r w:rsidRPr="00A763E1">
              <w:rPr>
                <w:rFonts w:asciiTheme="minorHAnsi" w:hAnsiTheme="minorHAnsi" w:cstheme="minorHAnsi"/>
                <w:b w:val="0"/>
                <w:color w:val="000000"/>
              </w:rPr>
              <w:t xml:space="preserve"> of birth, </w:t>
            </w:r>
            <w:r w:rsidR="00AB7020" w:rsidRPr="00A763E1">
              <w:rPr>
                <w:rFonts w:asciiTheme="minorHAnsi" w:hAnsiTheme="minorHAnsi" w:cstheme="minorHAnsi"/>
                <w:b w:val="0"/>
                <w:color w:val="000000"/>
              </w:rPr>
              <w:t>ZIP</w:t>
            </w:r>
            <w:r w:rsidRPr="00A763E1">
              <w:rPr>
                <w:rFonts w:asciiTheme="minorHAnsi" w:hAnsiTheme="minorHAnsi" w:cstheme="minorHAnsi"/>
                <w:b w:val="0"/>
                <w:color w:val="000000"/>
              </w:rPr>
              <w:t xml:space="preserve"> code, gender</w:t>
            </w:r>
            <w:r w:rsidR="00AB7020" w:rsidRPr="00A763E1">
              <w:rPr>
                <w:rFonts w:asciiTheme="minorHAnsi" w:hAnsiTheme="minorHAnsi" w:cstheme="minorHAnsi"/>
                <w:b w:val="0"/>
                <w:color w:val="000000"/>
              </w:rPr>
              <w:t>,</w:t>
            </w:r>
            <w:r w:rsidRPr="00A763E1">
              <w:rPr>
                <w:rFonts w:asciiTheme="minorHAnsi" w:hAnsiTheme="minorHAnsi" w:cstheme="minorHAnsi"/>
                <w:b w:val="0"/>
                <w:color w:val="000000"/>
              </w:rPr>
              <w:t xml:space="preserve"> and encrypted social security number (where available). However, some transfers between hospitals for the same person for the same AMI event may remain in the data. Variations in the percentage of transfers or readmissions for the same AMI event may vary by geographic area and impact rates. </w:t>
            </w:r>
            <w:r w:rsidR="001D6AE1" w:rsidRPr="00A763E1">
              <w:rPr>
                <w:rFonts w:asciiTheme="minorHAnsi" w:hAnsiTheme="minorHAnsi" w:cstheme="minorHAnsi"/>
                <w:b w:val="0"/>
                <w:color w:val="000000"/>
              </w:rPr>
              <w:t xml:space="preserve"> </w:t>
            </w:r>
          </w:p>
          <w:p w14:paraId="1F6EF9DC" w14:textId="35FD7720" w:rsidR="00C53E5A" w:rsidRPr="00A763E1" w:rsidRDefault="0021253B" w:rsidP="00C53E5A">
            <w:pPr>
              <w:pStyle w:val="ListParagraph"/>
              <w:numPr>
                <w:ilvl w:val="0"/>
                <w:numId w:val="30"/>
              </w:numPr>
              <w:autoSpaceDE w:val="0"/>
              <w:autoSpaceDN w:val="0"/>
              <w:adjustRightInd w:val="0"/>
              <w:spacing w:afterLines="200" w:after="480" w:line="276" w:lineRule="auto"/>
              <w:rPr>
                <w:rFonts w:asciiTheme="minorHAnsi" w:eastAsia="Thorndale Duospace WT TC" w:hAnsiTheme="minorHAnsi" w:cstheme="minorHAnsi"/>
                <w:b w:val="0"/>
                <w:color w:val="000000"/>
              </w:rPr>
            </w:pPr>
            <w:r w:rsidRPr="00A763E1">
              <w:rPr>
                <w:rFonts w:asciiTheme="minorHAnsi" w:eastAsia="Times New Roman" w:hAnsiTheme="minorHAnsi" w:cstheme="minorHAnsi"/>
                <w:b w:val="0"/>
                <w:color w:val="000000"/>
              </w:rPr>
              <w:t xml:space="preserve">Although duplicate records are excluded, the measures are based upon events, not individuals, because no unique identifier is always available.  When multiple admissions are not identified, the true prevalence will be overestimated. </w:t>
            </w:r>
            <w:r w:rsidR="00C53E5A" w:rsidRPr="00A763E1">
              <w:rPr>
                <w:rFonts w:asciiTheme="minorHAnsi" w:eastAsia="Times New Roman" w:hAnsiTheme="minorHAnsi" w:cstheme="minorHAnsi"/>
                <w:b w:val="0"/>
                <w:color w:val="000000"/>
              </w:rPr>
              <w:t xml:space="preserve"> </w:t>
            </w:r>
          </w:p>
          <w:p w14:paraId="331562ED" w14:textId="41A2D916" w:rsidR="0021253B" w:rsidRPr="00A763E1" w:rsidRDefault="001D6AE1" w:rsidP="00C53E5A">
            <w:pPr>
              <w:pStyle w:val="ListParagraph"/>
              <w:numPr>
                <w:ilvl w:val="0"/>
                <w:numId w:val="30"/>
              </w:numPr>
              <w:autoSpaceDE w:val="0"/>
              <w:autoSpaceDN w:val="0"/>
              <w:adjustRightInd w:val="0"/>
              <w:spacing w:afterLines="200" w:after="480" w:line="276" w:lineRule="auto"/>
              <w:rPr>
                <w:rFonts w:asciiTheme="minorHAnsi" w:eastAsia="Thorndale Duospace WT TC" w:hAnsiTheme="minorHAnsi" w:cstheme="minorHAnsi"/>
                <w:b w:val="0"/>
                <w:color w:val="000000"/>
              </w:rPr>
            </w:pPr>
            <w:r w:rsidRPr="00A763E1">
              <w:rPr>
                <w:rFonts w:asciiTheme="minorHAnsi" w:eastAsiaTheme="minorEastAsia" w:hAnsiTheme="minorHAnsi" w:cstheme="minorHAnsi"/>
                <w:b w:val="0"/>
                <w:color w:val="000000"/>
                <w:lang w:eastAsia="en-US"/>
              </w:rPr>
              <w:lastRenderedPageBreak/>
              <w:t xml:space="preserve">Data on race and ethnicity are not routinely collected in all states. These data are not consistently recorded on medical records and when available are complicated further by non-standard definitions of race and ethnicity, the use of combined race/ethnicity, reporting of multiple race categories, and differences in self-report versus registrar reporting. </w:t>
            </w:r>
            <w:r w:rsidR="0021253B" w:rsidRPr="00A763E1">
              <w:rPr>
                <w:rFonts w:asciiTheme="minorHAnsi" w:eastAsiaTheme="minorEastAsia" w:hAnsiTheme="minorHAnsi" w:cstheme="minorHAnsi"/>
                <w:b w:val="0"/>
                <w:color w:val="000000"/>
                <w:lang w:eastAsia="en-US"/>
              </w:rPr>
              <w:t xml:space="preserve"> </w:t>
            </w:r>
          </w:p>
          <w:p w14:paraId="23394092" w14:textId="7BB3BB8D" w:rsidR="0021253B" w:rsidRPr="00A763E1" w:rsidRDefault="0021253B" w:rsidP="00C53E5A">
            <w:pPr>
              <w:pStyle w:val="ListParagraph"/>
              <w:numPr>
                <w:ilvl w:val="0"/>
                <w:numId w:val="30"/>
              </w:numPr>
              <w:spacing w:afterLines="200" w:after="480" w:line="276" w:lineRule="auto"/>
              <w:rPr>
                <w:rFonts w:asciiTheme="minorHAnsi" w:eastAsia="Thorndale Duospace WT TC" w:hAnsiTheme="minorHAnsi" w:cstheme="minorHAnsi"/>
                <w:b w:val="0"/>
                <w:color w:val="000000"/>
              </w:rPr>
            </w:pPr>
            <w:r w:rsidRPr="00A763E1">
              <w:rPr>
                <w:rFonts w:asciiTheme="minorHAnsi" w:hAnsiTheme="minorHAnsi" w:cstheme="minorHAnsi"/>
                <w:b w:val="0"/>
              </w:rPr>
              <w:t xml:space="preserve">These data usually include only cases of state residents who were treated within the state. However, healthcare access is not restricted to these political boundaries. People discharged from the </w:t>
            </w:r>
            <w:r w:rsidR="00317E52" w:rsidRPr="00A763E1">
              <w:rPr>
                <w:rFonts w:asciiTheme="minorHAnsi" w:hAnsiTheme="minorHAnsi" w:cstheme="minorHAnsi"/>
                <w:b w:val="0"/>
              </w:rPr>
              <w:t>hospital</w:t>
            </w:r>
            <w:r w:rsidRPr="00A763E1">
              <w:rPr>
                <w:rFonts w:asciiTheme="minorHAnsi" w:hAnsiTheme="minorHAnsi" w:cstheme="minorHAnsi"/>
                <w:b w:val="0"/>
              </w:rPr>
              <w:t xml:space="preserve"> for </w:t>
            </w:r>
            <w:r w:rsidR="00317E52" w:rsidRPr="00A763E1">
              <w:rPr>
                <w:rFonts w:asciiTheme="minorHAnsi" w:hAnsiTheme="minorHAnsi" w:cstheme="minorHAnsi"/>
                <w:b w:val="0"/>
              </w:rPr>
              <w:t xml:space="preserve">AMI </w:t>
            </w:r>
            <w:r w:rsidRPr="00A763E1">
              <w:rPr>
                <w:rFonts w:asciiTheme="minorHAnsi" w:hAnsiTheme="minorHAnsi" w:cstheme="minorHAnsi"/>
                <w:b w:val="0"/>
              </w:rPr>
              <w:t xml:space="preserve">in another state will typically not be counted in their own state or in the jurisdiction in which they were treated. </w:t>
            </w:r>
            <w:r w:rsidRPr="00A763E1">
              <w:rPr>
                <w:rFonts w:asciiTheme="minorHAnsi" w:eastAsia="Thorndale Duospace WT TC" w:hAnsiTheme="minorHAnsi" w:cstheme="minorHAnsi"/>
                <w:b w:val="0"/>
              </w:rPr>
              <w:t xml:space="preserve">Each state must individually obtain permission to access and, in some states, provide payment to obtain data about their state residents from another state. </w:t>
            </w:r>
            <w:r w:rsidRPr="00A763E1">
              <w:rPr>
                <w:rFonts w:asciiTheme="minorHAnsi" w:hAnsiTheme="minorHAnsi" w:cstheme="minorHAnsi"/>
                <w:b w:val="0"/>
              </w:rPr>
              <w:t xml:space="preserve">Currently, only a few states have access to, or agreements to obtain, their emergency department data from other states in which their residents may have received treatment. </w:t>
            </w:r>
            <w:r w:rsidRPr="00A763E1">
              <w:rPr>
                <w:rFonts w:asciiTheme="minorHAnsi" w:eastAsia="Thorndale Duospace WT TC" w:hAnsiTheme="minorHAnsi" w:cstheme="minorHAnsi"/>
                <w:b w:val="0"/>
                <w:color w:val="000000"/>
              </w:rPr>
              <w:t xml:space="preserve">Without reciprocal reporting agreements with abutting states, statewide </w:t>
            </w:r>
            <w:r w:rsidR="00317E52" w:rsidRPr="00A763E1">
              <w:rPr>
                <w:rFonts w:asciiTheme="minorHAnsi" w:eastAsia="Thorndale Duospace WT TC" w:hAnsiTheme="minorHAnsi" w:cstheme="minorHAnsi"/>
                <w:b w:val="0"/>
                <w:color w:val="000000"/>
              </w:rPr>
              <w:t>measures,</w:t>
            </w:r>
            <w:r w:rsidRPr="00A763E1">
              <w:rPr>
                <w:rFonts w:asciiTheme="minorHAnsi" w:eastAsia="Thorndale Duospace WT TC" w:hAnsiTheme="minorHAnsi" w:cstheme="minorHAnsi"/>
                <w:b w:val="0"/>
                <w:color w:val="000000"/>
              </w:rPr>
              <w:t xml:space="preserve"> and measures for geographic areas (e.g., counties) bordering other states may be underestimated because of healthcare utilization patterns. </w:t>
            </w:r>
            <w:r w:rsidRPr="00A763E1">
              <w:rPr>
                <w:rFonts w:asciiTheme="minorHAnsi" w:hAnsiTheme="minorHAnsi" w:cstheme="minorHAnsi"/>
                <w:b w:val="0"/>
              </w:rPr>
              <w:t xml:space="preserve">To the extent that patients are treated out of state and are not included the data, there is undercounting of the rate of residents with </w:t>
            </w:r>
            <w:r w:rsidR="00317E52" w:rsidRPr="00A763E1">
              <w:rPr>
                <w:rFonts w:asciiTheme="minorHAnsi" w:hAnsiTheme="minorHAnsi" w:cstheme="minorHAnsi"/>
                <w:b w:val="0"/>
              </w:rPr>
              <w:t>AMI hospitalizations</w:t>
            </w:r>
            <w:r w:rsidRPr="00A763E1">
              <w:rPr>
                <w:rFonts w:asciiTheme="minorHAnsi" w:hAnsiTheme="minorHAnsi" w:cstheme="minorHAnsi"/>
                <w:b w:val="0"/>
              </w:rPr>
              <w:t>.</w:t>
            </w:r>
          </w:p>
          <w:p w14:paraId="10A25F69" w14:textId="392EFE25" w:rsidR="00C53E5A" w:rsidRPr="00A763E1" w:rsidRDefault="00AB7020" w:rsidP="00C53E5A">
            <w:pPr>
              <w:pStyle w:val="ListParagraph"/>
              <w:numPr>
                <w:ilvl w:val="0"/>
                <w:numId w:val="30"/>
              </w:numPr>
              <w:spacing w:afterLines="200" w:after="480"/>
              <w:rPr>
                <w:rFonts w:asciiTheme="minorHAnsi" w:eastAsia="Thorndale Duospace WT TC" w:hAnsiTheme="minorHAnsi" w:cstheme="minorHAnsi"/>
                <w:b w:val="0"/>
                <w:color w:val="000000"/>
              </w:rPr>
            </w:pPr>
            <w:r w:rsidRPr="00A763E1">
              <w:rPr>
                <w:rFonts w:asciiTheme="minorHAnsi" w:eastAsia="Thorndale Duospace WT TC" w:hAnsiTheme="minorHAnsi" w:cstheme="minorHAnsi"/>
                <w:b w:val="0"/>
                <w:color w:val="000000"/>
              </w:rPr>
              <w:t>F</w:t>
            </w:r>
            <w:r w:rsidR="0021253B" w:rsidRPr="00A763E1">
              <w:rPr>
                <w:rFonts w:asciiTheme="minorHAnsi" w:eastAsia="Thorndale Duospace WT TC" w:hAnsiTheme="minorHAnsi" w:cstheme="minorHAnsi"/>
                <w:b w:val="0"/>
                <w:color w:val="000000"/>
              </w:rPr>
              <w:t>ederal institutions</w:t>
            </w:r>
            <w:r w:rsidR="003A4C93" w:rsidRPr="00A763E1">
              <w:rPr>
                <w:rFonts w:asciiTheme="minorHAnsi" w:eastAsia="Thorndale Duospace WT TC" w:hAnsiTheme="minorHAnsi" w:cstheme="minorHAnsi"/>
                <w:b w:val="0"/>
                <w:color w:val="000000"/>
              </w:rPr>
              <w:t>,</w:t>
            </w:r>
            <w:r w:rsidR="0021253B" w:rsidRPr="00A763E1">
              <w:rPr>
                <w:rFonts w:asciiTheme="minorHAnsi" w:eastAsia="Thorndale Duospace WT TC" w:hAnsiTheme="minorHAnsi" w:cstheme="minorHAnsi"/>
                <w:b w:val="0"/>
                <w:color w:val="000000"/>
              </w:rPr>
              <w:t xml:space="preserve"> such as Veteran</w:t>
            </w:r>
            <w:r w:rsidR="003A4C93" w:rsidRPr="00A763E1">
              <w:rPr>
                <w:rFonts w:asciiTheme="minorHAnsi" w:eastAsia="Thorndale Duospace WT TC" w:hAnsiTheme="minorHAnsi" w:cstheme="minorHAnsi"/>
                <w:b w:val="0"/>
                <w:color w:val="000000"/>
              </w:rPr>
              <w:t>’</w:t>
            </w:r>
            <w:r w:rsidR="0021253B" w:rsidRPr="00A763E1">
              <w:rPr>
                <w:rFonts w:asciiTheme="minorHAnsi" w:eastAsia="Thorndale Duospace WT TC" w:hAnsiTheme="minorHAnsi" w:cstheme="minorHAnsi"/>
                <w:b w:val="0"/>
                <w:color w:val="000000"/>
              </w:rPr>
              <w:t>s Affairs, Indian Health Services, and prison facilities</w:t>
            </w:r>
            <w:r w:rsidRPr="00A763E1">
              <w:rPr>
                <w:rFonts w:asciiTheme="minorHAnsi" w:eastAsia="Thorndale Duospace WT TC" w:hAnsiTheme="minorHAnsi" w:cstheme="minorHAnsi"/>
                <w:b w:val="0"/>
                <w:color w:val="000000"/>
              </w:rPr>
              <w:t>, are excluded from the data</w:t>
            </w:r>
            <w:r w:rsidR="00C53E5A" w:rsidRPr="00A763E1">
              <w:rPr>
                <w:rFonts w:asciiTheme="minorHAnsi" w:eastAsia="Thorndale Duospace WT TC" w:hAnsiTheme="minorHAnsi" w:cstheme="minorHAnsi"/>
                <w:b w:val="0"/>
                <w:color w:val="000000"/>
              </w:rPr>
              <w:t>.</w:t>
            </w:r>
          </w:p>
          <w:p w14:paraId="15202782" w14:textId="5AD896E6" w:rsidR="0021253B" w:rsidRPr="00A763E1" w:rsidRDefault="00790627" w:rsidP="00C53E5A">
            <w:pPr>
              <w:pStyle w:val="ListParagraph"/>
              <w:numPr>
                <w:ilvl w:val="0"/>
                <w:numId w:val="30"/>
              </w:numPr>
              <w:spacing w:afterLines="200" w:after="480"/>
              <w:rPr>
                <w:rFonts w:asciiTheme="minorHAnsi" w:eastAsia="Thorndale Duospace WT TC" w:hAnsiTheme="minorHAnsi" w:cstheme="minorHAnsi"/>
                <w:b w:val="0"/>
                <w:color w:val="000000"/>
              </w:rPr>
            </w:pPr>
            <w:r w:rsidRPr="00A763E1">
              <w:rPr>
                <w:rFonts w:asciiTheme="minorHAnsi" w:hAnsiTheme="minorHAnsi" w:cstheme="minorHAnsi"/>
                <w:b w:val="0"/>
              </w:rPr>
              <w:t>Practice patterns and payment mechanisms may affect diagnostic coding and decisions by healthcare providers to hospitalize patients</w:t>
            </w:r>
            <w:r w:rsidR="001D6AE1" w:rsidRPr="00A763E1">
              <w:rPr>
                <w:rFonts w:asciiTheme="minorHAnsi" w:hAnsiTheme="minorHAnsi" w:cstheme="minorHAnsi"/>
                <w:b w:val="0"/>
              </w:rPr>
              <w:t xml:space="preserve">. </w:t>
            </w:r>
          </w:p>
          <w:p w14:paraId="32E06DEE" w14:textId="2969FD1E" w:rsidR="003A213A" w:rsidRPr="00A763E1" w:rsidRDefault="001D6AE1" w:rsidP="00C53E5A">
            <w:pPr>
              <w:pStyle w:val="ListParagraph"/>
              <w:numPr>
                <w:ilvl w:val="0"/>
                <w:numId w:val="30"/>
              </w:numPr>
              <w:spacing w:afterLines="200" w:after="480"/>
              <w:rPr>
                <w:rFonts w:asciiTheme="minorHAnsi" w:eastAsia="Thorndale Duospace WT TC" w:hAnsiTheme="minorHAnsi" w:cstheme="minorBidi"/>
                <w:b w:val="0"/>
                <w:color w:val="000000"/>
              </w:rPr>
            </w:pPr>
            <w:r w:rsidRPr="00A763E1">
              <w:rPr>
                <w:rFonts w:asciiTheme="minorHAnsi" w:hAnsiTheme="minorHAnsi"/>
                <w:b w:val="0"/>
                <w:color w:val="000000" w:themeColor="text1"/>
              </w:rPr>
              <w:t>Sometimes the mailing address of a patient</w:t>
            </w:r>
            <w:r w:rsidR="00A55243" w:rsidRPr="00A763E1">
              <w:rPr>
                <w:rFonts w:asciiTheme="minorHAnsi" w:hAnsiTheme="minorHAnsi"/>
                <w:b w:val="0"/>
                <w:color w:val="000000" w:themeColor="text1"/>
              </w:rPr>
              <w:t xml:space="preserve"> (e.g., PO Box)</w:t>
            </w:r>
            <w:r w:rsidRPr="00A763E1">
              <w:rPr>
                <w:rFonts w:asciiTheme="minorHAnsi" w:hAnsiTheme="minorHAnsi"/>
                <w:b w:val="0"/>
                <w:color w:val="000000" w:themeColor="text1"/>
              </w:rPr>
              <w:t xml:space="preserve"> is listed as the residence address of the patient. </w:t>
            </w:r>
            <w:r w:rsidR="78689BA1" w:rsidRPr="00A763E1">
              <w:rPr>
                <w:rFonts w:asciiTheme="minorHAnsi" w:eastAsia="Thorndale Duospace WT TC" w:hAnsiTheme="minorHAnsi" w:cstheme="minorBidi"/>
                <w:b w:val="0"/>
                <w:color w:val="000000" w:themeColor="text1"/>
              </w:rPr>
              <w:t xml:space="preserve">This may </w:t>
            </w:r>
            <w:r w:rsidR="77743B51" w:rsidRPr="00A763E1">
              <w:rPr>
                <w:rFonts w:asciiTheme="minorHAnsi" w:eastAsia="Thorndale Duospace WT TC" w:hAnsiTheme="minorHAnsi" w:cstheme="minorBidi"/>
                <w:b w:val="0"/>
                <w:color w:val="000000" w:themeColor="text1"/>
              </w:rPr>
              <w:t xml:space="preserve">be different than </w:t>
            </w:r>
            <w:r w:rsidR="78689BA1" w:rsidRPr="00A763E1">
              <w:rPr>
                <w:rFonts w:asciiTheme="minorHAnsi" w:eastAsia="Thorndale Duospace WT TC" w:hAnsiTheme="minorHAnsi" w:cstheme="minorBidi"/>
                <w:b w:val="0"/>
                <w:color w:val="000000" w:themeColor="text1"/>
              </w:rPr>
              <w:t xml:space="preserve">the </w:t>
            </w:r>
            <w:r w:rsidR="7FDFDD39" w:rsidRPr="00A763E1">
              <w:rPr>
                <w:rFonts w:asciiTheme="minorHAnsi" w:eastAsia="Thorndale Duospace WT TC" w:hAnsiTheme="minorHAnsi" w:cstheme="minorBidi"/>
                <w:b w:val="0"/>
                <w:color w:val="000000" w:themeColor="text1"/>
              </w:rPr>
              <w:t>county or census tract of residence for the patient</w:t>
            </w:r>
            <w:r w:rsidR="004B1A36" w:rsidRPr="00A763E1">
              <w:rPr>
                <w:rFonts w:asciiTheme="minorHAnsi" w:eastAsia="Thorndale Duospace WT TC" w:hAnsiTheme="minorHAnsi" w:cstheme="minorBidi"/>
                <w:b w:val="0"/>
                <w:color w:val="000000" w:themeColor="text1"/>
              </w:rPr>
              <w:t>.</w:t>
            </w:r>
          </w:p>
          <w:p w14:paraId="4163008F" w14:textId="5A7E1B0B" w:rsidR="001D6AE1" w:rsidRPr="00A763E1" w:rsidRDefault="001D6AE1" w:rsidP="00C53E5A">
            <w:pPr>
              <w:pStyle w:val="ListParagraph"/>
              <w:numPr>
                <w:ilvl w:val="0"/>
                <w:numId w:val="30"/>
              </w:numPr>
              <w:spacing w:afterLines="200" w:after="480"/>
              <w:rPr>
                <w:rFonts w:asciiTheme="minorHAnsi" w:eastAsia="Thorndale Duospace WT TC" w:hAnsiTheme="minorHAnsi" w:cstheme="minorHAnsi"/>
                <w:b w:val="0"/>
                <w:color w:val="000000"/>
              </w:rPr>
            </w:pPr>
            <w:r w:rsidRPr="00A763E1">
              <w:rPr>
                <w:rFonts w:asciiTheme="minorHAnsi" w:eastAsia="Thorndale Duospace WT TC" w:hAnsiTheme="minorHAnsi" w:cstheme="minorHAnsi"/>
                <w:b w:val="0"/>
                <w:color w:val="000000"/>
              </w:rPr>
              <w:t>Patients may be exposed to environmental triggers in multiple locations, but geographic information is limited to residence.</w:t>
            </w:r>
          </w:p>
          <w:p w14:paraId="58664184" w14:textId="04BD811F" w:rsidR="00E0242E" w:rsidRPr="00A763E1" w:rsidRDefault="001D6AE1" w:rsidP="0023528C">
            <w:pPr>
              <w:pStyle w:val="ListParagraph"/>
              <w:numPr>
                <w:ilvl w:val="0"/>
                <w:numId w:val="30"/>
              </w:numPr>
              <w:rPr>
                <w:rFonts w:asciiTheme="minorHAnsi" w:hAnsiTheme="minorHAnsi" w:cstheme="minorHAnsi"/>
                <w:u w:val="single"/>
              </w:rPr>
            </w:pPr>
            <w:r w:rsidRPr="00A763E1">
              <w:rPr>
                <w:rFonts w:asciiTheme="minorHAnsi" w:eastAsia="Thorndale Duospace WT TC" w:hAnsiTheme="minorHAnsi" w:cstheme="minorHAnsi"/>
                <w:b w:val="0"/>
                <w:color w:val="000000"/>
              </w:rPr>
              <w:t xml:space="preserve">Since the data capture hospital discharges (rather than admissions), patients admitted toward the end of the year and discharged the following year could be omitted from the admission year dataset. </w:t>
            </w:r>
            <w:r w:rsidRPr="00A763E1">
              <w:rPr>
                <w:rFonts w:asciiTheme="minorHAnsi" w:eastAsia="Thorndale Duospace WT TC" w:hAnsiTheme="minorHAnsi" w:cstheme="minorHAnsi"/>
                <w:b w:val="0"/>
              </w:rPr>
              <w:t>There is usually a two-year lag period before data are available from the data owner.</w:t>
            </w:r>
          </w:p>
        </w:tc>
      </w:tr>
      <w:tr w:rsidR="008A47E2" w:rsidRPr="00A763E1" w14:paraId="5866418C" w14:textId="77777777" w:rsidTr="00930ED9">
        <w:tc>
          <w:tcPr>
            <w:tcW w:w="1068" w:type="pct"/>
          </w:tcPr>
          <w:p w14:paraId="58664186" w14:textId="77777777" w:rsidR="008A47E2" w:rsidRPr="00A763E1" w:rsidRDefault="008A47E2" w:rsidP="00C561D0">
            <w:pPr>
              <w:rPr>
                <w:rFonts w:asciiTheme="minorHAnsi" w:hAnsiTheme="minorHAnsi" w:cstheme="minorHAnsi"/>
                <w:b/>
              </w:rPr>
            </w:pPr>
            <w:r w:rsidRPr="00A763E1">
              <w:rPr>
                <w:rFonts w:asciiTheme="minorHAnsi" w:hAnsiTheme="minorHAnsi" w:cstheme="minorHAnsi"/>
                <w:b/>
              </w:rPr>
              <w:lastRenderedPageBreak/>
              <w:t>Related Indicators</w:t>
            </w:r>
          </w:p>
        </w:tc>
        <w:tc>
          <w:tcPr>
            <w:cnfStyle w:val="000100000000" w:firstRow="0" w:lastRow="0" w:firstColumn="0" w:lastColumn="1" w:oddVBand="0" w:evenVBand="0" w:oddHBand="0" w:evenHBand="0" w:firstRowFirstColumn="0" w:firstRowLastColumn="0" w:lastRowFirstColumn="0" w:lastRowLastColumn="0"/>
            <w:tcW w:w="3932" w:type="pct"/>
          </w:tcPr>
          <w:p w14:paraId="58664187" w14:textId="3A3D481D" w:rsidR="008A47E2" w:rsidRPr="00A763E1" w:rsidRDefault="007805A9" w:rsidP="00C561D0">
            <w:pPr>
              <w:numPr>
                <w:ilvl w:val="0"/>
                <w:numId w:val="6"/>
              </w:numPr>
              <w:tabs>
                <w:tab w:val="clear" w:pos="720"/>
                <w:tab w:val="num" w:pos="433"/>
              </w:tabs>
              <w:ind w:left="433"/>
              <w:rPr>
                <w:rFonts w:asciiTheme="minorHAnsi" w:hAnsiTheme="minorHAnsi" w:cstheme="minorHAnsi"/>
                <w:b w:val="0"/>
                <w:color w:val="000000"/>
              </w:rPr>
            </w:pPr>
            <w:r w:rsidRPr="00A763E1">
              <w:rPr>
                <w:rFonts w:asciiTheme="minorHAnsi" w:hAnsiTheme="minorHAnsi" w:cstheme="minorHAnsi"/>
                <w:b w:val="0"/>
                <w:color w:val="000000"/>
              </w:rPr>
              <w:t xml:space="preserve">Annual </w:t>
            </w:r>
            <w:r w:rsidR="00317E52" w:rsidRPr="00A763E1">
              <w:rPr>
                <w:rFonts w:asciiTheme="minorHAnsi" w:hAnsiTheme="minorHAnsi" w:cstheme="minorHAnsi"/>
                <w:b w:val="0"/>
                <w:color w:val="000000"/>
              </w:rPr>
              <w:t>PM2.5 Level</w:t>
            </w:r>
          </w:p>
          <w:p w14:paraId="5866418B" w14:textId="1E1B2793" w:rsidR="00F81ED5" w:rsidRPr="00A763E1" w:rsidRDefault="00317E52" w:rsidP="003F6C7D">
            <w:pPr>
              <w:numPr>
                <w:ilvl w:val="0"/>
                <w:numId w:val="6"/>
              </w:numPr>
              <w:tabs>
                <w:tab w:val="clear" w:pos="720"/>
                <w:tab w:val="num" w:pos="433"/>
              </w:tabs>
              <w:ind w:left="433"/>
              <w:rPr>
                <w:rFonts w:asciiTheme="minorHAnsi" w:hAnsiTheme="minorHAnsi" w:cstheme="minorHAnsi"/>
                <w:b w:val="0"/>
                <w:color w:val="000000"/>
              </w:rPr>
            </w:pPr>
            <w:r w:rsidRPr="00A763E1">
              <w:rPr>
                <w:rFonts w:asciiTheme="minorHAnsi" w:hAnsiTheme="minorHAnsi" w:cstheme="minorHAnsi"/>
                <w:b w:val="0"/>
                <w:color w:val="000000"/>
              </w:rPr>
              <w:t>Ozone Days Above Regulatory Standard</w:t>
            </w:r>
          </w:p>
        </w:tc>
      </w:tr>
      <w:tr w:rsidR="008A47E2" w:rsidRPr="00A763E1" w14:paraId="58664197" w14:textId="77777777" w:rsidTr="00930ED9">
        <w:trPr>
          <w:cnfStyle w:val="010000000000" w:firstRow="0" w:lastRow="1" w:firstColumn="0" w:lastColumn="0" w:oddVBand="0" w:evenVBand="0" w:oddHBand="0" w:evenHBand="0" w:firstRowFirstColumn="0" w:firstRowLastColumn="0" w:lastRowFirstColumn="0" w:lastRowLastColumn="0"/>
        </w:trPr>
        <w:tc>
          <w:tcPr>
            <w:tcW w:w="1068" w:type="pct"/>
          </w:tcPr>
          <w:p w14:paraId="5866418D" w14:textId="77777777" w:rsidR="008A47E2" w:rsidRPr="00A763E1" w:rsidRDefault="008A47E2" w:rsidP="00C561D0">
            <w:pPr>
              <w:rPr>
                <w:rFonts w:asciiTheme="minorHAnsi" w:hAnsiTheme="minorHAnsi" w:cstheme="minorHAnsi"/>
              </w:rPr>
            </w:pPr>
            <w:r w:rsidRPr="00A763E1">
              <w:rPr>
                <w:rFonts w:asciiTheme="minorHAnsi" w:hAnsiTheme="minorHAnsi" w:cstheme="minorHAnsi"/>
              </w:rPr>
              <w:t>References</w:t>
            </w:r>
          </w:p>
        </w:tc>
        <w:tc>
          <w:tcPr>
            <w:cnfStyle w:val="000100000000" w:firstRow="0" w:lastRow="0" w:firstColumn="0" w:lastColumn="1" w:oddVBand="0" w:evenVBand="0" w:oddHBand="0" w:evenHBand="0" w:firstRowFirstColumn="0" w:firstRowLastColumn="0" w:lastRowFirstColumn="0" w:lastRowLastColumn="0"/>
            <w:tcW w:w="3932" w:type="pct"/>
          </w:tcPr>
          <w:p w14:paraId="48F4AB9D" w14:textId="34002A1D" w:rsidR="00C56AFB" w:rsidRPr="00A763E1" w:rsidRDefault="00834ABC" w:rsidP="0023528C">
            <w:pPr>
              <w:pStyle w:val="ListParagraph"/>
              <w:numPr>
                <w:ilvl w:val="0"/>
                <w:numId w:val="19"/>
              </w:numPr>
              <w:shd w:val="clear" w:color="auto" w:fill="FFFFFF"/>
              <w:rPr>
                <w:rFonts w:asciiTheme="minorHAnsi" w:eastAsia="Times New Roman" w:hAnsiTheme="minorHAnsi" w:cstheme="minorHAnsi"/>
                <w:b w:val="0"/>
                <w:color w:val="000000"/>
                <w:lang w:eastAsia="ko-KR"/>
              </w:rPr>
            </w:pPr>
            <w:proofErr w:type="spellStart"/>
            <w:r w:rsidRPr="00A763E1">
              <w:rPr>
                <w:rFonts w:asciiTheme="minorHAnsi" w:hAnsiTheme="minorHAnsi" w:cstheme="minorHAnsi"/>
                <w:b w:val="0"/>
                <w:color w:val="000000"/>
              </w:rPr>
              <w:t>Kochanek</w:t>
            </w:r>
            <w:proofErr w:type="spellEnd"/>
            <w:r w:rsidRPr="00A763E1">
              <w:rPr>
                <w:rFonts w:asciiTheme="minorHAnsi" w:hAnsiTheme="minorHAnsi" w:cstheme="minorHAnsi"/>
                <w:b w:val="0"/>
                <w:color w:val="000000"/>
              </w:rPr>
              <w:t xml:space="preserve"> KD, Xu JQ, Arias E. </w:t>
            </w:r>
            <w:hyperlink r:id="rId8" w:history="1">
              <w:r w:rsidRPr="00A763E1">
                <w:rPr>
                  <w:rStyle w:val="Hyperlink"/>
                  <w:rFonts w:asciiTheme="minorHAnsi" w:hAnsiTheme="minorHAnsi" w:cstheme="minorHAnsi"/>
                  <w:b w:val="0"/>
                </w:rPr>
                <w:t>Mortality in the United States, 2019</w:t>
              </w:r>
            </w:hyperlink>
            <w:r w:rsidRPr="00A763E1">
              <w:rPr>
                <w:rFonts w:asciiTheme="minorHAnsi" w:hAnsiTheme="minorHAnsi" w:cstheme="minorHAnsi"/>
                <w:b w:val="0"/>
                <w:color w:val="000000"/>
              </w:rPr>
              <w:t>. NCHS Data Brief, no 395. Hyattsville, MD: National Center for Health Statistics. 2020.</w:t>
            </w:r>
          </w:p>
          <w:p w14:paraId="38FB028B" w14:textId="217498E3" w:rsidR="00930ED9" w:rsidRPr="00A763E1" w:rsidRDefault="00E73CDA" w:rsidP="00E52D11">
            <w:pPr>
              <w:numPr>
                <w:ilvl w:val="0"/>
                <w:numId w:val="19"/>
              </w:numPr>
              <w:shd w:val="clear" w:color="auto" w:fill="FFFFFF"/>
              <w:rPr>
                <w:rFonts w:asciiTheme="minorHAnsi" w:eastAsia="Times New Roman" w:hAnsiTheme="minorHAnsi" w:cstheme="minorHAnsi"/>
                <w:b w:val="0"/>
                <w:color w:val="000000"/>
                <w:lang w:eastAsia="ko-KR"/>
              </w:rPr>
            </w:pPr>
            <w:r w:rsidRPr="00A763E1">
              <w:rPr>
                <w:rFonts w:asciiTheme="minorHAnsi" w:hAnsiTheme="minorHAnsi" w:cstheme="minorHAnsi"/>
                <w:b w:val="0"/>
                <w:color w:val="000000"/>
              </w:rPr>
              <w:t xml:space="preserve">Centers for Disease Control and Prevention. </w:t>
            </w:r>
            <w:r w:rsidR="00930ED9" w:rsidRPr="00A763E1">
              <w:rPr>
                <w:rFonts w:asciiTheme="minorHAnsi" w:hAnsiTheme="minorHAnsi" w:cstheme="minorHAnsi"/>
                <w:b w:val="0"/>
                <w:color w:val="000000"/>
              </w:rPr>
              <w:t xml:space="preserve">Heart Disease (2021). Retrieved July </w:t>
            </w:r>
            <w:r w:rsidRPr="00A763E1">
              <w:rPr>
                <w:rFonts w:asciiTheme="minorHAnsi" w:hAnsiTheme="minorHAnsi" w:cstheme="minorHAnsi"/>
                <w:b w:val="0"/>
                <w:color w:val="000000"/>
              </w:rPr>
              <w:t>28</w:t>
            </w:r>
            <w:r w:rsidR="00EA4090" w:rsidRPr="00A763E1">
              <w:rPr>
                <w:rFonts w:asciiTheme="minorHAnsi" w:hAnsiTheme="minorHAnsi" w:cstheme="minorHAnsi"/>
                <w:b w:val="0"/>
                <w:color w:val="000000"/>
              </w:rPr>
              <w:t>,</w:t>
            </w:r>
            <w:r w:rsidRPr="00A763E1">
              <w:rPr>
                <w:rFonts w:asciiTheme="minorHAnsi" w:hAnsiTheme="minorHAnsi" w:cstheme="minorHAnsi"/>
                <w:b w:val="0"/>
                <w:color w:val="000000"/>
              </w:rPr>
              <w:t xml:space="preserve"> </w:t>
            </w:r>
            <w:r w:rsidR="00930ED9" w:rsidRPr="00A763E1">
              <w:rPr>
                <w:rFonts w:asciiTheme="minorHAnsi" w:hAnsiTheme="minorHAnsi" w:cstheme="minorHAnsi"/>
                <w:b w:val="0"/>
                <w:color w:val="000000"/>
              </w:rPr>
              <w:t>2021</w:t>
            </w:r>
            <w:r w:rsidR="00EA4090" w:rsidRPr="00A763E1">
              <w:rPr>
                <w:rFonts w:asciiTheme="minorHAnsi" w:hAnsiTheme="minorHAnsi" w:cstheme="minorHAnsi"/>
                <w:b w:val="0"/>
                <w:color w:val="000000"/>
              </w:rPr>
              <w:t>,</w:t>
            </w:r>
            <w:r w:rsidR="00930ED9" w:rsidRPr="00A763E1">
              <w:rPr>
                <w:rFonts w:asciiTheme="minorHAnsi" w:hAnsiTheme="minorHAnsi" w:cstheme="minorHAnsi"/>
                <w:b w:val="0"/>
                <w:color w:val="000000"/>
              </w:rPr>
              <w:t xml:space="preserve"> from </w:t>
            </w:r>
            <w:hyperlink r:id="rId9" w:tgtFrame="_blank" w:history="1">
              <w:r w:rsidR="00930ED9" w:rsidRPr="00A763E1">
                <w:rPr>
                  <w:rStyle w:val="Hyperlink"/>
                  <w:rFonts w:asciiTheme="minorHAnsi" w:hAnsiTheme="minorHAnsi" w:cstheme="minorHAnsi"/>
                  <w:b w:val="0"/>
                  <w:color w:val="075290"/>
                </w:rPr>
                <w:t>http://www.cdc.gov/heartdisease</w:t>
              </w:r>
            </w:hyperlink>
          </w:p>
          <w:p w14:paraId="44A8FFFE" w14:textId="0E33C249" w:rsidR="004B58B8" w:rsidRPr="00A763E1" w:rsidRDefault="004B58B8" w:rsidP="00E52D11">
            <w:pPr>
              <w:pStyle w:val="ListParagraph"/>
              <w:numPr>
                <w:ilvl w:val="0"/>
                <w:numId w:val="19"/>
              </w:numPr>
              <w:contextualSpacing w:val="0"/>
              <w:rPr>
                <w:rFonts w:asciiTheme="minorHAnsi" w:hAnsiTheme="minorHAnsi" w:cstheme="minorHAnsi"/>
                <w:b w:val="0"/>
                <w:color w:val="000000"/>
              </w:rPr>
            </w:pPr>
            <w:r w:rsidRPr="00A763E1">
              <w:rPr>
                <w:rFonts w:asciiTheme="minorHAnsi" w:hAnsiTheme="minorHAnsi" w:cstheme="minorHAnsi"/>
                <w:b w:val="0"/>
                <w:color w:val="000000"/>
              </w:rPr>
              <w:t xml:space="preserve">American Heart Association. Heart Disease and Stroke Statistics – 2020 Update: A Report </w:t>
            </w:r>
            <w:proofErr w:type="gramStart"/>
            <w:r w:rsidRPr="00A763E1">
              <w:rPr>
                <w:rFonts w:asciiTheme="minorHAnsi" w:hAnsiTheme="minorHAnsi" w:cstheme="minorHAnsi"/>
                <w:b w:val="0"/>
                <w:color w:val="000000"/>
              </w:rPr>
              <w:t>From</w:t>
            </w:r>
            <w:proofErr w:type="gramEnd"/>
            <w:r w:rsidRPr="00A763E1">
              <w:rPr>
                <w:rFonts w:asciiTheme="minorHAnsi" w:hAnsiTheme="minorHAnsi" w:cstheme="minorHAnsi"/>
                <w:b w:val="0"/>
                <w:color w:val="000000"/>
              </w:rPr>
              <w:t xml:space="preserve"> the American Heart Association. Circulation, 2020; 141:e139-e596. </w:t>
            </w:r>
            <w:r w:rsidRPr="00A763E1">
              <w:rPr>
                <w:rFonts w:asciiTheme="minorHAnsi" w:hAnsiTheme="minorHAnsi" w:cstheme="minorHAnsi"/>
                <w:b w:val="0"/>
                <w:color w:val="000000"/>
              </w:rPr>
              <w:lastRenderedPageBreak/>
              <w:t>https://www.ahajournals.org/doi/10.1161/CIR.0000000000000757#F19-5%20F19-6%20F19-7</w:t>
            </w:r>
          </w:p>
          <w:p w14:paraId="581AAB18" w14:textId="5E58AD14" w:rsidR="004B58B8" w:rsidRPr="00A763E1" w:rsidRDefault="004B58B8" w:rsidP="00E52D11">
            <w:pPr>
              <w:pStyle w:val="ListParagraph"/>
              <w:numPr>
                <w:ilvl w:val="0"/>
                <w:numId w:val="19"/>
              </w:numPr>
              <w:contextualSpacing w:val="0"/>
              <w:rPr>
                <w:rFonts w:asciiTheme="minorHAnsi" w:hAnsiTheme="minorHAnsi" w:cstheme="minorHAnsi"/>
                <w:b w:val="0"/>
                <w:color w:val="000000"/>
              </w:rPr>
            </w:pPr>
            <w:r w:rsidRPr="00A763E1">
              <w:rPr>
                <w:rFonts w:asciiTheme="minorHAnsi" w:hAnsiTheme="minorHAnsi" w:cstheme="minorHAnsi"/>
                <w:b w:val="0"/>
                <w:color w:val="000000"/>
              </w:rPr>
              <w:t xml:space="preserve">American Heart Association. Heart Disease and Stroke Statistics – 2019 Update: A Report </w:t>
            </w:r>
            <w:proofErr w:type="gramStart"/>
            <w:r w:rsidRPr="00A763E1">
              <w:rPr>
                <w:rFonts w:asciiTheme="minorHAnsi" w:hAnsiTheme="minorHAnsi" w:cstheme="minorHAnsi"/>
                <w:b w:val="0"/>
                <w:color w:val="000000"/>
              </w:rPr>
              <w:t>From</w:t>
            </w:r>
            <w:proofErr w:type="gramEnd"/>
            <w:r w:rsidRPr="00A763E1">
              <w:rPr>
                <w:rFonts w:asciiTheme="minorHAnsi" w:hAnsiTheme="minorHAnsi" w:cstheme="minorHAnsi"/>
                <w:b w:val="0"/>
                <w:color w:val="000000"/>
              </w:rPr>
              <w:t xml:space="preserve"> the American Heart Association. Circulation, 2019; 139:e56-e528. https://www.ahajournals.org/doi/full/10.1161/CIR.0000000000000659</w:t>
            </w:r>
          </w:p>
          <w:p w14:paraId="057DC907" w14:textId="26F81259" w:rsidR="00930ED9" w:rsidRPr="00A763E1" w:rsidRDefault="00930ED9" w:rsidP="00E52D11">
            <w:pPr>
              <w:pStyle w:val="ListParagraph"/>
              <w:numPr>
                <w:ilvl w:val="0"/>
                <w:numId w:val="19"/>
              </w:numPr>
              <w:shd w:val="clear" w:color="auto" w:fill="FFFFFF"/>
              <w:rPr>
                <w:rFonts w:asciiTheme="minorHAnsi" w:eastAsia="Times New Roman" w:hAnsiTheme="minorHAnsi" w:cstheme="minorHAnsi"/>
                <w:b w:val="0"/>
                <w:color w:val="000000"/>
                <w:lang w:eastAsia="ko-KR"/>
              </w:rPr>
            </w:pPr>
            <w:r w:rsidRPr="00A763E1">
              <w:rPr>
                <w:rFonts w:asciiTheme="minorHAnsi" w:eastAsia="Times New Roman" w:hAnsiTheme="minorHAnsi" w:cstheme="minorHAnsi"/>
                <w:b w:val="0"/>
                <w:color w:val="000000"/>
                <w:lang w:eastAsia="ko-KR"/>
              </w:rPr>
              <w:t xml:space="preserve">Diez Roux A. (2003). Residential environments and cardiovascular risk. </w:t>
            </w:r>
            <w:r w:rsidRPr="00A763E1">
              <w:rPr>
                <w:rFonts w:asciiTheme="minorHAnsi" w:eastAsia="Times New Roman" w:hAnsiTheme="minorHAnsi" w:cstheme="minorHAnsi"/>
                <w:b w:val="0"/>
                <w:i/>
                <w:iCs/>
                <w:color w:val="000000"/>
                <w:lang w:eastAsia="ko-KR"/>
              </w:rPr>
              <w:t>J</w:t>
            </w:r>
            <w:r w:rsidR="00E73CDA" w:rsidRPr="00A763E1">
              <w:rPr>
                <w:rFonts w:asciiTheme="minorHAnsi" w:eastAsia="Times New Roman" w:hAnsiTheme="minorHAnsi" w:cstheme="minorHAnsi"/>
                <w:b w:val="0"/>
                <w:i/>
                <w:iCs/>
                <w:color w:val="000000"/>
                <w:lang w:eastAsia="ko-KR"/>
              </w:rPr>
              <w:t>ournal of</w:t>
            </w:r>
            <w:r w:rsidRPr="00A763E1">
              <w:rPr>
                <w:rFonts w:asciiTheme="minorHAnsi" w:eastAsia="Times New Roman" w:hAnsiTheme="minorHAnsi" w:cstheme="minorHAnsi"/>
                <w:b w:val="0"/>
                <w:i/>
                <w:iCs/>
                <w:color w:val="000000"/>
                <w:lang w:eastAsia="ko-KR"/>
              </w:rPr>
              <w:t xml:space="preserve"> Urban Health</w:t>
            </w:r>
            <w:r w:rsidRPr="00A763E1">
              <w:rPr>
                <w:rFonts w:asciiTheme="minorHAnsi" w:eastAsia="Times New Roman" w:hAnsiTheme="minorHAnsi" w:cstheme="minorHAnsi"/>
                <w:b w:val="0"/>
                <w:color w:val="000000"/>
                <w:lang w:eastAsia="ko-KR"/>
              </w:rPr>
              <w:t xml:space="preserve">, 80(4):569-89. </w:t>
            </w:r>
          </w:p>
          <w:p w14:paraId="4595CB76" w14:textId="29E57415" w:rsidR="00930ED9" w:rsidRPr="00A763E1" w:rsidRDefault="00EA4090" w:rsidP="00E52D11">
            <w:pPr>
              <w:pStyle w:val="ListParagraph"/>
              <w:numPr>
                <w:ilvl w:val="0"/>
                <w:numId w:val="19"/>
              </w:numPr>
              <w:shd w:val="clear" w:color="auto" w:fill="FFFFFF"/>
              <w:rPr>
                <w:rFonts w:asciiTheme="minorHAnsi" w:eastAsia="Times New Roman" w:hAnsiTheme="minorHAnsi" w:cstheme="minorHAnsi"/>
                <w:b w:val="0"/>
                <w:color w:val="000000"/>
                <w:lang w:eastAsia="ko-KR"/>
              </w:rPr>
            </w:pPr>
            <w:r w:rsidRPr="00A763E1">
              <w:rPr>
                <w:rFonts w:asciiTheme="minorHAnsi" w:eastAsia="Times New Roman" w:hAnsiTheme="minorHAnsi" w:cstheme="minorHAnsi"/>
                <w:b w:val="0"/>
                <w:color w:val="000000"/>
                <w:lang w:eastAsia="ko-KR"/>
              </w:rPr>
              <w:t xml:space="preserve">Centers for Disease Control and Prevention. </w:t>
            </w:r>
            <w:r w:rsidR="00930ED9" w:rsidRPr="00A763E1">
              <w:rPr>
                <w:rFonts w:asciiTheme="minorHAnsi" w:eastAsia="Times New Roman" w:hAnsiTheme="minorHAnsi" w:cstheme="minorHAnsi"/>
                <w:b w:val="0"/>
                <w:color w:val="000000"/>
                <w:lang w:eastAsia="ko-KR"/>
              </w:rPr>
              <w:t>Health Impacts of Fine Particles in Air (2014). Retrieved July 20, 2014, from </w:t>
            </w:r>
            <w:hyperlink r:id="rId10" w:tgtFrame="_blank" w:history="1">
              <w:r w:rsidR="00930ED9" w:rsidRPr="00A763E1">
                <w:rPr>
                  <w:rFonts w:asciiTheme="minorHAnsi" w:eastAsia="Times New Roman" w:hAnsiTheme="minorHAnsi" w:cstheme="minorHAnsi"/>
                  <w:b w:val="0"/>
                  <w:color w:val="075290"/>
                  <w:u w:val="single"/>
                  <w:lang w:eastAsia="ko-KR"/>
                </w:rPr>
                <w:t>http://ephtracking.cdc.gov/showAirHIA.action</w:t>
              </w:r>
            </w:hyperlink>
          </w:p>
          <w:p w14:paraId="1EAB575E" w14:textId="77777777" w:rsidR="00930ED9" w:rsidRPr="00A763E1" w:rsidRDefault="00930ED9" w:rsidP="00E52D11">
            <w:pPr>
              <w:numPr>
                <w:ilvl w:val="0"/>
                <w:numId w:val="19"/>
              </w:numPr>
              <w:shd w:val="clear" w:color="auto" w:fill="FFFFFF"/>
              <w:rPr>
                <w:rFonts w:asciiTheme="minorHAnsi" w:eastAsia="Times New Roman" w:hAnsiTheme="minorHAnsi" w:cstheme="minorHAnsi"/>
                <w:b w:val="0"/>
                <w:color w:val="000000"/>
                <w:lang w:eastAsia="ko-KR"/>
              </w:rPr>
            </w:pPr>
            <w:r w:rsidRPr="00A763E1">
              <w:rPr>
                <w:rFonts w:asciiTheme="minorHAnsi" w:eastAsia="Times New Roman" w:hAnsiTheme="minorHAnsi" w:cstheme="minorHAnsi"/>
                <w:b w:val="0"/>
                <w:color w:val="000000"/>
                <w:lang w:eastAsia="ko-KR"/>
              </w:rPr>
              <w:t xml:space="preserve">Brook RD, Franklin B, Cascio W, Hong Y, Howard G, Lipsett M, </w:t>
            </w:r>
            <w:proofErr w:type="spellStart"/>
            <w:r w:rsidRPr="00A763E1">
              <w:rPr>
                <w:rFonts w:asciiTheme="minorHAnsi" w:eastAsia="Times New Roman" w:hAnsiTheme="minorHAnsi" w:cstheme="minorHAnsi"/>
                <w:b w:val="0"/>
                <w:color w:val="000000"/>
                <w:lang w:eastAsia="ko-KR"/>
              </w:rPr>
              <w:t>Luepker</w:t>
            </w:r>
            <w:proofErr w:type="spellEnd"/>
            <w:r w:rsidRPr="00A763E1">
              <w:rPr>
                <w:rFonts w:asciiTheme="minorHAnsi" w:eastAsia="Times New Roman" w:hAnsiTheme="minorHAnsi" w:cstheme="minorHAnsi"/>
                <w:b w:val="0"/>
                <w:color w:val="000000"/>
                <w:lang w:eastAsia="ko-KR"/>
              </w:rPr>
              <w:t xml:space="preserve">, R, </w:t>
            </w:r>
            <w:proofErr w:type="spellStart"/>
            <w:r w:rsidRPr="00A763E1">
              <w:rPr>
                <w:rFonts w:asciiTheme="minorHAnsi" w:eastAsia="Times New Roman" w:hAnsiTheme="minorHAnsi" w:cstheme="minorHAnsi"/>
                <w:b w:val="0"/>
                <w:color w:val="000000"/>
                <w:lang w:eastAsia="ko-KR"/>
              </w:rPr>
              <w:t>Mittleman</w:t>
            </w:r>
            <w:proofErr w:type="spellEnd"/>
            <w:r w:rsidRPr="00A763E1">
              <w:rPr>
                <w:rFonts w:asciiTheme="minorHAnsi" w:eastAsia="Times New Roman" w:hAnsiTheme="minorHAnsi" w:cstheme="minorHAnsi"/>
                <w:b w:val="0"/>
                <w:color w:val="000000"/>
                <w:lang w:eastAsia="ko-KR"/>
              </w:rPr>
              <w:t xml:space="preserve"> M, </w:t>
            </w:r>
            <w:proofErr w:type="spellStart"/>
            <w:r w:rsidRPr="00A763E1">
              <w:rPr>
                <w:rFonts w:asciiTheme="minorHAnsi" w:eastAsia="Times New Roman" w:hAnsiTheme="minorHAnsi" w:cstheme="minorHAnsi"/>
                <w:b w:val="0"/>
                <w:color w:val="000000"/>
                <w:lang w:eastAsia="ko-KR"/>
              </w:rPr>
              <w:t>Samet</w:t>
            </w:r>
            <w:proofErr w:type="spellEnd"/>
            <w:r w:rsidRPr="00A763E1">
              <w:rPr>
                <w:rFonts w:asciiTheme="minorHAnsi" w:eastAsia="Times New Roman" w:hAnsiTheme="minorHAnsi" w:cstheme="minorHAnsi"/>
                <w:b w:val="0"/>
                <w:color w:val="000000"/>
                <w:lang w:eastAsia="ko-KR"/>
              </w:rPr>
              <w:t xml:space="preserve"> J, Smith SC Jr, </w:t>
            </w:r>
            <w:proofErr w:type="spellStart"/>
            <w:r w:rsidRPr="00A763E1">
              <w:rPr>
                <w:rFonts w:asciiTheme="minorHAnsi" w:eastAsia="Times New Roman" w:hAnsiTheme="minorHAnsi" w:cstheme="minorHAnsi"/>
                <w:b w:val="0"/>
                <w:color w:val="000000"/>
                <w:lang w:eastAsia="ko-KR"/>
              </w:rPr>
              <w:t>Tager</w:t>
            </w:r>
            <w:proofErr w:type="spellEnd"/>
            <w:r w:rsidRPr="00A763E1">
              <w:rPr>
                <w:rFonts w:asciiTheme="minorHAnsi" w:eastAsia="Times New Roman" w:hAnsiTheme="minorHAnsi" w:cstheme="minorHAnsi"/>
                <w:b w:val="0"/>
                <w:color w:val="000000"/>
                <w:lang w:eastAsia="ko-KR"/>
              </w:rPr>
              <w:t xml:space="preserve"> I. (2004). Expert Panel on Population and Prevention Science of the American Heart Association. Air pollution and cardiovascular disease: a statement for healthcare professionals from the Expert Panel on Population and Prevention Science of the American Heart Association. Circulation, 109:2655-2671.</w:t>
            </w:r>
          </w:p>
          <w:p w14:paraId="2E438166" w14:textId="77777777" w:rsidR="00930ED9" w:rsidRPr="00A763E1" w:rsidRDefault="00930ED9" w:rsidP="00E52D11">
            <w:pPr>
              <w:numPr>
                <w:ilvl w:val="0"/>
                <w:numId w:val="19"/>
              </w:numPr>
              <w:shd w:val="clear" w:color="auto" w:fill="FFFFFF"/>
              <w:rPr>
                <w:rFonts w:asciiTheme="minorHAnsi" w:eastAsia="Times New Roman" w:hAnsiTheme="minorHAnsi" w:cstheme="minorHAnsi"/>
                <w:b w:val="0"/>
                <w:color w:val="000000"/>
                <w:lang w:eastAsia="ko-KR"/>
              </w:rPr>
            </w:pPr>
            <w:r w:rsidRPr="00A763E1">
              <w:rPr>
                <w:rFonts w:asciiTheme="minorHAnsi" w:eastAsia="Times New Roman" w:hAnsiTheme="minorHAnsi" w:cstheme="minorHAnsi"/>
                <w:b w:val="0"/>
                <w:color w:val="000000"/>
                <w:lang w:eastAsia="ko-KR"/>
              </w:rPr>
              <w:t xml:space="preserve">Brook RD, Rajagopalan S, Pope CA, Brook JR, Bhatnagar A, Diez-Roux AV, Holguin F, Hong Y, </w:t>
            </w:r>
            <w:proofErr w:type="spellStart"/>
            <w:r w:rsidRPr="00A763E1">
              <w:rPr>
                <w:rFonts w:asciiTheme="minorHAnsi" w:eastAsia="Times New Roman" w:hAnsiTheme="minorHAnsi" w:cstheme="minorHAnsi"/>
                <w:b w:val="0"/>
                <w:color w:val="000000"/>
                <w:lang w:eastAsia="ko-KR"/>
              </w:rPr>
              <w:t>Luepker</w:t>
            </w:r>
            <w:proofErr w:type="spellEnd"/>
            <w:r w:rsidRPr="00A763E1">
              <w:rPr>
                <w:rFonts w:asciiTheme="minorHAnsi" w:eastAsia="Times New Roman" w:hAnsiTheme="minorHAnsi" w:cstheme="minorHAnsi"/>
                <w:b w:val="0"/>
                <w:color w:val="000000"/>
                <w:lang w:eastAsia="ko-KR"/>
              </w:rPr>
              <w:t xml:space="preserve"> RV, </w:t>
            </w:r>
            <w:proofErr w:type="spellStart"/>
            <w:r w:rsidRPr="00A763E1">
              <w:rPr>
                <w:rFonts w:asciiTheme="minorHAnsi" w:eastAsia="Times New Roman" w:hAnsiTheme="minorHAnsi" w:cstheme="minorHAnsi"/>
                <w:b w:val="0"/>
                <w:color w:val="000000"/>
                <w:lang w:eastAsia="ko-KR"/>
              </w:rPr>
              <w:t>Mittleman</w:t>
            </w:r>
            <w:proofErr w:type="spellEnd"/>
            <w:r w:rsidRPr="00A763E1">
              <w:rPr>
                <w:rFonts w:asciiTheme="minorHAnsi" w:eastAsia="Times New Roman" w:hAnsiTheme="minorHAnsi" w:cstheme="minorHAnsi"/>
                <w:b w:val="0"/>
                <w:color w:val="000000"/>
                <w:lang w:eastAsia="ko-KR"/>
              </w:rPr>
              <w:t xml:space="preserve"> MA, Peters A, </w:t>
            </w:r>
            <w:proofErr w:type="spellStart"/>
            <w:r w:rsidRPr="00A763E1">
              <w:rPr>
                <w:rFonts w:asciiTheme="minorHAnsi" w:eastAsia="Times New Roman" w:hAnsiTheme="minorHAnsi" w:cstheme="minorHAnsi"/>
                <w:b w:val="0"/>
                <w:color w:val="000000"/>
                <w:lang w:eastAsia="ko-KR"/>
              </w:rPr>
              <w:t>Siscovick</w:t>
            </w:r>
            <w:proofErr w:type="spellEnd"/>
            <w:r w:rsidRPr="00A763E1">
              <w:rPr>
                <w:rFonts w:asciiTheme="minorHAnsi" w:eastAsia="Times New Roman" w:hAnsiTheme="minorHAnsi" w:cstheme="minorHAnsi"/>
                <w:b w:val="0"/>
                <w:color w:val="000000"/>
                <w:lang w:eastAsia="ko-KR"/>
              </w:rPr>
              <w:t xml:space="preserve"> D, Smith SC, Jr </w:t>
            </w:r>
            <w:proofErr w:type="spellStart"/>
            <w:r w:rsidRPr="00A763E1">
              <w:rPr>
                <w:rFonts w:asciiTheme="minorHAnsi" w:eastAsia="Times New Roman" w:hAnsiTheme="minorHAnsi" w:cstheme="minorHAnsi"/>
                <w:b w:val="0"/>
                <w:color w:val="000000"/>
                <w:lang w:eastAsia="ko-KR"/>
              </w:rPr>
              <w:t>Whitsel</w:t>
            </w:r>
            <w:proofErr w:type="spellEnd"/>
            <w:r w:rsidRPr="00A763E1">
              <w:rPr>
                <w:rFonts w:asciiTheme="minorHAnsi" w:eastAsia="Times New Roman" w:hAnsiTheme="minorHAnsi" w:cstheme="minorHAnsi"/>
                <w:b w:val="0"/>
                <w:color w:val="000000"/>
                <w:lang w:eastAsia="ko-KR"/>
              </w:rPr>
              <w:t xml:space="preserve"> L, Kaufman JD. (2010). Particulate Matter Air Pollution and Cardiovascular Disease: An Update to the Scientific Statement from the American Heart Association. Circulation, 121(21), 2331-2378. </w:t>
            </w:r>
          </w:p>
          <w:p w14:paraId="6EC7EE22" w14:textId="75367E66" w:rsidR="00930ED9" w:rsidRPr="00A763E1" w:rsidRDefault="00930ED9" w:rsidP="00E52D11">
            <w:pPr>
              <w:numPr>
                <w:ilvl w:val="0"/>
                <w:numId w:val="19"/>
              </w:numPr>
              <w:shd w:val="clear" w:color="auto" w:fill="FFFFFF"/>
              <w:rPr>
                <w:rFonts w:asciiTheme="minorHAnsi" w:eastAsia="Times New Roman" w:hAnsiTheme="minorHAnsi" w:cstheme="minorHAnsi"/>
                <w:b w:val="0"/>
                <w:color w:val="000000"/>
                <w:lang w:eastAsia="ko-KR"/>
              </w:rPr>
            </w:pPr>
            <w:r w:rsidRPr="00A763E1">
              <w:rPr>
                <w:rFonts w:asciiTheme="minorHAnsi" w:eastAsia="Times New Roman" w:hAnsiTheme="minorHAnsi" w:cstheme="minorHAnsi"/>
                <w:b w:val="0"/>
                <w:color w:val="000000"/>
                <w:lang w:eastAsia="ko-KR"/>
              </w:rPr>
              <w:t xml:space="preserve">Jerrett M, Burnett RT, Beckerman BS, Turner MC, </w:t>
            </w:r>
            <w:proofErr w:type="spellStart"/>
            <w:r w:rsidRPr="00A763E1">
              <w:rPr>
                <w:rFonts w:asciiTheme="minorHAnsi" w:eastAsia="Times New Roman" w:hAnsiTheme="minorHAnsi" w:cstheme="minorHAnsi"/>
                <w:b w:val="0"/>
                <w:color w:val="000000"/>
                <w:lang w:eastAsia="ko-KR"/>
              </w:rPr>
              <w:t>Krewski</w:t>
            </w:r>
            <w:proofErr w:type="spellEnd"/>
            <w:r w:rsidRPr="00A763E1">
              <w:rPr>
                <w:rFonts w:asciiTheme="minorHAnsi" w:eastAsia="Times New Roman" w:hAnsiTheme="minorHAnsi" w:cstheme="minorHAnsi"/>
                <w:b w:val="0"/>
                <w:color w:val="000000"/>
                <w:lang w:eastAsia="ko-KR"/>
              </w:rPr>
              <w:t xml:space="preserve"> D, Thurston G, Martin RV, van </w:t>
            </w:r>
            <w:proofErr w:type="spellStart"/>
            <w:r w:rsidRPr="00A763E1">
              <w:rPr>
                <w:rFonts w:asciiTheme="minorHAnsi" w:eastAsia="Times New Roman" w:hAnsiTheme="minorHAnsi" w:cstheme="minorHAnsi"/>
                <w:b w:val="0"/>
                <w:color w:val="000000"/>
                <w:lang w:eastAsia="ko-KR"/>
              </w:rPr>
              <w:t>Donkelaar</w:t>
            </w:r>
            <w:proofErr w:type="spellEnd"/>
            <w:r w:rsidRPr="00A763E1">
              <w:rPr>
                <w:rFonts w:asciiTheme="minorHAnsi" w:eastAsia="Times New Roman" w:hAnsiTheme="minorHAnsi" w:cstheme="minorHAnsi"/>
                <w:b w:val="0"/>
                <w:color w:val="000000"/>
                <w:lang w:eastAsia="ko-KR"/>
              </w:rPr>
              <w:t xml:space="preserve"> A, Hughes E, Shi Y, </w:t>
            </w:r>
            <w:proofErr w:type="spellStart"/>
            <w:r w:rsidRPr="00A763E1">
              <w:rPr>
                <w:rFonts w:asciiTheme="minorHAnsi" w:eastAsia="Times New Roman" w:hAnsiTheme="minorHAnsi" w:cstheme="minorHAnsi"/>
                <w:b w:val="0"/>
                <w:color w:val="000000"/>
                <w:lang w:eastAsia="ko-KR"/>
              </w:rPr>
              <w:t>Gapstur</w:t>
            </w:r>
            <w:proofErr w:type="spellEnd"/>
            <w:r w:rsidRPr="00A763E1">
              <w:rPr>
                <w:rFonts w:asciiTheme="minorHAnsi" w:eastAsia="Times New Roman" w:hAnsiTheme="minorHAnsi" w:cstheme="minorHAnsi"/>
                <w:b w:val="0"/>
                <w:color w:val="000000"/>
                <w:lang w:eastAsia="ko-KR"/>
              </w:rPr>
              <w:t xml:space="preserve"> SM, Thun MJ, Pope CA (2013). Spatial </w:t>
            </w:r>
            <w:r w:rsidR="00E73CDA" w:rsidRPr="00A763E1">
              <w:rPr>
                <w:rFonts w:asciiTheme="minorHAnsi" w:eastAsia="Times New Roman" w:hAnsiTheme="minorHAnsi" w:cstheme="minorHAnsi"/>
                <w:b w:val="0"/>
                <w:color w:val="000000"/>
                <w:lang w:eastAsia="ko-KR"/>
              </w:rPr>
              <w:t>a</w:t>
            </w:r>
            <w:r w:rsidRPr="00A763E1">
              <w:rPr>
                <w:rFonts w:asciiTheme="minorHAnsi" w:eastAsia="Times New Roman" w:hAnsiTheme="minorHAnsi" w:cstheme="minorHAnsi"/>
                <w:b w:val="0"/>
                <w:color w:val="000000"/>
                <w:lang w:eastAsia="ko-KR"/>
              </w:rPr>
              <w:t xml:space="preserve">nalysis of </w:t>
            </w:r>
            <w:r w:rsidR="00E73CDA" w:rsidRPr="00A763E1">
              <w:rPr>
                <w:rFonts w:asciiTheme="minorHAnsi" w:eastAsia="Times New Roman" w:hAnsiTheme="minorHAnsi" w:cstheme="minorHAnsi"/>
                <w:b w:val="0"/>
                <w:color w:val="000000"/>
                <w:lang w:eastAsia="ko-KR"/>
              </w:rPr>
              <w:t>a</w:t>
            </w:r>
            <w:r w:rsidRPr="00A763E1">
              <w:rPr>
                <w:rFonts w:asciiTheme="minorHAnsi" w:eastAsia="Times New Roman" w:hAnsiTheme="minorHAnsi" w:cstheme="minorHAnsi"/>
                <w:b w:val="0"/>
                <w:color w:val="000000"/>
                <w:lang w:eastAsia="ko-KR"/>
              </w:rPr>
              <w:t xml:space="preserve">ir </w:t>
            </w:r>
            <w:r w:rsidR="00E73CDA" w:rsidRPr="00A763E1">
              <w:rPr>
                <w:rFonts w:asciiTheme="minorHAnsi" w:eastAsia="Times New Roman" w:hAnsiTheme="minorHAnsi" w:cstheme="minorHAnsi"/>
                <w:b w:val="0"/>
                <w:color w:val="000000"/>
                <w:lang w:eastAsia="ko-KR"/>
              </w:rPr>
              <w:t>p</w:t>
            </w:r>
            <w:r w:rsidRPr="00A763E1">
              <w:rPr>
                <w:rFonts w:asciiTheme="minorHAnsi" w:eastAsia="Times New Roman" w:hAnsiTheme="minorHAnsi" w:cstheme="minorHAnsi"/>
                <w:b w:val="0"/>
                <w:color w:val="000000"/>
                <w:lang w:eastAsia="ko-KR"/>
              </w:rPr>
              <w:t xml:space="preserve">ollution and </w:t>
            </w:r>
            <w:r w:rsidR="00E73CDA" w:rsidRPr="00A763E1">
              <w:rPr>
                <w:rFonts w:asciiTheme="minorHAnsi" w:eastAsia="Times New Roman" w:hAnsiTheme="minorHAnsi" w:cstheme="minorHAnsi"/>
                <w:b w:val="0"/>
                <w:color w:val="000000"/>
                <w:lang w:eastAsia="ko-KR"/>
              </w:rPr>
              <w:t>m</w:t>
            </w:r>
            <w:r w:rsidRPr="00A763E1">
              <w:rPr>
                <w:rFonts w:asciiTheme="minorHAnsi" w:eastAsia="Times New Roman" w:hAnsiTheme="minorHAnsi" w:cstheme="minorHAnsi"/>
                <w:b w:val="0"/>
                <w:color w:val="000000"/>
                <w:lang w:eastAsia="ko-KR"/>
              </w:rPr>
              <w:t xml:space="preserve">ortality in California. </w:t>
            </w:r>
            <w:r w:rsidRPr="00A763E1">
              <w:rPr>
                <w:rFonts w:asciiTheme="minorHAnsi" w:eastAsia="Times New Roman" w:hAnsiTheme="minorHAnsi" w:cstheme="minorHAnsi"/>
                <w:b w:val="0"/>
                <w:i/>
                <w:iCs/>
                <w:color w:val="000000"/>
                <w:lang w:eastAsia="ko-KR"/>
              </w:rPr>
              <w:t>American Journal of Respiratory and Critical Care Medicine</w:t>
            </w:r>
            <w:r w:rsidRPr="00A763E1">
              <w:rPr>
                <w:rFonts w:asciiTheme="minorHAnsi" w:eastAsia="Times New Roman" w:hAnsiTheme="minorHAnsi" w:cstheme="minorHAnsi"/>
                <w:b w:val="0"/>
                <w:color w:val="000000"/>
                <w:lang w:eastAsia="ko-KR"/>
              </w:rPr>
              <w:t>, 188(5), 593-9.</w:t>
            </w:r>
          </w:p>
          <w:p w14:paraId="07078484" w14:textId="77777777" w:rsidR="00930ED9" w:rsidRPr="00A763E1" w:rsidRDefault="00930ED9" w:rsidP="00E52D11">
            <w:pPr>
              <w:numPr>
                <w:ilvl w:val="0"/>
                <w:numId w:val="19"/>
              </w:numPr>
              <w:shd w:val="clear" w:color="auto" w:fill="FFFFFF"/>
              <w:rPr>
                <w:rFonts w:asciiTheme="minorHAnsi" w:eastAsia="Times New Roman" w:hAnsiTheme="minorHAnsi" w:cstheme="minorHAnsi"/>
                <w:b w:val="0"/>
                <w:color w:val="000000"/>
                <w:lang w:eastAsia="ko-KR"/>
              </w:rPr>
            </w:pPr>
            <w:r w:rsidRPr="00A763E1">
              <w:rPr>
                <w:rFonts w:asciiTheme="minorHAnsi" w:eastAsia="Times New Roman" w:hAnsiTheme="minorHAnsi" w:cstheme="minorHAnsi"/>
                <w:b w:val="0"/>
                <w:color w:val="000000"/>
                <w:lang w:eastAsia="ko-KR"/>
              </w:rPr>
              <w:t xml:space="preserve">Pope CA, 3rd, Burnett, R.T., Thurston, G.D., Thun, M.J., Calle, E.E., </w:t>
            </w:r>
            <w:proofErr w:type="spellStart"/>
            <w:r w:rsidRPr="00A763E1">
              <w:rPr>
                <w:rFonts w:asciiTheme="minorHAnsi" w:eastAsia="Times New Roman" w:hAnsiTheme="minorHAnsi" w:cstheme="minorHAnsi"/>
                <w:b w:val="0"/>
                <w:color w:val="000000"/>
                <w:lang w:eastAsia="ko-KR"/>
              </w:rPr>
              <w:t>Krewski</w:t>
            </w:r>
            <w:proofErr w:type="spellEnd"/>
            <w:r w:rsidRPr="00A763E1">
              <w:rPr>
                <w:rFonts w:asciiTheme="minorHAnsi" w:eastAsia="Times New Roman" w:hAnsiTheme="minorHAnsi" w:cstheme="minorHAnsi"/>
                <w:b w:val="0"/>
                <w:color w:val="000000"/>
                <w:lang w:eastAsia="ko-KR"/>
              </w:rPr>
              <w:t xml:space="preserve">, D., </w:t>
            </w:r>
            <w:proofErr w:type="spellStart"/>
            <w:r w:rsidRPr="00A763E1">
              <w:rPr>
                <w:rFonts w:asciiTheme="minorHAnsi" w:eastAsia="Times New Roman" w:hAnsiTheme="minorHAnsi" w:cstheme="minorHAnsi"/>
                <w:b w:val="0"/>
                <w:color w:val="000000"/>
                <w:lang w:eastAsia="ko-KR"/>
              </w:rPr>
              <w:t>Godleski</w:t>
            </w:r>
            <w:proofErr w:type="spellEnd"/>
            <w:r w:rsidRPr="00A763E1">
              <w:rPr>
                <w:rFonts w:asciiTheme="minorHAnsi" w:eastAsia="Times New Roman" w:hAnsiTheme="minorHAnsi" w:cstheme="minorHAnsi"/>
                <w:b w:val="0"/>
                <w:color w:val="000000"/>
                <w:lang w:eastAsia="ko-KR"/>
              </w:rPr>
              <w:t>, J. Cardiovascular mortality and long-term exposure to particulate air pollution: epidemiological evidence of general pathophysiological pathways of disease. Circulation, 2004. 109(1): p. 71-7.</w:t>
            </w:r>
          </w:p>
          <w:p w14:paraId="132500EC" w14:textId="467380AA" w:rsidR="00930ED9" w:rsidRPr="00A763E1" w:rsidRDefault="00930ED9" w:rsidP="00E52D11">
            <w:pPr>
              <w:pStyle w:val="ListParagraph"/>
              <w:numPr>
                <w:ilvl w:val="0"/>
                <w:numId w:val="19"/>
              </w:numPr>
              <w:contextualSpacing w:val="0"/>
              <w:rPr>
                <w:rFonts w:asciiTheme="minorHAnsi" w:hAnsiTheme="minorHAnsi" w:cstheme="minorHAnsi"/>
                <w:b w:val="0"/>
                <w:color w:val="000000"/>
              </w:rPr>
            </w:pPr>
            <w:proofErr w:type="spellStart"/>
            <w:r w:rsidRPr="00A763E1">
              <w:rPr>
                <w:rFonts w:asciiTheme="minorHAnsi" w:eastAsia="Times New Roman" w:hAnsiTheme="minorHAnsi" w:cstheme="minorHAnsi"/>
                <w:b w:val="0"/>
                <w:color w:val="000000"/>
                <w:lang w:eastAsia="ko-KR"/>
              </w:rPr>
              <w:t>Davídkovová</w:t>
            </w:r>
            <w:proofErr w:type="spellEnd"/>
            <w:r w:rsidRPr="00A763E1">
              <w:rPr>
                <w:rFonts w:asciiTheme="minorHAnsi" w:eastAsia="Times New Roman" w:hAnsiTheme="minorHAnsi" w:cstheme="minorHAnsi"/>
                <w:b w:val="0"/>
                <w:color w:val="000000"/>
                <w:lang w:eastAsia="ko-KR"/>
              </w:rPr>
              <w:t xml:space="preserve"> H, </w:t>
            </w:r>
            <w:proofErr w:type="spellStart"/>
            <w:r w:rsidRPr="00A763E1">
              <w:rPr>
                <w:rFonts w:asciiTheme="minorHAnsi" w:eastAsia="Times New Roman" w:hAnsiTheme="minorHAnsi" w:cstheme="minorHAnsi"/>
                <w:b w:val="0"/>
                <w:color w:val="000000"/>
                <w:lang w:eastAsia="ko-KR"/>
              </w:rPr>
              <w:t>Plavcová</w:t>
            </w:r>
            <w:proofErr w:type="spellEnd"/>
            <w:r w:rsidRPr="00A763E1">
              <w:rPr>
                <w:rFonts w:asciiTheme="minorHAnsi" w:eastAsia="Times New Roman" w:hAnsiTheme="minorHAnsi" w:cstheme="minorHAnsi"/>
                <w:b w:val="0"/>
                <w:color w:val="000000"/>
                <w:lang w:eastAsia="ko-KR"/>
              </w:rPr>
              <w:t xml:space="preserve"> E, </w:t>
            </w:r>
            <w:proofErr w:type="spellStart"/>
            <w:r w:rsidRPr="00A763E1">
              <w:rPr>
                <w:rFonts w:asciiTheme="minorHAnsi" w:eastAsia="Times New Roman" w:hAnsiTheme="minorHAnsi" w:cstheme="minorHAnsi"/>
                <w:b w:val="0"/>
                <w:color w:val="000000"/>
                <w:lang w:eastAsia="ko-KR"/>
              </w:rPr>
              <w:t>Kynčl</w:t>
            </w:r>
            <w:proofErr w:type="spellEnd"/>
            <w:r w:rsidRPr="00A763E1">
              <w:rPr>
                <w:rFonts w:asciiTheme="minorHAnsi" w:eastAsia="Times New Roman" w:hAnsiTheme="minorHAnsi" w:cstheme="minorHAnsi"/>
                <w:b w:val="0"/>
                <w:color w:val="000000"/>
                <w:lang w:eastAsia="ko-KR"/>
              </w:rPr>
              <w:t xml:space="preserve"> J, </w:t>
            </w:r>
            <w:proofErr w:type="spellStart"/>
            <w:r w:rsidRPr="00A763E1">
              <w:rPr>
                <w:rFonts w:asciiTheme="minorHAnsi" w:eastAsia="Times New Roman" w:hAnsiTheme="minorHAnsi" w:cstheme="minorHAnsi"/>
                <w:b w:val="0"/>
                <w:color w:val="000000"/>
                <w:lang w:eastAsia="ko-KR"/>
              </w:rPr>
              <w:t>Kyselý</w:t>
            </w:r>
            <w:proofErr w:type="spellEnd"/>
            <w:r w:rsidRPr="00A763E1">
              <w:rPr>
                <w:rFonts w:asciiTheme="minorHAnsi" w:eastAsia="Times New Roman" w:hAnsiTheme="minorHAnsi" w:cstheme="minorHAnsi"/>
                <w:b w:val="0"/>
                <w:color w:val="000000"/>
                <w:lang w:eastAsia="ko-KR"/>
              </w:rPr>
              <w:t xml:space="preserve"> J. (2014). Impacts of hot and cold spells differ for acute and chronic </w:t>
            </w:r>
            <w:proofErr w:type="spellStart"/>
            <w:r w:rsidRPr="00A763E1">
              <w:rPr>
                <w:rFonts w:asciiTheme="minorHAnsi" w:eastAsia="Times New Roman" w:hAnsiTheme="minorHAnsi" w:cstheme="minorHAnsi"/>
                <w:b w:val="0"/>
                <w:color w:val="000000"/>
                <w:lang w:eastAsia="ko-KR"/>
              </w:rPr>
              <w:t>ischaemic</w:t>
            </w:r>
            <w:proofErr w:type="spellEnd"/>
            <w:r w:rsidRPr="00A763E1">
              <w:rPr>
                <w:rFonts w:asciiTheme="minorHAnsi" w:eastAsia="Times New Roman" w:hAnsiTheme="minorHAnsi" w:cstheme="minorHAnsi"/>
                <w:b w:val="0"/>
                <w:color w:val="000000"/>
                <w:lang w:eastAsia="ko-KR"/>
              </w:rPr>
              <w:t xml:space="preserve"> heart diseases. </w:t>
            </w:r>
            <w:r w:rsidRPr="00A763E1">
              <w:rPr>
                <w:rFonts w:asciiTheme="minorHAnsi" w:eastAsia="Times New Roman" w:hAnsiTheme="minorHAnsi" w:cstheme="minorHAnsi"/>
                <w:b w:val="0"/>
                <w:i/>
                <w:iCs/>
                <w:color w:val="000000"/>
                <w:lang w:eastAsia="ko-KR"/>
              </w:rPr>
              <w:t>BMC Public Health</w:t>
            </w:r>
            <w:r w:rsidRPr="00A763E1">
              <w:rPr>
                <w:rFonts w:asciiTheme="minorHAnsi" w:eastAsia="Times New Roman" w:hAnsiTheme="minorHAnsi" w:cstheme="minorHAnsi"/>
                <w:b w:val="0"/>
                <w:color w:val="000000"/>
                <w:lang w:eastAsia="ko-KR"/>
              </w:rPr>
              <w:t>, 14(1), 480.</w:t>
            </w:r>
          </w:p>
          <w:p w14:paraId="268AC420" w14:textId="77777777" w:rsidR="00930ED9" w:rsidRPr="00A763E1" w:rsidRDefault="00930ED9" w:rsidP="00E52D11">
            <w:pPr>
              <w:numPr>
                <w:ilvl w:val="0"/>
                <w:numId w:val="19"/>
              </w:numPr>
              <w:shd w:val="clear" w:color="auto" w:fill="FFFFFF"/>
              <w:rPr>
                <w:rFonts w:asciiTheme="minorHAnsi" w:eastAsia="Times New Roman" w:hAnsiTheme="minorHAnsi" w:cstheme="minorHAnsi"/>
                <w:b w:val="0"/>
                <w:color w:val="000000"/>
                <w:lang w:eastAsia="ko-KR"/>
              </w:rPr>
            </w:pPr>
            <w:proofErr w:type="spellStart"/>
            <w:r w:rsidRPr="00A763E1">
              <w:rPr>
                <w:rFonts w:asciiTheme="minorHAnsi" w:eastAsia="Times New Roman" w:hAnsiTheme="minorHAnsi" w:cstheme="minorHAnsi"/>
                <w:b w:val="0"/>
                <w:color w:val="000000"/>
                <w:lang w:eastAsia="ko-KR"/>
              </w:rPr>
              <w:t>Madrigano</w:t>
            </w:r>
            <w:proofErr w:type="spellEnd"/>
            <w:r w:rsidRPr="00A763E1">
              <w:rPr>
                <w:rFonts w:asciiTheme="minorHAnsi" w:eastAsia="Times New Roman" w:hAnsiTheme="minorHAnsi" w:cstheme="minorHAnsi"/>
                <w:b w:val="0"/>
                <w:color w:val="000000"/>
                <w:lang w:eastAsia="ko-KR"/>
              </w:rPr>
              <w:t xml:space="preserve"> J, </w:t>
            </w:r>
            <w:proofErr w:type="spellStart"/>
            <w:r w:rsidRPr="00A763E1">
              <w:rPr>
                <w:rFonts w:asciiTheme="minorHAnsi" w:eastAsia="Times New Roman" w:hAnsiTheme="minorHAnsi" w:cstheme="minorHAnsi"/>
                <w:b w:val="0"/>
                <w:color w:val="000000"/>
                <w:lang w:eastAsia="ko-KR"/>
              </w:rPr>
              <w:t>Mittleman</w:t>
            </w:r>
            <w:proofErr w:type="spellEnd"/>
            <w:r w:rsidRPr="00A763E1">
              <w:rPr>
                <w:rFonts w:asciiTheme="minorHAnsi" w:eastAsia="Times New Roman" w:hAnsiTheme="minorHAnsi" w:cstheme="minorHAnsi"/>
                <w:b w:val="0"/>
                <w:color w:val="000000"/>
                <w:lang w:eastAsia="ko-KR"/>
              </w:rPr>
              <w:t xml:space="preserve"> MA, </w:t>
            </w:r>
            <w:proofErr w:type="spellStart"/>
            <w:r w:rsidRPr="00A763E1">
              <w:rPr>
                <w:rFonts w:asciiTheme="minorHAnsi" w:eastAsia="Times New Roman" w:hAnsiTheme="minorHAnsi" w:cstheme="minorHAnsi"/>
                <w:b w:val="0"/>
                <w:color w:val="000000"/>
                <w:lang w:eastAsia="ko-KR"/>
              </w:rPr>
              <w:t>Baccarelli</w:t>
            </w:r>
            <w:proofErr w:type="spellEnd"/>
            <w:r w:rsidRPr="00A763E1">
              <w:rPr>
                <w:rFonts w:asciiTheme="minorHAnsi" w:eastAsia="Times New Roman" w:hAnsiTheme="minorHAnsi" w:cstheme="minorHAnsi"/>
                <w:b w:val="0"/>
                <w:color w:val="000000"/>
                <w:lang w:eastAsia="ko-KR"/>
              </w:rPr>
              <w:t xml:space="preserve"> A, Goldberg R, </w:t>
            </w:r>
            <w:proofErr w:type="spellStart"/>
            <w:r w:rsidRPr="00A763E1">
              <w:rPr>
                <w:rFonts w:asciiTheme="minorHAnsi" w:eastAsia="Times New Roman" w:hAnsiTheme="minorHAnsi" w:cstheme="minorHAnsi"/>
                <w:b w:val="0"/>
                <w:color w:val="000000"/>
                <w:lang w:eastAsia="ko-KR"/>
              </w:rPr>
              <w:t>Melly</w:t>
            </w:r>
            <w:proofErr w:type="spellEnd"/>
            <w:r w:rsidRPr="00A763E1">
              <w:rPr>
                <w:rFonts w:asciiTheme="minorHAnsi" w:eastAsia="Times New Roman" w:hAnsiTheme="minorHAnsi" w:cstheme="minorHAnsi"/>
                <w:b w:val="0"/>
                <w:color w:val="000000"/>
                <w:lang w:eastAsia="ko-KR"/>
              </w:rPr>
              <w:t xml:space="preserve"> S, von </w:t>
            </w:r>
            <w:proofErr w:type="spellStart"/>
            <w:r w:rsidRPr="00A763E1">
              <w:rPr>
                <w:rFonts w:asciiTheme="minorHAnsi" w:eastAsia="Times New Roman" w:hAnsiTheme="minorHAnsi" w:cstheme="minorHAnsi"/>
                <w:b w:val="0"/>
                <w:color w:val="000000"/>
                <w:lang w:eastAsia="ko-KR"/>
              </w:rPr>
              <w:t>Klot</w:t>
            </w:r>
            <w:proofErr w:type="spellEnd"/>
            <w:r w:rsidRPr="00A763E1">
              <w:rPr>
                <w:rFonts w:asciiTheme="minorHAnsi" w:eastAsia="Times New Roman" w:hAnsiTheme="minorHAnsi" w:cstheme="minorHAnsi"/>
                <w:b w:val="0"/>
                <w:color w:val="000000"/>
                <w:lang w:eastAsia="ko-KR"/>
              </w:rPr>
              <w:t xml:space="preserve"> S, Schwartz J (2013). Temperature, myocardial infarction, and mortality: effect modification by individual- and area-level characteristics. </w:t>
            </w:r>
            <w:r w:rsidRPr="00A763E1">
              <w:rPr>
                <w:rFonts w:asciiTheme="minorHAnsi" w:eastAsia="Times New Roman" w:hAnsiTheme="minorHAnsi" w:cstheme="minorHAnsi"/>
                <w:b w:val="0"/>
                <w:i/>
                <w:iCs/>
                <w:color w:val="000000"/>
                <w:lang w:eastAsia="ko-KR"/>
              </w:rPr>
              <w:t>Epidemiology</w:t>
            </w:r>
            <w:r w:rsidRPr="00A763E1">
              <w:rPr>
                <w:rFonts w:asciiTheme="minorHAnsi" w:eastAsia="Times New Roman" w:hAnsiTheme="minorHAnsi" w:cstheme="minorHAnsi"/>
                <w:b w:val="0"/>
                <w:color w:val="000000"/>
                <w:lang w:eastAsia="ko-KR"/>
              </w:rPr>
              <w:t xml:space="preserve"> (Cambridge, Mass.), 24(3), 439-446.</w:t>
            </w:r>
          </w:p>
          <w:p w14:paraId="4224C86B" w14:textId="77777777" w:rsidR="00930ED9" w:rsidRPr="00A763E1" w:rsidRDefault="00930ED9" w:rsidP="00E52D11">
            <w:pPr>
              <w:pStyle w:val="ListParagraph"/>
              <w:numPr>
                <w:ilvl w:val="0"/>
                <w:numId w:val="19"/>
              </w:numPr>
              <w:tabs>
                <w:tab w:val="left" w:pos="0"/>
              </w:tabs>
              <w:contextualSpacing w:val="0"/>
              <w:rPr>
                <w:rFonts w:asciiTheme="minorHAnsi" w:hAnsiTheme="minorHAnsi" w:cstheme="minorHAnsi"/>
                <w:b w:val="0"/>
              </w:rPr>
            </w:pPr>
            <w:r w:rsidRPr="00A763E1">
              <w:rPr>
                <w:rFonts w:asciiTheme="minorHAnsi" w:hAnsiTheme="minorHAnsi" w:cstheme="minorHAnsi"/>
                <w:b w:val="0"/>
              </w:rPr>
              <w:t xml:space="preserve">Werner AK, Strosnider HM. Developing a surveillance system of sub-county data: Finding suitable population thresholds for geographic aggregations. </w:t>
            </w:r>
            <w:r w:rsidRPr="00A763E1">
              <w:rPr>
                <w:rFonts w:asciiTheme="minorHAnsi" w:hAnsiTheme="minorHAnsi" w:cstheme="minorHAnsi"/>
                <w:b w:val="0"/>
                <w:i/>
                <w:iCs/>
              </w:rPr>
              <w:t xml:space="preserve">Spatial and </w:t>
            </w:r>
            <w:proofErr w:type="spellStart"/>
            <w:r w:rsidRPr="00A763E1">
              <w:rPr>
                <w:rFonts w:asciiTheme="minorHAnsi" w:hAnsiTheme="minorHAnsi" w:cstheme="minorHAnsi"/>
                <w:b w:val="0"/>
                <w:i/>
                <w:iCs/>
              </w:rPr>
              <w:t>Spatio</w:t>
            </w:r>
            <w:proofErr w:type="spellEnd"/>
            <w:r w:rsidRPr="00A763E1">
              <w:rPr>
                <w:rFonts w:asciiTheme="minorHAnsi" w:hAnsiTheme="minorHAnsi" w:cstheme="minorHAnsi"/>
                <w:b w:val="0"/>
                <w:i/>
                <w:iCs/>
              </w:rPr>
              <w:t>-temporal Epidemiology</w:t>
            </w:r>
            <w:r w:rsidRPr="00A763E1">
              <w:rPr>
                <w:rFonts w:asciiTheme="minorHAnsi" w:hAnsiTheme="minorHAnsi" w:cstheme="minorHAnsi"/>
                <w:b w:val="0"/>
              </w:rPr>
              <w:t>. 2020;33:100339.</w:t>
            </w:r>
          </w:p>
          <w:p w14:paraId="58664196" w14:textId="50E266A7" w:rsidR="008A47E2" w:rsidRPr="00A763E1" w:rsidRDefault="008A47E2" w:rsidP="00E52D11">
            <w:pPr>
              <w:rPr>
                <w:rFonts w:asciiTheme="minorHAnsi" w:hAnsiTheme="minorHAnsi" w:cstheme="minorHAnsi"/>
                <w:b w:val="0"/>
                <w:color w:val="000000"/>
              </w:rPr>
            </w:pPr>
          </w:p>
        </w:tc>
      </w:tr>
    </w:tbl>
    <w:p w14:paraId="040C0567" w14:textId="77777777" w:rsidR="00AA2ED3" w:rsidRPr="00A763E1" w:rsidRDefault="008A47E2">
      <w:pPr>
        <w:rPr>
          <w:rFonts w:asciiTheme="minorHAnsi" w:hAnsiTheme="minorHAnsi" w:cstheme="minorHAnsi"/>
        </w:rPr>
      </w:pPr>
      <w:r w:rsidRPr="00A763E1">
        <w:rPr>
          <w:rFonts w:asciiTheme="minorHAnsi" w:hAnsiTheme="minorHAnsi" w:cstheme="minorHAnsi"/>
        </w:rPr>
        <w:lastRenderedPageBreak/>
        <w:t xml:space="preserve"> </w:t>
      </w:r>
    </w:p>
    <w:p w14:paraId="5866419A" w14:textId="0657C132" w:rsidR="006D3D2A" w:rsidRPr="008805E5" w:rsidRDefault="00AD7734">
      <w:pPr>
        <w:rPr>
          <w:rFonts w:asciiTheme="minorHAnsi" w:hAnsiTheme="minorHAnsi" w:cstheme="minorHAnsi"/>
        </w:rPr>
      </w:pPr>
      <w:r w:rsidRPr="00A763E1">
        <w:rPr>
          <w:rFonts w:asciiTheme="minorHAnsi" w:hAnsiTheme="minorHAnsi" w:cstheme="minorHAnsi"/>
        </w:rPr>
        <w:fldChar w:fldCharType="begin"/>
      </w:r>
      <w:r w:rsidRPr="00A763E1">
        <w:rPr>
          <w:rFonts w:asciiTheme="minorHAnsi" w:hAnsiTheme="minorHAnsi" w:cstheme="minorHAnsi"/>
        </w:rPr>
        <w:instrText xml:space="preserve"> ADDIN EN.REFLIST </w:instrText>
      </w:r>
      <w:r w:rsidRPr="00A763E1">
        <w:rPr>
          <w:rFonts w:asciiTheme="minorHAnsi" w:hAnsiTheme="minorHAnsi" w:cstheme="minorHAnsi"/>
        </w:rPr>
        <w:fldChar w:fldCharType="end"/>
      </w:r>
    </w:p>
    <w:sectPr w:rsidR="006D3D2A" w:rsidRPr="008805E5" w:rsidSect="00FD508C">
      <w:headerReference w:type="even" r:id="rId11"/>
      <w:headerReference w:type="default" r:id="rId12"/>
      <w:footerReference w:type="even" r:id="rId13"/>
      <w:footerReference w:type="default" r:id="rId14"/>
      <w:headerReference w:type="first" r:id="rId15"/>
      <w:footerReference w:type="first" r:id="rId1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3D09E" w14:textId="77777777" w:rsidR="00F64024" w:rsidRDefault="00F64024" w:rsidP="00353921">
      <w:r>
        <w:separator/>
      </w:r>
    </w:p>
  </w:endnote>
  <w:endnote w:type="continuationSeparator" w:id="0">
    <w:p w14:paraId="22BEB55C" w14:textId="77777777" w:rsidR="00F64024" w:rsidRDefault="00F64024" w:rsidP="00353921">
      <w:r>
        <w:continuationSeparator/>
      </w:r>
    </w:p>
  </w:endnote>
  <w:endnote w:type="continuationNotice" w:id="1">
    <w:p w14:paraId="04E060B3" w14:textId="77777777" w:rsidR="00F64024" w:rsidRDefault="00F640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horndale Duospace WT TC">
    <w:charset w:val="80"/>
    <w:family w:val="modern"/>
    <w:pitch w:val="fixed"/>
    <w:sig w:usb0="B300AAFF" w:usb1="F9DFFFFF" w:usb2="000A007E" w:usb3="00000000" w:csb0="001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641A1" w14:textId="77777777" w:rsidR="00353921" w:rsidRDefault="003539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641A2" w14:textId="77777777" w:rsidR="00353921" w:rsidRDefault="003539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641A4" w14:textId="77777777" w:rsidR="00353921" w:rsidRDefault="003539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B2C22" w14:textId="77777777" w:rsidR="00F64024" w:rsidRDefault="00F64024" w:rsidP="00353921">
      <w:r>
        <w:separator/>
      </w:r>
    </w:p>
  </w:footnote>
  <w:footnote w:type="continuationSeparator" w:id="0">
    <w:p w14:paraId="407031C4" w14:textId="77777777" w:rsidR="00F64024" w:rsidRDefault="00F64024" w:rsidP="00353921">
      <w:r>
        <w:continuationSeparator/>
      </w:r>
    </w:p>
  </w:footnote>
  <w:footnote w:type="continuationNotice" w:id="1">
    <w:p w14:paraId="39F07C3A" w14:textId="77777777" w:rsidR="00F64024" w:rsidRDefault="00F640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6419F" w14:textId="77777777" w:rsidR="00353921" w:rsidRDefault="003539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6120406"/>
      <w:docPartObj>
        <w:docPartGallery w:val="Watermarks"/>
        <w:docPartUnique/>
      </w:docPartObj>
    </w:sdtPr>
    <w:sdtEndPr/>
    <w:sdtContent>
      <w:p w14:paraId="586641A0" w14:textId="77777777" w:rsidR="00353921" w:rsidRDefault="00A763E1">
        <w:pPr>
          <w:pStyle w:val="Header"/>
        </w:pPr>
        <w:r>
          <w:rPr>
            <w:noProof/>
            <w:lang w:eastAsia="zh-TW"/>
          </w:rPr>
          <w:pict w14:anchorId="586641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alt="" style="position:absolute;margin-left:0;margin-top:0;width:412.4pt;height:247.4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641A3" w14:textId="77777777" w:rsidR="00353921" w:rsidRDefault="003539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25093"/>
    <w:multiLevelType w:val="hybridMultilevel"/>
    <w:tmpl w:val="D42C1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14888"/>
    <w:multiLevelType w:val="hybridMultilevel"/>
    <w:tmpl w:val="17CC69E2"/>
    <w:lvl w:ilvl="0" w:tplc="04090005">
      <w:start w:val="1"/>
      <w:numFmt w:val="bullet"/>
      <w:lvlText w:val=""/>
      <w:lvlJc w:val="left"/>
      <w:pPr>
        <w:tabs>
          <w:tab w:val="num" w:pos="720"/>
        </w:tabs>
        <w:ind w:left="720" w:hanging="360"/>
      </w:pPr>
      <w:rPr>
        <w:rFonts w:ascii="Wingdings" w:hAnsi="Wingdings" w:hint="default"/>
      </w:rPr>
    </w:lvl>
    <w:lvl w:ilvl="1" w:tplc="E3AA910E">
      <w:start w:val="1"/>
      <w:numFmt w:val="bullet"/>
      <w:lvlText w:val=""/>
      <w:lvlJc w:val="left"/>
      <w:pPr>
        <w:tabs>
          <w:tab w:val="num" w:pos="1440"/>
        </w:tabs>
        <w:ind w:left="1440" w:hanging="360"/>
      </w:pPr>
      <w:rPr>
        <w:rFonts w:ascii="Wingdings" w:hAnsi="Wingdings" w:hint="default"/>
        <w:effect w:val="none"/>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996A82"/>
    <w:multiLevelType w:val="hybridMultilevel"/>
    <w:tmpl w:val="8EA6D83C"/>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84D2CC0"/>
    <w:multiLevelType w:val="hybridMultilevel"/>
    <w:tmpl w:val="0A46A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840B7F"/>
    <w:multiLevelType w:val="hybridMultilevel"/>
    <w:tmpl w:val="6D9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B73A4"/>
    <w:multiLevelType w:val="hybridMultilevel"/>
    <w:tmpl w:val="336E8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115C6"/>
    <w:multiLevelType w:val="multilevel"/>
    <w:tmpl w:val="124E8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3C1EF2"/>
    <w:multiLevelType w:val="hybridMultilevel"/>
    <w:tmpl w:val="BF98CD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C41E8F"/>
    <w:multiLevelType w:val="multilevel"/>
    <w:tmpl w:val="916E9234"/>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C651047"/>
    <w:multiLevelType w:val="hybridMultilevel"/>
    <w:tmpl w:val="49A82F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3B138B"/>
    <w:multiLevelType w:val="hybridMultilevel"/>
    <w:tmpl w:val="FCD86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2B456D"/>
    <w:multiLevelType w:val="hybridMultilevel"/>
    <w:tmpl w:val="3FC28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C67C4A"/>
    <w:multiLevelType w:val="hybridMultilevel"/>
    <w:tmpl w:val="11B83B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0D32E1"/>
    <w:multiLevelType w:val="hybridMultilevel"/>
    <w:tmpl w:val="5E0C7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F63E28"/>
    <w:multiLevelType w:val="hybridMultilevel"/>
    <w:tmpl w:val="E2F0A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267025"/>
    <w:multiLevelType w:val="hybridMultilevel"/>
    <w:tmpl w:val="25FEC490"/>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1C4C02"/>
    <w:multiLevelType w:val="multilevel"/>
    <w:tmpl w:val="4430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2F29AC"/>
    <w:multiLevelType w:val="hybridMultilevel"/>
    <w:tmpl w:val="E31C57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D801FDA"/>
    <w:multiLevelType w:val="hybridMultilevel"/>
    <w:tmpl w:val="6F1C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836B39"/>
    <w:multiLevelType w:val="hybridMultilevel"/>
    <w:tmpl w:val="7B8AC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7925CF"/>
    <w:multiLevelType w:val="hybridMultilevel"/>
    <w:tmpl w:val="3A623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D268B1"/>
    <w:multiLevelType w:val="hybridMultilevel"/>
    <w:tmpl w:val="2D5A5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E71850"/>
    <w:multiLevelType w:val="hybridMultilevel"/>
    <w:tmpl w:val="8822FA2A"/>
    <w:lvl w:ilvl="0" w:tplc="CD6C2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FE1728"/>
    <w:multiLevelType w:val="hybridMultilevel"/>
    <w:tmpl w:val="038A36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C9239D2"/>
    <w:multiLevelType w:val="hybridMultilevel"/>
    <w:tmpl w:val="44944BB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632BFA"/>
    <w:multiLevelType w:val="hybridMultilevel"/>
    <w:tmpl w:val="A322B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794D94"/>
    <w:multiLevelType w:val="hybridMultilevel"/>
    <w:tmpl w:val="D7F8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DA3D8E"/>
    <w:multiLevelType w:val="hybridMultilevel"/>
    <w:tmpl w:val="8738F4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77694F"/>
    <w:multiLevelType w:val="hybridMultilevel"/>
    <w:tmpl w:val="7ADA8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2942AB"/>
    <w:multiLevelType w:val="hybridMultilevel"/>
    <w:tmpl w:val="C88C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473CFB"/>
    <w:multiLevelType w:val="multilevel"/>
    <w:tmpl w:val="5658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327115"/>
    <w:multiLevelType w:val="hybridMultilevel"/>
    <w:tmpl w:val="105C0D7A"/>
    <w:lvl w:ilvl="0" w:tplc="03541220">
      <w:start w:val="1"/>
      <w:numFmt w:val="decimal"/>
      <w:lvlText w:val="%1."/>
      <w:lvlJc w:val="left"/>
      <w:pPr>
        <w:ind w:left="793" w:hanging="360"/>
      </w:pPr>
      <w:rPr>
        <w:rFonts w:hint="default"/>
      </w:r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32" w15:restartNumberingAfterBreak="0">
    <w:nsid w:val="646A0D1B"/>
    <w:multiLevelType w:val="hybridMultilevel"/>
    <w:tmpl w:val="D4AEC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4440FC"/>
    <w:multiLevelType w:val="hybridMultilevel"/>
    <w:tmpl w:val="88884190"/>
    <w:lvl w:ilvl="0" w:tplc="E3AA910E">
      <w:start w:val="1"/>
      <w:numFmt w:val="bullet"/>
      <w:lvlText w:val=""/>
      <w:lvlJc w:val="left"/>
      <w:pPr>
        <w:tabs>
          <w:tab w:val="num" w:pos="1080"/>
        </w:tabs>
        <w:ind w:left="1080" w:hanging="360"/>
      </w:pPr>
      <w:rPr>
        <w:rFonts w:ascii="Wingdings" w:hAnsi="Wingdings" w:hint="default"/>
        <w:effect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D860F0D"/>
    <w:multiLevelType w:val="hybridMultilevel"/>
    <w:tmpl w:val="2460F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B844E8"/>
    <w:multiLevelType w:val="hybridMultilevel"/>
    <w:tmpl w:val="5AA25DF4"/>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36" w15:restartNumberingAfterBreak="0">
    <w:nsid w:val="780764B6"/>
    <w:multiLevelType w:val="hybridMultilevel"/>
    <w:tmpl w:val="BC08F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6B05E0"/>
    <w:multiLevelType w:val="multilevel"/>
    <w:tmpl w:val="2AB86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F964D8"/>
    <w:multiLevelType w:val="multilevel"/>
    <w:tmpl w:val="21B6B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33"/>
  </w:num>
  <w:num w:numId="3">
    <w:abstractNumId w:val="9"/>
  </w:num>
  <w:num w:numId="4">
    <w:abstractNumId w:val="23"/>
  </w:num>
  <w:num w:numId="5">
    <w:abstractNumId w:val="1"/>
  </w:num>
  <w:num w:numId="6">
    <w:abstractNumId w:val="15"/>
  </w:num>
  <w:num w:numId="7">
    <w:abstractNumId w:val="5"/>
  </w:num>
  <w:num w:numId="8">
    <w:abstractNumId w:val="11"/>
  </w:num>
  <w:num w:numId="9">
    <w:abstractNumId w:val="27"/>
  </w:num>
  <w:num w:numId="10">
    <w:abstractNumId w:val="0"/>
  </w:num>
  <w:num w:numId="11">
    <w:abstractNumId w:val="12"/>
  </w:num>
  <w:num w:numId="12">
    <w:abstractNumId w:val="20"/>
  </w:num>
  <w:num w:numId="13">
    <w:abstractNumId w:val="10"/>
  </w:num>
  <w:num w:numId="14">
    <w:abstractNumId w:val="2"/>
  </w:num>
  <w:num w:numId="15">
    <w:abstractNumId w:val="19"/>
  </w:num>
  <w:num w:numId="16">
    <w:abstractNumId w:val="4"/>
  </w:num>
  <w:num w:numId="17">
    <w:abstractNumId w:val="14"/>
  </w:num>
  <w:num w:numId="18">
    <w:abstractNumId w:val="26"/>
  </w:num>
  <w:num w:numId="19">
    <w:abstractNumId w:val="7"/>
  </w:num>
  <w:num w:numId="20">
    <w:abstractNumId w:val="30"/>
  </w:num>
  <w:num w:numId="21">
    <w:abstractNumId w:val="28"/>
  </w:num>
  <w:num w:numId="22">
    <w:abstractNumId w:val="36"/>
  </w:num>
  <w:num w:numId="23">
    <w:abstractNumId w:val="3"/>
  </w:num>
  <w:num w:numId="24">
    <w:abstractNumId w:val="21"/>
  </w:num>
  <w:num w:numId="25">
    <w:abstractNumId w:val="18"/>
  </w:num>
  <w:num w:numId="26">
    <w:abstractNumId w:val="25"/>
  </w:num>
  <w:num w:numId="27">
    <w:abstractNumId w:val="13"/>
  </w:num>
  <w:num w:numId="28">
    <w:abstractNumId w:val="34"/>
  </w:num>
  <w:num w:numId="29">
    <w:abstractNumId w:val="32"/>
  </w:num>
  <w:num w:numId="30">
    <w:abstractNumId w:val="29"/>
  </w:num>
  <w:num w:numId="31">
    <w:abstractNumId w:val="38"/>
  </w:num>
  <w:num w:numId="32">
    <w:abstractNumId w:val="8"/>
  </w:num>
  <w:num w:numId="33">
    <w:abstractNumId w:val="24"/>
  </w:num>
  <w:num w:numId="34">
    <w:abstractNumId w:val="31"/>
  </w:num>
  <w:num w:numId="35">
    <w:abstractNumId w:val="16"/>
  </w:num>
  <w:num w:numId="36">
    <w:abstractNumId w:val="6"/>
  </w:num>
  <w:num w:numId="37">
    <w:abstractNumId w:val="37"/>
  </w:num>
  <w:num w:numId="38">
    <w:abstractNumId w:val="22"/>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AwNjOxMDEwMTI1MDZR0lEKTi0uzszPAykwqQUAt+sg6y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2fs0ev5rd9waee055jpxsae0pxafwp9s2as&quot;&gt;Hospitalization Indicator Template Refs&lt;record-ids&gt;&lt;item&gt;2&lt;/item&gt;&lt;/record-ids&gt;&lt;/item&gt;&lt;/Libraries&gt;"/>
  </w:docVars>
  <w:rsids>
    <w:rsidRoot w:val="008129B5"/>
    <w:rsid w:val="00006400"/>
    <w:rsid w:val="00007411"/>
    <w:rsid w:val="0002681B"/>
    <w:rsid w:val="00030CBC"/>
    <w:rsid w:val="00031787"/>
    <w:rsid w:val="000333C4"/>
    <w:rsid w:val="00034048"/>
    <w:rsid w:val="00037698"/>
    <w:rsid w:val="00043AEE"/>
    <w:rsid w:val="00051066"/>
    <w:rsid w:val="00051416"/>
    <w:rsid w:val="00065C34"/>
    <w:rsid w:val="00075F3B"/>
    <w:rsid w:val="00084AFA"/>
    <w:rsid w:val="000A5978"/>
    <w:rsid w:val="000B1FA1"/>
    <w:rsid w:val="000B230B"/>
    <w:rsid w:val="000B3C17"/>
    <w:rsid w:val="000B7A68"/>
    <w:rsid w:val="000B7DAB"/>
    <w:rsid w:val="000C295A"/>
    <w:rsid w:val="000C3C69"/>
    <w:rsid w:val="000C4D90"/>
    <w:rsid w:val="000F6CA4"/>
    <w:rsid w:val="00101051"/>
    <w:rsid w:val="001066A3"/>
    <w:rsid w:val="001104AC"/>
    <w:rsid w:val="0013011F"/>
    <w:rsid w:val="0013542F"/>
    <w:rsid w:val="00157E17"/>
    <w:rsid w:val="0016279A"/>
    <w:rsid w:val="00166789"/>
    <w:rsid w:val="00171357"/>
    <w:rsid w:val="00172239"/>
    <w:rsid w:val="00182079"/>
    <w:rsid w:val="001A395B"/>
    <w:rsid w:val="001A5ABA"/>
    <w:rsid w:val="001C2D9C"/>
    <w:rsid w:val="001D0731"/>
    <w:rsid w:val="001D6AE1"/>
    <w:rsid w:val="001E036E"/>
    <w:rsid w:val="001E0BD5"/>
    <w:rsid w:val="001E22DC"/>
    <w:rsid w:val="001F07B1"/>
    <w:rsid w:val="001F73D0"/>
    <w:rsid w:val="00200336"/>
    <w:rsid w:val="0021253B"/>
    <w:rsid w:val="002152A8"/>
    <w:rsid w:val="002238E1"/>
    <w:rsid w:val="00235186"/>
    <w:rsid w:val="0023528C"/>
    <w:rsid w:val="002538E9"/>
    <w:rsid w:val="0027019F"/>
    <w:rsid w:val="0027405C"/>
    <w:rsid w:val="00280235"/>
    <w:rsid w:val="002834EC"/>
    <w:rsid w:val="0028544F"/>
    <w:rsid w:val="00287435"/>
    <w:rsid w:val="002874D8"/>
    <w:rsid w:val="002A3D2F"/>
    <w:rsid w:val="002B7FFC"/>
    <w:rsid w:val="002C47D7"/>
    <w:rsid w:val="002D5E7C"/>
    <w:rsid w:val="002E296E"/>
    <w:rsid w:val="002E60CC"/>
    <w:rsid w:val="002F26F7"/>
    <w:rsid w:val="002F6469"/>
    <w:rsid w:val="00300855"/>
    <w:rsid w:val="003104C1"/>
    <w:rsid w:val="003160EA"/>
    <w:rsid w:val="00317E52"/>
    <w:rsid w:val="003208A9"/>
    <w:rsid w:val="003218CA"/>
    <w:rsid w:val="003241A6"/>
    <w:rsid w:val="0033021B"/>
    <w:rsid w:val="00330837"/>
    <w:rsid w:val="00353921"/>
    <w:rsid w:val="00381D3C"/>
    <w:rsid w:val="00385914"/>
    <w:rsid w:val="00391E97"/>
    <w:rsid w:val="003948F9"/>
    <w:rsid w:val="00396395"/>
    <w:rsid w:val="003A213A"/>
    <w:rsid w:val="003A4C93"/>
    <w:rsid w:val="003A4D85"/>
    <w:rsid w:val="003B2A80"/>
    <w:rsid w:val="003C299D"/>
    <w:rsid w:val="003D5984"/>
    <w:rsid w:val="003D77CB"/>
    <w:rsid w:val="003E3B4F"/>
    <w:rsid w:val="003E62A3"/>
    <w:rsid w:val="003F6C7D"/>
    <w:rsid w:val="00402047"/>
    <w:rsid w:val="00431CBE"/>
    <w:rsid w:val="004338C7"/>
    <w:rsid w:val="00435258"/>
    <w:rsid w:val="004406D5"/>
    <w:rsid w:val="00440BD7"/>
    <w:rsid w:val="00454A49"/>
    <w:rsid w:val="00454C83"/>
    <w:rsid w:val="004640CA"/>
    <w:rsid w:val="00471247"/>
    <w:rsid w:val="0048297F"/>
    <w:rsid w:val="004905D5"/>
    <w:rsid w:val="00491F96"/>
    <w:rsid w:val="004B1A36"/>
    <w:rsid w:val="004B1C56"/>
    <w:rsid w:val="004B3C76"/>
    <w:rsid w:val="004B58B8"/>
    <w:rsid w:val="004C0621"/>
    <w:rsid w:val="004D5EA8"/>
    <w:rsid w:val="004E3B14"/>
    <w:rsid w:val="004E5E99"/>
    <w:rsid w:val="004F196E"/>
    <w:rsid w:val="0051545A"/>
    <w:rsid w:val="00516F70"/>
    <w:rsid w:val="005258AD"/>
    <w:rsid w:val="00540965"/>
    <w:rsid w:val="005418D8"/>
    <w:rsid w:val="0054385D"/>
    <w:rsid w:val="00546603"/>
    <w:rsid w:val="005569C7"/>
    <w:rsid w:val="005600E7"/>
    <w:rsid w:val="00561B29"/>
    <w:rsid w:val="005658FE"/>
    <w:rsid w:val="00570A16"/>
    <w:rsid w:val="00583CAC"/>
    <w:rsid w:val="00593C22"/>
    <w:rsid w:val="005A07B2"/>
    <w:rsid w:val="005A2E66"/>
    <w:rsid w:val="005B57F7"/>
    <w:rsid w:val="005C0B26"/>
    <w:rsid w:val="005E0F60"/>
    <w:rsid w:val="005E35BF"/>
    <w:rsid w:val="005F01E4"/>
    <w:rsid w:val="00610429"/>
    <w:rsid w:val="006279A3"/>
    <w:rsid w:val="00633224"/>
    <w:rsid w:val="006421DF"/>
    <w:rsid w:val="0065138F"/>
    <w:rsid w:val="00656C40"/>
    <w:rsid w:val="00673429"/>
    <w:rsid w:val="00682AF4"/>
    <w:rsid w:val="006A0C97"/>
    <w:rsid w:val="006A77E6"/>
    <w:rsid w:val="006C07D4"/>
    <w:rsid w:val="006D0AB0"/>
    <w:rsid w:val="006D28CF"/>
    <w:rsid w:val="006D3D2A"/>
    <w:rsid w:val="006D6A72"/>
    <w:rsid w:val="006E22FE"/>
    <w:rsid w:val="006F5BE2"/>
    <w:rsid w:val="007026A8"/>
    <w:rsid w:val="0070328E"/>
    <w:rsid w:val="007102EB"/>
    <w:rsid w:val="00727A5E"/>
    <w:rsid w:val="00735219"/>
    <w:rsid w:val="00743792"/>
    <w:rsid w:val="00756402"/>
    <w:rsid w:val="00761B48"/>
    <w:rsid w:val="007805A9"/>
    <w:rsid w:val="00783014"/>
    <w:rsid w:val="00787BDE"/>
    <w:rsid w:val="00790627"/>
    <w:rsid w:val="00790CDC"/>
    <w:rsid w:val="00795EC3"/>
    <w:rsid w:val="00796D2F"/>
    <w:rsid w:val="007B71B2"/>
    <w:rsid w:val="007C1711"/>
    <w:rsid w:val="007C2A15"/>
    <w:rsid w:val="007E0124"/>
    <w:rsid w:val="007E73AC"/>
    <w:rsid w:val="00801B3C"/>
    <w:rsid w:val="008129B5"/>
    <w:rsid w:val="00834ABC"/>
    <w:rsid w:val="00835B36"/>
    <w:rsid w:val="00836CED"/>
    <w:rsid w:val="00870D3A"/>
    <w:rsid w:val="008805E5"/>
    <w:rsid w:val="008828FD"/>
    <w:rsid w:val="008A47E2"/>
    <w:rsid w:val="008B5B2D"/>
    <w:rsid w:val="008C169C"/>
    <w:rsid w:val="008C2451"/>
    <w:rsid w:val="008C2784"/>
    <w:rsid w:val="008D6A63"/>
    <w:rsid w:val="008E27DA"/>
    <w:rsid w:val="008F1221"/>
    <w:rsid w:val="009044BE"/>
    <w:rsid w:val="00913667"/>
    <w:rsid w:val="009146B9"/>
    <w:rsid w:val="00930ED9"/>
    <w:rsid w:val="009409CD"/>
    <w:rsid w:val="0096730D"/>
    <w:rsid w:val="00974254"/>
    <w:rsid w:val="00981E8D"/>
    <w:rsid w:val="00996999"/>
    <w:rsid w:val="009A421A"/>
    <w:rsid w:val="009B0159"/>
    <w:rsid w:val="009C4219"/>
    <w:rsid w:val="009D7713"/>
    <w:rsid w:val="009E52E1"/>
    <w:rsid w:val="009F06FC"/>
    <w:rsid w:val="009F26D7"/>
    <w:rsid w:val="00A071DB"/>
    <w:rsid w:val="00A12AEF"/>
    <w:rsid w:val="00A32D8E"/>
    <w:rsid w:val="00A37AA1"/>
    <w:rsid w:val="00A43A2F"/>
    <w:rsid w:val="00A474E0"/>
    <w:rsid w:val="00A53251"/>
    <w:rsid w:val="00A55243"/>
    <w:rsid w:val="00A72CC5"/>
    <w:rsid w:val="00A763E1"/>
    <w:rsid w:val="00A816CF"/>
    <w:rsid w:val="00A8423B"/>
    <w:rsid w:val="00A936E8"/>
    <w:rsid w:val="00AA285E"/>
    <w:rsid w:val="00AA2ED3"/>
    <w:rsid w:val="00AB7020"/>
    <w:rsid w:val="00AD10DE"/>
    <w:rsid w:val="00AD27A0"/>
    <w:rsid w:val="00AD4396"/>
    <w:rsid w:val="00AD7734"/>
    <w:rsid w:val="00AF002B"/>
    <w:rsid w:val="00AF5830"/>
    <w:rsid w:val="00AF6218"/>
    <w:rsid w:val="00B00876"/>
    <w:rsid w:val="00B05197"/>
    <w:rsid w:val="00B0664A"/>
    <w:rsid w:val="00B12CC5"/>
    <w:rsid w:val="00B20EA6"/>
    <w:rsid w:val="00B21023"/>
    <w:rsid w:val="00B22060"/>
    <w:rsid w:val="00B271FA"/>
    <w:rsid w:val="00B371DB"/>
    <w:rsid w:val="00B45F30"/>
    <w:rsid w:val="00B46A53"/>
    <w:rsid w:val="00B55950"/>
    <w:rsid w:val="00B80BBB"/>
    <w:rsid w:val="00B8569F"/>
    <w:rsid w:val="00B93B71"/>
    <w:rsid w:val="00BA0164"/>
    <w:rsid w:val="00BA1703"/>
    <w:rsid w:val="00BA3448"/>
    <w:rsid w:val="00BA7AB6"/>
    <w:rsid w:val="00BC6514"/>
    <w:rsid w:val="00BC77DC"/>
    <w:rsid w:val="00BD01A6"/>
    <w:rsid w:val="00BE0E4D"/>
    <w:rsid w:val="00C0280A"/>
    <w:rsid w:val="00C049A7"/>
    <w:rsid w:val="00C27696"/>
    <w:rsid w:val="00C3386B"/>
    <w:rsid w:val="00C35277"/>
    <w:rsid w:val="00C53E5A"/>
    <w:rsid w:val="00C561D0"/>
    <w:rsid w:val="00C56AFB"/>
    <w:rsid w:val="00C64477"/>
    <w:rsid w:val="00C768AC"/>
    <w:rsid w:val="00C82347"/>
    <w:rsid w:val="00C9514C"/>
    <w:rsid w:val="00CA198C"/>
    <w:rsid w:val="00CB2AD0"/>
    <w:rsid w:val="00CB4F87"/>
    <w:rsid w:val="00CE777E"/>
    <w:rsid w:val="00D033F1"/>
    <w:rsid w:val="00D06BE0"/>
    <w:rsid w:val="00D10422"/>
    <w:rsid w:val="00D1157C"/>
    <w:rsid w:val="00D43F89"/>
    <w:rsid w:val="00D46D84"/>
    <w:rsid w:val="00D47B30"/>
    <w:rsid w:val="00D47E55"/>
    <w:rsid w:val="00D50B52"/>
    <w:rsid w:val="00D51B47"/>
    <w:rsid w:val="00D536A0"/>
    <w:rsid w:val="00D85E09"/>
    <w:rsid w:val="00DC4824"/>
    <w:rsid w:val="00DD4458"/>
    <w:rsid w:val="00DE0F4A"/>
    <w:rsid w:val="00DE544A"/>
    <w:rsid w:val="00DE77CB"/>
    <w:rsid w:val="00DF78BC"/>
    <w:rsid w:val="00E0242E"/>
    <w:rsid w:val="00E036A0"/>
    <w:rsid w:val="00E106B5"/>
    <w:rsid w:val="00E408B6"/>
    <w:rsid w:val="00E45247"/>
    <w:rsid w:val="00E52D11"/>
    <w:rsid w:val="00E5323C"/>
    <w:rsid w:val="00E67B54"/>
    <w:rsid w:val="00E73CDA"/>
    <w:rsid w:val="00EA4090"/>
    <w:rsid w:val="00EB241A"/>
    <w:rsid w:val="00EB7034"/>
    <w:rsid w:val="00EB73B9"/>
    <w:rsid w:val="00EB7408"/>
    <w:rsid w:val="00EC1503"/>
    <w:rsid w:val="00EC6DD0"/>
    <w:rsid w:val="00EC74A4"/>
    <w:rsid w:val="00ED1D1A"/>
    <w:rsid w:val="00ED2317"/>
    <w:rsid w:val="00ED6DAD"/>
    <w:rsid w:val="00EF597C"/>
    <w:rsid w:val="00F14AEB"/>
    <w:rsid w:val="00F158C8"/>
    <w:rsid w:val="00F2193F"/>
    <w:rsid w:val="00F26542"/>
    <w:rsid w:val="00F43B50"/>
    <w:rsid w:val="00F64024"/>
    <w:rsid w:val="00F66C7E"/>
    <w:rsid w:val="00F67DB9"/>
    <w:rsid w:val="00F7323F"/>
    <w:rsid w:val="00F81ED5"/>
    <w:rsid w:val="00F967F8"/>
    <w:rsid w:val="00F9775A"/>
    <w:rsid w:val="00FA2368"/>
    <w:rsid w:val="00FA24B1"/>
    <w:rsid w:val="00FA3CF9"/>
    <w:rsid w:val="00FC511B"/>
    <w:rsid w:val="00FC53C4"/>
    <w:rsid w:val="00FC755C"/>
    <w:rsid w:val="00FD1A77"/>
    <w:rsid w:val="00FD4317"/>
    <w:rsid w:val="00FD508C"/>
    <w:rsid w:val="00FE1FC5"/>
    <w:rsid w:val="00FF570E"/>
    <w:rsid w:val="00FF6CC7"/>
    <w:rsid w:val="038C4FD8"/>
    <w:rsid w:val="170F47D7"/>
    <w:rsid w:val="1C13047E"/>
    <w:rsid w:val="227BD279"/>
    <w:rsid w:val="262502E2"/>
    <w:rsid w:val="275C7E4B"/>
    <w:rsid w:val="2BCF1108"/>
    <w:rsid w:val="2D0224AF"/>
    <w:rsid w:val="2E7DDC47"/>
    <w:rsid w:val="38BB9124"/>
    <w:rsid w:val="425C63DC"/>
    <w:rsid w:val="49152EDB"/>
    <w:rsid w:val="53042BD1"/>
    <w:rsid w:val="573ACD80"/>
    <w:rsid w:val="5A411AA2"/>
    <w:rsid w:val="5B3E24F3"/>
    <w:rsid w:val="5F3AA16B"/>
    <w:rsid w:val="734799F9"/>
    <w:rsid w:val="77743B51"/>
    <w:rsid w:val="78689BA1"/>
    <w:rsid w:val="7F7B7B6B"/>
    <w:rsid w:val="7FDFDD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664128"/>
  <w15:docId w15:val="{81BCEBCD-6A5C-4EE7-B0EB-805AA62C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9B5"/>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8">
    <w:name w:val="Table Grid 8"/>
    <w:basedOn w:val="TableNormal"/>
    <w:rsid w:val="008129B5"/>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F9775A"/>
    <w:pPr>
      <w:ind w:left="720"/>
      <w:contextualSpacing/>
    </w:pPr>
  </w:style>
  <w:style w:type="paragraph" w:styleId="NormalWeb">
    <w:name w:val="Normal (Web)"/>
    <w:basedOn w:val="Normal"/>
    <w:uiPriority w:val="99"/>
    <w:unhideWhenUsed/>
    <w:rsid w:val="008A47E2"/>
    <w:pPr>
      <w:spacing w:before="100" w:beforeAutospacing="1" w:after="100" w:afterAutospacing="1"/>
    </w:pPr>
    <w:rPr>
      <w:rFonts w:eastAsia="Times New Roman"/>
      <w:lang w:eastAsia="en-US"/>
    </w:rPr>
  </w:style>
  <w:style w:type="character" w:styleId="Emphasis">
    <w:name w:val="Emphasis"/>
    <w:basedOn w:val="DefaultParagraphFont"/>
    <w:uiPriority w:val="20"/>
    <w:qFormat/>
    <w:rsid w:val="008A47E2"/>
    <w:rPr>
      <w:i/>
      <w:iCs/>
    </w:rPr>
  </w:style>
  <w:style w:type="character" w:styleId="Hyperlink">
    <w:name w:val="Hyperlink"/>
    <w:basedOn w:val="DefaultParagraphFont"/>
    <w:uiPriority w:val="99"/>
    <w:unhideWhenUsed/>
    <w:rsid w:val="00AD7734"/>
    <w:rPr>
      <w:color w:val="0000FF" w:themeColor="hyperlink"/>
      <w:u w:val="single"/>
    </w:rPr>
  </w:style>
  <w:style w:type="character" w:styleId="CommentReference">
    <w:name w:val="annotation reference"/>
    <w:basedOn w:val="DefaultParagraphFont"/>
    <w:uiPriority w:val="99"/>
    <w:semiHidden/>
    <w:unhideWhenUsed/>
    <w:rsid w:val="000333C4"/>
    <w:rPr>
      <w:sz w:val="16"/>
      <w:szCs w:val="16"/>
    </w:rPr>
  </w:style>
  <w:style w:type="paragraph" w:styleId="CommentText">
    <w:name w:val="annotation text"/>
    <w:basedOn w:val="Normal"/>
    <w:link w:val="CommentTextChar"/>
    <w:uiPriority w:val="99"/>
    <w:semiHidden/>
    <w:unhideWhenUsed/>
    <w:rsid w:val="000333C4"/>
    <w:rPr>
      <w:sz w:val="20"/>
      <w:szCs w:val="20"/>
    </w:rPr>
  </w:style>
  <w:style w:type="character" w:customStyle="1" w:styleId="CommentTextChar">
    <w:name w:val="Comment Text Char"/>
    <w:basedOn w:val="DefaultParagraphFont"/>
    <w:link w:val="CommentText"/>
    <w:uiPriority w:val="99"/>
    <w:semiHidden/>
    <w:rsid w:val="000333C4"/>
    <w:rPr>
      <w:rFonts w:ascii="Times New Roman" w:eastAsia="SimSu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0333C4"/>
    <w:rPr>
      <w:b/>
      <w:bCs/>
    </w:rPr>
  </w:style>
  <w:style w:type="character" w:customStyle="1" w:styleId="CommentSubjectChar">
    <w:name w:val="Comment Subject Char"/>
    <w:basedOn w:val="CommentTextChar"/>
    <w:link w:val="CommentSubject"/>
    <w:uiPriority w:val="99"/>
    <w:semiHidden/>
    <w:rsid w:val="000333C4"/>
    <w:rPr>
      <w:rFonts w:ascii="Times New Roman" w:eastAsia="SimSun" w:hAnsi="Times New Roman" w:cs="Times New Roman"/>
      <w:b/>
      <w:bCs/>
      <w:sz w:val="20"/>
      <w:szCs w:val="20"/>
      <w:lang w:eastAsia="zh-CN"/>
    </w:rPr>
  </w:style>
  <w:style w:type="paragraph" w:styleId="BalloonText">
    <w:name w:val="Balloon Text"/>
    <w:basedOn w:val="Normal"/>
    <w:link w:val="BalloonTextChar"/>
    <w:uiPriority w:val="99"/>
    <w:semiHidden/>
    <w:unhideWhenUsed/>
    <w:rsid w:val="000333C4"/>
    <w:rPr>
      <w:rFonts w:ascii="Tahoma" w:hAnsi="Tahoma" w:cs="Tahoma"/>
      <w:sz w:val="16"/>
      <w:szCs w:val="16"/>
    </w:rPr>
  </w:style>
  <w:style w:type="character" w:customStyle="1" w:styleId="BalloonTextChar">
    <w:name w:val="Balloon Text Char"/>
    <w:basedOn w:val="DefaultParagraphFont"/>
    <w:link w:val="BalloonText"/>
    <w:uiPriority w:val="99"/>
    <w:semiHidden/>
    <w:rsid w:val="000333C4"/>
    <w:rPr>
      <w:rFonts w:ascii="Tahoma" w:eastAsia="SimSun" w:hAnsi="Tahoma" w:cs="Tahoma"/>
      <w:sz w:val="16"/>
      <w:szCs w:val="16"/>
      <w:lang w:eastAsia="zh-CN"/>
    </w:rPr>
  </w:style>
  <w:style w:type="paragraph" w:styleId="Header">
    <w:name w:val="header"/>
    <w:basedOn w:val="Normal"/>
    <w:link w:val="HeaderChar"/>
    <w:uiPriority w:val="99"/>
    <w:unhideWhenUsed/>
    <w:rsid w:val="00353921"/>
    <w:pPr>
      <w:tabs>
        <w:tab w:val="center" w:pos="4680"/>
        <w:tab w:val="right" w:pos="9360"/>
      </w:tabs>
    </w:pPr>
  </w:style>
  <w:style w:type="character" w:customStyle="1" w:styleId="HeaderChar">
    <w:name w:val="Header Char"/>
    <w:basedOn w:val="DefaultParagraphFont"/>
    <w:link w:val="Header"/>
    <w:uiPriority w:val="99"/>
    <w:rsid w:val="00353921"/>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353921"/>
    <w:pPr>
      <w:tabs>
        <w:tab w:val="center" w:pos="4680"/>
        <w:tab w:val="right" w:pos="9360"/>
      </w:tabs>
    </w:pPr>
  </w:style>
  <w:style w:type="character" w:customStyle="1" w:styleId="FooterChar">
    <w:name w:val="Footer Char"/>
    <w:basedOn w:val="DefaultParagraphFont"/>
    <w:link w:val="Footer"/>
    <w:uiPriority w:val="99"/>
    <w:rsid w:val="00353921"/>
    <w:rPr>
      <w:rFonts w:ascii="Times New Roman" w:eastAsia="SimSun" w:hAnsi="Times New Roman" w:cs="Times New Roman"/>
      <w:sz w:val="24"/>
      <w:szCs w:val="24"/>
      <w:lang w:eastAsia="zh-CN"/>
    </w:rPr>
  </w:style>
  <w:style w:type="paragraph" w:customStyle="1" w:styleId="Default">
    <w:name w:val="Default"/>
    <w:rsid w:val="00B8569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rsid w:val="00AA2ED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E036E"/>
    <w:rPr>
      <w:color w:val="605E5C"/>
      <w:shd w:val="clear" w:color="auto" w:fill="E1DFDD"/>
    </w:rPr>
  </w:style>
  <w:style w:type="character" w:styleId="FollowedHyperlink">
    <w:name w:val="FollowedHyperlink"/>
    <w:basedOn w:val="DefaultParagraphFont"/>
    <w:uiPriority w:val="99"/>
    <w:semiHidden/>
    <w:unhideWhenUsed/>
    <w:rsid w:val="004B58B8"/>
    <w:rPr>
      <w:color w:val="800080" w:themeColor="followedHyperlink"/>
      <w:u w:val="single"/>
    </w:rPr>
  </w:style>
  <w:style w:type="paragraph" w:styleId="Revision">
    <w:name w:val="Revision"/>
    <w:hidden/>
    <w:uiPriority w:val="99"/>
    <w:semiHidden/>
    <w:rsid w:val="00981E8D"/>
    <w:pPr>
      <w:spacing w:after="0" w:line="240" w:lineRule="auto"/>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531403">
      <w:bodyDiv w:val="1"/>
      <w:marLeft w:val="0"/>
      <w:marRight w:val="0"/>
      <w:marTop w:val="0"/>
      <w:marBottom w:val="0"/>
      <w:divBdr>
        <w:top w:val="none" w:sz="0" w:space="0" w:color="auto"/>
        <w:left w:val="none" w:sz="0" w:space="0" w:color="auto"/>
        <w:bottom w:val="none" w:sz="0" w:space="0" w:color="auto"/>
        <w:right w:val="none" w:sz="0" w:space="0" w:color="auto"/>
      </w:divBdr>
    </w:div>
    <w:div w:id="389809581">
      <w:bodyDiv w:val="1"/>
      <w:marLeft w:val="0"/>
      <w:marRight w:val="0"/>
      <w:marTop w:val="0"/>
      <w:marBottom w:val="0"/>
      <w:divBdr>
        <w:top w:val="none" w:sz="0" w:space="0" w:color="auto"/>
        <w:left w:val="none" w:sz="0" w:space="0" w:color="auto"/>
        <w:bottom w:val="none" w:sz="0" w:space="0" w:color="auto"/>
        <w:right w:val="none" w:sz="0" w:space="0" w:color="auto"/>
      </w:divBdr>
    </w:div>
    <w:div w:id="489445717">
      <w:bodyDiv w:val="1"/>
      <w:marLeft w:val="0"/>
      <w:marRight w:val="0"/>
      <w:marTop w:val="0"/>
      <w:marBottom w:val="0"/>
      <w:divBdr>
        <w:top w:val="none" w:sz="0" w:space="0" w:color="auto"/>
        <w:left w:val="none" w:sz="0" w:space="0" w:color="auto"/>
        <w:bottom w:val="none" w:sz="0" w:space="0" w:color="auto"/>
        <w:right w:val="none" w:sz="0" w:space="0" w:color="auto"/>
      </w:divBdr>
      <w:divsChild>
        <w:div w:id="1082214282">
          <w:marLeft w:val="0"/>
          <w:marRight w:val="0"/>
          <w:marTop w:val="0"/>
          <w:marBottom w:val="0"/>
          <w:divBdr>
            <w:top w:val="single" w:sz="36" w:space="0" w:color="075290"/>
            <w:left w:val="none" w:sz="0" w:space="0" w:color="auto"/>
            <w:bottom w:val="none" w:sz="0" w:space="0" w:color="auto"/>
            <w:right w:val="none" w:sz="0" w:space="0" w:color="auto"/>
          </w:divBdr>
          <w:divsChild>
            <w:div w:id="82338774">
              <w:marLeft w:val="0"/>
              <w:marRight w:val="0"/>
              <w:marTop w:val="0"/>
              <w:marBottom w:val="0"/>
              <w:divBdr>
                <w:top w:val="none" w:sz="0" w:space="0" w:color="auto"/>
                <w:left w:val="none" w:sz="0" w:space="0" w:color="auto"/>
                <w:bottom w:val="none" w:sz="0" w:space="0" w:color="auto"/>
                <w:right w:val="none" w:sz="0" w:space="0" w:color="auto"/>
              </w:divBdr>
              <w:divsChild>
                <w:div w:id="1829594613">
                  <w:marLeft w:val="0"/>
                  <w:marRight w:val="0"/>
                  <w:marTop w:val="150"/>
                  <w:marBottom w:val="0"/>
                  <w:divBdr>
                    <w:top w:val="none" w:sz="0" w:space="0" w:color="auto"/>
                    <w:left w:val="none" w:sz="0" w:space="0" w:color="auto"/>
                    <w:bottom w:val="none" w:sz="0" w:space="0" w:color="auto"/>
                    <w:right w:val="none" w:sz="0" w:space="0" w:color="auto"/>
                  </w:divBdr>
                  <w:divsChild>
                    <w:div w:id="811216715">
                      <w:marLeft w:val="-150"/>
                      <w:marRight w:val="0"/>
                      <w:marTop w:val="0"/>
                      <w:marBottom w:val="0"/>
                      <w:divBdr>
                        <w:top w:val="none" w:sz="0" w:space="0" w:color="auto"/>
                        <w:left w:val="none" w:sz="0" w:space="0" w:color="auto"/>
                        <w:bottom w:val="none" w:sz="0" w:space="0" w:color="auto"/>
                        <w:right w:val="none" w:sz="0" w:space="0" w:color="auto"/>
                      </w:divBdr>
                      <w:divsChild>
                        <w:div w:id="1704985131">
                          <w:marLeft w:val="0"/>
                          <w:marRight w:val="0"/>
                          <w:marTop w:val="0"/>
                          <w:marBottom w:val="0"/>
                          <w:divBdr>
                            <w:top w:val="none" w:sz="0" w:space="0" w:color="auto"/>
                            <w:left w:val="none" w:sz="0" w:space="0" w:color="auto"/>
                            <w:bottom w:val="none" w:sz="0" w:space="0" w:color="auto"/>
                            <w:right w:val="none" w:sz="0" w:space="0" w:color="auto"/>
                          </w:divBdr>
                          <w:divsChild>
                            <w:div w:id="1452823844">
                              <w:marLeft w:val="0"/>
                              <w:marRight w:val="0"/>
                              <w:marTop w:val="0"/>
                              <w:marBottom w:val="0"/>
                              <w:divBdr>
                                <w:top w:val="none" w:sz="0" w:space="0" w:color="auto"/>
                                <w:left w:val="none" w:sz="0" w:space="0" w:color="auto"/>
                                <w:bottom w:val="none" w:sz="0" w:space="0" w:color="auto"/>
                                <w:right w:val="none" w:sz="0" w:space="0" w:color="auto"/>
                              </w:divBdr>
                              <w:divsChild>
                                <w:div w:id="822966930">
                                  <w:marLeft w:val="0"/>
                                  <w:marRight w:val="0"/>
                                  <w:marTop w:val="0"/>
                                  <w:marBottom w:val="0"/>
                                  <w:divBdr>
                                    <w:top w:val="none" w:sz="0" w:space="0" w:color="auto"/>
                                    <w:left w:val="none" w:sz="0" w:space="0" w:color="auto"/>
                                    <w:bottom w:val="none" w:sz="0" w:space="0" w:color="auto"/>
                                    <w:right w:val="none" w:sz="0" w:space="0" w:color="auto"/>
                                  </w:divBdr>
                                  <w:divsChild>
                                    <w:div w:id="17054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878836">
      <w:bodyDiv w:val="1"/>
      <w:marLeft w:val="0"/>
      <w:marRight w:val="0"/>
      <w:marTop w:val="0"/>
      <w:marBottom w:val="0"/>
      <w:divBdr>
        <w:top w:val="none" w:sz="0" w:space="0" w:color="auto"/>
        <w:left w:val="none" w:sz="0" w:space="0" w:color="auto"/>
        <w:bottom w:val="none" w:sz="0" w:space="0" w:color="auto"/>
        <w:right w:val="none" w:sz="0" w:space="0" w:color="auto"/>
      </w:divBdr>
    </w:div>
    <w:div w:id="666791761">
      <w:bodyDiv w:val="1"/>
      <w:marLeft w:val="0"/>
      <w:marRight w:val="0"/>
      <w:marTop w:val="0"/>
      <w:marBottom w:val="0"/>
      <w:divBdr>
        <w:top w:val="none" w:sz="0" w:space="0" w:color="auto"/>
        <w:left w:val="none" w:sz="0" w:space="0" w:color="auto"/>
        <w:bottom w:val="none" w:sz="0" w:space="0" w:color="auto"/>
        <w:right w:val="none" w:sz="0" w:space="0" w:color="auto"/>
      </w:divBdr>
    </w:div>
    <w:div w:id="851604473">
      <w:bodyDiv w:val="1"/>
      <w:marLeft w:val="0"/>
      <w:marRight w:val="0"/>
      <w:marTop w:val="0"/>
      <w:marBottom w:val="0"/>
      <w:divBdr>
        <w:top w:val="none" w:sz="0" w:space="0" w:color="auto"/>
        <w:left w:val="none" w:sz="0" w:space="0" w:color="auto"/>
        <w:bottom w:val="none" w:sz="0" w:space="0" w:color="auto"/>
        <w:right w:val="none" w:sz="0" w:space="0" w:color="auto"/>
      </w:divBdr>
    </w:div>
    <w:div w:id="884952221">
      <w:bodyDiv w:val="1"/>
      <w:marLeft w:val="0"/>
      <w:marRight w:val="0"/>
      <w:marTop w:val="0"/>
      <w:marBottom w:val="0"/>
      <w:divBdr>
        <w:top w:val="none" w:sz="0" w:space="0" w:color="auto"/>
        <w:left w:val="none" w:sz="0" w:space="0" w:color="auto"/>
        <w:bottom w:val="none" w:sz="0" w:space="0" w:color="auto"/>
        <w:right w:val="none" w:sz="0" w:space="0" w:color="auto"/>
      </w:divBdr>
    </w:div>
    <w:div w:id="1050765187">
      <w:bodyDiv w:val="1"/>
      <w:marLeft w:val="0"/>
      <w:marRight w:val="0"/>
      <w:marTop w:val="0"/>
      <w:marBottom w:val="0"/>
      <w:divBdr>
        <w:top w:val="none" w:sz="0" w:space="0" w:color="auto"/>
        <w:left w:val="none" w:sz="0" w:space="0" w:color="auto"/>
        <w:bottom w:val="none" w:sz="0" w:space="0" w:color="auto"/>
        <w:right w:val="none" w:sz="0" w:space="0" w:color="auto"/>
      </w:divBdr>
    </w:div>
    <w:div w:id="1227035407">
      <w:bodyDiv w:val="1"/>
      <w:marLeft w:val="0"/>
      <w:marRight w:val="0"/>
      <w:marTop w:val="0"/>
      <w:marBottom w:val="0"/>
      <w:divBdr>
        <w:top w:val="none" w:sz="0" w:space="0" w:color="auto"/>
        <w:left w:val="none" w:sz="0" w:space="0" w:color="auto"/>
        <w:bottom w:val="none" w:sz="0" w:space="0" w:color="auto"/>
        <w:right w:val="none" w:sz="0" w:space="0" w:color="auto"/>
      </w:divBdr>
    </w:div>
    <w:div w:id="1706254314">
      <w:bodyDiv w:val="1"/>
      <w:marLeft w:val="0"/>
      <w:marRight w:val="0"/>
      <w:marTop w:val="0"/>
      <w:marBottom w:val="0"/>
      <w:divBdr>
        <w:top w:val="none" w:sz="0" w:space="0" w:color="auto"/>
        <w:left w:val="none" w:sz="0" w:space="0" w:color="auto"/>
        <w:bottom w:val="none" w:sz="0" w:space="0" w:color="auto"/>
        <w:right w:val="none" w:sz="0" w:space="0" w:color="auto"/>
      </w:divBdr>
    </w:div>
    <w:div w:id="1885869238">
      <w:bodyDiv w:val="1"/>
      <w:marLeft w:val="0"/>
      <w:marRight w:val="0"/>
      <w:marTop w:val="0"/>
      <w:marBottom w:val="0"/>
      <w:divBdr>
        <w:top w:val="none" w:sz="0" w:space="0" w:color="auto"/>
        <w:left w:val="none" w:sz="0" w:space="0" w:color="auto"/>
        <w:bottom w:val="none" w:sz="0" w:space="0" w:color="auto"/>
        <w:right w:val="none" w:sz="0" w:space="0" w:color="auto"/>
      </w:divBdr>
    </w:div>
    <w:div w:id="1944267464">
      <w:bodyDiv w:val="1"/>
      <w:marLeft w:val="0"/>
      <w:marRight w:val="0"/>
      <w:marTop w:val="0"/>
      <w:marBottom w:val="0"/>
      <w:divBdr>
        <w:top w:val="none" w:sz="0" w:space="0" w:color="auto"/>
        <w:left w:val="none" w:sz="0" w:space="0" w:color="auto"/>
        <w:bottom w:val="none" w:sz="0" w:space="0" w:color="auto"/>
        <w:right w:val="none" w:sz="0" w:space="0" w:color="auto"/>
      </w:divBdr>
    </w:div>
    <w:div w:id="201229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dc.gov/nchs/data/databriefs/db395-H.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DCgov/EPHTracking-Subcounty"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ephtracking.cdc.gov/showAirHIA.action" TargetMode="External"/><Relationship Id="rId4" Type="http://schemas.openxmlformats.org/officeDocument/2006/relationships/webSettings" Target="webSettings.xml"/><Relationship Id="rId9" Type="http://schemas.openxmlformats.org/officeDocument/2006/relationships/hyperlink" Target="http://www.cdc.gov/heartdiseas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2424</Words>
  <Characters>13821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16213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CDC User</dc:creator>
  <cp:lastModifiedBy>Vinson, Daniel (CDC/DDNID/NCEH/DEHSP) (CTR)</cp:lastModifiedBy>
  <cp:revision>2</cp:revision>
  <cp:lastPrinted>2018-03-26T12:27:00Z</cp:lastPrinted>
  <dcterms:created xsi:type="dcterms:W3CDTF">2021-10-25T20:32:00Z</dcterms:created>
  <dcterms:modified xsi:type="dcterms:W3CDTF">2021-10-25T20:32:00Z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2021-07-09T16:41:12Z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d6156e6f-c94a-4019-a1ff-f9c598bd46e8</vt:lpwstr>
  </property>
  <property fmtid="{D5CDD505-2E9C-101B-9397-08002B2CF9AE}" pid="8" name="MSIP_Label_7b94a7b8-f06c-4dfe-bdcc-9b548fd58c31_ContentBits">
    <vt:lpwstr>0</vt:lpwstr>
  </property>
</Properties>
</file>