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Performance Dataset Generation</w:t>
      </w:r>
    </w:p>
    <w:p>
      <w:pPr>
        <w:pStyle w:val="Subtitle"/>
      </w:pPr>
      <w:r>
        <w:t>How MicrobeTrace generated graph, FASTA, and Newick performance fixtures are created.</w:t>
      </w:r>
    </w:p>
    <w:p>
      <w:r>
        <w:rPr>
          <w:i/>
          <w:color w:val="57606A"/>
          <w:sz w:val="18"/>
        </w:rPr>
        <w:t>Source Markdown: docs/performance/synthetic-performance-dataset-generation.md</w:t>
      </w:r>
    </w:p>
    <w:p/>
    <w:p>
      <w:r>
        <w:t>This document describes how the committed synthetic performance fixtures are generated so bioinformaticians can evaluate whether they are appropriate stand-ins for real MicrobeTrace workloads.</w:t>
      </w:r>
    </w:p>
    <w:p>
      <w:r>
        <w:t xml:space="preserve">The generated fixtures live under </w:t>
      </w:r>
      <w:r>
        <w:rPr>
          <w:rFonts w:ascii="Courier New" w:hAnsi="Courier New"/>
          <w:color w:val="24292F"/>
          <w:sz w:val="19"/>
        </w:rPr>
        <w:t>cypress/fixtures/performance/</w:t>
      </w:r>
      <w:r>
        <w:t xml:space="preserve"> and are produced by:</w:t>
      </w:r>
    </w:p>
    <w:p>
      <w:pPr>
        <w:spacing w:before="80" w:after="160"/>
        <w:ind w:left="288" w:right="288"/>
      </w:pPr>
      <w:r>
        <w:rPr>
          <w:rFonts w:ascii="Courier New" w:hAnsi="Courier New"/>
          <w:sz w:val="17"/>
        </w:rPr>
        <w:t>node scripts/generate-performance-fixtures.js</w:t>
      </w:r>
    </w:p>
    <w:p>
      <w:r>
        <w:t>The generator is deterministic. It uses a seeded linear congruential pseudo-random number generator, so rerunning the script should recreate the same files for the same script inputs.</w:t>
      </w:r>
    </w:p>
    <w:p>
      <w:r>
        <w:t xml:space="preserve">This document covers the performance fixtures generated by </w:t>
      </w:r>
      <w:r>
        <w:rPr>
          <w:rFonts w:ascii="Courier New" w:hAnsi="Courier New"/>
          <w:color w:val="24292F"/>
          <w:sz w:val="19"/>
        </w:rPr>
        <w:t>scripts/generate-performance-fixtures.js</w:t>
      </w:r>
      <w:r>
        <w:t xml:space="preserve">. It does not cover every small Cypress fixture in </w:t>
      </w:r>
      <w:r>
        <w:rPr>
          <w:rFonts w:ascii="Courier New" w:hAnsi="Courier New"/>
          <w:color w:val="24292F"/>
          <w:sz w:val="19"/>
        </w:rPr>
        <w:t>cypress/fixtures/</w:t>
      </w:r>
      <w:r>
        <w:t>, such as small oracle or journey fixtures.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Fixture family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Biological realism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Generated graph CSVs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average-graph-*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color w:val="24292F"/>
                <w:sz w:val="17"/>
              </w:rPr>
              <w:t>large-graph-*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color w:val="24292F"/>
                <w:sz w:val="17"/>
              </w:rPr>
              <w:t>stress-graph-*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CSV parsing, graph merge, threshold visibility, Cytoscape rendering, 2D interactions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Not biological; graph-shape workload only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Generated clustered FASTA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average-sequences.fasta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color w:val="24292F"/>
                <w:sz w:val="17"/>
              </w:rPr>
              <w:t>large-sequences.fasta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FASTA parsing, SNP distance computation, sequence-derived links, Alignment readiness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Clustered SNP workload, not pathogen evolution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Generated clustered Newick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average-newick-500.nwk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color w:val="24292F"/>
                <w:sz w:val="17"/>
              </w:rPr>
              <w:t>large-newick-1000.nwk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color w:val="24292F"/>
                <w:sz w:val="17"/>
              </w:rPr>
              <w:t>stress-newick-2000.nwk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Newick parsing, patristic preprocessing, thresholded edge generation, threshold re-query</w:t>
            </w:r>
          </w:p>
        </w:tc>
        <w:tc>
          <w:tcPr>
            <w:tcW w:type="dxa" w:w="2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Artificial branch-length workload, not inferred phylogeny</w:t>
            </w:r>
          </w:p>
        </w:tc>
      </w:tr>
    </w:tbl>
    <w:p/>
    <w:p>
      <w:pPr>
        <w:pStyle w:val="Heading2"/>
      </w:pPr>
      <w:r>
        <w:t>Generated Graph CSV Fixtures</w:t>
      </w:r>
    </w:p>
    <w:p>
      <w:r>
        <w:t>Generated files: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Tier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Node file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Link file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Nodes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Links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ID prefix</w:t>
            </w:r>
          </w:p>
        </w:tc>
      </w:tr>
      <w:tr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Average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average-graph-nodes.csv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average-graph-links.csv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1,600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3,200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P</w:t>
            </w:r>
          </w:p>
        </w:tc>
      </w:tr>
      <w:tr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Large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large-graph-nodes.csv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large-graph-links.csv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5,000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10,000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LG</w:t>
            </w:r>
          </w:p>
        </w:tc>
      </w:tr>
      <w:tr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Stress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stress-graph-nodes.csv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stress-graph-links.csv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10,000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25,000</w:t>
            </w:r>
          </w:p>
        </w:tc>
        <w:tc>
          <w:tcPr>
            <w:tcW w:type="dxa" w:w="1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SG</w:t>
            </w:r>
          </w:p>
        </w:tc>
      </w:tr>
    </w:tbl>
    <w:p/>
    <w:p>
      <w:r>
        <w:t>Node generation:</w:t>
      </w:r>
    </w:p>
    <w:p>
      <w:pPr>
        <w:pStyle w:val="ListBullet"/>
      </w:pPr>
      <w:r>
        <w:t xml:space="preserve">Each node has </w:t>
      </w:r>
      <w:r>
        <w:rPr>
          <w:rFonts w:ascii="Courier New" w:hAnsi="Courier New"/>
          <w:color w:val="24292F"/>
          <w:sz w:val="19"/>
        </w:rPr>
        <w:t>_id</w:t>
      </w:r>
      <w:r>
        <w:t xml:space="preserve">, </w:t>
      </w:r>
      <w:r>
        <w:rPr>
          <w:rFonts w:ascii="Courier New" w:hAnsi="Courier New"/>
          <w:color w:val="24292F"/>
          <w:sz w:val="19"/>
        </w:rPr>
        <w:t>subtype</w:t>
      </w:r>
      <w:r>
        <w:t xml:space="preserve">, and </w:t>
      </w:r>
      <w:r>
        <w:rPr>
          <w:rFonts w:ascii="Courier New" w:hAnsi="Courier New"/>
          <w:color w:val="24292F"/>
          <w:sz w:val="19"/>
        </w:rPr>
        <w:t>Diag date</w:t>
      </w:r>
      <w:r>
        <w:t>.</w:t>
      </w:r>
    </w:p>
    <w:p>
      <w:pPr>
        <w:pStyle w:val="ListBullet"/>
      </w:pPr>
      <w:r>
        <w:t xml:space="preserve">IDs are deterministic and sequential, such as </w:t>
      </w:r>
      <w:r>
        <w:rPr>
          <w:rFonts w:ascii="Courier New" w:hAnsi="Courier New"/>
          <w:color w:val="24292F"/>
          <w:sz w:val="19"/>
        </w:rPr>
        <w:t>P0001</w:t>
      </w:r>
      <w:r>
        <w:t xml:space="preserve">, </w:t>
      </w:r>
      <w:r>
        <w:rPr>
          <w:rFonts w:ascii="Courier New" w:hAnsi="Courier New"/>
          <w:color w:val="24292F"/>
          <w:sz w:val="19"/>
        </w:rPr>
        <w:t>LG00001</w:t>
      </w:r>
      <w:r>
        <w:t xml:space="preserve">, or </w:t>
      </w:r>
      <w:r>
        <w:rPr>
          <w:rFonts w:ascii="Courier New" w:hAnsi="Courier New"/>
          <w:color w:val="24292F"/>
          <w:sz w:val="19"/>
        </w:rPr>
        <w:t>SG00001</w:t>
      </w:r>
      <w:r>
        <w:t>.</w:t>
      </w:r>
    </w:p>
    <w:p>
      <w:pPr>
        <w:pStyle w:val="ListBullet"/>
      </w:pPr>
      <w:r>
        <w:rPr>
          <w:rFonts w:ascii="Courier New" w:hAnsi="Courier New"/>
          <w:color w:val="24292F"/>
          <w:sz w:val="19"/>
        </w:rPr>
        <w:t>subtype</w:t>
      </w:r>
      <w:r>
        <w:t xml:space="preserve"> cycles through </w:t>
      </w:r>
      <w:r>
        <w:rPr>
          <w:rFonts w:ascii="Courier New" w:hAnsi="Courier New"/>
          <w:color w:val="24292F"/>
          <w:sz w:val="19"/>
        </w:rPr>
        <w:t>A</w:t>
      </w:r>
      <w:r>
        <w:t xml:space="preserve"> to </w:t>
      </w:r>
      <w:r>
        <w:rPr>
          <w:rFonts w:ascii="Courier New" w:hAnsi="Courier New"/>
          <w:color w:val="24292F"/>
          <w:sz w:val="19"/>
        </w:rPr>
        <w:t>H</w:t>
      </w:r>
      <w:r>
        <w:t>.</w:t>
      </w:r>
    </w:p>
    <w:p>
      <w:pPr>
        <w:pStyle w:val="ListBullet"/>
      </w:pPr>
      <w:r>
        <w:rPr>
          <w:rFonts w:ascii="Courier New" w:hAnsi="Courier New"/>
          <w:color w:val="24292F"/>
          <w:sz w:val="19"/>
        </w:rPr>
        <w:t>Diag date</w:t>
      </w:r>
      <w:r>
        <w:t xml:space="preserve"> cycles through month/day combinations in 2024.</w:t>
      </w:r>
    </w:p>
    <w:p>
      <w:r>
        <w:t>Link generation:</w:t>
      </w:r>
    </w:p>
    <w:p>
      <w:pPr>
        <w:pStyle w:val="ListBullet"/>
      </w:pPr>
      <w:r>
        <w:t xml:space="preserve">The generator first adds a ring backbone: node </w:t>
      </w:r>
      <w:r>
        <w:rPr>
          <w:rFonts w:ascii="Courier New" w:hAnsi="Courier New"/>
          <w:color w:val="24292F"/>
          <w:sz w:val="19"/>
        </w:rPr>
        <w:t>i</w:t>
      </w:r>
      <w:r>
        <w:t xml:space="preserve"> links to node </w:t>
      </w:r>
      <w:r>
        <w:rPr>
          <w:rFonts w:ascii="Courier New" w:hAnsi="Courier New"/>
          <w:color w:val="24292F"/>
          <w:sz w:val="19"/>
        </w:rPr>
        <w:t>i + 1</w:t>
      </w:r>
      <w:r>
        <w:t>, with the final node linking back to the first.</w:t>
      </w:r>
    </w:p>
    <w:p>
      <w:pPr>
        <w:pStyle w:val="ListBullet"/>
      </w:pPr>
      <w:r>
        <w:t>Ring-link distances cycle from 4 to 11.</w:t>
      </w:r>
    </w:p>
    <w:p>
      <w:pPr>
        <w:pStyle w:val="ListBullet"/>
      </w:pPr>
      <w:r>
        <w:t>It then adds deterministic pseudo-random links until the target link count is reached.</w:t>
      </w:r>
    </w:p>
    <w:p>
      <w:pPr>
        <w:pStyle w:val="ListBullet"/>
      </w:pPr>
      <w:r>
        <w:t>Random links use an offset between 2 and 97 nodes from the source index.</w:t>
      </w:r>
    </w:p>
    <w:p>
      <w:pPr>
        <w:pStyle w:val="ListBullet"/>
      </w:pPr>
      <w:r>
        <w:t>Random-link distances are integers from 6 to 12.</w:t>
      </w:r>
    </w:p>
    <w:p>
      <w:pPr>
        <w:pStyle w:val="ListBullet"/>
      </w:pPr>
      <w:r>
        <w:t>Duplicate undirected pairs and self-links are skipped.</w:t>
      </w:r>
    </w:p>
    <w:p>
      <w:r>
        <w:t>How these are used:</w:t>
      </w:r>
    </w:p>
    <w:p>
      <w:pPr>
        <w:pStyle w:val="ListBullet"/>
      </w:pPr>
      <w:r>
        <w:t xml:space="preserve">Performance specs launch them with SNP metric and threshold </w:t>
      </w:r>
      <w:r>
        <w:rPr>
          <w:rFonts w:ascii="Courier New" w:hAnsi="Courier New"/>
          <w:color w:val="24292F"/>
          <w:sz w:val="19"/>
        </w:rPr>
        <w:t>16</w:t>
      </w:r>
      <w:r>
        <w:t>.</w:t>
      </w:r>
    </w:p>
    <w:p>
      <w:pPr>
        <w:pStyle w:val="ListBullet"/>
      </w:pPr>
      <w:r>
        <w:t xml:space="preserve">Because every generated graph distance is below </w:t>
      </w:r>
      <w:r>
        <w:rPr>
          <w:rFonts w:ascii="Courier New" w:hAnsi="Courier New"/>
          <w:color w:val="24292F"/>
          <w:sz w:val="19"/>
        </w:rPr>
        <w:t>16</w:t>
      </w:r>
      <w:r>
        <w:t>, all committed graph links are visible at launch.</w:t>
      </w:r>
    </w:p>
    <w:p>
      <w:pPr>
        <w:pStyle w:val="ListBullet"/>
      </w:pPr>
      <w:r>
        <w:t>These fixtures exercise graph ingestion and rendering paths, not sequence or phylogenetic inference paths.</w:t>
      </w:r>
    </w:p>
    <w:p>
      <w:r>
        <w:t>Bioinformatics assessment notes:</w:t>
      </w:r>
    </w:p>
    <w:p>
      <w:pPr>
        <w:pStyle w:val="ListBullet"/>
      </w:pPr>
      <w:r>
        <w:t>These are not epidemiologic or molecular simulations.</w:t>
      </w:r>
    </w:p>
    <w:p>
      <w:pPr>
        <w:pStyle w:val="ListBullet"/>
      </w:pPr>
      <w:r>
        <w:t>They do not model realistic contact-network degree distributions, superspreading, sampling bias, facility outbreaks, geography, or metadata correlations.</w:t>
      </w:r>
    </w:p>
    <w:p>
      <w:pPr>
        <w:pStyle w:val="ListBullet"/>
      </w:pPr>
      <w:r>
        <w:t>They are useful as deterministic graph-size workloads.</w:t>
      </w:r>
    </w:p>
    <w:p>
      <w:pPr>
        <w:pStyle w:val="ListBullet"/>
      </w:pPr>
      <w:r>
        <w:t>If real user graphs have much heavier-tailed degree distributions, many isolates, or different visible-link densities, the generator should be adjusted or supplemented.</w:t>
      </w:r>
    </w:p>
    <w:p>
      <w:pPr>
        <w:pStyle w:val="Heading2"/>
      </w:pPr>
      <w:r>
        <w:t>Generated Clustered FASTA Fixtures</w:t>
      </w:r>
    </w:p>
    <w:p>
      <w:r>
        <w:t>Generated files: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Tier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Sequences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Clusters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Samples per cluster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Sequence length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SNP threshold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Expected visible links</w:t>
            </w:r>
          </w:p>
        </w:tc>
      </w:tr>
      <w:tr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Average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average-sequences.fasta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120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2,400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840</w:t>
            </w:r>
          </w:p>
        </w:tc>
      </w:tr>
      <w:tr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Large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large-sequences.fasta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300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1,800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26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2,850</w:t>
            </w:r>
          </w:p>
        </w:tc>
      </w:tr>
    </w:tbl>
    <w:p/>
    <w:p>
      <w:r>
        <w:t>Sequence generation:</w:t>
      </w:r>
    </w:p>
    <w:p>
      <w:pPr>
        <w:pStyle w:val="ListBullet"/>
      </w:pPr>
      <w:r>
        <w:t xml:space="preserve">The generator creates one deterministic random reference sequence using </w:t>
      </w:r>
      <w:r>
        <w:rPr>
          <w:rFonts w:ascii="Courier New" w:hAnsi="Courier New"/>
          <w:color w:val="24292F"/>
          <w:sz w:val="19"/>
        </w:rPr>
        <w:t>a</w:t>
      </w:r>
      <w:r>
        <w:t xml:space="preserve">, </w:t>
      </w:r>
      <w:r>
        <w:rPr>
          <w:rFonts w:ascii="Courier New" w:hAnsi="Courier New"/>
          <w:color w:val="24292F"/>
          <w:sz w:val="19"/>
        </w:rPr>
        <w:t>c</w:t>
      </w:r>
      <w:r>
        <w:t xml:space="preserve">, </w:t>
      </w:r>
      <w:r>
        <w:rPr>
          <w:rFonts w:ascii="Courier New" w:hAnsi="Courier New"/>
          <w:color w:val="24292F"/>
          <w:sz w:val="19"/>
        </w:rPr>
        <w:t>g</w:t>
      </w:r>
      <w:r>
        <w:t xml:space="preserve">, and </w:t>
      </w:r>
      <w:r>
        <w:rPr>
          <w:rFonts w:ascii="Courier New" w:hAnsi="Courier New"/>
          <w:color w:val="24292F"/>
          <w:sz w:val="19"/>
        </w:rPr>
        <w:t>t</w:t>
      </w:r>
      <w:r>
        <w:t>.</w:t>
      </w:r>
    </w:p>
    <w:p>
      <w:pPr>
        <w:pStyle w:val="ListBullet"/>
      </w:pPr>
      <w:r>
        <w:t>It divides records into fixed clusters.</w:t>
      </w:r>
    </w:p>
    <w:p>
      <w:pPr>
        <w:pStyle w:val="ListBullet"/>
      </w:pPr>
      <w:r>
        <w:t>Each cluster receives 12 unique signature SNP positions.</w:t>
      </w:r>
    </w:p>
    <w:p>
      <w:pPr>
        <w:pStyle w:val="ListBullet"/>
      </w:pPr>
      <w:r>
        <w:t>Cluster signature positions are globally blocked so two clusters do not reuse the same signature position.</w:t>
      </w:r>
    </w:p>
    <w:p>
      <w:pPr>
        <w:pStyle w:val="ListBullet"/>
      </w:pPr>
      <w:r>
        <w:t>Each cluster reference is made by mutating the shared reference at that cluster's signature positions.</w:t>
      </w:r>
    </w:p>
    <w:p>
      <w:pPr>
        <w:pStyle w:val="ListBullet"/>
      </w:pPr>
      <w:r>
        <w:t>Each sample copies its cluster reference and receives 4 to 6 additional sample-level SNPs.</w:t>
      </w:r>
    </w:p>
    <w:p>
      <w:pPr>
        <w:pStyle w:val="ListBullet"/>
      </w:pPr>
      <w:r>
        <w:t>Sample-level SNP positions are chosen outside the cluster-signature positions.</w:t>
      </w:r>
    </w:p>
    <w:p>
      <w:pPr>
        <w:pStyle w:val="ListBullet"/>
      </w:pPr>
      <w:r>
        <w:t xml:space="preserve">Mutations are deterministic base rotations through </w:t>
      </w:r>
      <w:r>
        <w:rPr>
          <w:rFonts w:ascii="Courier New" w:hAnsi="Courier New"/>
          <w:color w:val="24292F"/>
          <w:sz w:val="19"/>
        </w:rPr>
        <w:t>a/c/g/t</w:t>
      </w:r>
      <w:r>
        <w:t>, not a probabilistic substitution model.</w:t>
      </w:r>
    </w:p>
    <w:p>
      <w:pPr>
        <w:pStyle w:val="ListBullet"/>
      </w:pPr>
      <w:r>
        <w:t xml:space="preserve">FASTA records are written with deterministic IDs such as </w:t>
      </w:r>
      <w:r>
        <w:rPr>
          <w:rFonts w:ascii="Courier New" w:hAnsi="Courier New"/>
          <w:color w:val="24292F"/>
          <w:sz w:val="19"/>
        </w:rPr>
        <w:t>SEQ0001</w:t>
      </w:r>
      <w:r>
        <w:t xml:space="preserve"> and </w:t>
      </w:r>
      <w:r>
        <w:rPr>
          <w:rFonts w:ascii="Courier New" w:hAnsi="Courier New"/>
          <w:color w:val="24292F"/>
          <w:sz w:val="19"/>
        </w:rPr>
        <w:t>LSEQ0001</w:t>
      </w:r>
      <w:r>
        <w:t>.</w:t>
      </w:r>
    </w:p>
    <w:p>
      <w:r>
        <w:t>Validation built into the generator:</w:t>
      </w:r>
    </w:p>
    <w:p>
      <w:pPr>
        <w:pStyle w:val="ListBullet"/>
      </w:pPr>
      <w:r>
        <w:t>Pairwise SNP distances are computed for all records.</w:t>
      </w:r>
    </w:p>
    <w:p>
      <w:pPr>
        <w:pStyle w:val="ListBullet"/>
      </w:pPr>
      <w:r>
        <w:t xml:space="preserve">Every within-cluster pair must be at or below threshold </w:t>
      </w:r>
      <w:r>
        <w:rPr>
          <w:rFonts w:ascii="Courier New" w:hAnsi="Courier New"/>
          <w:color w:val="24292F"/>
          <w:sz w:val="19"/>
        </w:rPr>
        <w:t>16</w:t>
      </w:r>
      <w:r>
        <w:t>.</w:t>
      </w:r>
    </w:p>
    <w:p>
      <w:pPr>
        <w:pStyle w:val="ListBullet"/>
      </w:pPr>
      <w:r>
        <w:t xml:space="preserve">Every cross-cluster pair must be above threshold </w:t>
      </w:r>
      <w:r>
        <w:rPr>
          <w:rFonts w:ascii="Courier New" w:hAnsi="Courier New"/>
          <w:color w:val="24292F"/>
          <w:sz w:val="19"/>
        </w:rPr>
        <w:t>16</w:t>
      </w:r>
      <w:r>
        <w:t>.</w:t>
      </w:r>
    </w:p>
    <w:p>
      <w:pPr>
        <w:pStyle w:val="ListBullet"/>
      </w:pPr>
      <w:r>
        <w:t>The visible-link count must exactly match the expected within-cluster pair count.</w:t>
      </w:r>
    </w:p>
    <w:p>
      <w:r>
        <w:t>Expected counts:</w:t>
      </w:r>
    </w:p>
    <w:p>
      <w:pPr>
        <w:pStyle w:val="ListBullet"/>
      </w:pPr>
      <w:r>
        <w:t xml:space="preserve">Average: 8 clusters x </w:t>
      </w:r>
      <w:r>
        <w:rPr>
          <w:rFonts w:ascii="Courier New" w:hAnsi="Courier New"/>
          <w:color w:val="24292F"/>
          <w:sz w:val="19"/>
        </w:rPr>
        <w:t>15 choose 2</w:t>
      </w:r>
      <w:r>
        <w:t xml:space="preserve"> = 840 within-cluster visible links.</w:t>
      </w:r>
    </w:p>
    <w:p>
      <w:pPr>
        <w:pStyle w:val="ListBullet"/>
      </w:pPr>
      <w:r>
        <w:t xml:space="preserve">Large: 15 clusters x </w:t>
      </w:r>
      <w:r>
        <w:rPr>
          <w:rFonts w:ascii="Courier New" w:hAnsi="Courier New"/>
          <w:color w:val="24292F"/>
          <w:sz w:val="19"/>
        </w:rPr>
        <w:t>20 choose 2</w:t>
      </w:r>
      <w:r>
        <w:t xml:space="preserve"> = 2,850 within-cluster visible links.</w:t>
      </w:r>
    </w:p>
    <w:p>
      <w:r>
        <w:t>How these are used:</w:t>
      </w:r>
    </w:p>
    <w:p>
      <w:pPr>
        <w:pStyle w:val="ListBullet"/>
      </w:pPr>
      <w:r>
        <w:t xml:space="preserve">Performance specs launch them as FASTA with SNP metric and threshold </w:t>
      </w:r>
      <w:r>
        <w:rPr>
          <w:rFonts w:ascii="Courier New" w:hAnsi="Courier New"/>
          <w:color w:val="24292F"/>
          <w:sz w:val="19"/>
        </w:rPr>
        <w:t>16</w:t>
      </w:r>
      <w:r>
        <w:t>.</w:t>
      </w:r>
    </w:p>
    <w:p>
      <w:pPr>
        <w:pStyle w:val="ListBullet"/>
      </w:pPr>
      <w:r>
        <w:t>They measure FASTA parsing, sequence storage, SNP distance computation, link generation, 2D readiness, Alignment readiness, and 2D interaction responsiveness.</w:t>
      </w:r>
    </w:p>
    <w:p>
      <w:r>
        <w:t>Bioinformatics assessment notes:</w:t>
      </w:r>
    </w:p>
    <w:p>
      <w:pPr>
        <w:pStyle w:val="ListBullet"/>
      </w:pPr>
      <w:r>
        <w:t>These are not realistic pathogen-evolution simulations.</w:t>
      </w:r>
    </w:p>
    <w:p>
      <w:pPr>
        <w:pStyle w:val="ListBullet"/>
      </w:pPr>
      <w:r>
        <w:t>They do not model a phylogeny, dated transmission tree, molecular clock, substitution model, transition/transversion bias, codon constraints, selection, recombination, indels, ambiguous bases, missing regions, sequencing error, lineage assignment, or sampling dates.</w:t>
      </w:r>
    </w:p>
    <w:p>
      <w:pPr>
        <w:pStyle w:val="ListBullet"/>
      </w:pPr>
      <w:r>
        <w:t>The current design intentionally creates clean, threshold-separated clusters so performance assertions can predict exact link counts.</w:t>
      </w:r>
    </w:p>
    <w:p>
      <w:pPr>
        <w:pStyle w:val="ListBullet"/>
      </w:pPr>
      <w:r>
        <w:t>If bioinformaticians want these to be more realistic, the next version should be generated from a dated tree or transmission tree with a real substitution model and controlled missingness/error.</w:t>
      </w:r>
    </w:p>
    <w:p>
      <w:pPr>
        <w:pStyle w:val="Heading2"/>
      </w:pPr>
      <w:r>
        <w:t>Generated Clustered Newick Fixtures</w:t>
      </w:r>
    </w:p>
    <w:p>
      <w:r>
        <w:t>Generated files: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Tier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Leaves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Clusters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Leaves per cluster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Initial threshold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Initial visible links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Re-query threshold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6F8FA"/>
          </w:tcPr>
          <w:p>
            <w:pPr>
              <w:spacing w:before="0" w:after="0"/>
            </w:pPr>
            <w:r>
              <w:rPr>
                <w:b/>
                <w:sz w:val="17"/>
              </w:rPr>
              <w:t>Re-query visible links</w:t>
            </w:r>
          </w:p>
        </w:tc>
      </w:tr>
      <w:tr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Average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average-newick-500.nwk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0.003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3,000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0.006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12,250</w:t>
            </w:r>
          </w:p>
        </w:tc>
      </w:tr>
      <w:tr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Large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large-newick-1000.nwk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1,000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0.003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6,000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Not asserted in large baseline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Not asserted</w:t>
            </w:r>
          </w:p>
        </w:tc>
      </w:tr>
      <w:tr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Stress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7"/>
              </w:rPr>
              <w:t>stress-newick-2000.nwk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2,000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0.003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12,000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0.006</w:t>
            </w:r>
          </w:p>
        </w:tc>
        <w:tc>
          <w:tcPr>
            <w:tcW w:type="dxa" w:w="1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49,000</w:t>
            </w:r>
          </w:p>
        </w:tc>
      </w:tr>
    </w:tbl>
    <w:p/>
    <w:p>
      <w:r>
        <w:t>Tree generation:</w:t>
      </w:r>
    </w:p>
    <w:p>
      <w:pPr>
        <w:pStyle w:val="ListBullet"/>
      </w:pPr>
      <w:r>
        <w:t>The generator creates a root containing multiple cluster subtrees.</w:t>
      </w:r>
    </w:p>
    <w:p>
      <w:pPr>
        <w:pStyle w:val="ListBullet"/>
      </w:pPr>
      <w:r>
        <w:t>Each cluster has 50 leaf nodes.</w:t>
      </w:r>
    </w:p>
    <w:p>
      <w:pPr>
        <w:pStyle w:val="ListBullet"/>
      </w:pPr>
      <w:r>
        <w:t xml:space="preserve">Leaves in the first half of each cluster get terminal branch length </w:t>
      </w:r>
      <w:r>
        <w:rPr>
          <w:rFonts w:ascii="Courier New" w:hAnsi="Courier New"/>
          <w:color w:val="24292F"/>
          <w:sz w:val="19"/>
        </w:rPr>
        <w:t>0.0010</w:t>
      </w:r>
      <w:r>
        <w:t>.</w:t>
      </w:r>
    </w:p>
    <w:p>
      <w:pPr>
        <w:pStyle w:val="ListBullet"/>
      </w:pPr>
      <w:r>
        <w:t xml:space="preserve">Leaves in the second half of each cluster get terminal branch length </w:t>
      </w:r>
      <w:r>
        <w:rPr>
          <w:rFonts w:ascii="Courier New" w:hAnsi="Courier New"/>
          <w:color w:val="24292F"/>
          <w:sz w:val="19"/>
        </w:rPr>
        <w:t>0.0025</w:t>
      </w:r>
      <w:r>
        <w:t>.</w:t>
      </w:r>
    </w:p>
    <w:p>
      <w:pPr>
        <w:pStyle w:val="ListBullet"/>
      </w:pPr>
      <w:r>
        <w:t xml:space="preserve">Each cluster subtree attaches to the root with branch length </w:t>
      </w:r>
      <w:r>
        <w:rPr>
          <w:rFonts w:ascii="Courier New" w:hAnsi="Courier New"/>
          <w:color w:val="24292F"/>
          <w:sz w:val="19"/>
        </w:rPr>
        <w:t>0.0500</w:t>
      </w:r>
      <w:r>
        <w:t>.</w:t>
      </w:r>
    </w:p>
    <w:p>
      <w:pPr>
        <w:pStyle w:val="ListBullet"/>
      </w:pPr>
      <w:r>
        <w:t xml:space="preserve">Leaf IDs are deterministic, such as </w:t>
      </w:r>
      <w:r>
        <w:rPr>
          <w:rFonts w:ascii="Courier New" w:hAnsi="Courier New"/>
          <w:color w:val="24292F"/>
          <w:sz w:val="19"/>
        </w:rPr>
        <w:t>NWK0001</w:t>
      </w:r>
      <w:r>
        <w:t xml:space="preserve">, </w:t>
      </w:r>
      <w:r>
        <w:rPr>
          <w:rFonts w:ascii="Courier New" w:hAnsi="Courier New"/>
          <w:color w:val="24292F"/>
          <w:sz w:val="19"/>
        </w:rPr>
        <w:t>LNWK0001</w:t>
      </w:r>
      <w:r>
        <w:t xml:space="preserve">, or </w:t>
      </w:r>
      <w:r>
        <w:rPr>
          <w:rFonts w:ascii="Courier New" w:hAnsi="Courier New"/>
          <w:color w:val="24292F"/>
          <w:sz w:val="19"/>
        </w:rPr>
        <w:t>SNWK0001</w:t>
      </w:r>
      <w:r>
        <w:t>.</w:t>
      </w:r>
    </w:p>
    <w:p>
      <w:r>
        <w:t>Why the expected link counts are deterministic:</w:t>
      </w:r>
    </w:p>
    <w:p>
      <w:pPr>
        <w:pStyle w:val="ListBullet"/>
      </w:pPr>
      <w:r>
        <w:t xml:space="preserve">At threshold </w:t>
      </w:r>
      <w:r>
        <w:rPr>
          <w:rFonts w:ascii="Courier New" w:hAnsi="Courier New"/>
          <w:color w:val="24292F"/>
          <w:sz w:val="19"/>
        </w:rPr>
        <w:t>0.003</w:t>
      </w:r>
      <w:r>
        <w:t>, only pairs among the first 25 leaves within each cluster are visible.</w:t>
      </w:r>
    </w:p>
    <w:p>
      <w:pPr>
        <w:pStyle w:val="ListBullet"/>
      </w:pPr>
      <w:r>
        <w:t xml:space="preserve">Each cluster therefore emits </w:t>
      </w:r>
      <w:r>
        <w:rPr>
          <w:rFonts w:ascii="Courier New" w:hAnsi="Courier New"/>
          <w:color w:val="24292F"/>
          <w:sz w:val="19"/>
        </w:rPr>
        <w:t>25 choose 2</w:t>
      </w:r>
      <w:r>
        <w:t xml:space="preserve"> = 300 visible links.</w:t>
      </w:r>
    </w:p>
    <w:p>
      <w:pPr>
        <w:pStyle w:val="ListBullet"/>
      </w:pPr>
      <w:r>
        <w:t>Average: 10 clusters x 300 = 3,000 visible links.</w:t>
      </w:r>
    </w:p>
    <w:p>
      <w:pPr>
        <w:pStyle w:val="ListBullet"/>
      </w:pPr>
      <w:r>
        <w:t>Large: 20 clusters x 300 = 6,000 visible links.</w:t>
      </w:r>
    </w:p>
    <w:p>
      <w:pPr>
        <w:pStyle w:val="ListBullet"/>
      </w:pPr>
      <w:r>
        <w:t>Stress: 40 clusters x 300 = 12,000 visible links.</w:t>
      </w:r>
    </w:p>
    <w:p>
      <w:pPr>
        <w:pStyle w:val="ListBullet"/>
      </w:pPr>
      <w:r>
        <w:t xml:space="preserve">At threshold </w:t>
      </w:r>
      <w:r>
        <w:rPr>
          <w:rFonts w:ascii="Courier New" w:hAnsi="Courier New"/>
          <w:color w:val="24292F"/>
          <w:sz w:val="19"/>
        </w:rPr>
        <w:t>0.006</w:t>
      </w:r>
      <w:r>
        <w:t xml:space="preserve">, all pairs within a 50-leaf cluster are visible because the largest within-cluster pair distance is </w:t>
      </w:r>
      <w:r>
        <w:rPr>
          <w:rFonts w:ascii="Courier New" w:hAnsi="Courier New"/>
          <w:color w:val="24292F"/>
          <w:sz w:val="19"/>
        </w:rPr>
        <w:t>0.0025 + 0.0025 = 0.005</w:t>
      </w:r>
      <w:r>
        <w:t>.</w:t>
      </w:r>
    </w:p>
    <w:p>
      <w:pPr>
        <w:pStyle w:val="ListBullet"/>
      </w:pPr>
      <w:r>
        <w:t xml:space="preserve">Average re-query: 10 clusters x </w:t>
      </w:r>
      <w:r>
        <w:rPr>
          <w:rFonts w:ascii="Courier New" w:hAnsi="Courier New"/>
          <w:color w:val="24292F"/>
          <w:sz w:val="19"/>
        </w:rPr>
        <w:t>50 choose 2</w:t>
      </w:r>
      <w:r>
        <w:t xml:space="preserve"> = 12,250 visible links.</w:t>
      </w:r>
    </w:p>
    <w:p>
      <w:pPr>
        <w:pStyle w:val="ListBullet"/>
      </w:pPr>
      <w:r>
        <w:t xml:space="preserve">Stress re-query: 40 clusters x </w:t>
      </w:r>
      <w:r>
        <w:rPr>
          <w:rFonts w:ascii="Courier New" w:hAnsi="Courier New"/>
          <w:color w:val="24292F"/>
          <w:sz w:val="19"/>
        </w:rPr>
        <w:t>50 choose 2</w:t>
      </w:r>
      <w:r>
        <w:t xml:space="preserve"> = 49,000 visible links.</w:t>
      </w:r>
    </w:p>
    <w:p>
      <w:pPr>
        <w:pStyle w:val="ListBullet"/>
      </w:pPr>
      <w:r>
        <w:t xml:space="preserve">Cross-cluster pairs remain far above those thresholds because each cluster has a </w:t>
      </w:r>
      <w:r>
        <w:rPr>
          <w:rFonts w:ascii="Courier New" w:hAnsi="Courier New"/>
          <w:color w:val="24292F"/>
          <w:sz w:val="19"/>
        </w:rPr>
        <w:t>0.0500</w:t>
      </w:r>
      <w:r>
        <w:t xml:space="preserve"> branch to the root.</w:t>
      </w:r>
    </w:p>
    <w:p>
      <w:r>
        <w:t>How these are used:</w:t>
      </w:r>
    </w:p>
    <w:p>
      <w:pPr>
        <w:pStyle w:val="ListBullet"/>
      </w:pPr>
      <w:r>
        <w:t xml:space="preserve">Performance specs launch them as Newick with TN93/patristic threshold </w:t>
      </w:r>
      <w:r>
        <w:rPr>
          <w:rFonts w:ascii="Courier New" w:hAnsi="Courier New"/>
          <w:color w:val="24292F"/>
          <w:sz w:val="19"/>
        </w:rPr>
        <w:t>0.003</w:t>
      </w:r>
      <w:r>
        <w:t>.</w:t>
      </w:r>
    </w:p>
    <w:p>
      <w:pPr>
        <w:pStyle w:val="ListBullet"/>
      </w:pPr>
      <w:r>
        <w:t xml:space="preserve">The average and stress specs also change the threshold to </w:t>
      </w:r>
      <w:r>
        <w:rPr>
          <w:rFonts w:ascii="Courier New" w:hAnsi="Courier New"/>
          <w:color w:val="24292F"/>
          <w:sz w:val="19"/>
        </w:rPr>
        <w:t>0.006</w:t>
      </w:r>
      <w:r>
        <w:t xml:space="preserve"> to verify cached tree re-query behavior.</w:t>
      </w:r>
    </w:p>
    <w:p>
      <w:pPr>
        <w:pStyle w:val="ListBullet"/>
      </w:pPr>
      <w:r>
        <w:t>These are the main fixtures for measuring Newick parsing, patristic preprocessing, thresholded edge generation, and downstream 2D/Phylogenetic Tree readiness.</w:t>
      </w:r>
    </w:p>
    <w:p>
      <w:r>
        <w:t>Bioinformatics assessment notes:</w:t>
      </w:r>
    </w:p>
    <w:p>
      <w:pPr>
        <w:pStyle w:val="ListBullet"/>
      </w:pPr>
      <w:r>
        <w:t>These are artificial threshold workloads, not inferred phylogenies.</w:t>
      </w:r>
    </w:p>
    <w:p>
      <w:pPr>
        <w:pStyle w:val="ListBullet"/>
      </w:pPr>
      <w:r>
        <w:t>They do not model realistic tree imbalance, within-cluster topology, lineage structure, temporal sampling, polytomy resolution, branch-length uncertainty, or realistic branch-length distributions.</w:t>
      </w:r>
    </w:p>
    <w:p>
      <w:pPr>
        <w:pStyle w:val="ListBullet"/>
      </w:pPr>
      <w:r>
        <w:t>They intentionally create simple cluster boundaries and predictable patristic link counts.</w:t>
      </w:r>
    </w:p>
    <w:p>
      <w:pPr>
        <w:pStyle w:val="ListBullet"/>
      </w:pPr>
      <w:r>
        <w:t>Bioinformaticians should treat them as algorithmic stress tests for patristic edge generation.</w:t>
      </w:r>
    </w:p>
    <w:p>
      <w:pPr>
        <w:pStyle w:val="ListBullet"/>
      </w:pPr>
      <w:r>
        <w:t>A more realistic Newick fixture should include skewed topology, realistic branch-length ranges, zero or near-zero branches if common, and representative label formats.</w:t>
      </w:r>
    </w:p>
    <w:p>
      <w:pPr>
        <w:pStyle w:val="Heading2"/>
      </w:pPr>
      <w:r>
        <w:t>Performance Fixtures Not Generated by the Synthetic Generator</w:t>
      </w:r>
    </w:p>
    <w:p>
      <w:r>
        <w:t xml:space="preserve">Some committed performance fixtures are not produced by </w:t>
      </w:r>
      <w:r>
        <w:rPr>
          <w:rFonts w:ascii="Courier New" w:hAnsi="Courier New"/>
          <w:color w:val="24292F"/>
          <w:sz w:val="19"/>
        </w:rPr>
        <w:t>scripts/generate-performance-fixtures.js</w:t>
      </w:r>
      <w:r>
        <w:t xml:space="preserve"> and should be reviewed separately.</w:t>
      </w:r>
    </w:p>
    <w:p>
      <w:r>
        <w:rPr>
          <w:rFonts w:ascii="Courier New" w:hAnsi="Courier New"/>
          <w:color w:val="24292F"/>
          <w:sz w:val="19"/>
        </w:rPr>
        <w:t>problem_10k.csv</w:t>
      </w:r>
      <w:r>
        <w:t>:</w:t>
      </w:r>
    </w:p>
    <w:p>
      <w:pPr>
        <w:pStyle w:val="ListBullet"/>
      </w:pPr>
      <w:r>
        <w:t xml:space="preserve">Used by </w:t>
      </w:r>
      <w:r>
        <w:rPr>
          <w:rFonts w:ascii="Courier New" w:hAnsi="Courier New"/>
          <w:color w:val="24292F"/>
          <w:sz w:val="19"/>
        </w:rPr>
        <w:t>problem-10k-node-only.perf.cy.ts</w:t>
      </w:r>
      <w:r>
        <w:t>.</w:t>
      </w:r>
    </w:p>
    <w:p>
      <w:pPr>
        <w:pStyle w:val="ListBullet"/>
      </w:pPr>
      <w:r>
        <w:t>It is a 10,253-row node-only CSV with many metadata columns and no links.</w:t>
      </w:r>
    </w:p>
    <w:p>
      <w:pPr>
        <w:pStyle w:val="ListBullet"/>
      </w:pPr>
      <w:r>
        <w:t xml:space="preserve">It is documented in </w:t>
      </w:r>
      <w:r>
        <w:rPr>
          <w:rFonts w:ascii="Courier New" w:hAnsi="Courier New"/>
          <w:color w:val="24292F"/>
          <w:sz w:val="19"/>
        </w:rPr>
        <w:t>docs/performance/problem-10k-node-only-performance.md</w:t>
      </w:r>
      <w:r>
        <w:t>.</w:t>
      </w:r>
    </w:p>
    <w:p>
      <w:pPr>
        <w:pStyle w:val="ListBullet"/>
      </w:pPr>
      <w:r>
        <w:t>It is not a sequence or phylogenetic simulation.</w:t>
      </w:r>
    </w:p>
    <w:p>
      <w:pPr>
        <w:pStyle w:val="ListBullet"/>
      </w:pPr>
      <w:r>
        <w:t>It is used to test node-only ingestion, metadata-heavy table state, no-link 2D rendering, and grouping behavior.</w:t>
      </w:r>
    </w:p>
    <w:p>
      <w:r>
        <w:rPr>
          <w:rFonts w:ascii="Courier New" w:hAnsi="Courier New"/>
          <w:color w:val="24292F"/>
          <w:sz w:val="19"/>
        </w:rPr>
        <w:t>stress-tree.nwk</w:t>
      </w:r>
      <w:r>
        <w:t>:</w:t>
      </w:r>
    </w:p>
    <w:p>
      <w:pPr>
        <w:pStyle w:val="ListBullet"/>
      </w:pPr>
      <w:r>
        <w:t xml:space="preserve">Committed under </w:t>
      </w:r>
      <w:r>
        <w:rPr>
          <w:rFonts w:ascii="Courier New" w:hAnsi="Courier New"/>
          <w:color w:val="24292F"/>
          <w:sz w:val="19"/>
        </w:rPr>
        <w:t>cypress/fixtures/performance/</w:t>
      </w:r>
      <w:r>
        <w:t>.</w:t>
      </w:r>
    </w:p>
    <w:p>
      <w:pPr>
        <w:pStyle w:val="ListBullet"/>
      </w:pPr>
      <w:r>
        <w:t xml:space="preserve">It is not generated by </w:t>
      </w:r>
      <w:r>
        <w:rPr>
          <w:rFonts w:ascii="Courier New" w:hAnsi="Courier New"/>
          <w:color w:val="24292F"/>
          <w:sz w:val="19"/>
        </w:rPr>
        <w:t>scripts/generate-performance-fixtures.js</w:t>
      </w:r>
      <w:r>
        <w:t>.</w:t>
      </w:r>
    </w:p>
    <w:p>
      <w:pPr>
        <w:pStyle w:val="ListBullet"/>
      </w:pPr>
      <w:r>
        <w:t>It appears to be a real or real-like large Newick tree with named samples and many small branch lengths.</w:t>
      </w:r>
    </w:p>
    <w:p>
      <w:pPr>
        <w:pStyle w:val="ListBullet"/>
      </w:pPr>
      <w:r>
        <w:t>It should not be described as one of the deterministic synthetic generated fixtures unless a provenance note is added.</w:t>
      </w:r>
    </w:p>
    <w:p>
      <w:r>
        <w:rPr>
          <w:rFonts w:ascii="Courier New" w:hAnsi="Courier New"/>
          <w:color w:val="24292F"/>
          <w:sz w:val="19"/>
        </w:rPr>
        <w:t>real-samples.example.json</w:t>
      </w:r>
      <w:r>
        <w:t>:</w:t>
      </w:r>
    </w:p>
    <w:p>
      <w:pPr>
        <w:pStyle w:val="ListBullet"/>
      </w:pPr>
      <w:r>
        <w:t>This is a configuration template for opt-in real sample scenarios.</w:t>
      </w:r>
    </w:p>
    <w:p>
      <w:pPr>
        <w:pStyle w:val="ListBullet"/>
      </w:pPr>
      <w:r>
        <w:t>Real samples are intended to calibrate generated fixtures and validate real file shapes.</w:t>
      </w:r>
    </w:p>
    <w:p>
      <w:pPr>
        <w:pStyle w:val="ListBullet"/>
      </w:pPr>
      <w:r>
        <w:t>They are not part of the deterministic synthetic baseline.</w:t>
      </w:r>
    </w:p>
    <w:p>
      <w:pPr>
        <w:pStyle w:val="Heading2"/>
      </w:pPr>
      <w:r>
        <w:t>What Reviewers Should Assess</w:t>
      </w:r>
    </w:p>
    <w:p>
      <w:r>
        <w:t>Bioinformaticians reviewing these fixtures should focus on whether the synthetic shapes exercise realistic performance risks, not whether they are biologically complete.</w:t>
      </w:r>
    </w:p>
    <w:p>
      <w:r>
        <w:t>Useful review questions:</w:t>
      </w:r>
    </w:p>
    <w:p>
      <w:pPr>
        <w:pStyle w:val="ListBullet"/>
      </w:pPr>
      <w:r>
        <w:t>Are the average and large sequence counts realistic for current MicrobeTrace users?</w:t>
      </w:r>
    </w:p>
    <w:p>
      <w:pPr>
        <w:pStyle w:val="ListBullet"/>
      </w:pPr>
      <w:r>
        <w:t>Are the selected SNP and patristic thresholds representative?</w:t>
      </w:r>
    </w:p>
    <w:p>
      <w:pPr>
        <w:pStyle w:val="ListBullet"/>
      </w:pPr>
      <w:r>
        <w:t>Are the expected visible-link densities too sparse or too dense compared with real workflows?</w:t>
      </w:r>
    </w:p>
    <w:p>
      <w:pPr>
        <w:pStyle w:val="ListBullet"/>
      </w:pPr>
      <w:r>
        <w:t>Do real sequence datasets often include ambiguous bases, gaps, masked regions, or missing sequence blocks that these fixtures omit?</w:t>
      </w:r>
    </w:p>
    <w:p>
      <w:pPr>
        <w:pStyle w:val="ListBullet"/>
      </w:pPr>
      <w:r>
        <w:t>Do real Newick trees include branch-length and topology features that the current generated trees miss?</w:t>
      </w:r>
    </w:p>
    <w:p>
      <w:pPr>
        <w:pStyle w:val="ListBullet"/>
      </w:pPr>
      <w:r>
        <w:t>Are graph degree distributions and metadata fields representative enough for 2D, Sankey, Aggregate, and filtering performance?</w:t>
      </w:r>
    </w:p>
    <w:p>
      <w:pPr>
        <w:pStyle w:val="ListBullet"/>
      </w:pPr>
      <w:r>
        <w:t>Should future generated fixtures model dates, locations, host/facility metadata, or lineage labels more realistically?</w:t>
      </w:r>
    </w:p>
    <w:p>
      <w:pPr>
        <w:pStyle w:val="Heading2"/>
      </w:pPr>
      <w:r>
        <w:t>Recommended Next Generation Step</w:t>
      </w:r>
    </w:p>
    <w:p>
      <w:r>
        <w:t>The current generated fixtures are adequate for deterministic performance baselines. They are not adequate as biological simulations.</w:t>
      </w:r>
    </w:p>
    <w:p>
      <w:r>
        <w:t>For a more realistic pathogen-evolution fixture, generate sequences from a dated phylogeny or transmission tree using an explicit substitution model such as HKY or GTR, then add controlled sampling dates, metadata, ambiguous bases, masked regions, and optional sequencing error. Keep a deterministic seed and record expected pairwise distance and threshold-link counts so Cypress can still make exact assertions.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429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429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429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9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/>
      <w:i/>
      <w:iCs/>
      <w:color w:val="57606A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