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Dataset Strategy for Bioinformatics Review</w:t>
      </w:r>
    </w:p>
    <w:p>
      <w:pPr>
        <w:pStyle w:val="Subtitle"/>
      </w:pPr>
      <w:r>
        <w:t>Why MicrobeTrace uses deterministic synthetic datasets alongside real sample validation datasets.</w:t>
      </w:r>
    </w:p>
    <w:p>
      <w:r>
        <w:rPr>
          <w:i/>
          <w:color w:val="57606A"/>
          <w:sz w:val="18"/>
        </w:rPr>
        <w:t>Source Markdown: docs/performance/performance-dataset-strategy-for-bioinformaticians.md</w:t>
      </w:r>
    </w:p>
    <w:p/>
    <w:p>
      <w:r>
        <w:t>This note explains how MicrobeTrace performance testing uses synthetic and real datasets, why both are needed, and what information we need from bioinformaticians to keep the tests representative of real work.</w:t>
      </w:r>
    </w:p>
    <w:p>
      <w:r>
        <w:t xml:space="preserve">For the exact generation recipes behind the committed synthetic graph, FASTA, and Newick performance fixtures, see </w:t>
      </w:r>
      <w:r>
        <w:rPr>
          <w:rFonts w:ascii="Courier New" w:hAnsi="Courier New"/>
          <w:color w:val="24292F"/>
          <w:sz w:val="19"/>
        </w:rPr>
        <w:t>synthetic-performance-dataset-generation.md</w:t>
      </w:r>
      <w:r>
        <w:t>.</w:t>
      </w:r>
    </w:p>
    <w:p>
      <w:pPr>
        <w:pStyle w:val="Heading2"/>
      </w:pPr>
      <w:r>
        <w:t>Short Summary</w:t>
      </w:r>
    </w:p>
    <w:p>
      <w:r>
        <w:t>Synthetic datasets are our controlled measuring stick. They are generated the same way every time, so they are best for repeatable performance baselines, before/after comparisons, and finding regressions.</w:t>
      </w:r>
    </w:p>
    <w:p>
      <w:r>
        <w:t>Real datasets are our calibration layer. They show whether the synthetic datasets look enough like actual user data and whether real metadata, file shapes, and edge cases still behave correctly.</w:t>
      </w:r>
    </w:p>
    <w:p>
      <w:r>
        <w:t>We should not replace synthetic performance fixtures with real files. Instead, we should use real datasets to decide what the synthetic fixtures should model.</w:t>
      </w:r>
    </w:p>
    <w:p>
      <w:pPr>
        <w:pStyle w:val="Heading2"/>
      </w:pPr>
      <w:r>
        <w:t>What Each Dataset Type Proves</w:t>
      </w:r>
    </w:p>
    <w:p>
      <w:r>
        <w:t>Synthetic graph fixtures prove baseline graph loading and 2D rendering behavior for known node and edge counts. They help us track CSV parsing, graph merge, Cytoscape creation, layout, and interaction responsiveness.</w:t>
      </w:r>
    </w:p>
    <w:p>
      <w:r>
        <w:t>Synthetic FASTA fixtures prove sequence parsing, sequence-derived distance/link creation, Alignment readiness, and downstream 2D rendering. These fixtures should include intentional clusters so the expected link density is predictable instead of accidental.</w:t>
      </w:r>
    </w:p>
    <w:p>
      <w:r>
        <w:t>Synthetic Newick fixtures prove tree parsing, patristic preprocessing, thresholded edge generation, cached threshold re-query behavior, and downstream rendering. These are the main fixtures for measuring patristic algorithm improvements.</w:t>
      </w:r>
    </w:p>
    <w:p>
      <w:r>
        <w:t>Real sample datasets prove that representative user data still works with realistic metadata, file formatting, missing values, distance distributions, and multi-file workflows. They are especially valuable for catching cases that deterministic generated data may miss.</w:t>
      </w:r>
    </w:p>
    <w:p>
      <w:r>
        <w:t>Stress fixtures probe upper-limit behavior. They are not normal user expectations or default CI budgets. They are used to find failure modes, memory pressure, and interaction responsiveness risks.</w:t>
      </w:r>
    </w:p>
    <w:p>
      <w:pPr>
        <w:pStyle w:val="Heading2"/>
      </w:pPr>
      <w:r>
        <w:t>What "Representative" Should Mean</w:t>
      </w:r>
    </w:p>
    <w:p>
      <w:r>
        <w:t>Synthetic datasets do not need to copy real datasets exactly. They need to match the important shape characteristics that drive performance.</w:t>
      </w:r>
    </w:p>
    <w:p>
      <w:r>
        <w:t>For graph datasets, representative shape includes:</w:t>
      </w:r>
    </w:p>
    <w:p>
      <w:pPr>
        <w:pStyle w:val="ListBullet"/>
      </w:pPr>
      <w:r>
        <w:t>node count</w:t>
      </w:r>
    </w:p>
    <w:p>
      <w:pPr>
        <w:pStyle w:val="ListBullet"/>
      </w:pPr>
      <w:r>
        <w:t>edge count</w:t>
      </w:r>
    </w:p>
    <w:p>
      <w:pPr>
        <w:pStyle w:val="ListBullet"/>
      </w:pPr>
      <w:r>
        <w:t>visible edge count at common thresholds</w:t>
      </w:r>
    </w:p>
    <w:p>
      <w:pPr>
        <w:pStyle w:val="ListBullet"/>
      </w:pPr>
      <w:r>
        <w:t>degree distribution</w:t>
      </w:r>
    </w:p>
    <w:p>
      <w:pPr>
        <w:pStyle w:val="ListBullet"/>
      </w:pPr>
      <w:r>
        <w:t>number of isolated nodes</w:t>
      </w:r>
    </w:p>
    <w:p>
      <w:pPr>
        <w:pStyle w:val="ListBullet"/>
      </w:pPr>
      <w:r>
        <w:t>number and size of connected components</w:t>
      </w:r>
    </w:p>
    <w:p>
      <w:pPr>
        <w:pStyle w:val="ListBullet"/>
      </w:pPr>
      <w:r>
        <w:t>metadata column count</w:t>
      </w:r>
    </w:p>
    <w:p>
      <w:pPr>
        <w:pStyle w:val="ListBullet"/>
      </w:pPr>
      <w:r>
        <w:t>common grouping fields and category counts</w:t>
      </w:r>
    </w:p>
    <w:p>
      <w:r>
        <w:t>For FASTA or aligned sequence datasets, representative shape includes:</w:t>
      </w:r>
    </w:p>
    <w:p>
      <w:pPr>
        <w:pStyle w:val="ListBullet"/>
      </w:pPr>
      <w:r>
        <w:t>sequence count</w:t>
      </w:r>
    </w:p>
    <w:p>
      <w:pPr>
        <w:pStyle w:val="ListBullet"/>
      </w:pPr>
      <w:r>
        <w:t>sequence length</w:t>
      </w:r>
    </w:p>
    <w:p>
      <w:pPr>
        <w:pStyle w:val="ListBullet"/>
      </w:pPr>
      <w:r>
        <w:t>number of clusters or transmission groups</w:t>
      </w:r>
    </w:p>
    <w:p>
      <w:pPr>
        <w:pStyle w:val="ListBullet"/>
      </w:pPr>
      <w:r>
        <w:t>within-cluster SNP distance distribution</w:t>
      </w:r>
    </w:p>
    <w:p>
      <w:pPr>
        <w:pStyle w:val="ListBullet"/>
      </w:pPr>
      <w:r>
        <w:t>between-cluster SNP distance distribution</w:t>
      </w:r>
    </w:p>
    <w:p>
      <w:pPr>
        <w:pStyle w:val="ListBullet"/>
      </w:pPr>
      <w:r>
        <w:t>ambiguous bases or missing sequence regions</w:t>
      </w:r>
    </w:p>
    <w:p>
      <w:pPr>
        <w:pStyle w:val="ListBullet"/>
      </w:pPr>
      <w:r>
        <w:t>expected visible links at standard thresholds</w:t>
      </w:r>
    </w:p>
    <w:p>
      <w:r>
        <w:t>For Newick datasets, representative shape includes:</w:t>
      </w:r>
    </w:p>
    <w:p>
      <w:pPr>
        <w:pStyle w:val="ListBullet"/>
      </w:pPr>
      <w:r>
        <w:t>leaf count</w:t>
      </w:r>
    </w:p>
    <w:p>
      <w:pPr>
        <w:pStyle w:val="ListBullet"/>
      </w:pPr>
      <w:r>
        <w:t>tree balance versus highly skewed tree shape</w:t>
      </w:r>
    </w:p>
    <w:p>
      <w:pPr>
        <w:pStyle w:val="ListBullet"/>
      </w:pPr>
      <w:r>
        <w:t>branch-length range</w:t>
      </w:r>
    </w:p>
    <w:p>
      <w:pPr>
        <w:pStyle w:val="ListBullet"/>
      </w:pPr>
      <w:r>
        <w:t>branch-length precision</w:t>
      </w:r>
    </w:p>
    <w:p>
      <w:pPr>
        <w:pStyle w:val="ListBullet"/>
      </w:pPr>
      <w:r>
        <w:t>number and size of clusters at common patristic thresholds</w:t>
      </w:r>
    </w:p>
    <w:p>
      <w:pPr>
        <w:pStyle w:val="ListBullet"/>
      </w:pPr>
      <w:r>
        <w:t>expected visible links at those thresholds</w:t>
      </w:r>
    </w:p>
    <w:p>
      <w:pPr>
        <w:pStyle w:val="ListBullet"/>
      </w:pPr>
      <w:r>
        <w:t>edge cases such as duplicate labels, zero-length branches, very small branch lengths, and invalid negative branch lengths</w:t>
      </w:r>
    </w:p>
    <w:p>
      <w:r>
        <w:t>For interaction performance, representative shape includes:</w:t>
      </w:r>
    </w:p>
    <w:p>
      <w:pPr>
        <w:pStyle w:val="ListBullet"/>
      </w:pPr>
      <w:r>
        <w:t>visible node count</w:t>
      </w:r>
    </w:p>
    <w:p>
      <w:pPr>
        <w:pStyle w:val="ListBullet"/>
      </w:pPr>
      <w:r>
        <w:t>visible edge count</w:t>
      </w:r>
    </w:p>
    <w:p>
      <w:pPr>
        <w:pStyle w:val="ListBullet"/>
      </w:pPr>
      <w:r>
        <w:t>selected node degree</w:t>
      </w:r>
    </w:p>
    <w:p>
      <w:pPr>
        <w:pStyle w:val="ListBullet"/>
      </w:pPr>
      <w:r>
        <w:t>group-by category count</w:t>
      </w:r>
    </w:p>
    <w:p>
      <w:pPr>
        <w:pStyle w:val="ListBullet"/>
      </w:pPr>
      <w:r>
        <w:t>number of nodes affected by threshold changes</w:t>
      </w:r>
    </w:p>
    <w:p>
      <w:pPr>
        <w:pStyle w:val="ListBullet"/>
      </w:pPr>
      <w:r>
        <w:t>whether a threshold change adds/removes a small or large number of visible links</w:t>
      </w:r>
    </w:p>
    <w:p>
      <w:pPr>
        <w:pStyle w:val="Heading2"/>
      </w:pPr>
      <w:r>
        <w:t>How Bioinformaticians Can Help</w:t>
      </w:r>
    </w:p>
    <w:p>
      <w:r>
        <w:t>Bioinformaticians can help most by reviewing whether our generated fixtures behave like realistic epidemiology, sequence, and phylogenetic datasets.</w:t>
      </w:r>
    </w:p>
    <w:p>
      <w:r>
        <w:t>Useful input includes:</w:t>
      </w:r>
    </w:p>
    <w:p>
      <w:pPr>
        <w:pStyle w:val="ListBullet"/>
      </w:pPr>
      <w:r>
        <w:t>examples of typical average, large, and unusually large dataset sizes</w:t>
      </w:r>
    </w:p>
    <w:p>
      <w:pPr>
        <w:pStyle w:val="ListBullet"/>
      </w:pPr>
      <w:r>
        <w:t>common SNP or patristic thresholds used in practice</w:t>
      </w:r>
    </w:p>
    <w:p>
      <w:pPr>
        <w:pStyle w:val="ListBullet"/>
      </w:pPr>
      <w:r>
        <w:t>expected number of clusters at those thresholds</w:t>
      </w:r>
    </w:p>
    <w:p>
      <w:pPr>
        <w:pStyle w:val="ListBullet"/>
      </w:pPr>
      <w:r>
        <w:t>expected number of links within and across clusters</w:t>
      </w:r>
    </w:p>
    <w:p>
      <w:pPr>
        <w:pStyle w:val="ListBullet"/>
      </w:pPr>
      <w:r>
        <w:t>whether branch lengths around zero are common and how they should be displayed or validated</w:t>
      </w:r>
    </w:p>
    <w:p>
      <w:pPr>
        <w:pStyle w:val="ListBullet"/>
      </w:pPr>
      <w:r>
        <w:t>examples of real metadata columns used for grouping, filtering, coloring, and Sankey/Aggregate views</w:t>
      </w:r>
    </w:p>
    <w:p>
      <w:pPr>
        <w:pStyle w:val="ListBullet"/>
      </w:pPr>
      <w:r>
        <w:t>anonymized or shareable files that exercise real-world quirks</w:t>
      </w:r>
    </w:p>
    <w:p>
      <w:r>
        <w:t>If real data cannot be committed to the repo, a shape summary is still useful. For example:</w:t>
      </w:r>
    </w:p>
    <w:p>
      <w:pPr>
        <w:spacing w:before="80" w:after="160"/>
        <w:ind w:left="288" w:right="288"/>
      </w:pPr>
      <w:r>
        <w:rPr>
          <w:rFonts w:ascii="Courier New" w:hAnsi="Courier New"/>
          <w:sz w:val="17"/>
        </w:rPr>
        <w:t>Dataset type: Newick</w:t>
        <w:br/>
      </w:r>
      <w:r>
        <w:rPr>
          <w:rFonts w:ascii="Courier New" w:hAnsi="Courier New"/>
          <w:sz w:val="17"/>
        </w:rPr>
        <w:t>Leaves: 1,850</w:t>
        <w:br/>
      </w:r>
      <w:r>
        <w:rPr>
          <w:rFonts w:ascii="Courier New" w:hAnsi="Courier New"/>
          <w:sz w:val="17"/>
        </w:rPr>
        <w:t>Typical threshold: 0.003</w:t>
        <w:br/>
      </w:r>
      <w:r>
        <w:rPr>
          <w:rFonts w:ascii="Courier New" w:hAnsi="Courier New"/>
          <w:sz w:val="17"/>
        </w:rPr>
        <w:t>Visible links at threshold: about 11,000</w:t>
        <w:br/>
      </w:r>
      <w:r>
        <w:rPr>
          <w:rFonts w:ascii="Courier New" w:hAnsi="Courier New"/>
          <w:sz w:val="17"/>
        </w:rPr>
        <w:t>Clusters: about 35</w:t>
        <w:br/>
      </w:r>
      <w:r>
        <w:rPr>
          <w:rFonts w:ascii="Courier New" w:hAnsi="Courier New"/>
          <w:sz w:val="17"/>
        </w:rPr>
        <w:t>Largest cluster: about 90 leaves</w:t>
        <w:br/>
      </w:r>
      <w:r>
        <w:rPr>
          <w:rFonts w:ascii="Courier New" w:hAnsi="Courier New"/>
          <w:sz w:val="17"/>
        </w:rPr>
        <w:t>Branch lengths: 0 to 0.018, many values below 0.00001</w:t>
        <w:br/>
      </w:r>
      <w:r>
        <w:rPr>
          <w:rFonts w:ascii="Courier New" w:hAnsi="Courier New"/>
          <w:sz w:val="17"/>
        </w:rPr>
        <w:t>Known quirks: repeated sample prefixes, occasional zero-length branches</w:t>
      </w:r>
    </w:p>
    <w:p>
      <w:r>
        <w:t>That kind of summary lets us generate a deterministic synthetic fixture with similar performance characteristics without storing sensitive data.</w:t>
      </w:r>
    </w:p>
    <w:p>
      <w:pPr>
        <w:pStyle w:val="Heading2"/>
      </w:pPr>
      <w:r>
        <w:t>Recommended Testing Model</w:t>
      </w:r>
    </w:p>
    <w:p>
      <w:r>
        <w:t>Use deterministic synthetic fixtures as the default baseline suite:</w:t>
      </w:r>
    </w:p>
    <w:p>
      <w:pPr>
        <w:pStyle w:val="ListBullet"/>
      </w:pPr>
      <w:r>
        <w:t>average tier for daily-use expectations</w:t>
      </w:r>
    </w:p>
    <w:p>
      <w:pPr>
        <w:pStyle w:val="ListBullet"/>
      </w:pPr>
      <w:r>
        <w:t>large tier for upper-normal workflows</w:t>
      </w:r>
    </w:p>
    <w:p>
      <w:pPr>
        <w:pStyle w:val="ListBullet"/>
      </w:pPr>
      <w:r>
        <w:t>stress tier for manual upper-limit testing</w:t>
      </w:r>
    </w:p>
    <w:p>
      <w:r>
        <w:t>Use real datasets as opt-in validation scenarios:</w:t>
      </w:r>
    </w:p>
    <w:p>
      <w:pPr>
        <w:pStyle w:val="ListBullet"/>
      </w:pPr>
      <w:r>
        <w:t>to confirm the generated fixtures are realistic</w:t>
      </w:r>
    </w:p>
    <w:p>
      <w:pPr>
        <w:pStyle w:val="ListBullet"/>
      </w:pPr>
      <w:r>
        <w:t>to catch file-format and metadata issues</w:t>
      </w:r>
    </w:p>
    <w:p>
      <w:pPr>
        <w:pStyle w:val="ListBullet"/>
      </w:pPr>
      <w:r>
        <w:t>to verify important real workflows after performance refactors</w:t>
      </w:r>
    </w:p>
    <w:p>
      <w:pPr>
        <w:pStyle w:val="ListBullet"/>
      </w:pPr>
      <w:r>
        <w:t>to recalibrate what average, large, and stress should mean</w:t>
      </w:r>
    </w:p>
    <w:p>
      <w:r>
        <w:t>Use before/after comparisons only when the datasets exercise the changed code path. For example, a Newick/patristic refactor should be judged primarily with Newick fixtures, while a CSV edge-list optimization should be judged with explicit link-list fixtures.</w:t>
      </w:r>
    </w:p>
    <w:p>
      <w:pPr>
        <w:pStyle w:val="Heading2"/>
      </w:pPr>
      <w:r>
        <w:t>How to Interpret Future Results</w:t>
      </w:r>
    </w:p>
    <w:p>
      <w:r>
        <w:t>When a generated fixture improves more than a real sample, first check whether both datasets exercise the same code path. A refactor can be very effective for one data type while having a smaller effect on another because the expensive work is different.</w:t>
      </w:r>
    </w:p>
    <w:p>
      <w:r>
        <w:t>When an uploaded edge-list workflow keeps the same total link count before and after a refactor, that is usually correct. The app is preserving user-provided edges. Performance improvements on that path normally come from shared loading, visibility, rendering, or interaction improvements rather than changing the graph shape.</w:t>
      </w:r>
    </w:p>
    <w:p>
      <w:r>
        <w:t>When synthetic and real datasets disagree, that does not automatically mean one is wrong. It means the workload is different. The next step is to identify which data shape feature explains the difference, then decide whether the synthetic fixture should be adjusted.</w:t>
      </w:r>
    </w:p>
    <w:p>
      <w:pPr>
        <w:pStyle w:val="Heading2"/>
      </w:pPr>
      <w:r>
        <w:t>Practical Rule</w:t>
      </w:r>
    </w:p>
    <w:p>
      <w:r>
        <w:t>For performance decisions, use synthetic fixtures to measure controlled changes and use real datasets to keep those measurements honest.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429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292F"/>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429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242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rial" w:hAnsi="Arial"/>
      <w:i/>
      <w:iCs/>
      <w:color w:val="57606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