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B7D64">
      <w:pPr>
        <w:rPr>
          <w:rFonts w:ascii="Times New Roman" w:hAnsi="Times New Roman" w:cs="Times New Roman"/>
          <w:color w:val="000033"/>
          <w:szCs w:val="17"/>
        </w:rPr>
      </w:pPr>
      <w:r>
        <w:rPr>
          <w:rFonts w:ascii="Times New Roman" w:hAnsi="Times New Roman" w:cs="Times New Roman"/>
          <w:color w:val="000033"/>
          <w:szCs w:val="17"/>
        </w:rPr>
        <w:t>Reviewer #2: The manuscript develops two-period analytical models to study how carbon quota pledge financing affects production, remanufacturing, and carbon abatement decisions under capital constraints. It compares two abatement pathways, end-of-pipe carbon emission purification and cumulative R&amp;D investment, within a cap-and-trade framework. The results suggest that carbon quota pledge financing can relax financial constraints and increase profits and abatement efforts, although it may also increase total emissions, while R&amp;D investment exhibits a cumulative abatement advantage in the second period. The manuscript is well written and organized and the argument is original and aligned with the scope of the journal but the presentation is excessively complex, with a proliferation of cases, parameters, and propositions that obscure the main economic insights. Substantial revisions are needed to improve clarity, rigor of interpretation, and alignment between analytical results and managerial conclusions. My suggestions are provided below.</w:t>
      </w:r>
      <w:r>
        <w:rPr>
          <w:rFonts w:ascii="Times New Roman" w:hAnsi="Times New Roman" w:cs="Times New Roman"/>
          <w:color w:val="000033"/>
          <w:szCs w:val="17"/>
        </w:rPr>
        <w:br w:type="textWrapping"/>
      </w:r>
      <w:r>
        <w:rPr>
          <w:rFonts w:ascii="Times New Roman" w:hAnsi="Times New Roman" w:cs="Times New Roman"/>
          <w:color w:val="000033"/>
          <w:szCs w:val="17"/>
        </w:rPr>
        <w:t>1. In the introduction, the authors should explicitly state what is new relative to existing work on carbon quota pledge financing and two-period remanufacturing models.</w:t>
      </w:r>
    </w:p>
    <w:p w14:paraId="4AD2A395">
      <w:pPr>
        <w:rPr>
          <w:rFonts w:ascii="Times New Roman" w:hAnsi="Times New Roman" w:cs="Times New Roman"/>
          <w:color w:val="000033"/>
          <w:szCs w:val="17"/>
        </w:rPr>
      </w:pPr>
      <w:r>
        <w:rPr>
          <w:rFonts w:hint="eastAsia" w:ascii="宋体" w:hAnsi="宋体" w:eastAsia="宋体" w:cs="Times New Roman"/>
          <w:color w:val="000033"/>
          <w:szCs w:val="17"/>
        </w:rPr>
        <w:t>在引言部分，作者应该明确说明，相对于碳配额质押融资和两阶段再制造模型的现有工作哪些是新的</w:t>
      </w:r>
      <w:r>
        <w:rPr>
          <w:rFonts w:ascii="Times New Roman" w:hAnsi="Times New Roman" w:cs="Times New Roman"/>
          <w:color w:val="000033"/>
          <w:szCs w:val="17"/>
        </w:rPr>
        <w:br w:type="textWrapping"/>
      </w:r>
      <w:r>
        <w:rPr>
          <w:rFonts w:ascii="Times New Roman" w:hAnsi="Times New Roman" w:cs="Times New Roman"/>
          <w:color w:val="000033"/>
          <w:szCs w:val="17"/>
        </w:rPr>
        <w:t>2. The literature review could be better structured to distinguish between carbon abatement pathways, financing mechanisms, and dynamic multi-period decision models, since now reads with limited synthesis. What about concrete gaps that directly motivate each modeling choice made later in the paper?</w:t>
      </w:r>
    </w:p>
    <w:p w14:paraId="64A64922">
      <w:pPr>
        <w:rPr>
          <w:rFonts w:ascii="Times New Roman" w:hAnsi="Times New Roman" w:cs="Times New Roman"/>
          <w:color w:val="000033"/>
          <w:szCs w:val="17"/>
        </w:rPr>
      </w:pPr>
      <w:r>
        <w:rPr>
          <w:rFonts w:hint="eastAsia" w:ascii="宋体" w:hAnsi="宋体" w:eastAsia="宋体" w:cs="Times New Roman"/>
          <w:color w:val="000033"/>
          <w:szCs w:val="17"/>
        </w:rPr>
        <w:t>文献综述可以更好地组织以区分碳减排路径、融资机制和动态多周期决策模型，那么这些文献具体的差距（g</w:t>
      </w:r>
      <w:r>
        <w:rPr>
          <w:rFonts w:ascii="宋体" w:hAnsi="宋体" w:eastAsia="宋体" w:cs="Times New Roman"/>
          <w:color w:val="000033"/>
          <w:szCs w:val="17"/>
        </w:rPr>
        <w:t>ap</w:t>
      </w:r>
      <w:r>
        <w:rPr>
          <w:rFonts w:hint="eastAsia" w:ascii="宋体" w:hAnsi="宋体" w:eastAsia="宋体" w:cs="Times New Roman"/>
          <w:color w:val="000033"/>
          <w:szCs w:val="17"/>
        </w:rPr>
        <w:t>）又如何呢？这些差距直接激励了论文后面所做的每个建模选择.</w:t>
      </w:r>
      <w:r>
        <w:rPr>
          <w:rFonts w:ascii="宋体" w:hAnsi="宋体" w:eastAsia="宋体" w:cs="Times New Roman"/>
          <w:color w:val="000033"/>
          <w:szCs w:val="17"/>
        </w:rPr>
        <w:br w:type="textWrapping"/>
      </w:r>
      <w:r>
        <w:rPr>
          <w:rFonts w:ascii="Times New Roman" w:hAnsi="Times New Roman" w:cs="Times New Roman"/>
          <w:color w:val="000033"/>
          <w:szCs w:val="17"/>
        </w:rPr>
        <w:t>3. The notation and model formulation sections are very dense and difficult to follow, partly due to the large number of symbols and cases introduced simultaneously. The authors could add a brief explanation before each model, clarifying the economic meaning of the constraints and decision variables.</w:t>
      </w:r>
    </w:p>
    <w:p w14:paraId="75AF6351">
      <w:pPr>
        <w:rPr>
          <w:rFonts w:ascii="Times New Roman" w:hAnsi="Times New Roman" w:cs="Times New Roman"/>
          <w:color w:val="000033"/>
          <w:szCs w:val="17"/>
        </w:rPr>
      </w:pPr>
      <w:r>
        <w:rPr>
          <w:rFonts w:hint="eastAsia" w:ascii="宋体" w:hAnsi="宋体" w:eastAsia="宋体" w:cs="Times New Roman"/>
          <w:color w:val="000033"/>
          <w:szCs w:val="17"/>
        </w:rPr>
        <w:t>符号和模型制定部分非常密集，难以理解，部分原因是同时引入了大量的符号和情形。作者可以在每个模型之前添加一个简短的解释，澄清约束和决策变量的经济含义。</w:t>
      </w:r>
      <w:r>
        <w:rPr>
          <w:rFonts w:ascii="宋体" w:hAnsi="宋体" w:eastAsia="宋体" w:cs="Times New Roman"/>
          <w:color w:val="000033"/>
          <w:szCs w:val="17"/>
        </w:rPr>
        <w:br w:type="textWrapping"/>
      </w:r>
      <w:r>
        <w:rPr>
          <w:rFonts w:ascii="Times New Roman" w:hAnsi="Times New Roman" w:cs="Times New Roman"/>
          <w:color w:val="000033"/>
          <w:szCs w:val="17"/>
        </w:rPr>
        <w:t>4. The analytical results section contains many theorems and propositions whose economic interpretation is often minimal but could be improved by focusing on fewer key results and providing clearer intuition immediately after each main theorem.</w:t>
      </w:r>
    </w:p>
    <w:p w14:paraId="2B08E802">
      <w:pPr>
        <w:rPr>
          <w:rFonts w:ascii="Times New Roman" w:hAnsi="Times New Roman" w:cs="Times New Roman"/>
          <w:color w:val="000033"/>
          <w:szCs w:val="17"/>
        </w:rPr>
      </w:pPr>
      <w:r>
        <w:rPr>
          <w:rFonts w:hint="eastAsia" w:ascii="宋体" w:hAnsi="宋体" w:eastAsia="宋体" w:cs="Times New Roman"/>
          <w:color w:val="000033"/>
          <w:szCs w:val="17"/>
        </w:rPr>
        <w:t>分析结果部分包含许多定理和命题，它们的经济解释通常较小，但可以通过关注较少的关键结果和在每个主要定理之后立即提供更清晰的直觉来改进。</w:t>
      </w:r>
      <w:r>
        <w:rPr>
          <w:rFonts w:ascii="宋体" w:hAnsi="宋体" w:eastAsia="宋体" w:cs="Times New Roman"/>
          <w:color w:val="000033"/>
          <w:szCs w:val="17"/>
        </w:rPr>
        <w:br w:type="textWrapping"/>
      </w:r>
      <w:r>
        <w:rPr>
          <w:rFonts w:ascii="Times New Roman" w:hAnsi="Times New Roman" w:cs="Times New Roman"/>
          <w:color w:val="000033"/>
          <w:szCs w:val="17"/>
        </w:rPr>
        <w:t>5. The authors could integrate a patent-based prospective LCA by using patent data on low-carbon purification technologies and R&amp;D innovations to parameterize future trajectories of emission intensity and abatement efficiency in the model. This would allow the case study to move beyond static abatement coefficients and explicitly reflect how technological progress, inferred from patent trends and citations, alters life-cycle emissions over the two periods. Such an integration would strengthen the study by aligning the theoretical results with forward-looking environmental impacts that are directly relevant to firms' strategic decisions under carbon quota pledge financing. In this regard, the authors could briefly and qualitatively discuss the advantages arising from the integration with the framework of Spreafico, C. (2025). How can patent-based prospective life cycle assessment be used for eco-design?. Research in Engineering Design, 36(2), 5.</w:t>
      </w:r>
    </w:p>
    <w:p w14:paraId="4F508F39">
      <w:pPr>
        <w:rPr>
          <w:rFonts w:ascii="Times New Roman" w:hAnsi="Times New Roman" w:cs="Times New Roman"/>
          <w:color w:val="000033"/>
          <w:szCs w:val="17"/>
        </w:rPr>
      </w:pPr>
      <w:r>
        <w:rPr>
          <w:rFonts w:hint="eastAsia" w:ascii="宋体" w:hAnsi="宋体" w:eastAsia="宋体" w:cs="Times New Roman"/>
          <w:color w:val="000033"/>
          <w:szCs w:val="17"/>
        </w:rPr>
        <w:t>通过使用低碳净化技术和研发投资的专利数据，</w:t>
      </w:r>
      <w:r>
        <w:rPr>
          <w:rFonts w:hint="eastAsia" w:ascii="宋体" w:hAnsi="宋体" w:eastAsia="宋体" w:cs="Times New Roman"/>
          <w:color w:val="000033"/>
          <w:szCs w:val="17"/>
          <w:shd w:val="pct15" w:color="auto" w:fill="FFFFFF"/>
        </w:rPr>
        <w:t>将基于专利的前瞻性</w:t>
      </w:r>
      <w:r>
        <w:rPr>
          <w:rFonts w:ascii="宋体" w:hAnsi="宋体" w:eastAsia="宋体" w:cs="Times New Roman"/>
          <w:color w:val="000033"/>
          <w:szCs w:val="17"/>
          <w:shd w:val="pct15" w:color="auto" w:fill="FFFFFF"/>
        </w:rPr>
        <w:t>LCA整合到模型中</w:t>
      </w:r>
      <w:r>
        <w:rPr>
          <w:rFonts w:ascii="宋体" w:hAnsi="宋体" w:eastAsia="宋体" w:cs="Times New Roman"/>
          <w:color w:val="000033"/>
          <w:szCs w:val="17"/>
        </w:rPr>
        <w:t>，</w:t>
      </w:r>
      <w:r>
        <w:rPr>
          <w:rFonts w:hint="eastAsia" w:ascii="宋体" w:hAnsi="宋体" w:eastAsia="宋体" w:cs="Times New Roman"/>
          <w:color w:val="000033"/>
          <w:szCs w:val="17"/>
        </w:rPr>
        <w:t>在模型中参数化排放强度和减排效率的未来轨迹。这将使案例研究超越静态减排系数，并明确反映从专利趋势和引用推断的技术进步如何改变两个时期的生命周期排放量。将理论结果与碳配额质押融资下与企业战略决策直接相关的前瞻性环境影响相结合，这样的整合将加强研究。在这方面，作者可以简要和定性地讨论与</w:t>
      </w:r>
      <w:r>
        <w:rPr>
          <w:rFonts w:ascii="Times New Roman" w:hAnsi="Times New Roman" w:eastAsia="宋体" w:cs="Times New Roman"/>
          <w:color w:val="000033"/>
          <w:szCs w:val="17"/>
        </w:rPr>
        <w:t>sprafico.C</w:t>
      </w:r>
      <w:r>
        <w:rPr>
          <w:rFonts w:hint="eastAsia" w:ascii="宋体" w:hAnsi="宋体" w:eastAsia="宋体" w:cs="Times New Roman"/>
          <w:color w:val="000033"/>
          <w:szCs w:val="17"/>
        </w:rPr>
        <w:t>框架描述的整合所产生的优势.</w:t>
      </w:r>
      <w:r>
        <w:rPr>
          <w:rFonts w:ascii="Times New Roman" w:hAnsi="Times New Roman" w:cs="Times New Roman"/>
          <w:color w:val="000033"/>
          <w:szCs w:val="17"/>
        </w:rPr>
        <w:t xml:space="preserve"> How can patent-based prospective life cycle assessment be used for eco-design?. Research in Engineering Design, 36(2), 5.</w:t>
      </w:r>
    </w:p>
    <w:p w14:paraId="099EFF03">
      <w:pPr>
        <w:rPr>
          <w:rFonts w:ascii="Times New Roman" w:hAnsi="Times New Roman" w:cs="Times New Roman"/>
          <w:color w:val="000033"/>
          <w:szCs w:val="17"/>
        </w:rPr>
      </w:pPr>
      <w:r>
        <w:rPr>
          <w:rFonts w:ascii="宋体" w:hAnsi="宋体" w:eastAsia="宋体" w:cs="Times New Roman"/>
          <w:color w:val="000033"/>
          <w:szCs w:val="17"/>
        </w:rPr>
        <w:br w:type="textWrapping"/>
      </w:r>
      <w:r>
        <w:rPr>
          <w:rFonts w:ascii="Times New Roman" w:hAnsi="Times New Roman" w:cs="Times New Roman"/>
          <w:color w:val="000033"/>
          <w:szCs w:val="17"/>
        </w:rPr>
        <w:t>6. The claim that carbon quota pledge financing may increase total emissions deserves more careful discussion. The authors should clarify whether this result is driven by scale effects, substitution between abatement and production, or assumptions on carbon prices and caps.</w:t>
      </w:r>
    </w:p>
    <w:p w14:paraId="1300C316">
      <w:pPr>
        <w:rPr>
          <w:rFonts w:ascii="Times New Roman" w:hAnsi="Times New Roman" w:cs="Times New Roman"/>
          <w:color w:val="000033"/>
          <w:szCs w:val="17"/>
        </w:rPr>
      </w:pPr>
      <w:r>
        <w:rPr>
          <w:rFonts w:hint="eastAsia" w:ascii="宋体" w:hAnsi="宋体" w:eastAsia="宋体" w:cs="Times New Roman"/>
          <w:color w:val="000033"/>
          <w:szCs w:val="17"/>
        </w:rPr>
        <w:t>碳配额质押融资可能增加总排放量的说法值得更仔细地讨论。作者应该澄清这一结果是由规模效应、减排和生产之间的替代，还是对碳价格和限额的假设驱动的</w:t>
      </w:r>
      <w:r>
        <w:rPr>
          <w:rFonts w:ascii="宋体" w:hAnsi="宋体" w:eastAsia="宋体" w:cs="Times New Roman"/>
          <w:color w:val="000033"/>
          <w:szCs w:val="17"/>
        </w:rPr>
        <w:br w:type="textWrapping"/>
      </w:r>
      <w:r>
        <w:rPr>
          <w:rFonts w:ascii="Times New Roman" w:hAnsi="Times New Roman" w:cs="Times New Roman"/>
          <w:color w:val="000033"/>
          <w:szCs w:val="17"/>
        </w:rPr>
        <w:t>7. The numerical analysis could be improved by reducing the number of figures and focusing on representative scenarios, since many plots illustrate similar comparative statics, making it difficult to extract the main insights.</w:t>
      </w:r>
    </w:p>
    <w:p w14:paraId="28299DCB">
      <w:pPr>
        <w:rPr>
          <w:rFonts w:ascii="宋体" w:hAnsi="宋体" w:eastAsia="宋体" w:cs="Times New Roman"/>
          <w:color w:val="000033"/>
          <w:szCs w:val="17"/>
        </w:rPr>
      </w:pPr>
      <w:r>
        <w:rPr>
          <w:rFonts w:hint="eastAsia" w:ascii="宋体" w:hAnsi="宋体" w:eastAsia="宋体" w:cs="Times New Roman"/>
          <w:color w:val="000033"/>
          <w:szCs w:val="17"/>
        </w:rPr>
        <w:t>数值分析可以通过减少图表数量和关注代表性情景来改进，因为许多图表说明了类似的静态比较，使其难以提取主要见解。</w:t>
      </w:r>
      <w:r>
        <w:rPr>
          <w:rFonts w:ascii="宋体" w:hAnsi="宋体" w:eastAsia="宋体" w:cs="Times New Roman"/>
          <w:color w:val="000033"/>
          <w:szCs w:val="17"/>
        </w:rPr>
        <w:br w:type="textWrapping"/>
      </w:r>
      <w:r>
        <w:rPr>
          <w:rFonts w:ascii="Times New Roman" w:hAnsi="Times New Roman" w:cs="Times New Roman"/>
          <w:color w:val="000033"/>
          <w:szCs w:val="17"/>
        </w:rPr>
        <w:t>8. The discussion and conclusions section could be more critical and balanced, discussing limitations of the modeling assumptions, such as monopoly structure, deterministic demand, or fixed carbon prices.</w:t>
      </w:r>
      <w:r>
        <w:rPr>
          <w:rFonts w:ascii="Times New Roman" w:hAnsi="Times New Roman" w:cs="Times New Roman"/>
          <w:color w:val="000033"/>
          <w:szCs w:val="17"/>
        </w:rPr>
        <w:br w:type="textWrapping"/>
      </w:r>
      <w:r>
        <w:rPr>
          <w:rFonts w:hint="eastAsia" w:ascii="宋体" w:hAnsi="宋体" w:eastAsia="宋体" w:cs="Times New Roman"/>
          <w:color w:val="000033"/>
          <w:szCs w:val="17"/>
        </w:rPr>
        <w:t>讨论和结论部分可以更加关键和平衡，讨论建模假设的局限性，例如垄断结构、确定性需求或固定碳价格</w:t>
      </w:r>
      <w:r>
        <w:rPr>
          <w:rFonts w:ascii="宋体" w:hAnsi="宋体" w:eastAsia="宋体" w:cs="Times New Roman"/>
          <w:color w:val="000033"/>
          <w:szCs w:val="17"/>
        </w:rPr>
        <w:br w:type="textWrapping"/>
      </w:r>
      <w:r>
        <w:rPr>
          <w:rFonts w:ascii="Times New Roman" w:hAnsi="Times New Roman" w:cs="Times New Roman"/>
          <w:color w:val="000033"/>
          <w:szCs w:val="17"/>
        </w:rPr>
        <w:br w:type="textWrapping"/>
      </w:r>
      <w:r>
        <w:rPr>
          <w:rFonts w:ascii="Times New Roman" w:hAnsi="Times New Roman" w:cs="Times New Roman"/>
          <w:color w:val="000033"/>
          <w:szCs w:val="17"/>
        </w:rPr>
        <w:t>Reviewer #3: Comments to the Author:</w:t>
      </w:r>
      <w:r>
        <w:rPr>
          <w:rFonts w:ascii="Times New Roman" w:hAnsi="Times New Roman" w:cs="Times New Roman"/>
          <w:color w:val="000033"/>
          <w:szCs w:val="17"/>
        </w:rPr>
        <w:br w:type="textWrapping"/>
      </w:r>
      <w:r>
        <w:rPr>
          <w:rFonts w:ascii="Times New Roman" w:hAnsi="Times New Roman" w:cs="Times New Roman"/>
          <w:color w:val="000033"/>
          <w:szCs w:val="17"/>
        </w:rPr>
        <w:t>The document brings up a crucial technological technique. Despite substantial research on the matter, the method is intriguing and might help to resolve the issue. After certain revisions, publication might be given some thought. Following are a few brief observations:</w:t>
      </w:r>
      <w:r>
        <w:rPr>
          <w:rFonts w:ascii="Times New Roman" w:hAnsi="Times New Roman" w:cs="Times New Roman"/>
          <w:color w:val="000033"/>
          <w:szCs w:val="17"/>
        </w:rPr>
        <w:br w:type="textWrapping"/>
      </w:r>
      <w:r>
        <w:rPr>
          <w:rFonts w:ascii="Times New Roman" w:hAnsi="Times New Roman" w:cs="Times New Roman"/>
          <w:color w:val="000033"/>
          <w:szCs w:val="17"/>
        </w:rPr>
        <w:t>Abstract:</w:t>
      </w:r>
      <w:r>
        <w:rPr>
          <w:rFonts w:ascii="Times New Roman" w:hAnsi="Times New Roman" w:cs="Times New Roman"/>
          <w:color w:val="000033"/>
          <w:szCs w:val="17"/>
        </w:rPr>
        <w:br w:type="textWrapping"/>
      </w:r>
      <w:r>
        <w:rPr>
          <w:rFonts w:ascii="Times New Roman" w:hAnsi="Times New Roman" w:cs="Times New Roman"/>
          <w:color w:val="000033"/>
          <w:szCs w:val="17"/>
        </w:rPr>
        <w:t>Update the abstract to highlight your paper's scientific contribution to firms undertaking CAI through various paths from operational adjustments to technical innovation. Highlight the originality of your strategy, and specific control over Improving Energy Efficiency. Switching to renewable energy sources Adopting low-carbon technologies.</w:t>
      </w:r>
      <w:r>
        <w:rPr>
          <w:rFonts w:ascii="Times New Roman" w:hAnsi="Times New Roman" w:cs="Times New Roman"/>
          <w:color w:val="000033"/>
          <w:szCs w:val="17"/>
        </w:rPr>
        <w:br w:type="textWrapping"/>
      </w:r>
      <w:r>
        <w:rPr>
          <w:rFonts w:hint="eastAsia" w:ascii="宋体" w:hAnsi="宋体" w:eastAsia="宋体" w:cs="Times New Roman"/>
          <w:color w:val="000033"/>
          <w:szCs w:val="17"/>
        </w:rPr>
        <w:t>更新摘要，突出你的论文通过从运营调整到技术创新的各种途径对企业进行碳减排投资</w:t>
      </w:r>
      <w:r>
        <w:rPr>
          <w:rFonts w:ascii="宋体" w:hAnsi="宋体" w:eastAsia="宋体" w:cs="Times New Roman"/>
          <w:color w:val="000033"/>
          <w:szCs w:val="17"/>
        </w:rPr>
        <w:t>的科学贡献</w:t>
      </w:r>
      <w:r>
        <w:rPr>
          <w:rFonts w:hint="eastAsia" w:ascii="宋体" w:hAnsi="宋体" w:eastAsia="宋体" w:cs="Times New Roman"/>
          <w:color w:val="000033"/>
          <w:szCs w:val="17"/>
        </w:rPr>
        <w:t>。强调你的策略的独创性，以及对提高能源效率的具体控制。</w:t>
      </w:r>
      <w:r>
        <w:rPr>
          <w:rFonts w:hint="eastAsia" w:ascii="宋体" w:hAnsi="宋体" w:eastAsia="宋体" w:cs="Times New Roman"/>
          <w:color w:val="000033"/>
          <w:szCs w:val="17"/>
          <w:shd w:val="pct15" w:color="auto" w:fill="FFFFFF"/>
        </w:rPr>
        <w:t>转向采用低碳技术的</w:t>
      </w:r>
      <w:r>
        <w:rPr>
          <w:rFonts w:ascii="宋体" w:hAnsi="宋体" w:eastAsia="宋体" w:cs="Times New Roman"/>
          <w:color w:val="000033"/>
          <w:szCs w:val="17"/>
          <w:shd w:val="pct15" w:color="auto" w:fill="FFFFFF"/>
        </w:rPr>
        <w:br w:type="textWrapping"/>
      </w:r>
      <w:r>
        <w:rPr>
          <w:rFonts w:hint="eastAsia" w:ascii="宋体" w:hAnsi="宋体" w:eastAsia="宋体" w:cs="Times New Roman"/>
          <w:color w:val="000033"/>
          <w:szCs w:val="17"/>
          <w:shd w:val="pct15" w:color="auto" w:fill="FFFFFF"/>
        </w:rPr>
        <w:t>可再生能源</w:t>
      </w:r>
      <w:r>
        <w:rPr>
          <w:rFonts w:hint="eastAsia" w:ascii="宋体" w:hAnsi="宋体" w:eastAsia="宋体" w:cs="Times New Roman"/>
          <w:color w:val="000033"/>
          <w:szCs w:val="17"/>
        </w:rPr>
        <w:t>。</w:t>
      </w:r>
    </w:p>
    <w:p w14:paraId="0B227996">
      <w:pPr>
        <w:rPr>
          <w:rFonts w:ascii="Times New Roman" w:hAnsi="Times New Roman" w:cs="Times New Roman"/>
          <w:color w:val="000033"/>
          <w:szCs w:val="17"/>
        </w:rPr>
      </w:pPr>
      <w:r>
        <w:rPr>
          <w:rFonts w:ascii="Times New Roman" w:hAnsi="Times New Roman" w:cs="Times New Roman"/>
          <w:color w:val="000033"/>
          <w:szCs w:val="17"/>
        </w:rPr>
        <w:t>1. Introduction:</w:t>
      </w:r>
      <w:r>
        <w:rPr>
          <w:rFonts w:ascii="Times New Roman" w:hAnsi="Times New Roman" w:cs="Times New Roman"/>
          <w:color w:val="000033"/>
          <w:szCs w:val="17"/>
        </w:rPr>
        <w:br w:type="textWrapping"/>
      </w:r>
      <w:r>
        <w:rPr>
          <w:rFonts w:ascii="Times New Roman" w:hAnsi="Times New Roman" w:cs="Times New Roman"/>
          <w:color w:val="000033"/>
          <w:szCs w:val="17"/>
        </w:rPr>
        <w:t>Why is it important to implement effective government policies? How do key policies influence corporate incentives and decisions? What differentiates this preposed method from others should be examined.</w:t>
      </w:r>
      <w:r>
        <w:rPr>
          <w:rFonts w:ascii="Times New Roman" w:hAnsi="Times New Roman" w:cs="Times New Roman"/>
          <w:color w:val="000033"/>
          <w:szCs w:val="17"/>
        </w:rPr>
        <w:br w:type="textWrapping"/>
      </w:r>
      <w:r>
        <w:rPr>
          <w:rFonts w:hint="eastAsia" w:ascii="宋体" w:hAnsi="宋体" w:eastAsia="宋体" w:cs="Times New Roman"/>
          <w:color w:val="000033"/>
          <w:szCs w:val="17"/>
        </w:rPr>
        <w:t>为什么实施有效的政府政策很重要？关键政策如何影响企业的激励和决策？这种预设方法与其他方法的区别是什么？</w:t>
      </w:r>
      <w:r>
        <w:rPr>
          <w:rFonts w:ascii="宋体" w:hAnsi="宋体" w:eastAsia="宋体" w:cs="Times New Roman"/>
          <w:color w:val="000033"/>
          <w:szCs w:val="17"/>
        </w:rPr>
        <w:br w:type="textWrapping"/>
      </w:r>
      <w:r>
        <w:rPr>
          <w:rFonts w:ascii="Times New Roman" w:hAnsi="Times New Roman" w:cs="Times New Roman"/>
          <w:color w:val="000033"/>
          <w:szCs w:val="17"/>
        </w:rPr>
        <w:t>2. Materials and Method:</w:t>
      </w:r>
      <w:r>
        <w:rPr>
          <w:rFonts w:ascii="Times New Roman" w:hAnsi="Times New Roman" w:cs="Times New Roman"/>
          <w:color w:val="000033"/>
          <w:szCs w:val="17"/>
        </w:rPr>
        <w:br w:type="textWrapping"/>
      </w:r>
      <w:r>
        <w:rPr>
          <w:rFonts w:ascii="Times New Roman" w:hAnsi="Times New Roman" w:cs="Times New Roman"/>
          <w:color w:val="000033"/>
          <w:szCs w:val="17"/>
        </w:rPr>
        <w:t>What are the most major carbon abatement investment (CAI) paths employed in the paper's studies? The authors should identify the operational changes that affect technological innovation. What benefit does processing it provide? What are the advantages of utilizing the proposed method to create CAI paths?</w:t>
      </w:r>
      <w:r>
        <w:rPr>
          <w:rFonts w:ascii="Times New Roman" w:hAnsi="Times New Roman" w:cs="Times New Roman"/>
          <w:color w:val="000033"/>
          <w:szCs w:val="17"/>
        </w:rPr>
        <w:br w:type="textWrapping"/>
      </w:r>
      <w:r>
        <w:rPr>
          <w:rFonts w:hint="eastAsia" w:ascii="宋体" w:hAnsi="宋体" w:eastAsia="宋体" w:cs="Times New Roman"/>
          <w:color w:val="000033"/>
          <w:szCs w:val="17"/>
        </w:rPr>
        <w:t>本文研究中采用的最主要的碳减排投资路径是什么？作者应该确定影响技术创新的操作变化。处理它有什么好处？利用所提出的方法创建</w:t>
      </w:r>
      <w:r>
        <w:rPr>
          <w:rFonts w:ascii="宋体" w:hAnsi="宋体" w:eastAsia="宋体" w:cs="Times New Roman"/>
          <w:color w:val="000033"/>
          <w:szCs w:val="17"/>
        </w:rPr>
        <w:t>CAI路径的优点是什么</w:t>
      </w:r>
      <w:r>
        <w:rPr>
          <w:rFonts w:ascii="宋体" w:hAnsi="宋体" w:eastAsia="宋体" w:cs="Times New Roman"/>
          <w:color w:val="000033"/>
          <w:szCs w:val="17"/>
        </w:rPr>
        <w:br w:type="textWrapping"/>
      </w:r>
      <w:r>
        <w:rPr>
          <w:rFonts w:ascii="Times New Roman" w:hAnsi="Times New Roman" w:cs="Times New Roman"/>
          <w:color w:val="000033"/>
          <w:szCs w:val="17"/>
        </w:rPr>
        <w:t>3. Results and Discussions</w:t>
      </w:r>
      <w:r>
        <w:rPr>
          <w:rFonts w:ascii="Times New Roman" w:hAnsi="Times New Roman" w:cs="Times New Roman"/>
          <w:color w:val="000033"/>
          <w:szCs w:val="17"/>
        </w:rPr>
        <w:br w:type="textWrapping"/>
      </w:r>
      <w:r>
        <w:rPr>
          <w:rFonts w:ascii="Times New Roman" w:hAnsi="Times New Roman" w:cs="Times New Roman"/>
          <w:color w:val="000033"/>
          <w:szCs w:val="17"/>
        </w:rPr>
        <w:t>In response to government policy. The author should organize the section on how firms can pursue CAI through various techniques, such as cooperating with suppliers to use sustainable materials, optimizing logistics to reduce emissions, and remanufacturing new products.</w:t>
      </w:r>
      <w:r>
        <w:rPr>
          <w:rFonts w:ascii="Times New Roman" w:hAnsi="Times New Roman" w:cs="Times New Roman"/>
          <w:color w:val="000033"/>
          <w:szCs w:val="17"/>
        </w:rPr>
        <w:br w:type="textWrapping"/>
      </w:r>
      <w:r>
        <w:rPr>
          <w:rFonts w:ascii="Times New Roman" w:hAnsi="Times New Roman" w:cs="Times New Roman"/>
          <w:color w:val="000033"/>
          <w:szCs w:val="17"/>
        </w:rPr>
        <w:t>b) Recycling, decreasing packaging, and designing products for durability, repair, and end-of-life recycling can all assist to decrease waste and conserve resources.</w:t>
      </w:r>
    </w:p>
    <w:p w14:paraId="35CFA918">
      <w:pPr>
        <w:rPr>
          <w:rFonts w:ascii="Times New Roman" w:hAnsi="Times New Roman" w:cs="Times New Roman"/>
          <w:color w:val="000033"/>
          <w:szCs w:val="17"/>
        </w:rPr>
      </w:pPr>
      <w:r>
        <w:rPr>
          <w:rFonts w:hint="eastAsia" w:ascii="宋体" w:hAnsi="宋体" w:eastAsia="宋体" w:cs="Times New Roman"/>
          <w:color w:val="000033"/>
          <w:szCs w:val="17"/>
        </w:rPr>
        <w:t>响应政府的政策。作者应该组织关于企业如何通过各种技术来实现</w:t>
      </w:r>
      <w:r>
        <w:rPr>
          <w:rFonts w:ascii="宋体" w:hAnsi="宋体" w:eastAsia="宋体" w:cs="Times New Roman"/>
          <w:color w:val="000033"/>
          <w:szCs w:val="17"/>
        </w:rPr>
        <w:t>CAI的</w:t>
      </w:r>
      <w:r>
        <w:rPr>
          <w:rFonts w:hint="eastAsia" w:ascii="宋体" w:hAnsi="宋体" w:eastAsia="宋体" w:cs="Times New Roman"/>
          <w:color w:val="000033"/>
          <w:szCs w:val="17"/>
        </w:rPr>
        <w:t>部分</w:t>
      </w:r>
      <w:r>
        <w:rPr>
          <w:rFonts w:ascii="宋体" w:hAnsi="宋体" w:eastAsia="宋体" w:cs="Times New Roman"/>
          <w:color w:val="000033"/>
          <w:szCs w:val="17"/>
        </w:rPr>
        <w:t>，例如与供应商合作使用可持续材料，优化物流以减少排放，以及再制造新产品</w:t>
      </w:r>
      <w:r>
        <w:rPr>
          <w:rFonts w:hint="eastAsia" w:ascii="宋体" w:hAnsi="宋体" w:eastAsia="宋体" w:cs="Times New Roman"/>
          <w:color w:val="000033"/>
          <w:szCs w:val="17"/>
        </w:rPr>
        <w:t>；以及回收利用、减少包装、设计耐用性产品、维修和报废回收都有助于减少浪费和节约资源。</w:t>
      </w:r>
      <w:r>
        <w:rPr>
          <w:rFonts w:ascii="宋体" w:hAnsi="宋体" w:eastAsia="宋体" w:cs="Times New Roman"/>
          <w:color w:val="000033"/>
          <w:szCs w:val="17"/>
        </w:rPr>
        <w:br w:type="textWrapping"/>
      </w:r>
      <w:r>
        <w:rPr>
          <w:rFonts w:ascii="Times New Roman" w:hAnsi="Times New Roman" w:cs="Times New Roman"/>
          <w:color w:val="000033"/>
          <w:szCs w:val="17"/>
        </w:rPr>
        <w:t>4. Conclusion</w:t>
      </w:r>
      <w:r>
        <w:rPr>
          <w:rFonts w:ascii="Times New Roman" w:hAnsi="Times New Roman" w:cs="Times New Roman"/>
          <w:color w:val="000033"/>
          <w:szCs w:val="17"/>
        </w:rPr>
        <w:br w:type="textWrapping"/>
      </w:r>
      <w:r>
        <w:rPr>
          <w:rFonts w:ascii="Times New Roman" w:hAnsi="Times New Roman" w:cs="Times New Roman"/>
          <w:color w:val="000033"/>
          <w:szCs w:val="17"/>
        </w:rPr>
        <w:t>The author should summarize the significance of the link between the obtained CAI results and CER policies, such as carbon pricing (taxes and cap-and-trade systems) and subsidies for low-carbon technologies.</w:t>
      </w:r>
    </w:p>
    <w:p w14:paraId="25C92D14">
      <w:pPr>
        <w:rPr>
          <w:rFonts w:ascii="宋体" w:hAnsi="宋体" w:eastAsia="宋体" w:cs="Times New Roman"/>
          <w:color w:val="000033"/>
          <w:szCs w:val="17"/>
        </w:rPr>
      </w:pPr>
      <w:r>
        <w:rPr>
          <w:rFonts w:hint="eastAsia" w:ascii="宋体" w:hAnsi="宋体" w:eastAsia="宋体" w:cs="Times New Roman"/>
          <w:color w:val="000033"/>
          <w:szCs w:val="17"/>
        </w:rPr>
        <w:t>作者应该总结所获得的</w:t>
      </w:r>
      <w:r>
        <w:rPr>
          <w:rFonts w:ascii="宋体" w:hAnsi="宋体" w:eastAsia="宋体" w:cs="Times New Roman"/>
          <w:color w:val="000033"/>
          <w:szCs w:val="17"/>
        </w:rPr>
        <w:t>CAI结果与CER政策之间联系的意义，例如碳定价（税收和限额与交易制度）和对低碳技术的补贴</w:t>
      </w:r>
      <w:r>
        <w:rPr>
          <w:rFonts w:hint="eastAsia" w:ascii="宋体" w:hAnsi="宋体" w:eastAsia="宋体" w:cs="Times New Roman"/>
          <w:color w:val="000033"/>
          <w:szCs w:val="17"/>
        </w:rPr>
        <w:t>。</w:t>
      </w:r>
    </w:p>
    <w:p w14:paraId="15C48C5A">
      <w:pPr>
        <w:rPr>
          <w:rFonts w:ascii="宋体" w:hAnsi="宋体" w:eastAsia="宋体" w:cs="Times New Roman"/>
          <w:color w:val="000033"/>
          <w:szCs w:val="17"/>
        </w:rPr>
      </w:pPr>
    </w:p>
    <w:p w14:paraId="124D170D">
      <w:pPr>
        <w:rPr>
          <w:rFonts w:ascii="宋体" w:hAnsi="宋体" w:eastAsia="宋体" w:cs="Times New Roman"/>
          <w:color w:val="000033"/>
          <w:szCs w:val="17"/>
        </w:rPr>
      </w:pPr>
      <w:r>
        <w:rPr>
          <w:rFonts w:hint="eastAsia" w:ascii="宋体" w:hAnsi="宋体" w:eastAsia="宋体" w:cs="Times New Roman"/>
          <w:b/>
          <w:color w:val="000033"/>
          <w:szCs w:val="17"/>
        </w:rPr>
        <w:t>意见总结</w:t>
      </w:r>
      <w:r>
        <w:rPr>
          <w:rFonts w:hint="eastAsia" w:ascii="宋体" w:hAnsi="宋体" w:eastAsia="宋体" w:cs="Times New Roman"/>
          <w:color w:val="000033"/>
          <w:szCs w:val="17"/>
        </w:rPr>
        <w:t>：</w:t>
      </w:r>
    </w:p>
    <w:p w14:paraId="3EFEAA79">
      <w:pPr>
        <w:pStyle w:val="8"/>
        <w:numPr>
          <w:ilvl w:val="0"/>
          <w:numId w:val="1"/>
        </w:numPr>
        <w:ind w:firstLineChars="0"/>
        <w:rPr>
          <w:rFonts w:ascii="宋体" w:hAnsi="宋体" w:eastAsia="宋体" w:cs="Times New Roman"/>
          <w:color w:val="000033"/>
          <w:szCs w:val="17"/>
        </w:rPr>
      </w:pPr>
      <w:r>
        <w:rPr>
          <w:rFonts w:hint="eastAsia" w:ascii="宋体" w:hAnsi="宋体" w:eastAsia="宋体" w:cs="Times New Roman"/>
          <w:b/>
          <w:color w:val="000033"/>
          <w:szCs w:val="17"/>
        </w:rPr>
        <w:t>摘要</w:t>
      </w:r>
      <w:r>
        <w:rPr>
          <w:rFonts w:hint="eastAsia" w:ascii="宋体" w:hAnsi="宋体" w:eastAsia="宋体" w:cs="Times New Roman"/>
          <w:color w:val="000033"/>
          <w:szCs w:val="17"/>
        </w:rPr>
        <w:t>：更新摘要，突出你的论文通过从运营调整到技术创新的各种途径对企业进行碳减排投资的科学贡献。强调你的策略的独创性</w:t>
      </w:r>
      <w:bookmarkStart w:id="0" w:name="_GoBack"/>
      <w:bookmarkEnd w:id="0"/>
      <w:r>
        <w:rPr>
          <w:rFonts w:hint="eastAsia" w:ascii="宋体" w:hAnsi="宋体" w:eastAsia="宋体" w:cs="Times New Roman"/>
          <w:color w:val="000033"/>
          <w:szCs w:val="17"/>
        </w:rPr>
        <w:t>，以及对提高能源效率的具体控制。转向采用低碳技术的可再生能源。</w:t>
      </w:r>
    </w:p>
    <w:p w14:paraId="4281CEEE">
      <w:pPr>
        <w:pStyle w:val="8"/>
        <w:numPr>
          <w:ilvl w:val="0"/>
          <w:numId w:val="1"/>
        </w:numPr>
        <w:ind w:firstLineChars="0"/>
        <w:rPr>
          <w:rFonts w:ascii="宋体" w:hAnsi="宋体" w:eastAsia="宋体" w:cs="Times New Roman"/>
          <w:color w:val="000033"/>
          <w:szCs w:val="17"/>
        </w:rPr>
      </w:pPr>
      <w:r>
        <w:rPr>
          <w:rFonts w:hint="eastAsia" w:ascii="宋体" w:hAnsi="宋体" w:eastAsia="宋体" w:cs="Times New Roman"/>
          <w:b/>
          <w:color w:val="000033"/>
          <w:szCs w:val="17"/>
        </w:rPr>
        <w:t>引言</w:t>
      </w:r>
      <w:r>
        <w:rPr>
          <w:rFonts w:hint="eastAsia" w:ascii="宋体" w:hAnsi="宋体" w:eastAsia="宋体" w:cs="Times New Roman"/>
          <w:color w:val="000033"/>
          <w:szCs w:val="17"/>
        </w:rPr>
        <w:t>：</w:t>
      </w:r>
    </w:p>
    <w:p w14:paraId="5817A312">
      <w:pPr>
        <w:pStyle w:val="8"/>
        <w:numPr>
          <w:ilvl w:val="0"/>
          <w:numId w:val="2"/>
        </w:numPr>
        <w:ind w:firstLineChars="0"/>
        <w:rPr>
          <w:rFonts w:ascii="宋体" w:hAnsi="宋体" w:eastAsia="宋体" w:cs="Times New Roman"/>
          <w:color w:val="000033"/>
          <w:szCs w:val="17"/>
        </w:rPr>
      </w:pPr>
      <w:r>
        <w:rPr>
          <w:rFonts w:hint="eastAsia" w:ascii="宋体" w:hAnsi="宋体" w:eastAsia="宋体" w:cs="Times New Roman"/>
          <w:color w:val="000033"/>
          <w:szCs w:val="17"/>
        </w:rPr>
        <w:t>作者应该明确说明，相对于碳配额质押融资和两阶段再制造模型的现有工作哪些是新的。</w:t>
      </w:r>
    </w:p>
    <w:p w14:paraId="3A242075">
      <w:pPr>
        <w:pStyle w:val="8"/>
        <w:numPr>
          <w:ilvl w:val="0"/>
          <w:numId w:val="2"/>
        </w:numPr>
        <w:ind w:firstLineChars="0"/>
        <w:rPr>
          <w:rFonts w:hint="eastAsia" w:ascii="宋体" w:hAnsi="宋体" w:eastAsia="宋体" w:cs="Times New Roman"/>
          <w:color w:val="000033"/>
          <w:szCs w:val="17"/>
        </w:rPr>
      </w:pPr>
      <w:r>
        <w:rPr>
          <w:rFonts w:ascii="宋体" w:hAnsi="宋体" w:eastAsia="宋体" w:cs="Times New Roman"/>
          <w:color w:val="000033"/>
          <w:szCs w:val="17"/>
        </w:rPr>
        <w:t>为什么实施有效的政府政策很重要？关键政策如何影响企业的激励和决策？这种预设方法与其他方法的区别是什么？</w:t>
      </w:r>
    </w:p>
    <w:p w14:paraId="1A9B41B6">
      <w:pPr>
        <w:pStyle w:val="8"/>
        <w:numPr>
          <w:ilvl w:val="0"/>
          <w:numId w:val="1"/>
        </w:numPr>
        <w:ind w:firstLineChars="0"/>
        <w:rPr>
          <w:rFonts w:ascii="宋体" w:hAnsi="宋体" w:eastAsia="宋体" w:cs="Times New Roman"/>
          <w:color w:val="000033"/>
          <w:szCs w:val="17"/>
        </w:rPr>
      </w:pPr>
      <w:r>
        <w:rPr>
          <w:rFonts w:hint="eastAsia" w:ascii="宋体" w:hAnsi="宋体" w:eastAsia="宋体" w:cs="Times New Roman"/>
          <w:b/>
          <w:color w:val="000033"/>
          <w:szCs w:val="17"/>
        </w:rPr>
        <w:t>文献综述</w:t>
      </w:r>
      <w:r>
        <w:rPr>
          <w:rFonts w:hint="eastAsia" w:ascii="宋体" w:hAnsi="宋体" w:eastAsia="宋体" w:cs="Times New Roman"/>
          <w:color w:val="000033"/>
          <w:szCs w:val="17"/>
        </w:rPr>
        <w:t>：可以更好地组织以区分碳减排路径、融资机制和动态多周期决策模型，那么这些文献具体的差距（</w:t>
      </w:r>
      <w:r>
        <w:rPr>
          <w:rFonts w:ascii="宋体" w:hAnsi="宋体" w:eastAsia="宋体" w:cs="Times New Roman"/>
          <w:color w:val="000033"/>
          <w:szCs w:val="17"/>
        </w:rPr>
        <w:t>gap）又如何呢？这些差距直接激励了论文后面所做的每个建模选择.</w:t>
      </w:r>
    </w:p>
    <w:p w14:paraId="6395365A">
      <w:pPr>
        <w:pStyle w:val="8"/>
        <w:numPr>
          <w:ilvl w:val="0"/>
          <w:numId w:val="1"/>
        </w:numPr>
        <w:ind w:firstLineChars="0"/>
        <w:rPr>
          <w:rFonts w:ascii="宋体" w:hAnsi="宋体" w:eastAsia="宋体" w:cs="Times New Roman"/>
          <w:color w:val="000033"/>
          <w:szCs w:val="17"/>
        </w:rPr>
      </w:pPr>
      <w:r>
        <w:rPr>
          <w:rFonts w:hint="eastAsia" w:ascii="宋体" w:hAnsi="宋体" w:eastAsia="宋体" w:cs="Times New Roman"/>
          <w:b/>
          <w:color w:val="000033"/>
          <w:szCs w:val="17"/>
        </w:rPr>
        <w:t>正文</w:t>
      </w:r>
      <w:r>
        <w:rPr>
          <w:rFonts w:hint="eastAsia" w:ascii="宋体" w:hAnsi="宋体" w:eastAsia="宋体" w:cs="Times New Roman"/>
          <w:color w:val="000033"/>
          <w:szCs w:val="17"/>
        </w:rPr>
        <w:t>：</w:t>
      </w:r>
    </w:p>
    <w:p w14:paraId="4EB7D047">
      <w:pPr>
        <w:pStyle w:val="8"/>
        <w:numPr>
          <w:ilvl w:val="0"/>
          <w:numId w:val="3"/>
        </w:numPr>
        <w:ind w:firstLineChars="0"/>
        <w:rPr>
          <w:rFonts w:ascii="宋体" w:hAnsi="宋体" w:eastAsia="宋体" w:cs="Times New Roman"/>
          <w:color w:val="000033"/>
          <w:szCs w:val="17"/>
        </w:rPr>
      </w:pPr>
      <w:r>
        <w:rPr>
          <w:rFonts w:hint="eastAsia" w:ascii="宋体" w:hAnsi="宋体" w:eastAsia="宋体" w:cs="Times New Roman"/>
          <w:color w:val="000033"/>
          <w:szCs w:val="17"/>
        </w:rPr>
        <w:t>符号和模型制定部分非常密集，难以理解，部分原因是同时引入了大量的符号和情形。作者可以在每个模型之前添加一个简短的解释，澄清约束和决策变量的经济含义。</w:t>
      </w:r>
    </w:p>
    <w:p w14:paraId="1A8644FF">
      <w:pPr>
        <w:pStyle w:val="8"/>
        <w:numPr>
          <w:ilvl w:val="0"/>
          <w:numId w:val="3"/>
        </w:numPr>
        <w:ind w:firstLineChars="0"/>
        <w:rPr>
          <w:rFonts w:hint="eastAsia" w:ascii="宋体" w:hAnsi="宋体" w:eastAsia="宋体" w:cs="Times New Roman"/>
          <w:color w:val="000033"/>
          <w:szCs w:val="17"/>
        </w:rPr>
      </w:pPr>
      <w:r>
        <w:rPr>
          <w:rFonts w:hint="eastAsia" w:ascii="宋体" w:hAnsi="宋体" w:eastAsia="宋体" w:cs="Times New Roman"/>
          <w:color w:val="000033"/>
          <w:szCs w:val="17"/>
        </w:rPr>
        <w:t>本文研究中采用的最主要的碳减排投资路径是什么？作者应该确定影响技术创新的操作变化。处理它有什么好处？利用所提出的方法创建</w:t>
      </w:r>
      <w:r>
        <w:rPr>
          <w:rFonts w:ascii="宋体" w:hAnsi="宋体" w:eastAsia="宋体" w:cs="Times New Roman"/>
          <w:color w:val="000033"/>
          <w:szCs w:val="17"/>
        </w:rPr>
        <w:t>CAI路径的</w:t>
      </w:r>
      <w:r>
        <w:rPr>
          <w:rFonts w:ascii="宋体" w:hAnsi="宋体" w:eastAsia="宋体" w:cs="Times New Roman"/>
          <w:color w:val="000033"/>
          <w:szCs w:val="17"/>
          <w:shd w:val="pct15" w:color="auto" w:fill="FFFFFF"/>
        </w:rPr>
        <w:t>优点是什么</w:t>
      </w:r>
      <w:r>
        <w:rPr>
          <w:rFonts w:hint="eastAsia" w:ascii="宋体" w:hAnsi="宋体" w:eastAsia="宋体" w:cs="Times New Roman"/>
          <w:color w:val="000033"/>
          <w:szCs w:val="17"/>
        </w:rPr>
        <w:t>？</w:t>
      </w:r>
    </w:p>
    <w:p w14:paraId="3D1B1573">
      <w:pPr>
        <w:pStyle w:val="8"/>
        <w:numPr>
          <w:ilvl w:val="0"/>
          <w:numId w:val="3"/>
        </w:numPr>
        <w:ind w:firstLineChars="0"/>
        <w:rPr>
          <w:rFonts w:hint="eastAsia" w:ascii="宋体" w:hAnsi="宋体" w:eastAsia="宋体" w:cs="Times New Roman"/>
          <w:color w:val="000033"/>
          <w:szCs w:val="17"/>
        </w:rPr>
      </w:pPr>
      <w:r>
        <w:rPr>
          <w:rFonts w:hint="eastAsia" w:ascii="宋体" w:hAnsi="宋体" w:eastAsia="宋体" w:cs="Times New Roman"/>
          <w:color w:val="000033"/>
          <w:szCs w:val="17"/>
        </w:rPr>
        <w:t>通</w:t>
      </w:r>
      <w:r>
        <w:rPr>
          <w:rFonts w:hint="eastAsia" w:ascii="宋体" w:hAnsi="宋体" w:eastAsia="宋体" w:cs="Times New Roman"/>
          <w:color w:val="000033"/>
          <w:szCs w:val="17"/>
          <w:highlight w:val="yellow"/>
        </w:rPr>
        <w:t>过使用低碳净化技术和研发投资的专利数据，</w:t>
      </w:r>
      <w:r>
        <w:rPr>
          <w:rFonts w:hint="eastAsia" w:ascii="宋体" w:hAnsi="宋体" w:eastAsia="宋体" w:cs="Times New Roman"/>
          <w:color w:val="000033"/>
          <w:szCs w:val="17"/>
        </w:rPr>
        <w:t>将基于专利的前瞻性</w:t>
      </w:r>
      <w:r>
        <w:rPr>
          <w:rFonts w:ascii="宋体" w:hAnsi="宋体" w:eastAsia="宋体" w:cs="Times New Roman"/>
          <w:color w:val="000033"/>
          <w:szCs w:val="17"/>
        </w:rPr>
        <w:t>LCA整合到模型中，在模型中参数化排放强度和减排效率的未来轨迹。这将使案例研究超越静态减排系数，并明确反映从专利趋势和引用推断的技术进步如何改变两个时期的生命周期排放量。将理论结果与碳配额质押融资下与企业战略决策直接相关的前瞻性环境影响相结合，这样的整合将加强研究。在这方面，作者可以简要和定性地讨论与</w:t>
      </w:r>
      <w:r>
        <w:rPr>
          <w:rFonts w:ascii="Times New Roman" w:hAnsi="Times New Roman" w:eastAsia="宋体" w:cs="Times New Roman"/>
          <w:color w:val="000033"/>
          <w:szCs w:val="17"/>
        </w:rPr>
        <w:t>sprafico.C框架描述的整合所产生的优势. How can patent-based prospective life cycle assessment be used for eco-design?. Research in Engineering Design, 36(2), 5.</w:t>
      </w:r>
    </w:p>
    <w:p w14:paraId="6ED26C6C">
      <w:pPr>
        <w:pStyle w:val="8"/>
        <w:numPr>
          <w:ilvl w:val="0"/>
          <w:numId w:val="1"/>
        </w:numPr>
        <w:ind w:firstLineChars="0"/>
        <w:rPr>
          <w:rFonts w:ascii="宋体" w:hAnsi="宋体" w:eastAsia="宋体" w:cs="Times New Roman"/>
          <w:color w:val="000033"/>
          <w:szCs w:val="17"/>
        </w:rPr>
      </w:pPr>
      <w:r>
        <w:rPr>
          <w:rFonts w:hint="eastAsia" w:ascii="宋体" w:hAnsi="宋体" w:eastAsia="宋体" w:cs="Times New Roman"/>
          <w:b/>
          <w:color w:val="000033"/>
          <w:szCs w:val="17"/>
        </w:rPr>
        <w:t>分析与比较</w:t>
      </w:r>
      <w:r>
        <w:rPr>
          <w:rFonts w:hint="eastAsia" w:ascii="宋体" w:hAnsi="宋体" w:eastAsia="宋体" w:cs="Times New Roman"/>
          <w:color w:val="000033"/>
          <w:szCs w:val="17"/>
        </w:rPr>
        <w:t>：</w:t>
      </w:r>
    </w:p>
    <w:p w14:paraId="1044C3C0">
      <w:pPr>
        <w:pStyle w:val="8"/>
        <w:numPr>
          <w:ilvl w:val="0"/>
          <w:numId w:val="4"/>
        </w:numPr>
        <w:ind w:firstLineChars="0"/>
        <w:rPr>
          <w:rFonts w:ascii="宋体" w:hAnsi="宋体" w:eastAsia="宋体" w:cs="Times New Roman"/>
          <w:color w:val="000033"/>
          <w:szCs w:val="17"/>
        </w:rPr>
      </w:pPr>
      <w:r>
        <w:rPr>
          <w:rFonts w:hint="eastAsia" w:ascii="宋体" w:hAnsi="宋体" w:eastAsia="宋体" w:cs="Times New Roman"/>
          <w:color w:val="000033"/>
          <w:szCs w:val="17"/>
        </w:rPr>
        <w:t>分析结果部分包含许多定理和命题，它们的经济解释通常较小，但可以通过关注较少的关键结果和在每个主要定理之后立即提供更清晰的直觉来改进。</w:t>
      </w:r>
    </w:p>
    <w:p w14:paraId="7AB3B9E2">
      <w:pPr>
        <w:pStyle w:val="8"/>
        <w:numPr>
          <w:ilvl w:val="0"/>
          <w:numId w:val="4"/>
        </w:numPr>
        <w:ind w:firstLineChars="0"/>
        <w:rPr>
          <w:rFonts w:ascii="宋体" w:hAnsi="宋体" w:eastAsia="宋体" w:cs="Times New Roman"/>
          <w:color w:val="000033"/>
          <w:szCs w:val="17"/>
        </w:rPr>
      </w:pPr>
      <w:r>
        <w:rPr>
          <w:rFonts w:hint="eastAsia" w:ascii="宋体" w:hAnsi="宋体" w:eastAsia="宋体" w:cs="Times New Roman"/>
          <w:color w:val="000033"/>
          <w:szCs w:val="17"/>
        </w:rPr>
        <w:t>碳配额质押融资可能增加总排放量的说法值得更仔细地讨论。作者应该澄清这一结果是由规模效应、减排和生产之间的替代，还是对碳价格和限额的假设驱动的。</w:t>
      </w:r>
    </w:p>
    <w:p w14:paraId="510B51E7">
      <w:pPr>
        <w:pStyle w:val="8"/>
        <w:numPr>
          <w:ilvl w:val="0"/>
          <w:numId w:val="4"/>
        </w:numPr>
        <w:ind w:firstLineChars="0"/>
        <w:rPr>
          <w:rFonts w:hint="eastAsia" w:ascii="宋体" w:hAnsi="宋体" w:eastAsia="宋体" w:cs="Times New Roman"/>
          <w:color w:val="000033"/>
          <w:szCs w:val="17"/>
        </w:rPr>
      </w:pPr>
      <w:r>
        <w:rPr>
          <w:rFonts w:ascii="宋体" w:hAnsi="宋体" w:eastAsia="宋体" w:cs="Times New Roman"/>
          <w:color w:val="000033"/>
          <w:szCs w:val="17"/>
          <w:highlight w:val="yellow"/>
        </w:rPr>
        <w:t>响应政府的政策。</w:t>
      </w:r>
      <w:r>
        <w:rPr>
          <w:rFonts w:ascii="宋体" w:hAnsi="宋体" w:eastAsia="宋体" w:cs="Times New Roman"/>
          <w:color w:val="000033"/>
          <w:szCs w:val="17"/>
        </w:rPr>
        <w:t>作者应该组织关于企业如何通过各种技术来实现CAI的部分，例如与供应商合作使用可持续材料，优</w:t>
      </w:r>
      <w:r>
        <w:rPr>
          <w:rFonts w:hint="eastAsia" w:ascii="宋体" w:hAnsi="宋体" w:eastAsia="宋体" w:cs="Times New Roman"/>
          <w:color w:val="000033"/>
          <w:szCs w:val="17"/>
        </w:rPr>
        <w:t xml:space="preserve"> </w:t>
      </w:r>
      <w:r>
        <w:rPr>
          <w:rFonts w:ascii="宋体" w:hAnsi="宋体" w:eastAsia="宋体" w:cs="Times New Roman"/>
          <w:color w:val="000033"/>
          <w:szCs w:val="17"/>
        </w:rPr>
        <w:t>化物流以减少排放，以及再制造新产品；以及回收利用、减少包装、设计耐用性产品、维修和报废回收都有助于减少浪费和节约资源。</w:t>
      </w:r>
    </w:p>
    <w:p w14:paraId="275045CC">
      <w:pPr>
        <w:pStyle w:val="8"/>
        <w:numPr>
          <w:ilvl w:val="0"/>
          <w:numId w:val="1"/>
        </w:numPr>
        <w:ind w:firstLineChars="0"/>
        <w:rPr>
          <w:rFonts w:ascii="宋体" w:hAnsi="宋体" w:eastAsia="宋体" w:cs="Times New Roman"/>
          <w:b/>
          <w:color w:val="000033"/>
          <w:szCs w:val="17"/>
        </w:rPr>
      </w:pPr>
      <w:r>
        <w:rPr>
          <w:rFonts w:hint="eastAsia" w:ascii="宋体" w:hAnsi="宋体" w:eastAsia="宋体" w:cs="Times New Roman"/>
          <w:b/>
          <w:color w:val="000033"/>
          <w:szCs w:val="17"/>
        </w:rPr>
        <w:t>数值分析</w:t>
      </w:r>
    </w:p>
    <w:p w14:paraId="17C3B236">
      <w:pPr>
        <w:pStyle w:val="8"/>
        <w:ind w:left="420" w:firstLine="0" w:firstLineChars="0"/>
        <w:rPr>
          <w:rFonts w:ascii="宋体" w:hAnsi="宋体" w:eastAsia="宋体" w:cs="Times New Roman"/>
          <w:color w:val="000033"/>
          <w:szCs w:val="17"/>
        </w:rPr>
      </w:pPr>
      <w:r>
        <w:rPr>
          <w:rFonts w:hint="eastAsia" w:ascii="宋体" w:hAnsi="宋体" w:eastAsia="宋体" w:cs="Times New Roman"/>
          <w:color w:val="000033"/>
          <w:szCs w:val="17"/>
        </w:rPr>
        <w:t>数值分析可以通过减少图表数量和关注代表性情景来改进，因为许多图表说明了类似的静态比较，使其难以提取主要见解。</w:t>
      </w:r>
    </w:p>
    <w:p w14:paraId="39DBB560">
      <w:pPr>
        <w:pStyle w:val="8"/>
        <w:numPr>
          <w:ilvl w:val="0"/>
          <w:numId w:val="1"/>
        </w:numPr>
        <w:ind w:firstLineChars="0"/>
        <w:rPr>
          <w:rFonts w:ascii="宋体" w:hAnsi="宋体" w:eastAsia="宋体" w:cs="Times New Roman"/>
          <w:color w:val="000033"/>
          <w:szCs w:val="17"/>
        </w:rPr>
      </w:pPr>
      <w:r>
        <w:rPr>
          <w:rFonts w:hint="eastAsia" w:ascii="宋体" w:hAnsi="宋体" w:eastAsia="宋体" w:cs="Times New Roman"/>
          <w:b/>
          <w:color w:val="000033"/>
          <w:szCs w:val="17"/>
        </w:rPr>
        <w:t>结论</w:t>
      </w:r>
      <w:r>
        <w:rPr>
          <w:rFonts w:hint="eastAsia" w:ascii="宋体" w:hAnsi="宋体" w:eastAsia="宋体" w:cs="Times New Roman"/>
          <w:color w:val="000033"/>
          <w:szCs w:val="17"/>
        </w:rPr>
        <w:t>：</w:t>
      </w:r>
    </w:p>
    <w:p w14:paraId="6DD33D89">
      <w:pPr>
        <w:pStyle w:val="8"/>
        <w:numPr>
          <w:ilvl w:val="0"/>
          <w:numId w:val="5"/>
        </w:numPr>
        <w:ind w:firstLineChars="0"/>
        <w:rPr>
          <w:rFonts w:ascii="宋体" w:hAnsi="宋体" w:eastAsia="宋体" w:cs="Times New Roman"/>
          <w:color w:val="000033"/>
          <w:szCs w:val="17"/>
        </w:rPr>
      </w:pPr>
      <w:r>
        <w:rPr>
          <w:rFonts w:hint="eastAsia" w:ascii="宋体" w:hAnsi="宋体" w:eastAsia="宋体" w:cs="Times New Roman"/>
          <w:color w:val="000033"/>
          <w:szCs w:val="17"/>
        </w:rPr>
        <w:t>讨论和结论部分可以更加关键和平衡，讨论建模假设的局限性，例如垄断结构、确定性需求或固定碳价格。</w:t>
      </w:r>
    </w:p>
    <w:p w14:paraId="1A5F507A">
      <w:pPr>
        <w:pStyle w:val="8"/>
        <w:numPr>
          <w:ilvl w:val="0"/>
          <w:numId w:val="5"/>
        </w:numPr>
        <w:ind w:firstLineChars="0"/>
        <w:rPr>
          <w:rFonts w:hint="eastAsia" w:ascii="宋体" w:hAnsi="宋体" w:eastAsia="宋体" w:cs="Times New Roman"/>
          <w:color w:val="000033"/>
          <w:szCs w:val="17"/>
        </w:rPr>
      </w:pPr>
      <w:r>
        <w:rPr>
          <w:rFonts w:hint="eastAsia" w:ascii="宋体" w:hAnsi="宋体" w:eastAsia="宋体" w:cs="Times New Roman"/>
          <w:color w:val="000033"/>
          <w:szCs w:val="17"/>
        </w:rPr>
        <w:t>作者应该总结所获得的</w:t>
      </w:r>
      <w:r>
        <w:rPr>
          <w:rFonts w:ascii="宋体" w:hAnsi="宋体" w:eastAsia="宋体" w:cs="Times New Roman"/>
          <w:color w:val="000033"/>
          <w:szCs w:val="17"/>
        </w:rPr>
        <w:t>CAI结果与CER政策之间联系的意义，例如碳定价（税收和限额与交易制度）和对低碳技术的补贴。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E698D"/>
    <w:multiLevelType w:val="multilevel"/>
    <w:tmpl w:val="05CE698D"/>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00581B"/>
    <w:multiLevelType w:val="multilevel"/>
    <w:tmpl w:val="1500581B"/>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D6A1B05"/>
    <w:multiLevelType w:val="multilevel"/>
    <w:tmpl w:val="1D6A1B05"/>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EFE24DC"/>
    <w:multiLevelType w:val="multilevel"/>
    <w:tmpl w:val="1EFE24DC"/>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7725638"/>
    <w:multiLevelType w:val="multilevel"/>
    <w:tmpl w:val="6772563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8D3"/>
    <w:rsid w:val="00017E8C"/>
    <w:rsid w:val="000F6CBC"/>
    <w:rsid w:val="00101530"/>
    <w:rsid w:val="001A5968"/>
    <w:rsid w:val="00220F4D"/>
    <w:rsid w:val="002C3B3B"/>
    <w:rsid w:val="005632DA"/>
    <w:rsid w:val="006D2FAB"/>
    <w:rsid w:val="008078D3"/>
    <w:rsid w:val="009D3708"/>
    <w:rsid w:val="00CC2400"/>
    <w:rsid w:val="00D92169"/>
    <w:rsid w:val="00ED4CF4"/>
    <w:rsid w:val="42C05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2833</Words>
  <Characters>7104</Characters>
  <Lines>56</Lines>
  <Paragraphs>15</Paragraphs>
  <TotalTime>743</TotalTime>
  <ScaleCrop>false</ScaleCrop>
  <LinksUpToDate>false</LinksUpToDate>
  <CharactersWithSpaces>7906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2026-03-05T03:58:00Z</dcterms:created>
  <dc:creator>admin</dc:creator>
  <cp:lastModifiedBy>c迪</cp:lastModifiedBy>
  <dcterms:modified xsi:type="dcterms:W3CDTF">2026-03-09T03:09:23Z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E1BD62AD6CE14F39A4694BE9027C0154_13</vt:lpwstr>
  </property>
</Properties>
</file>