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jc w:val="center"/>
        <w:rPr>
          <w:rFonts w:ascii="Calibri" w:cs="Calibri" w:eastAsia="Calibri" w:hAnsi="Calibri"/>
          <w:b w:val="0"/>
          <w:bCs w:val="0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666666"/>
          <w:sz w:val="22"/>
          <w:szCs w:val="22"/>
          <w:rtl w:val="0"/>
        </w:rPr>
        <w:t xml:space="preserve">FAPESP </w:t>
      </w:r>
    </w:p>
    <w:p w:rsidR="00000000" w:rsidDel="00000000" w:rsidP="00000000" w:rsidRDefault="00000000" w:rsidRPr="00000000" w14:paraId="00000002">
      <w:pPr>
        <w:spacing w:after="0" w:before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666666"/>
          <w:sz w:val="22"/>
          <w:szCs w:val="22"/>
          <w:rtl w:val="0"/>
        </w:rPr>
        <w:t xml:space="preserve">Bolsa de Iniciação Científica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120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4"/>
          <w:szCs w:val="44"/>
          <w:rtl w:val="0"/>
        </w:rPr>
        <w:t xml:space="preserve">Relatório Técnico de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1f1f"/>
          <w:sz w:val="28"/>
          <w:szCs w:val="28"/>
          <w:rtl w:val="0"/>
        </w:rPr>
        <w:t xml:space="preserve">Comparação de Métodos de Detecção e Classificação de Conteúdo Multimodal em PDFs Científicos de Agronomia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4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Projeto SB100 Agrônomo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1f1f1f"/>
          <w:sz w:val="24"/>
          <w:szCs w:val="24"/>
          <w:rtl w:val="0"/>
        </w:rPr>
        <w:t xml:space="preserve">Squad 02 Ingestão e Vetorização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7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Nicolas Alves Witzel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Sprint: 29 de abril a 13 de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São Paulo,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Sumário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spacing w:after="60" w:before="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Esta sprint endereçou quatro tarefas formais relacionadas a separação, classificação e interpretação de conteúdo multimodal extraído de PDFs científicos de agronomia, parte do pipeline de ingestão do projeto SB100 Agrônomo Virtual. Em todas as tarefas optou-se por comparar múltiplos métodos open-source e proprietários, sob o mesmo corpus, com avaliação manual humana servindo de ground truth, para subsidiar a decisão de qual combinação adotar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0"/>
        <w:spacing w:after="60" w:before="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O experimento abrangeu cinco métodos de detecção (Chandra OCR 2, PyMuPDF get_images, PyMuPDF get_drawings, GLM-OCR e LlamaParse), dois classificadores de gráficos (ChartVLM e LlamaParse) e três métodos com saída textual estruturada (Chandra, GLM-OCR e LlamaParse). Foram analisados 26 PDFs do corpus geral e um subconjunto de 10 PDFs identificados como mais difíceis para detecção. Para classificação de gráficos, foram produzidos e avaliados manualmente 170 recortes individuais.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50.9999999999997" w:tblpY="0"/>
        <w:tblW w:w="8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2085"/>
        <w:gridCol w:w="3015"/>
        <w:gridCol w:w="1515"/>
        <w:tblGridChange w:id="0">
          <w:tblGrid>
            <w:gridCol w:w="1605"/>
            <w:gridCol w:w="2085"/>
            <w:gridCol w:w="3015"/>
            <w:gridCol w:w="1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Classificação de 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≥ 2 métodos, ≥ 90% precisão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LlamaParse 91,7% lenient / 84,7% strict (n=72 Chandra)ChartVLM 50,0% lenient / 19,4% strict (n=72 Chandra)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Atendido (LlamaParse, lenient)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Classificação de tabelas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amostras, ≥ 2 métodos, ≥ 90% acerto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Detecção comparada entre 4 métodos em 10 PDFs;LlamaParse: MAE 6,3, 5/10 PDFs perfeitos, viés +2,3 (após revisão do GT)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 vide §2.2 e §3.2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Vetorização de textos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amostras, ≥ 2 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Concordância textual via Jaccard nos 10 PDFs;Chandra-GLM 0,890, GLM-LlamaParse 0,903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Separação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amostras, classificação em 4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métodos comparados em 10 PDFs;Chandra MAE 5,5 (figuras) e 5,4 (tabelas); LlamaParse MAE 6,3 (tabelas, viés +2,3)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Atendido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Resumo do atendimento aos critérios da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4"/>
          <w:szCs w:val="24"/>
          <w:rtl w:val="0"/>
        </w:rPr>
        <w:t xml:space="preserve">Principais achados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LlamaParse foi o classificador de gráficos mais preciso, atingindo 91,7% de acurácia lenient sobre crops do Chandra e 91,3% sobre crops do PyMuPDF raster superando o critério de 90% da sprint.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ChartVLM apresentou desempenho muito inferior (19,4%/14,3% strict), com falha total na classe de dispersão (0% de acertos em 16 amostras) e tendência a forçar crops não-gráficos em categorias raras (funnel, treemap).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Chandra OCR 2 é o detector com melhor relação semântica para figuras (MAE 5,5) e desempenho próximo ao LlamaParse em tabelas (MAE 5,4), mas com viés positivo maior (+4,6) por interpretar regiões de gráfico como tabelas estruturadas.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GLM-OCR (0,9B parâmetros), mesmo configurado com três prompts (Document Parsing, Table Recognition, Text Recognition), não detectou figuras como entidades visuais  limitação fundamental do modelo.</w:t>
      </w:r>
    </w:p>
    <w:p w:rsidR="00000000" w:rsidDel="00000000" w:rsidP="00000000" w:rsidRDefault="00000000" w:rsidRPr="00000000" w14:paraId="00000029">
      <w:pPr>
        <w:pStyle w:val="Heading1"/>
        <w:pageBreakBefore w:val="1"/>
        <w:spacing w:after="16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1. Contexto e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1.1 Projeto SB100 e o Pipeline da Squad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sistema SB100 Agrônomo Virtual é um assistente baseado em RAG (Retrieval-Augmented Generation) que consome um corpus de aproximadamente 150 PDFs científicos de agronomia, abrangendo citricultura, cana-de-açúcar e bioinsumos. A Squad 02 (Ingestão e Vetorização) é responsável pela primeira etapa do pipeline: extrair conteúdo textual, tabular e visual dos PDFs e produzir representações vetoriais armazenáveis em Qdrant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Documentos científicos contêm múltiplas modalidades</w:t>
      </w:r>
      <w:r w:rsidDel="00000000" w:rsidR="00000000" w:rsidRPr="00000000">
        <w:rPr>
          <w:color w:val="000000"/>
          <w:rtl w:val="0"/>
        </w:rPr>
        <w:t xml:space="preserve"> como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texto corrido, tabelas, equações, gráficos, fotografias, esquemas, logos. Tratar todas como texto plano descarta informação relevante para perguntas que envolvem dados quantitativos visuais. A Squad 04 (camada de RAG/LLM) depende dessa segmentação prévia. Esta sprint formaliza a comparação entre métodos candidatos para essa segmentação.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1.2 Tarefas Formais da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Foram definidas quatro tarefas com critérios mensuráveis: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Tarefa 1: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 pelo menos dois métodos de classificação automática de gráficos cobrindo histograma, linha, multilinha, pizza, mapa de calor, radar, multi-histograma, dispersão e categoria não definida; meta de 90% de precisão.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Tarefa 2: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 pelo menos dois métodos de interpretação e classificação de tabelas em 10 amostras; meta de 90% de acerto.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Tarefa 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 pelo menos dois métodos de classificação/vetorização de textos em 10 amostras; avaliar capacidade de representar conteúdo.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Tarefa 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Separar automaticamente conteúdos em texto, tabela, gráfico e figura em 10 amostras, com relatório de classificação, métricas e análise.</w:t>
      </w:r>
    </w:p>
    <w:p w:rsidR="00000000" w:rsidDel="00000000" w:rsidP="00000000" w:rsidRDefault="00000000" w:rsidRPr="00000000" w14:paraId="00000033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1.3 Estratégia Metodológica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Para responder às quatro tarefas em paralelo, adotou-se uma abordagem unificada de comparação multi-método sobre um único corpus, com três níveis de avaliação: (i) ground truth manual de detecção em todos os 26 PDFs do experimento; (ii) avaliação manual de classificação de gráficos em 170 recortes individuais; e (iii) métricas de concordância textual (Jaccard) entre os métodos com saída em texto/markdown.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1"/>
        <w:spacing w:after="16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2.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2.1 Corpus e Ground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Corpus principal: 26 PDFs científicos do conjunto curado da Squad 02. Subconjunto de 10 PDFs identificados como mais difíceis (com base no erro acumulado dos três primeiros métodos) foi destacado para testes adicionais.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ground truth de detecção foi construído manualmente para todos os 26 PDFs, contando separadamente: gráficos (gt_graficos), tabelas (gt_tabelas), outras imagens como fotos, logos e diagramas (gt_imagens), além de um total agregado (gt_total). A Tabela 2.1 mostra estatísticas do corpus.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0"/>
        <w:gridCol w:w="3620"/>
        <w:tblGridChange w:id="0">
          <w:tblGrid>
            <w:gridCol w:w="5680"/>
            <w:gridCol w:w="3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PDFs anotados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Subconjunto difícil (top-10)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Gráficos no GT (26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Tabelas no GT (26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Outras imagens no GT (26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Total de elementos visuais (GT)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Crops individuais classificados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2.1. Estatísticas do ground truth do experimento.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contagem de tabelas no GT passou por uma revisão dedicada ao fim da sprint, com critério explícito ("dados em linhas e colunas com cabeçalho identificável"). A revisão foi feita visualmente página a página em todos os 26 PDFs, com auxílio de um widget interativo construído para esta tarefa. A soma anterior (92 tabelas) subiu para 112; entre os 10 PDFs difíceis, apenas a contagem de Yamane (2022) mudou (13 → 14). Os números de Tab. 3.3 e Tab. 3.8 a seguir refletem o GT revisado.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2.2 Métodos Comparados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Tabela 2.2 sintetiza os métodos avaliados, seu tipo, escala de parâmetros e papel no experimento.</w:t>
      </w: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100"/>
        <w:gridCol w:w="1700"/>
        <w:gridCol w:w="2500"/>
        <w:tblGridChange w:id="0">
          <w:tblGrid>
            <w:gridCol w:w="3000"/>
            <w:gridCol w:w="2100"/>
            <w:gridCol w:w="17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 OCR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VLM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 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Detector + extrator estruturado (HTML)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PyMuPDF get_images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Heurístico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Detector raster (imagens embutidas)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PyMuPDF get_drawings + DBSCAN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Heurístico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Detector vetorial (clusters)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GLM-OCR (zai-org)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VLM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 0,9B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Extrator textual + tabular + fórmulas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Detector + classificador de crops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ChartVLM-large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VLM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≈ 13B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Classificador especializado em gráficos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2.2. Métodos avaliados na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2.3 Métricas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Foram empregadas três famílias de métricas, conforme a natureza da tarefa: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quantitativa: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 (Mean Absolute Error) e viés médio entre contagem detectada e GT manual, número de PDFs perfeitos (erro zero), número de PDFs com erro.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Classificação de crops: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Acurácia strict (1,0 se acerto exato), acurácia lenient (0,5 para acertos parciais, 1,0 para acertos exatos, 0,0 para erros), distribuição de acertos por tipo predito.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Concordância textual: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Coeficiente de Jaccard entre conjuntos de palavras normalizadas (lowercase, sem stopwords PT/EN, mínimo 2 caracteres), aplicado às dimensões texto/tabelas/equações/gráficos.</w:t>
      </w:r>
    </w:p>
    <w:p w:rsidR="00000000" w:rsidDel="00000000" w:rsidP="00000000" w:rsidRDefault="00000000" w:rsidRPr="00000000" w14:paraId="0000006F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2.4 Ambiente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Colab (Ubuntu, runtime GPU T4/L4).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3.12, PyTorch 2.x, Transformers (versão atualizada para Chandra e GLM-OCR; transformers 4.31 isolado para ChartVLM).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locais carregados via Hugging Face Hub com trust_remote_code, em bfloat16.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LlamaParse acessado via API com modo parse_page_with_lvm ("accurate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").</w:t>
      </w:r>
    </w:p>
    <w:p w:rsidR="00000000" w:rsidDel="00000000" w:rsidP="00000000" w:rsidRDefault="00000000" w:rsidRPr="00000000" w14:paraId="00000074">
      <w:pPr>
        <w:pStyle w:val="Heading1"/>
        <w:pageBreakBefore w:val="1"/>
        <w:spacing w:after="16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3. Resultados por Tarefa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3.1 Tarefa 1 Classificação de 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classificação de tipos de gráfico foi avaliada em duas etapas. Primeiro, dois detectores (Chandra OCR 2 e PyMuPDF raster) produziram crops individuais. Em seguida, cada crop foi submetido a dois classificadores especializados (ChartVLM-large e LlamaParse) que retornaram um rótulo de tipo. A avaliação manual final comparou o tipo predito com o tipo real identificado por inspeção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Total de 170 crops avaliados: 72 originados pelo Chandra e 98 pelo PyMuPDF raster. A Tabela 3.1 apresenta o resultado consolidado.</w:t>
      </w:r>
      <w:r w:rsidDel="00000000" w:rsidR="00000000" w:rsidRPr="00000000">
        <w:rPr>
          <w:rtl w:val="0"/>
        </w:rPr>
      </w:r>
    </w:p>
    <w:tbl>
      <w:tblPr>
        <w:tblStyle w:val="Table4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900"/>
        <w:gridCol w:w="540"/>
        <w:gridCol w:w="750"/>
        <w:gridCol w:w="750"/>
        <w:gridCol w:w="700"/>
        <w:gridCol w:w="1080"/>
        <w:gridCol w:w="1100"/>
        <w:tblGridChange w:id="0">
          <w:tblGrid>
            <w:gridCol w:w="1980"/>
            <w:gridCol w:w="1900"/>
            <w:gridCol w:w="540"/>
            <w:gridCol w:w="750"/>
            <w:gridCol w:w="750"/>
            <w:gridCol w:w="700"/>
            <w:gridCol w:w="108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Classificador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Detector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Acurácia 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Acurácia lenient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ChartVLM-large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ChartVLM-large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PyMuPDF raster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31,6%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84,7%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91,7%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PyMuPDF raster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86,7%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91,3%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3.1. Acurácia dos classificadores de gráficos sobre 170 crops avaliados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Observação: o LlamaParse, com seus 91,7% de acurácia lenient sobre os crops do Chandra, atende ao critério de 90% definido para esta tarefa. O ChartVLM-large, embora especializado em gráficos, falha em discriminar tipos com precisão</w:t>
      </w:r>
      <w:r w:rsidDel="00000000" w:rsidR="00000000" w:rsidRPr="00000000">
        <w:rPr>
          <w:color w:val="00000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explicação detalhada em 4.1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Cobertura por tipo de gráfico (vocabulário do edital)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Tabela 3.2 detalha a acurácia de cada classificador por tipo de gráfico, mapeando os tipos reais aos buckets do edital. Tipos com cobertura zero (multi_histograma) não foram representados no corpus.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700"/>
        <w:gridCol w:w="1450"/>
        <w:gridCol w:w="1450"/>
        <w:gridCol w:w="1450"/>
        <w:gridCol w:w="1450"/>
        <w:tblGridChange w:id="0">
          <w:tblGrid>
            <w:gridCol w:w="2700"/>
            <w:gridCol w:w="700"/>
            <w:gridCol w:w="1450"/>
            <w:gridCol w:w="1450"/>
            <w:gridCol w:w="1450"/>
            <w:gridCol w:w="1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 do edital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ChartVLM 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ChartVLM lenient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LlamaParse 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LlamaParse lenient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67,9%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87,5%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79,2%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89,6%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66,7%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83,3%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28,6%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57,1%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Mapa de calor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66,7%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n/d¹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n/d¹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Não definida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91,4%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Multi-histograma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3.2. Acurácia por tipo de gráfico do edital. ¹ ChartVLM não reconhece multilinha como categoria distinta codifica como line_chart.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Observações pontuais: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Histograma é o único tipo onde ambos os classificadores acertam 100%, mas a amostra é pequena (n=4).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ChartVLM apresenta falha catastrófica em dispersão (0% de acertos exatos em 16 crops), classificando-os majoritariamente como bubble ou heatmap.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LlamaParse atinge 100% em mapa de calor e multilinha, mostrando vocabulário mais alinhado ao do edital.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Crops não-gráficos (logo, foto, fragmento de texto) são tratados radicalmente melhor pelo LlamaParse (90% strict), porque ele possui a classe not_a_chart explícita, enquanto o ChartVLM força tudo em alguma categoria de gráfico.</w:t>
      </w:r>
    </w:p>
    <w:p w:rsidR="00000000" w:rsidDel="00000000" w:rsidP="00000000" w:rsidRDefault="00000000" w:rsidRPr="00000000" w14:paraId="000000E6">
      <w:pPr>
        <w:spacing w:after="60" w:before="12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15000" cy="26098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Figura 3.1. Detecção de elementos visuais pelos 4 métodos em 10 PDFs difíceis (eixo Y = elementos detectados; barras pretas = ground truth).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 Tarefa 2 Classificação e Interpretação de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interpretação de tabelas foi avaliada de duas formas: (i) capacidade de detectá-las nos 10 PDFs do subconjunto difícil, e (ii) qualidade da extração textual das tabelas detectadas, medida por concordância pareada (Jaccard) entre os métodos. Note-se que não foi possível avaliar acurácia individual de interpretação (&gt;90%) porque não há ground truth textual completo para cada tabela; a comparação relativa entre métodos foi adotada.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Detecção de tabelas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10 PDFs difíceis</w:t>
      </w: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1900"/>
        <w:gridCol w:w="1100"/>
        <w:gridCol w:w="1100"/>
        <w:gridCol w:w="1100"/>
        <w:gridCol w:w="1900"/>
        <w:tblGridChange w:id="0">
          <w:tblGrid>
            <w:gridCol w:w="2900"/>
            <w:gridCol w:w="1900"/>
            <w:gridCol w:w="1100"/>
            <w:gridCol w:w="1100"/>
            <w:gridCol w:w="11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Tabelas detectadas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PDFs perfeitos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+4,6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+2,3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GLM-OCR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PyMuPDF (não detecta)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3.3. Desempenho dos métodos na detecção de tabelas nos 10 PDFs difíceis (GT revisado = 50).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LlamaParse apresenta o melhor equilíbrio: menor viés (+2,3) e maior número de PDFs com contagem perfeita (5 de 10). Chandra também tem desempenho próximo, mas com viés positivo maior (+4,6) interpreta regiões de gráfico como tabelas estruturadas. GLM-OCR super-detecta drasticamente (169 tabelas contra 50 reais, viés +11,9) ao converter blocos de texto em colunas em &lt;table&gt;, gerando falsos positivos massivos. Observa-se ainda que tanto Chandra quanto LlamaParse super-detectam fortemente em dois PDFs sem tabelas (W4309496579 e grafico de radar.pdf), confirmando a hipótese de que ambos confundem gráficos densos com tabelas estruturadas.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Concordância textual nas tabelas extraídas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Tabela 3.4 mostra o Jaccard entre as tabelas extraídas pelos três métodos com saída textual estruturada.</w:t>
      </w:r>
      <w:r w:rsidDel="00000000" w:rsidR="00000000" w:rsidRPr="00000000">
        <w:rPr>
          <w:rtl w:val="0"/>
        </w:rPr>
      </w:r>
    </w:p>
    <w:tbl>
      <w:tblPr>
        <w:tblStyle w:val="Table7"/>
        <w:tblW w:w="93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6"/>
        <w:gridCol w:w="2231"/>
        <w:gridCol w:w="2231"/>
        <w:gridCol w:w="2231"/>
        <w:tblGridChange w:id="0">
          <w:tblGrid>
            <w:gridCol w:w="2616"/>
            <w:gridCol w:w="2231"/>
            <w:gridCol w:w="2231"/>
            <w:gridCol w:w="2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GLM-OCR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0,653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GLM-OCR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0,382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0,653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0,382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3.4. Jaccard médio de palavras das tabelas extraídas </w:t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10 PDFs).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Chandra e LlamaParse concordam em 65,3% das palavras de tabela a maior concordância par-a-par. GLM-OCR apresenta concordância menor (38–41%) porque sua super-detecção inclui muito texto que os outros não reconhecem como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3.3 Tarefa 3 Classificação e Vetorização de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capacidade dos métodos em extrair e representar texto foi avaliada pelo volume de texto produzido e pela concordância textual entre métodos. A análise foi feita sobre os 10 PDFs difíceis, mais que os 10 exigidos pelo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Volume textual extraído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2300"/>
        <w:gridCol w:w="1838"/>
        <w:tblGridChange w:id="0">
          <w:tblGrid>
            <w:gridCol w:w="3000"/>
            <w:gridCol w:w="2500"/>
            <w:gridCol w:w="2300"/>
            <w:gridCol w:w="1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Média de palavras/PDF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nos 10 PDFs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Razão vs Chandra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6.360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63.596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GLM-OCR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6.061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60.612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6.094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60.941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0,96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3.5. Volume textual extraído pelos 3 métodos nos 10 PDFs difíceis.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três métodos extraem volumes muito próximos de texto (variação ≤ 5%). Isso indica que para texto plano, qualquer um dos três é adequado.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Concordância textual (Jaccard)</w:t>
      </w:r>
      <w:r w:rsidDel="00000000" w:rsidR="00000000" w:rsidRPr="00000000">
        <w:rPr>
          <w:rtl w:val="0"/>
        </w:rPr>
      </w:r>
    </w:p>
    <w:tbl>
      <w:tblPr>
        <w:tblStyle w:val="Table9"/>
        <w:tblW w:w="93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6"/>
        <w:gridCol w:w="2231"/>
        <w:gridCol w:w="2231"/>
        <w:gridCol w:w="2231"/>
        <w:tblGridChange w:id="0">
          <w:tblGrid>
            <w:gridCol w:w="2616"/>
            <w:gridCol w:w="2231"/>
            <w:gridCol w:w="2231"/>
            <w:gridCol w:w="2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GLM-OCR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0,890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0,863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GLM-OCR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0,903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0,863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3.6. Jaccard médio de palavras do texto corrido </w:t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10 PDFs</w:t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Concordância elevada (86–90%) entre todos os pares, indicando consenso forte na extração textual. A divergência residual vem de diferenças de tokenização (hifenização, caracteres especiais, ordem em multi-coluna) e não de conteúdo perdido.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16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Concordância em equações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extração de equações (Tabela 3.7) revela divergência maior: GLM-OCR e LlamaParse concordam em 71,6% das equações, enquanto Chandra fica em 25–36% de concordância. O Chandra tende a representar equações usando MathML (&lt;math&gt;), enquanto GLM e LlamaParse usam LaTeX delimitado por $$...$$. A diferença não é de capacidade, mas de formato.</w:t>
      </w:r>
      <w:r w:rsidDel="00000000" w:rsidR="00000000" w:rsidRPr="00000000">
        <w:rPr>
          <w:rtl w:val="0"/>
        </w:rPr>
      </w:r>
    </w:p>
    <w:tbl>
      <w:tblPr>
        <w:tblStyle w:val="Table10"/>
        <w:tblW w:w="93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6"/>
        <w:gridCol w:w="2231"/>
        <w:gridCol w:w="2231"/>
        <w:gridCol w:w="2231"/>
        <w:tblGridChange w:id="0">
          <w:tblGrid>
            <w:gridCol w:w="2616"/>
            <w:gridCol w:w="2231"/>
            <w:gridCol w:w="2231"/>
            <w:gridCol w:w="2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GLM-OCR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0,253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GLM-OCR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0,716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3.7. Jaccard médio de equações </w:t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10 PDFs).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3.4 Tarefa 4 Separação de Conteúdo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tarefa pede separação automática em texto, tabela, gráfico e figura. Como nenhum método produz simultaneamente as quatro categorias de forma equivalente, comparou-se a soma de detecções por cada método em cada dimensão. A Tabela 3.8 sintetiza o ranking final.</w:t>
      </w:r>
      <w:r w:rsidDel="00000000" w:rsidR="00000000" w:rsidRPr="00000000">
        <w:rPr>
          <w:rtl w:val="0"/>
        </w:rPr>
      </w:r>
    </w:p>
    <w:tbl>
      <w:tblPr>
        <w:tblStyle w:val="Table11"/>
        <w:tblW w:w="9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400"/>
        <w:gridCol w:w="1100"/>
        <w:gridCol w:w="1100"/>
        <w:gridCol w:w="1100"/>
        <w:gridCol w:w="2138"/>
        <w:tblGridChange w:id="0">
          <w:tblGrid>
            <w:gridCol w:w="3000"/>
            <w:gridCol w:w="1400"/>
            <w:gridCol w:w="1100"/>
            <w:gridCol w:w="1100"/>
            <w:gridCol w:w="1100"/>
            <w:gridCol w:w="2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 (dimensão)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Detectado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PDFs perfeitos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line="2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LlamaParse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+2,3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 (img/fig)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−3,1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+4,6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PyMuPDF raster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−5,5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 (img)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−6,1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 (total)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−3,8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Chandra (total)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GLM-OCR (img/fig)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−10,0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GLM-OCR (total)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GLM-OCR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+11,9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PyMuPDF vetorial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−14,5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3.8. Ranking de detecção por dimensão nos 10 PDFs difíceis (GT revisado: 103 figuras, 50 tabelas, 153 elementos no total).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Chandra lidera empatado em duas dimensões: figuras (MAE 5,5) e tabelas (MAE 5,4). LlamaParse fica em segundo na detecção de tabelas (MAE 6,3) mas tem o menor viés (+2,3) e mais PDFs com contagem perfeita (5). PyMuPDF raster é competitivo em figuras simples mas perde em volume. GLM-OCR e PyMuPDF vetorial são ineficazes em figuras (MAE ≥ 10,0) limitações fundamentais explicadas em 4.2 e 4.4.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12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143500" cy="44386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Figura 3.2. Heatmaps de concordância (Jaccard) entre métodos em quatro dimensões textuais.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12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15000" cy="2609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Figura 3.3. Detecção de gráficos por PDF </w:t>
      </w:r>
      <w:r w:rsidDel="00000000" w:rsidR="00000000" w:rsidRPr="00000000">
        <w:rPr>
          <w:i w:val="1"/>
          <w:iCs w:val="1"/>
          <w:color w:val="000000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comparação entre métodos com saída textual e ground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pageBreakBefore w:val="1"/>
        <w:spacing w:after="16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4. Discussão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seção investiga as causas dos números observados, separando comportamentos esperados de limitações que demandam ajuste.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4.1 Por que o ChartVLM tem desempenho fraco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ChartVLM-large alcançou apenas 19,4% de acurácia strict sobre os crops do Chandra, muito abaixo do critério de 90%. Análise dos erros revela três causas estruturais: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Ausência da classe "não é gráfico":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vocabulário do ChartVLM é fechado e cobre apenas tipos de gráfico. Quando recebe um crop que não é gráfico (logo, foto, fragmento de tabela), ele força encaixe em alguma categoria, gerando classificações esdrúxulas como funnel ou treemap. Dos 170 crops, 58 foram classificados como funnel e 38 como heatmap, números desproporcionais a um corpus agronômico.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 total em scatter (dispersão):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acertos em 16 crops de dispersão. O modelo confunde dispersões com bubble e heatmap. Esta é a limitação técnica mais grave do ChartVLM identificada na sprint.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Vocabulário desalinhado: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ChartVLM não reconhece multilinha como categoria distinta</w:t>
      </w:r>
      <w:r w:rsidDel="00000000" w:rsidR="00000000" w:rsidRPr="00000000">
        <w:rPr>
          <w:color w:val="000000"/>
          <w:rtl w:val="0"/>
        </w:rPr>
        <w:t xml:space="preserve"> ele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codifica todos os multi-line como line_chart, gerando avaliações "parciais" em vez de "acertos".</w:t>
      </w:r>
    </w:p>
    <w:p w:rsidR="00000000" w:rsidDel="00000000" w:rsidP="00000000" w:rsidRDefault="00000000" w:rsidRPr="00000000" w14:paraId="000001B1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análise sugere que ChartVLM, apesar do tamanho (13B), não é adequado como classificador único para o pipeline SB100. Seu uso recomendado seria como camada secundária após filtragem por classe "é gráfico".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4.2 Por que o LlamaParse foi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LlamaParse atingiu 91,7% de acurácia lenient sobre crops do Chandra (84,7% strict). Três fatores explicam o desempenho: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generalista versus especializado: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LlamaParse é um VLM generalista de larga escala (acessado via API), enquanto ChartVLM é um modelo especializado mas menor. Para crops heterogêneos contendo gráficos e não-gráficos, o modelo generalista se sai melhor.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customizado: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LlamaParse foi configurado com prompt JSON estruturado pedindo explicitamente uma das categorias do edital (incluindo not_a_chart), eliminando a forçagem em categorias esdrúxulas.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 adequado de não-gráficos: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crops not_a_chart, LlamaParse acertou 63 de 70 (90,0% strict), mostrando capacidade de distinguir gráficos verdadeiros de logos e fotos.</w:t>
      </w:r>
    </w:p>
    <w:p w:rsidR="00000000" w:rsidDel="00000000" w:rsidP="00000000" w:rsidRDefault="00000000" w:rsidRPr="00000000" w14:paraId="000001B7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4.3 Limitações do GLM-OCR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Apesar do GLM-OCR ter sido configurado com três prompts distintos (Document Parsing, Table Recognition, Text Recognition), ele não detecta figuras como entidades visuais. Em testes diagnósticos nos 10 PDFs difíceis, o GLM produziu apenas 3 marcações ![]() —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todas duplicatas da mesma legenda. Isso indica que o GLM transcreve legendas de figuras (texto OCR) ao invés de identificar a figura como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explicação é estrutural: GLM-OCR é um modelo de 0,9 bilhão de parâmetros otimizado para OCR de texto, tabela e fórmula. Não foi treinado com objetivo de detecção de layout visual. Recomenda-se, como trabalho futuro, avaliar o GLM-4.6V-Flash (9B) da mesma família, que é um VLM generalista com capacidade explícita de parsing de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4.4 Limitações do PyMuPDF Vetorial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método PyMuPDF get_drawings + DBSCAN para detecção de gráficos vetoriais teve desempenho muito fraco (MAE 14,4; viés −14,4 em 10 PDFs). A causa é o corpus: praticamente todos os PDFs do experimento contêm gráficos rasterizados (PNG/JPG embutidos), não vetoriais. O método ficaria útil apenas para PDFs gerados diretamente por bibliotecas como matplotlib ou ggplot que preservam o gráfico em formato vetorial.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4.5 Limitação do experimento de classificação com LlamaParse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Durante a coleta inicial de classificações com LlamaParse, a quota gratuita da API foi esgotada após processamento parcial. A recuperação foi feita em duas etapas com créditos renovados, atingindo no final 170 crops processados com sucesso. Esta limitação técnica é relevante para considerações de produção: o uso intensivo de LlamaParse exigirá plano pago e monitoramento de quota.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4.6 Trade-offs entre métodos</w:t>
      </w:r>
      <w:r w:rsidDel="00000000" w:rsidR="00000000" w:rsidRPr="00000000">
        <w:rPr>
          <w:color w:val="000000"/>
          <w:rtl w:val="0"/>
        </w:rPr>
        <w:t xml:space="preserve"> 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visão pragmática para 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Considerando custo, latência, controle (local vs cloud) e capacidade, a recomendação preliminar para o pipeline SB100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de figuras e geração de crops: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Chandra OCR 2 (melhor relação semântica, evita duplicatas, gera HTML com tags claras).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e extração de tabelas: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LlamaParse (menor viés +2,3, mais PDFs perfeitos 5/10), com Chandra como alternativa local de qualidade muito próxima (MAE 5,4).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Extração de texto corrido: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um dos três (Chandra, GLM, LlamaParse) — diferença operacional menor que 5% em volume.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Classificação de tipo de gráfico: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LlamaParse (passa o critério 90%). Avaliar custo em produção.</w:t>
      </w:r>
    </w:p>
    <w:p w:rsidR="00000000" w:rsidDel="00000000" w:rsidP="00000000" w:rsidRDefault="00000000" w:rsidRPr="00000000" w14:paraId="000001C4">
      <w:pPr>
        <w:pStyle w:val="Heading1"/>
        <w:pageBreakBefore w:val="1"/>
        <w:spacing w:after="16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5. Conclusão e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sprint produziu uma comparação sistemática de cinco métodos de detecção e dois classificadores especializados sobre 26 PDFs científicos de agronomia, com avaliação manual de 170 crops de gráficos. Os critérios formais da sprint foram atendidos:</w:t>
      </w:r>
      <w:r w:rsidDel="00000000" w:rsidR="00000000" w:rsidRPr="00000000">
        <w:rPr>
          <w:rtl w:val="0"/>
        </w:rPr>
      </w:r>
    </w:p>
    <w:tbl>
      <w:tblPr>
        <w:tblStyle w:val="Table1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800"/>
        <w:tblGridChange w:id="0">
          <w:tblGrid>
            <w:gridCol w:w="550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Critério da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Tarefa 1 — ≥ 2 métodos e ≥ 90% de precisão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Atendido (LlamaParse 91,7% lenient)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Tarefa 2 — 10 amostras, ≥ 2 métodos, ≥ 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Atendido parcialmente — 4 métodos comparados, melhor MAE 5,0; acurácia textual sem GT absoluto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Tarefa 3 — 10 amostras, ≥ 2 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Atendido (3 métodos, Jaccard 86–90%)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Tarefa 4 — 10 amostras, 4 categorias,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Atendido (5 métodos × 4 dimensões)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220" w:before="60" w:lineRule="auto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Tabela 5.1. Atendimento dos critérios formais 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5.1 Achados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LlamaParse foi o melhor classificador de gráficos da sprint (91,7% lenient), atingindo o critério de 90%. Histograma, mapa de calor e multilinha tiveram 100% de acerto.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ChartVLM-large mostrou-se inadequado como classificador único (19,4% strict), com falha catastrófica em dispersão (0%) e tendência a forçar crops não-gráficos em categorias raras.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Chandra OCR 2 é o detector visual mais confiável e atinge a melhor calibração em figuras (MAE 5,5), mas tem viés positivo em tabelas (+4,6).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LlamaParse é o método mais bem calibrado em detecção de tabelas (MAE 6,3, viés apenas +2,3, 5/10 PDFs com contagem perfeita).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GLM-OCR é eficaz para texto/tabela/fórmula mas não detecta figuras como entidades, mesmo com prompt explícito — limitação do modelo, não da configuração.</w:t>
      </w:r>
    </w:p>
    <w:p w:rsidR="00000000" w:rsidDel="00000000" w:rsidP="00000000" w:rsidRDefault="00000000" w:rsidRPr="00000000" w14:paraId="000001D7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5.2 Trabalho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do GLM-4.6V-Flash: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trocar o GLM-OCR (0,9B) pelo GLM-4.6V-Flash (9B) — VLM generalista da mesma família, com capacidade de detecção de layout — para verificar ganho na detecção de figuras.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em produção: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combinação recomendada (Chandra para detecção + LlamaParse para classificação de gráficos) na pipeline da Squad 02, com monitoramento de custo de API.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Ampliação da avaliação manual: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expandir o corpus de crops avaliados manualmente, especialmente para tipos com baixa cobertura (radar, multilinha, multi-histograma).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Squad 04: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compartilhar os outputs textuais já produzidos (26 markdowns Chandra, 10 LlamaParse, 10 GLM-OCR) com a camada de RAG para benchmarks de recuperação.</w:t>
      </w:r>
    </w:p>
    <w:p w:rsidR="00000000" w:rsidDel="00000000" w:rsidP="00000000" w:rsidRDefault="00000000" w:rsidRPr="00000000" w14:paraId="000001DC">
      <w:pPr>
        <w:pStyle w:val="Heading1"/>
        <w:pageBreakBefore w:val="1"/>
        <w:spacing w:after="160" w:before="3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6. Apêndice Artefatos Gerados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Lines w:val="0"/>
        <w:spacing w:after="60" w:before="60" w:line="300" w:lineRule="auto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Todos os arquivos referenciados estão disponíveis em /MyDrive/Chandra2/output/ no Google Drive da Squad 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6.1 CSVs com Dados Quantitativos</w:t>
      </w:r>
      <w:r w:rsidDel="00000000" w:rsidR="00000000" w:rsidRPr="00000000">
        <w:rPr>
          <w:rtl w:val="0"/>
        </w:rPr>
      </w:r>
    </w:p>
    <w:tbl>
      <w:tblPr>
        <w:tblStyle w:val="Table1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3800"/>
        <w:gridCol w:w="800"/>
        <w:tblGridChange w:id="0">
          <w:tblGrid>
            <w:gridCol w:w="4700"/>
            <w:gridCol w:w="380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avaliacao_manual.csv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Ground truth manual (26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metodos_brutos.csv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Contagem por método nos 26 PDFs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ranking_metodos.csv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Ranking inicial — 3 métodos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metodos_4_brutos_top10.csv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Contagem 4 métodos (top-10)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ranking_4_metodos_top10.csv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Ranking 4 métodos (top-10)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llamaparse/comparacao_detectores.csv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 vs outros detectores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llamaparse/ranking_com_llamaparse.csv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Ranking c/ LlamaParse incluído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chartvlm_results/chartvlm_classifications.csv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170 crops classificados — ChartVLM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chartvlm_results/acuracia_por_detector.csv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Acurácia ChartVLM ×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llamaparse/llamaparse_classifications.csv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170 crops classificados — 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llamaparse/acuracia_classificacao_llamaparse.csv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Acurácia LlamaParse ×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llamaparse/qualidade_textual.csv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Volume textual Chandra vs LlamaParse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text_comparison/estatisticas_basicas_4dim.csv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Stats por método × PDF (10 PDFs × 3 métodos)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text_comparison/jaccard_texto.csv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Matriz Jaccard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3×3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text_comparison/jaccard_tabelas.csv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Matriz Jaccard tabelas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3×3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text_comparison/jaccard_equacoes.csv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Matriz Jaccard equações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7f9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3×3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="260" w:lineRule="auto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text_comparison/jaccard_graficos_texto.csv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Matriz Jaccard texto de 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="2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4×4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6.2 Outputs Textuais dos Detectores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chandra/&lt;pdf_stem&gt;/ — 26 HTMLs, 26 markdowns, 26 metadata JSONs.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glm_ocr/&lt;pdf_stem&gt;/output.md — 10 markdowns (10 PDFs difíceis).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llamaparse/&lt;pdf_stem&gt;/ — 10 markdowns + JSON de páginas brutas.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chartvlm_results/ — crops classificados + planilha de avaliação.</w:t>
      </w:r>
    </w:p>
    <w:p w:rsidR="00000000" w:rsidDel="00000000" w:rsidP="00000000" w:rsidRDefault="00000000" w:rsidRPr="00000000" w14:paraId="0000021A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6.3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comparacao_4_metodos_top10.png — barras GT vs 4 métodos nos 10 PDFs.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text_comparison/heatmaps_4dim.png — matrizes Jaccard em 4 dimensões.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text_comparison/graficos_quantidade_por_pdf.png — detecção de gráficos por PDF.</w:t>
      </w:r>
    </w:p>
    <w:p w:rsidR="00000000" w:rsidDel="00000000" w:rsidP="00000000" w:rsidRDefault="00000000" w:rsidRPr="00000000" w14:paraId="0000021E">
      <w:pPr>
        <w:pStyle w:val="Heading2"/>
        <w:spacing w:after="110" w:before="220" w:lineRule="auto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6.4 Notebooks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comparacao_3_metodos_avaliacao_corrigido.ipynb — N1, detecção em 26 PDFs.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N2_comparacao_4_metodos_top10_glm_corrigido.ipynb — N2, 4 métodos nos 10 PDFs difíceis (GLM com 3 prompts).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chartvlm_classifier.ipynb — N3, classificação de crops via ChartVLM.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llamaparse_detector_classifier.ipynb — N4, detecção e classificação via LlamaParse.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comparacao_qualidade_4dim.ipynb — N5, análise final agregada.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1f1f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