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PROJETO SB100 </w:t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AGRÔNOMO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Iniciação Científica FAPESP · Squad 02 Ingestão e Vetorização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Avaliação Técnica do Chandra OCR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Viabilidade de Integração ao Pipeline Multimodal RAG do SB100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Nicolas Alves Witzel da Silva · 22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Visão Geral do Chandra OCR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Chandra OCR 2, desenvolvido pela Data Lab, é um modelo de estado da arte projetado para converter documentos em PDF e imagens em formatos estruturados, convertendo documentos para os formatos Markdown, HTML e JSON com preservação de informações de layout,. O modelo suporta mais de 90 idiomas, com foco especial em desempenho multilíngue, e apresenta capacidades avançadas para tabelas, equações matemáticas, formulários, manuscritos e layouts complexos com múltiplas colunas.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Para o projeto SB100, o modelo destaca-se por superar alternativas amplamente utilizadas como Tesseract, DeepSeek OCR e Gemini Flash na precisão de extração de documentos científicos. O repositório oficial e o playground estão disponíveis nos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GitHub: </w:t>
      </w:r>
      <w:hyperlink r:id="rId6">
        <w:r w:rsidDel="00000000" w:rsidR="00000000" w:rsidRPr="00000000">
          <w:rPr>
            <w:rFonts w:ascii="Arial" w:cs="Arial" w:eastAsia="Arial" w:hAnsi="Arial"/>
            <w:color w:val="1565c0"/>
            <w:sz w:val="22"/>
            <w:szCs w:val="22"/>
            <w:u w:val="single"/>
            <w:rtl w:val="0"/>
          </w:rPr>
          <w:t xml:space="preserve">https://github.com/datalab-to/chandra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after="12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Playground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color w:val="1565c0"/>
            <w:sz w:val="22"/>
            <w:szCs w:val="22"/>
            <w:u w:val="single"/>
            <w:rtl w:val="0"/>
          </w:rPr>
          <w:t xml:space="preserve">https://www.datalab.to/playground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Desempenho em Português e Contexto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Chandra OCR 2 apresenta desempenho superior em língua portuguesa em relação aos principais modelos avaliados. A tabela a seguir apresenta os dados do benchmark multilíngue oficial da Data Lab para o idioma português (pt), que testa tabelas, matemática, ordenação, layout e precisão textual: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410"/>
        <w:gridCol w:w="1410"/>
        <w:gridCol w:w="1410"/>
        <w:gridCol w:w="1410"/>
        <w:tblGridChange w:id="0">
          <w:tblGrid>
            <w:gridCol w:w="3000"/>
            <w:gridCol w:w="1410"/>
            <w:gridCol w:w="1410"/>
            <w:gridCol w:w="1410"/>
            <w:gridCol w:w="14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Datalab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Chandra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GPT-5 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Precisão em PT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97,0%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95,2%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89,4%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90,8%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Tabela 1. Benchmark multilíngue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 idioma português (pt). Fonte: Data Lab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 artigos científicos (benchmark olmocr), o Chandra 2 obteve pontuação geral de 85,9, com 90,2 em documentos ArXiv. A tabela abaixo apresenta os principais resultados do benchmark olmocr com os modelos relevantes para o projeto: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080"/>
        <w:gridCol w:w="1080"/>
        <w:gridCol w:w="1080"/>
        <w:gridCol w:w="1080"/>
        <w:gridCol w:w="1080"/>
        <w:gridCol w:w="840"/>
        <w:tblGridChange w:id="0">
          <w:tblGrid>
            <w:gridCol w:w="2400"/>
            <w:gridCol w:w="1080"/>
            <w:gridCol w:w="1080"/>
            <w:gridCol w:w="1080"/>
            <w:gridCol w:w="1080"/>
            <w:gridCol w:w="1080"/>
            <w:gridCol w:w="8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ArXiv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Multi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Texto pequeno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Datalab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83,7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99,9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86,7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Chandra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89,9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83,5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92,1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99,6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85,9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olmOCR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84,9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83,7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99,6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82,4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DeepSeek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79,7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66,7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99,7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75,4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Mistral OCR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77,2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77,1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99,4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53,5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69,3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96,8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69,9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Gemini Flash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54,5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72,1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95,6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63,8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Tabela 2. Benchmark olmocr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 seleção dos modelos mais relevantes para o projeto SB100. Fonte: Data Lab e olmocr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Chandra 2 é especialmente robusto no tratamento de múltiplas colunas, textos em corpo reduzido e equações matemáticas, elementos recorrentes nos periódicos acadêmicos de citricultura, cana-de-açúcar e bioinsumos que compõem o corpus do SB100.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Funcionalidades Relevantes para o SB100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 base na documentação oficial do Chandra OCR 2, as seguintes funcionalidades são diretamente relevantes para o pipeline do Squad 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Conversão para Markdown, HTML e JSON com informações detalhadas de layout, sendo compatível com o fluxo de chunking e indexação no Qdrant.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a 90+ idiomas, com desempenho verificado em português (95,2%), espanhol (89,3%) e inglês, cobrindo os três idiomas do corpus SB100.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Extração e salvamento automático de imagens e diagramas separadamente do texto, com geração de legendas e dados estruturados associados, representando potencial substituto ou complemento ao filtro OpenCV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Forte desempenho em tabelas, equações matemáticas e layouts complexos com múltiplas colunas, melhorando a qualidade dos chunks de artigos científicos.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a manuscritos e formulários com alta precisão, sendo relevante para documentos de campo agrícola eventualmente incluídos no corpus.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Impacto na Arquitetura do Pipeline Squad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4.1 Script 1 Extração e Indexação de 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substituição ou complementação do Tesseract via Docling pelo Chandra OCR 2 no Script 1 traria os seguintes benefícios diretos: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Saída estruturada nativa em Markdown e JSON com metadados de layout, eliminando etapas de pós-processamento para conversão de tabelas ao Qdrant.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Precisão superior em equações matemáticas comparado ao Tesseract, vital para artigos técnicos de adubação e fisiologia vegetal.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Melhor desempenho em layouts de múltiplas colunas, reduzindo artefatos de OCR e melhorando a qualidade dos chunks gerados.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via CLI direta: chandra input.pdf ./output gera automaticamente os arquivos .md, .html e _metadata.json prontos para vetorização.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4.2 Scripts 2 e 3 Processamento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funcionalidade de extração isolada de figuras com legendas e dados estruturados é especialmente relevante para o pipeline multimodal: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Chandra extrai imagens e diagramas separadamente, salvando-os no diretório de saída com metadados estruturados e legendas geradas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pré-processamento pode enriquecer o contexto enviado ao Gemini 3.1 Pro Vision no Script 2, facilitando a extração de séries e valores numéricos de gráficos agronômicos.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combinação Chandra (extração e legendagem estruturada) + Gemini (descrição semântica detalhada) representa uma arquitetura de dois estágios potencialmente superior à abordagem atual de filtro OpenCV + Gemini.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Implementação Técnica e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Chandra OCR 2 suporta dois modos de inferência relevantes para o contexto do Squad 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Inferência local via HuggingFace (pip install chandra-ocr[hf]): carregamento direto do modelo no Google Colab com suporte a torch e transformers. Recomenda-se instalar flash attention para melhor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vLLM com Docker (chandra_vllm): modo otimizado para processamento em lote. Benchmarked em GPU H100 com throughput de 1,44 páginas/segundo em cenários de alta complexidade e estimativa de 2,0 páginas/segundo em uso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integração no Script 1 consistiria em substituir a chamada ao Docling/Tesseract pelo comando CLI do Chandra: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12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chandra input.pdf ./output --method hf --include-images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Cada PDF processado gera automaticamente um subdiretório com: arquivo .md, arquivo .html, metadados em JSON e imagens extraídas, com estrutura diretamente compatível com o pipeline de ingestão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5.1 Opções CLI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--method [hf|vllm]: modo de inferência (padrão: vllm)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--page-range TEXT: intervalo de páginas para PDFs (ex: 1-5,7,9-12)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--max-workers INTEGER: workers paralelos para vLLM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--include-images / --no-images: extrair e salvar imagens (padrão: incluir)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--batch-size INTEGER: páginas por lote (padrão: 28 para vllm, 1 para hf)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5.2 Licenciamento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código do Chandra OCR 2 é distribuído sob licença Apache 2.0. Os pesos do modelo utilizam a licença OpenRAIL-M, gratuita para pesquisa, uso pessoal e startups com faturamento ou investimento inferior a US$ 2 milhões, desde que o uso não concorra diretamente com a API comercial da Data Lab. O projeto SB100, como iniciação científica FAPESP de caráter acadêmico, enquadra-se plenamente nos termos de uso gratuito.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5.3 Requisitos Mínimos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Os requisitos de sistema foram levantados a partir do arquivo pyproject.toml oficial do repositório (versão 0.2.0) e de relatos da comunidade no HuggingFace e GitHub Issues. Eles variam conforme o modo de inferência escolhido.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cccccc" w:space="0" w:sz="1" w:val="single"/>
          <w:left w:color="cccccc" w:space="0" w:sz="1" w:val="single"/>
          <w:bottom w:color="cccccc" w:space="0" w:sz="1" w:val="single"/>
          <w:right w:color="cccccc" w:space="0" w:sz="1" w:val="single"/>
          <w:insideH w:color="cccccc" w:space="0" w:sz="1" w:val="single"/>
          <w:insideV w:color="cccccc" w:space="0" w:sz="1" w:val="single"/>
        </w:tblBorders>
        <w:tblLayout w:type="fixed"/>
        <w:tblLook w:val="0000"/>
      </w:tblPr>
      <w:tblGrid>
        <w:gridCol w:w="2400"/>
        <w:gridCol w:w="3120"/>
        <w:gridCol w:w="3120"/>
        <w:tblGridChange w:id="0">
          <w:tblGrid>
            <w:gridCol w:w="2400"/>
            <w:gridCol w:w="3120"/>
            <w:gridCol w:w="3120"/>
          </w:tblGrid>
        </w:tblGridChange>
      </w:tblGrid>
      <w:tr>
        <w:trPr>
          <w:cantSplit w:val="1"/>
          <w:tblHeader w:val="0"/>
        </w:trPr>
        <w:tc>
          <w:tcPr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Modo HuggingFace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Modo vLLM (servidor)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3.10 ou superior (pyproject.toml)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3.10 ou superior (pyproject.toml)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4-8 GB (documentos simples); 16 GB+ recomendado para PDFs longos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 requisito especial no cliente; GPU server tem requisitos separados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GPU / VRAM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6-8 GB VRAM funcional; 8-12 GB recomendado. Modelo tem 4B parametros e ~8 GB de download. Colab gratuito (T4, 15 GB) pode ser insuficiente para PDFs longos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GPU NVIDIA com Docker (Linux obrigatorio). H100 recomendado para producao (benchmark oficial: 1,44 pag/s)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macOS, Linux ou Windows (testado em macOS Apple Silicon e Ubuntu)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Linux com suporte NVIDIA Docker (obrigatorio para vLLM)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Dependencias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torch&gt;=2.8.0, transformers&gt;=5.2.0, accelerate&gt;=1.11.0, pillow&gt;=10.2.0, pypdfium2&gt;=4.30.0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openai&gt;=2.2.0, pillow&gt;=10.2.0, pypdfium2&gt;=4.30.0 (sem torch no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Compatibilidade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T4 gratuito (15 GB VRAM): risco para PDFs longos. A100 Pro (40 GB): adequado. A validar empiricamente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Nao aplicavel (requer Docker Linux com GPU dedicada)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before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2"/>
          <w:szCs w:val="22"/>
          <w:rtl w:val="0"/>
        </w:rPr>
        <w:t xml:space="preserve">Tabela 4. Requisitos minimos de sistema por modo de inferencia. Fontes: pyproject.toml v0.2.0 (github.com/datalab-to/chandra), HuggingFace Discussions e relatos da comunidade GitHub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requisito de VRAM e o principal ponto de atencao para o projeto SB100. Relatos da comunidade indicam consumo de ate 18,9 GB em PDFs de 340 paginas em GPU RTX 5090, e um usuario reportou demanda de 36 GB em tentativas no Kaggle. O modelo possui 4 bilhoes de parametros com aproximadamente 8 GB de download. Para o contexto do Squad 02, que opera em Google Colab gratuito com GPU T4 (15 GB VRAM), o modo HuggingFace pode funcionar para PDFs curtos, mas representa risco para documentos mais longos do corpus. Essa limitacao reforca a necessidade de um experimento piloto antes de qualquer decisao de migracao.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Analise Comparativa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Docling + Tesseract (atual)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Chandra OCR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Precisão em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~85–90% (estimativa)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95,2–97,0% (benchmark)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Artigos científicos (ArXiv)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 benchmarked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90,2 (benchmark olmocr)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Tabelas complexas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Limitado (cabeçalhos multilinha)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89,9 (benchmark olmocr)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Múltiplas 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Satisfatório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83,5 (benchmark olmocr)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Equações matemáticas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Superior (89,3 old scans math)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Extração de figuras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PyMuPDF + OpenCV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Nativo com legendas e metadados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Saída para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Requer pós-processamento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Markdown/JSON 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Gratuito (open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Gratuito (OpenRAIL-M + Apache 2.0)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Compatibilidade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HuggingFace (pip install, a validar)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Tabela 3. Comparação entre a abordagem atual do pipeline e o Chandra OCR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 Conclusão e 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Chandra OCR 2 representa uma alternativa tecnicamente superior ao Tesseract/Docling para o corpus do SB100 em quase todos os critérios avaliados: precisão em português (95,2% vs ~85–90% estimado), extração de tabelas complexas, preservação de layout e geração de saída estruturada para RAG. A funcionalidade de extração isolada de figuras com metadados e legendas é especialmente relevante para o pipeline multimodal, podendo simplificar ou substituir o filtro OpenCV e enriquecer o contexto enviado ao Gemini.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Recomenda-se conduzir um experimento comparativo em um subconjunto de 5 a 10 PDFs do corpus, com foco especialmente em artigos com tabelas de dados experimentais e múltiplas figuras, para validar empiricamente o ganho de qualidade e a compatibilidade com o ambiente Google Colab antes de uma adoção plena. Caso os resultados confirmem os benchmarks publicados, a migração justifica-se tanto pelo ganho de precisão quanto pela simplificação arquitetural do Script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 Lab.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Chandra OCR 2 README e Benchmarks.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GitHub: </w:t>
      </w:r>
      <w:hyperlink r:id="rId8">
        <w:r w:rsidDel="00000000" w:rsidR="00000000" w:rsidRPr="00000000">
          <w:rPr>
            <w:rFonts w:ascii="Arial" w:cs="Arial" w:eastAsia="Arial" w:hAnsi="Arial"/>
            <w:color w:val="1565c0"/>
            <w:sz w:val="22"/>
            <w:szCs w:val="22"/>
            <w:u w:val="single"/>
            <w:rtl w:val="0"/>
          </w:rPr>
          <w:t xml:space="preserve">https://github.com/datalab-to/chandra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 Lab. (2026).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Datalab Hosted API and Playground.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Disponível em: </w:t>
      </w:r>
      <w:hyperlink r:id="rId9">
        <w:r w:rsidDel="00000000" w:rsidR="00000000" w:rsidRPr="00000000">
          <w:rPr>
            <w:rFonts w:ascii="Arial" w:cs="Arial" w:eastAsia="Arial" w:hAnsi="Arial"/>
            <w:color w:val="1565c0"/>
            <w:sz w:val="22"/>
            <w:szCs w:val="22"/>
            <w:u w:val="single"/>
            <w:rtl w:val="0"/>
          </w:rPr>
          <w:t xml:space="preserve">https://www.datalab.to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lab.to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atalab-to/chandra" TargetMode="External"/><Relationship Id="rId7" Type="http://schemas.openxmlformats.org/officeDocument/2006/relationships/hyperlink" Target="https://www.datalab.to/playground" TargetMode="External"/><Relationship Id="rId8" Type="http://schemas.openxmlformats.org/officeDocument/2006/relationships/hyperlink" Target="https://github.com/datalab-to/chan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