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00000"/>
          <w:sz w:val="36"/>
          <w:szCs w:val="36"/>
        </w:rPr>
        <w:t xml:space="preserve">Métodos de Indexação e Recuperação Multimodal</w:t>
      </w:r>
    </w:p>
    <w:p>
      <w:pPr>
        <w:spacing w:after="120"/>
        <w:jc w:val="center"/>
      </w:pPr>
      <w:r>
        <w:rPr>
          <w:b/>
          <w:bCs/>
          <w:color w:val="000000"/>
          <w:sz w:val="32"/>
          <w:szCs w:val="32"/>
        </w:rPr>
        <w:t xml:space="preserve">para o Sistema SB100 — Agrônomo Virtual</w:t>
      </w:r>
    </w:p>
    <w:p>
      <w:pPr>
        <w:spacing w:after="360"/>
        <w:jc w:val="center"/>
      </w:pPr>
      <w:r>
        <w:rPr>
          <w:i/>
          <w:iCs/>
          <w:sz w:val="22"/>
          <w:szCs w:val="22"/>
        </w:rPr>
        <w:t xml:space="preserve">Squad 02 — Ingestão e Vetorização</w:t>
      </w:r>
      <w:r>
        <w:rPr>
          <w:sz w:val="22"/>
          <w:szCs w:val="22"/>
        </w:rPr>
        <w:t xml:space="preserve">    |    </w:t>
      </w:r>
      <w:r>
        <w:rPr>
          <w:i/>
          <w:iCs/>
          <w:sz w:val="22"/>
          <w:szCs w:val="22"/>
        </w:rPr>
        <w:t xml:space="preserve">Versão preliminar para revisão da Squad 04</w:t>
      </w:r>
    </w:p>
    <w:p>
      <w:pPr>
        <w:pBdr>
          <w:left w:val="single" w:color="666666" w:sz="18" w:space="8"/>
        </w:pBdr>
        <w:shd w:fill="F2F2F2" w:val="clear"/>
        <w:spacing w:after="160" w:line="280"/>
        <w:ind w:left="200"/>
      </w:pPr>
      <w:r>
        <w:rPr>
          <w:b/>
          <w:bCs/>
          <w:sz w:val="20"/>
          <w:szCs w:val="20"/>
        </w:rPr>
        <w:t xml:space="preserve">Nota: </w:t>
      </w:r>
      <w:r>
        <w:rPr>
          <w:sz w:val="20"/>
          <w:szCs w:val="20"/>
        </w:rPr>
        <w:t xml:space="preserve">Esta seção é um draft de "Métodos" para integração no artigo da Squad 04. As referências marcadas com (verificar) devem ter ano, venue e DOI conferidos antes da submissão. Algumas técnicas (semantic, sliding) são práticas estabelecidas sem paper canônico único e estão descritas como tal.</w:t>
      </w:r>
    </w:p>
    <w:p>
      <w:pPr>
        <w:pStyle w:val="Heading1"/>
      </w:pPr>
      <w:r>
        <w:t xml:space="preserve">1. Visão Geral do Pipeline</w:t>
      </w:r>
    </w:p>
    <w:p>
      <w:pPr>
        <w:spacing w:after="120" w:line="320"/>
        <w:jc w:val="both"/>
      </w:pPr>
      <w:r>
        <w:t xml:space="preserve">O sistema de recuperação do SB100 consome um corpus de aproximadamente 150 PDFs científicos de agronomia (citricultura, bioinsumos, cana-de-açúcar) e expõe esse conhecimento a um chatbot via </w:t>
      </w:r>
      <w:r>
        <w:rPr>
          <w:i/>
          <w:iCs/>
        </w:rPr>
        <w:t xml:space="preserve">Retrieval-Augmented Generation</w:t>
      </w:r>
      <w:r>
        <w:t xml:space="preserve"> [1]. O pipeline foi estruturado em três etapas independentes e idempotentes: (i) extração textual e tabular do PDF com OCR multilíngue; (ii) descrição automática de figuras (gráficos, diagramas, tabelas-imagem) por modelo de visão; (iii) chunking, vetorização e indexação em banco vetorial. Esta seção descreve as decisões metodológicas de cada etapa, com ênfase nas estratégias de segmentação (chunking) avaliadas experimentalmente.</w:t>
      </w:r>
    </w:p>
    <w:p>
      <w:pPr>
        <w:pStyle w:val="Heading1"/>
      </w:pPr>
      <w:r>
        <w:t xml:space="preserve">2. Extração e Pré-processamento</w:t>
      </w:r>
    </w:p>
    <w:p>
      <w:pPr>
        <w:pStyle w:val="Heading2"/>
      </w:pPr>
      <w:r>
        <w:t xml:space="preserve">2.1 Conversão de PDF e OCR</w:t>
      </w:r>
    </w:p>
    <w:p>
      <w:pPr>
        <w:spacing w:after="120" w:line="320"/>
        <w:jc w:val="both"/>
      </w:pPr>
      <w:r>
        <w:t xml:space="preserve">A extração textual é realizada com a biblioteca </w:t>
      </w:r>
      <w:r>
        <w:rPr>
          <w:i/>
          <w:iCs/>
        </w:rPr>
        <w:t xml:space="preserve">Docling</w:t>
      </w:r>
      <w:r>
        <w:t xml:space="preserve"> [2], que reconhece a estrutura de documentos científicos (títulos, parágrafos, tabelas, listas) e expõe o resultado como um grafo tipado de elementos com proveniência (página, bounding box). Para PDFs escaneados ou parcialmente vetoriais, é aplicado OCR via </w:t>
      </w:r>
      <w:r>
        <w:rPr>
          <w:i/>
          <w:iCs/>
        </w:rPr>
        <w:t xml:space="preserve">Tesseract CLI</w:t>
      </w:r>
      <w:r>
        <w:t xml:space="preserve"> com modelos para português, inglês e espanhol em modo </w:t>
      </w:r>
      <w:r>
        <w:rPr>
          <w:rFonts w:ascii="Consolas" w:cs="Consolas" w:eastAsia="Consolas" w:hAnsi="Consolas"/>
        </w:rPr>
        <w:t xml:space="preserve">force_full_page_ocr</w:t>
      </w:r>
      <w:r>
        <w:t xml:space="preserve">, garantindo cobertura uniforme. Os blocos extraídos preservam o rótulo estrutural (</w:t>
      </w:r>
      <w:r>
        <w:rPr>
          <w:rFonts w:ascii="Consolas" w:cs="Consolas" w:eastAsia="Consolas" w:hAnsi="Consolas"/>
        </w:rPr>
        <w:t xml:space="preserve">title, section_header, text, table</w:t>
      </w:r>
      <w:r>
        <w:t xml:space="preserve">), informação utilizada posteriormente pela estratégia de chunking estrutural-semântico.</w:t>
      </w:r>
    </w:p>
    <w:p>
      <w:pPr>
        <w:pStyle w:val="Heading2"/>
      </w:pPr>
      <w:r>
        <w:t xml:space="preserve">2.2 Tabelas: vetorização dual</w:t>
      </w:r>
    </w:p>
    <w:p>
      <w:pPr>
        <w:spacing w:after="120" w:line="320"/>
        <w:jc w:val="both"/>
      </w:pPr>
      <w:r>
        <w:t xml:space="preserve">Tabelas são tratadas em duas representações complementares. A primeira preserva a tabela em </w:t>
      </w:r>
      <w:r>
        <w:rPr>
          <w:i/>
          <w:iCs/>
        </w:rPr>
        <w:t xml:space="preserve">Markdown</w:t>
      </w:r>
      <w:r>
        <w:t xml:space="preserve"> (sintaxe original com pipes e separadores), útil para queries que mencionam estrutura tabular explicitamente. A segunda converte a tabela em </w:t>
      </w:r>
      <w:r>
        <w:rPr>
          <w:i/>
          <w:iCs/>
        </w:rPr>
        <w:t xml:space="preserve">texto natural</w:t>
      </w:r>
      <w:r>
        <w:t xml:space="preserve"> no formato "Tabela com colunas: X, Y, Z. Linha 1: X = a; Y = b; Z = c.", facilitando o casamento por embeddings densos e por modelos esparsos lexicais. Cada tabela é, portanto, indexada como dois pontos distintos no banco vetorial, e a fusão dos sinais ocorre na etapa de busca.</w:t>
      </w:r>
    </w:p>
    <w:p>
      <w:pPr>
        <w:pStyle w:val="Heading2"/>
      </w:pPr>
      <w:r>
        <w:t xml:space="preserve">2.3 Figuras: descrição multimodal</w:t>
      </w:r>
    </w:p>
    <w:p>
      <w:pPr>
        <w:spacing w:after="120" w:line="320"/>
        <w:jc w:val="both"/>
      </w:pPr>
      <w:r>
        <w:t xml:space="preserve">Páginas contendo gráficos, diagramas e fotografias são processadas por filtro de três camadas em OpenCV (cor HSV, densidade de preenchimento e direção de bordas Sobel) para detectar regiões com conteúdo visual relevante. As imagens filtradas são submetidas a um modelo de visão (Gemini 3.1 Pro Preview) com schema estruturado de extração que captura: tipo de figura, variáveis e unidades, séries de dados, valores numéricos extraídos (incluindo equações de regressão e pontos ótimos quando presentes), tendência e conclusão principal. O texto resultante é serializado em formato canônico e vetorizado como ponto independente no banco.</w:t>
      </w:r>
    </w:p>
    <w:p>
      <w:pPr>
        <w:pBdr>
          <w:left w:val="single" w:color="666666" w:sz="18" w:space="8"/>
        </w:pBdr>
        <w:shd w:fill="F2F2F2" w:val="clear"/>
        <w:spacing w:after="160" w:line="280"/>
        <w:ind w:left="200"/>
      </w:pPr>
      <w:r>
        <w:rPr>
          <w:b/>
          <w:bCs/>
          <w:sz w:val="20"/>
          <w:szCs w:val="20"/>
        </w:rPr>
        <w:t xml:space="preserve">Nota: </w:t>
      </w:r>
      <w:r>
        <w:rPr>
          <w:sz w:val="20"/>
          <w:szCs w:val="20"/>
        </w:rPr>
        <w:t xml:space="preserve">A dependência de API externa para descrição de figuras é uma limitação reconhecida; trabalho em curso avalia substituição por modelo local de visão-linguagem para reduzir custo e latência.</w:t>
      </w:r>
    </w:p>
    <w:p>
      <w:pPr>
        <w:pStyle w:val="Heading1"/>
      </w:pPr>
      <w:r>
        <w:t xml:space="preserve">3. Estratégias de Chunking</w:t>
      </w:r>
    </w:p>
    <w:p>
      <w:pPr>
        <w:spacing w:after="120" w:line="320"/>
        <w:jc w:val="both"/>
      </w:pPr>
      <w:r>
        <w:t xml:space="preserve">A escolha da granularidade de segmentação afeta diretamente a qualidade da recuperação em sistemas RAG: chunks muito grandes diluem o sinal semântico em vetores médios, enquanto chunks muito pequenos perdem contexto necessário para desambiguação [5]. Não há consenso sobre a estratégia ótima, e o desempenho depende fortemente do domínio e do tipo de consulta. Avaliamos sete estratégias em treze configurações distintas sobre o mesmo documento (Boletim Técnico 100, IAC), descritas a seguir.</w:t>
      </w:r>
    </w:p>
    <w:p>
      <w:pPr>
        <w:pStyle w:val="Heading2"/>
      </w:pPr>
      <w:r>
        <w:t xml:space="preserve">3.1 Fixed (caracteres)</w:t>
      </w:r>
    </w:p>
    <w:p>
      <w:pPr>
        <w:spacing w:after="120" w:line="320"/>
        <w:jc w:val="both"/>
      </w:pPr>
      <w:r>
        <w:t xml:space="preserve">Segmentação por número fixo de caracteres com sobreposição configurável e quebra alinhada ao espaço em branco mais próximo, evitando truncamento de palavras. Constitui o </w:t>
      </w:r>
      <w:r>
        <w:rPr>
          <w:i/>
          <w:iCs/>
        </w:rPr>
        <w:t xml:space="preserve">baseline</w:t>
      </w:r>
      <w:r>
        <w:t xml:space="preserve"> da literatura de RAG [1, 3]. Avaliamos três configurações: 512/128, 1024/256 e 2048/0 caracteres (tamanho/sobreposição).</w:t>
      </w:r>
    </w:p>
    <w:p>
      <w:pPr>
        <w:pStyle w:val="Heading2"/>
      </w:pPr>
      <w:r>
        <w:t xml:space="preserve">3.2 Fixed-token</w:t>
      </w:r>
    </w:p>
    <w:p>
      <w:pPr>
        <w:spacing w:after="120" w:line="320"/>
        <w:jc w:val="both"/>
      </w:pPr>
      <w:r>
        <w:t xml:space="preserve">Variante da estratégia anterior em que a unidade é o </w:t>
      </w:r>
      <w:r>
        <w:rPr>
          <w:i/>
          <w:iCs/>
        </w:rPr>
        <w:t xml:space="preserve">token do tokenizador do modelo de embedding</w:t>
      </w:r>
      <w:r>
        <w:t xml:space="preserve">, não o caractere. Garante que nenhum chunk exceda o limite de contexto do encoder (relevante para textos em português, cuja taxa de compressão tokenizador-caractere difere significativamente do inglês). Configuração avaliada: 256 tokens com sobreposição de 128.</w:t>
      </w:r>
    </w:p>
    <w:p>
      <w:pPr>
        <w:pStyle w:val="Heading2"/>
      </w:pPr>
      <w:r>
        <w:t xml:space="preserve">3.3 Semantic</w:t>
      </w:r>
    </w:p>
    <w:p>
      <w:pPr>
        <w:spacing w:after="120" w:line="320"/>
        <w:jc w:val="both"/>
      </w:pPr>
      <w:r>
        <w:t xml:space="preserve">Segmentação que respeita fronteiras naturais do texto (parágrafos e sentenças identificados pelo Docling), agrupando sentenças contíguas até atingir um teto de tamanho. A divisão sentencial usa expressão regular ajustada para português com whitelist de abreviações relevantes ao domínio (taxonômicas: </w:t>
      </w:r>
      <w:r>
        <w:rPr>
          <w:rFonts w:ascii="Consolas" w:cs="Consolas" w:eastAsia="Consolas" w:hAnsi="Consolas"/>
        </w:rPr>
        <w:t xml:space="preserve">cv., var., sp., spp., subsp.</w:t>
      </w:r>
      <w:r>
        <w:t xml:space="preserve">; bibliográficas: </w:t>
      </w:r>
      <w:r>
        <w:rPr>
          <w:rFonts w:ascii="Consolas" w:cs="Consolas" w:eastAsia="Consolas" w:hAnsi="Consolas"/>
        </w:rPr>
        <w:t xml:space="preserve">Fig., Tab., et al.</w:t>
      </w:r>
      <w:r>
        <w:t xml:space="preserve">). Não há paper canônico único para esta classe; a prática foi consolidada na comunidade de RAG e em ferramentas como o LangChain. Três configurações: sem teto, com teto de 512/256 e 1024/256 caracteres.</w:t>
      </w:r>
    </w:p>
    <w:p>
      <w:pPr>
        <w:pStyle w:val="Heading2"/>
      </w:pPr>
      <w:r>
        <w:t xml:space="preserve">3.4 Structural-Semantic</w:t>
      </w:r>
    </w:p>
    <w:p>
      <w:pPr>
        <w:spacing w:after="120" w:line="320"/>
        <w:jc w:val="both"/>
      </w:pPr>
      <w:r>
        <w:t xml:space="preserve">Aproveita a hierarquia explícita detectada pelo Docling (rótulos </w:t>
      </w:r>
      <w:r>
        <w:rPr>
          <w:rFonts w:ascii="Consolas" w:cs="Consolas" w:eastAsia="Consolas" w:hAnsi="Consolas"/>
        </w:rPr>
        <w:t xml:space="preserve">title, section_header, page_header</w:t>
      </w:r>
      <w:r>
        <w:t xml:space="preserve">) para agrupar conteúdo por seção. Cada seção é tratada como unidade primária; o título da seção é prefixado nos chunks resultantes para preservar contexto durante a recuperação. Quando o Docling detecta poucos cabeçalhos para um documento longo, recorre-se a um </w:t>
      </w:r>
      <w:r>
        <w:rPr>
          <w:i/>
          <w:iCs/>
        </w:rPr>
        <w:t xml:space="preserve">fallback</w:t>
      </w:r>
      <w:r>
        <w:t xml:space="preserve"> que cria seções virtuais a cada ~4.000 caracteres. Duas configurações: sem teto (uma seção = um chunk) e com teto de 1024/256 sobre semantic interno.</w:t>
      </w:r>
    </w:p>
    <w:p>
      <w:pPr>
        <w:pStyle w:val="Heading2"/>
      </w:pPr>
      <w:r>
        <w:t xml:space="preserve">3.5 Recursive</w:t>
      </w:r>
    </w:p>
    <w:p>
      <w:pPr>
        <w:spacing w:after="120" w:line="320"/>
        <w:jc w:val="both"/>
      </w:pPr>
      <w:r>
        <w:t xml:space="preserve">Algoritmo em cascata popularizado pelo </w:t>
      </w:r>
      <w:r>
        <w:rPr>
          <w:rFonts w:ascii="Consolas" w:cs="Consolas" w:eastAsia="Consolas" w:hAnsi="Consolas"/>
        </w:rPr>
        <w:t xml:space="preserve">RecursiveCharacterTextSplitter</w:t>
      </w:r>
      <w:r>
        <w:t xml:space="preserve"> do LangChain [4]. Tenta separadores em ordem de prioridade decrescente — parágrafos (</w:t>
      </w:r>
      <w:r>
        <w:rPr>
          <w:rFonts w:ascii="Consolas" w:cs="Consolas" w:eastAsia="Consolas" w:hAnsi="Consolas"/>
        </w:rPr>
        <w:t xml:space="preserve">\n\n</w:t>
      </w:r>
      <w:r>
        <w:t xml:space="preserve">), linhas (</w:t>
      </w:r>
      <w:r>
        <w:rPr>
          <w:rFonts w:ascii="Consolas" w:cs="Consolas" w:eastAsia="Consolas" w:hAnsi="Consolas"/>
        </w:rPr>
        <w:t xml:space="preserve">\n</w:t>
      </w:r>
      <w:r>
        <w:t xml:space="preserve">), sentenças (</w:t>
      </w:r>
      <w:r>
        <w:rPr>
          <w:rFonts w:ascii="Consolas" w:cs="Consolas" w:eastAsia="Consolas" w:hAnsi="Consolas"/>
        </w:rPr>
        <w:t xml:space="preserve">. </w:t>
      </w:r>
      <w:r>
        <w:t xml:space="preserve">), palavras (espaço) — recorrendo ao próximo separador apenas quando o anterior produz fragmentos que excedem o teto. Resulta em chunks de tamanho aproximadamente uniforme com fronteiras melhor alinhadas à estrutura textual que </w:t>
      </w:r>
      <w:r>
        <w:rPr>
          <w:i/>
          <w:iCs/>
        </w:rPr>
        <w:t xml:space="preserve">fixed</w:t>
      </w:r>
      <w:r>
        <w:t xml:space="preserve">. Configurações: 512/128 e 1024/256.</w:t>
      </w:r>
    </w:p>
    <w:p>
      <w:pPr>
        <w:pStyle w:val="Heading2"/>
      </w:pPr>
      <w:r>
        <w:t xml:space="preserve">3.6 Sliding window</w:t>
      </w:r>
    </w:p>
    <w:p>
      <w:pPr>
        <w:spacing w:after="120" w:line="320"/>
        <w:jc w:val="both"/>
      </w:pPr>
      <w:r>
        <w:t xml:space="preserve">Variante de </w:t>
      </w:r>
      <w:r>
        <w:rPr>
          <w:i/>
          <w:iCs/>
        </w:rPr>
        <w:t xml:space="preserve">fixed</w:t>
      </w:r>
      <w:r>
        <w:t xml:space="preserve"> com sobreposição muito alta (75% do tamanho do chunk). A redundância elevada aumenta a probabilidade de que qualquer fato relevante esteja contido integralmente em pelo menos um chunk, ao custo de inflar o número total de pontos indexados. É técnica clássica de recuperação de informação, sem paper único de origem. Configuração: 512 caracteres com sobreposição de 384.</w:t>
      </w:r>
    </w:p>
    <w:p>
      <w:pPr>
        <w:pStyle w:val="Heading2"/>
      </w:pPr>
      <w:r>
        <w:t xml:space="preserve">3.7 Proposition</w:t>
      </w:r>
    </w:p>
    <w:p>
      <w:pPr>
        <w:spacing w:after="120" w:line="320"/>
        <w:jc w:val="both"/>
      </w:pPr>
      <w:r>
        <w:t xml:space="preserve">Cada sentença é tratada como uma proposição atômica e indexada como chunk independente. A motivação vem de Chen et al. [5], que demonstram que unidades de granularidade fina ("propositions") melhoram a recuperação de fatos pontuais quando comparadas a passagens. O paper original utiliza um LLM para decompor texto em afirmações; adotamos a aproximação padrão da literatura de baseline — </w:t>
      </w:r>
      <w:r>
        <w:rPr>
          <w:i/>
          <w:iCs/>
        </w:rPr>
        <w:t xml:space="preserve">uma sentença ≈ uma proposição</w:t>
      </w:r>
      <w:r>
        <w:t xml:space="preserve"> — para evitar dependência adicional de API externa. Tabelas são preservadas como chunks únicos (uma tabela representa um fato multidimensional, não N fatos sentenciais). Configuração única: granularidade automática, sem sobreposição.</w:t>
      </w:r>
    </w:p>
    <w:p>
      <w:pPr>
        <w:pStyle w:val="Heading2"/>
      </w:pPr>
      <w:r>
        <w:t xml:space="preserve">3.8 Sumário das configurações</w:t>
      </w:r>
    </w:p>
    <w:p>
      <w:pPr>
        <w:spacing w:after="120" w:line="320"/>
        <w:jc w:val="both"/>
      </w:pPr>
      <w:r>
        <w:t xml:space="preserve">A Tabela 1 sintetiza o conjunto experimental: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W w:type="dxa" w:w="24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Estratégia</w:t>
            </w:r>
          </w:p>
        </w:tc>
        <w:tc>
          <w:tcPr>
            <w:tcW w:type="dxa" w:w="15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Tamanho</w:t>
            </w:r>
          </w:p>
        </w:tc>
        <w:tc>
          <w:tcPr>
            <w:tcW w:type="dxa" w:w="15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Sobreposição</w:t>
            </w:r>
          </w:p>
        </w:tc>
        <w:tc>
          <w:tcPr>
            <w:tcW w:type="dxa" w:w="15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Unidade</w:t>
            </w:r>
          </w:p>
        </w:tc>
        <w:tc>
          <w:tcPr>
            <w:tcW w:type="dxa" w:w="246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Referência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Fixed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512 / 1024 / 2048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128 / 256 / 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char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Fixed-token</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256</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128</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token</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Semantic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auto / 512 / 1024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 / 256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char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Prática estabelecida</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Struct-sem</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auto / 1024</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0 / 256</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char</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Estrutura do doc.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Recursive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512 / 1024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128 / 256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char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Sliding</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512</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384 (75%)</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center"/>
            </w:pPr>
            <w:r>
              <w:rPr>
                <w:rFonts w:ascii="Consolas" w:cs="Consolas" w:eastAsia="Consolas" w:hAnsi="Consolas"/>
                <w:sz w:val="20"/>
                <w:szCs w:val="20"/>
              </w:rPr>
              <w:t xml:space="preserve">char</w:t>
            </w:r>
          </w:p>
        </w:tc>
        <w:tc>
          <w:tcPr>
            <w:tcW w:type="dxa" w:w="2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jc w:val="left"/>
            </w:pPr>
            <w:r>
              <w:rPr>
                <w:rFonts w:ascii="Arial" w:cs="Arial" w:eastAsia="Arial" w:hAnsi="Arial"/>
                <w:sz w:val="20"/>
                <w:szCs w:val="20"/>
              </w:rPr>
              <w:t xml:space="preserve">Padrão de 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Proposition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auto (sentença)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onsolas" w:cs="Consolas" w:eastAsia="Consolas" w:hAnsi="Consolas"/>
                <w:sz w:val="20"/>
                <w:szCs w:val="20"/>
              </w:rPr>
              <w:t xml:space="preserve">char</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w:t>
            </w:r>
          </w:p>
        </w:tc>
      </w:tr>
    </w:tbl>
    <w:p>
      <w:pPr>
        <w:spacing w:after="80"/>
      </w:pPr>
    </w:p>
    <w:p>
      <w:pPr>
        <w:spacing w:after="240"/>
        <w:jc w:val="center"/>
      </w:pPr>
      <w:r>
        <w:rPr>
          <w:i/>
          <w:iCs/>
          <w:sz w:val="20"/>
          <w:szCs w:val="20"/>
        </w:rPr>
        <w:t xml:space="preserve">Tabela 1. Treze configurações de chunking avaliadas, agrupadas por estratégia.</w:t>
      </w:r>
    </w:p>
    <w:p>
      <w:pPr>
        <w:pStyle w:val="Heading1"/>
      </w:pPr>
      <w:r>
        <w:t xml:space="preserve">4. Vetorização e Indexação</w:t>
      </w:r>
    </w:p>
    <w:p>
      <w:pPr>
        <w:pStyle w:val="Heading2"/>
      </w:pPr>
      <w:r>
        <w:t xml:space="preserve">4.1 Embeddings densos</w:t>
      </w:r>
    </w:p>
    <w:p>
      <w:pPr>
        <w:spacing w:after="120" w:line="320"/>
        <w:jc w:val="both"/>
      </w:pPr>
      <w:r>
        <w:t xml:space="preserve">Cada chunk é codificado em um vetor denso de 1024 dimensões pelo modelo </w:t>
      </w:r>
      <w:r>
        <w:rPr>
          <w:i/>
          <w:iCs/>
        </w:rPr>
        <w:t xml:space="preserve">Qwen3-Embedding-0.6B</w:t>
      </w:r>
      <w:r>
        <w:t xml:space="preserve"> [6], escolhido por (i) suporte multilíngue robusto incluindo português, (ii) tamanho compatível com inferência em ambiente Colab/CPU sem GPU dedicada, e (iii) desempenho competitivo no MTEB. A similaridade utilizada na busca é o cosseno.</w:t>
      </w:r>
    </w:p>
    <w:p>
      <w:pPr>
        <w:pStyle w:val="Heading2"/>
      </w:pPr>
      <w:r>
        <w:t xml:space="preserve">4.2 Embeddings esparsos</w:t>
      </w:r>
    </w:p>
    <w:p>
      <w:pPr>
        <w:spacing w:after="120" w:line="320"/>
        <w:jc w:val="both"/>
      </w:pPr>
      <w:r>
        <w:t xml:space="preserve">Em paralelo ao vetor denso, cada chunk é codificado por um modelo esparso neural — </w:t>
      </w:r>
      <w:r>
        <w:rPr>
          <w:i/>
          <w:iCs/>
        </w:rPr>
        <w:t xml:space="preserve">OpenSearch Neural Sparse Encoding Doc v2 Distill</w:t>
      </w:r>
      <w:r>
        <w:t xml:space="preserve"> [7, 8] — que produz uma distribuição esparsa sobre o vocabulário do tokenizador, semelhante a SPLADE. A representação esparsa preserva sensibilidade a termos lexicais raros e jargão técnico (nomes de cultivares, princípios ativos, taxonomia), complementando a representação densa, que tende a suavizar termos de baixa frequência.</w:t>
      </w:r>
    </w:p>
    <w:p>
      <w:pPr>
        <w:pStyle w:val="Heading2"/>
      </w:pPr>
      <w:r>
        <w:t xml:space="preserve">4.3 Banco vetorial e busca híbrida</w:t>
      </w:r>
    </w:p>
    <w:p>
      <w:pPr>
        <w:spacing w:after="120" w:line="320"/>
        <w:jc w:val="both"/>
      </w:pPr>
      <w:r>
        <w:t xml:space="preserve">Os pontos são armazenados no Qdrant Cloud (região sa-east-1) em coleções com schema dual: vetor denso nomeado </w:t>
      </w:r>
      <w:r>
        <w:rPr>
          <w:rFonts w:ascii="Consolas" w:cs="Consolas" w:eastAsia="Consolas" w:hAnsi="Consolas"/>
        </w:rPr>
        <w:t xml:space="preserve">vetor_denso</w:t>
      </w:r>
      <w:r>
        <w:t xml:space="preserve"> e vetor esparso nomeado </w:t>
      </w:r>
      <w:r>
        <w:rPr>
          <w:rFonts w:ascii="Consolas" w:cs="Consolas" w:eastAsia="Consolas" w:hAnsi="Consolas"/>
        </w:rPr>
        <w:t xml:space="preserve">vetor_esparso</w:t>
      </w:r>
      <w:r>
        <w:t xml:space="preserve">. A busca em produção utiliza fusão </w:t>
      </w:r>
      <w:r>
        <w:rPr>
          <w:i/>
          <w:iCs/>
        </w:rPr>
        <w:t xml:space="preserve">Reciprocal Rank Fusion</w:t>
      </w:r>
      <w:r>
        <w:t xml:space="preserve"> (RRF) [9] entre as duas listas ranqueadas: cada query é codificada pelos dois modelos, são recuperados os 20 vizinhos mais próximos em cada espaço, e o ranking final é obtido pela soma dos rank reciprocals. RRF foi escolhido por sua simplicidade, ausência de hiperparâmetros sensíveis e robustez empírica documentada em diversos benchmarks.</w:t>
      </w:r>
    </w:p>
    <w:p>
      <w:pPr>
        <w:pStyle w:val="Heading1"/>
      </w:pPr>
      <w:r>
        <w:t xml:space="preserve">5. Configuração Experimental</w:t>
      </w:r>
    </w:p>
    <w:p>
      <w:pPr>
        <w:spacing w:after="120" w:line="320"/>
        <w:jc w:val="both"/>
      </w:pPr>
      <w:r>
        <w:t xml:space="preserve">Para o experimento de comparação de chunking, todas as treze configurações foram aplicadas ao mesmo documento de referência — Boletim Técnico 100 do Instituto Agronômico (IAC, 2022) sobre adubação e calagem para citros. A escolha de um documento técnico extenso e bem estruturado (3.239 blocos extraídos, 334 cabeçalhos detectados) maximiza a sensibilidade do experimento a diferenças de estratégia. Cada configuração foi indexada em uma coleção independente do Qdrant (mesmo schema, mesmos modelos de embedding), permitindo comparação direta de métricas de recuperação sem confundimento por outros componentes do pipeline.</w:t>
      </w:r>
    </w:p>
    <w:p>
      <w:pPr>
        <w:spacing w:after="120" w:line="320"/>
        <w:jc w:val="both"/>
      </w:pPr>
      <w:r>
        <w:t xml:space="preserve">A avaliação comparativa proposta utiliza um conjunto de queries-gabarito (pergunta natural + chunk relevante esperado), com métricas </w:t>
      </w:r>
      <w:r>
        <w:rPr>
          <w:i/>
          <w:iCs/>
        </w:rPr>
        <w:t xml:space="preserve">Recall@k</w:t>
      </w:r>
      <w:r>
        <w:t xml:space="preserve"> (k = 5, 10) e </w:t>
      </w:r>
      <w:r>
        <w:rPr>
          <w:i/>
          <w:iCs/>
        </w:rPr>
        <w:t xml:space="preserve">Mean Reciprocal Rank</w:t>
      </w:r>
      <w:r>
        <w:t xml:space="preserve"> (MRR), padrão na literatura de retrieval [1]. A construção do conjunto de avaliação é o trabalho subsequente proposto à Squad 04.</w:t>
      </w:r>
    </w:p>
    <w:p>
      <w:pPr>
        <w:pStyle w:val="Heading1"/>
      </w:pPr>
      <w:r>
        <w:t xml:space="preserve">6. Referências</w:t>
      </w:r>
    </w:p>
    <w:p>
      <w:pPr>
        <w:spacing w:after="80" w:line="280"/>
        <w:ind w:left="720" w:hanging="720"/>
      </w:pPr>
      <w:r>
        <w:rPr>
          <w:b/>
          <w:bCs/>
        </w:rPr>
        <w:t xml:space="preserve">[1] </w:t>
      </w:r>
      <w:r>
        <w:t xml:space="preserve">LEWIS, P.; PEREZ, E.; PIKTUS, A. et al. Retrieval-Augmented Generation for Knowledge-Intensive NLP Tasks. Advances in Neural Information Processing Systems (NeurIPS), v. 33, 2020.</w:t>
      </w:r>
    </w:p>
    <w:p>
      <w:pPr>
        <w:spacing w:after="80" w:line="280"/>
        <w:ind w:left="720" w:hanging="720"/>
      </w:pPr>
      <w:r>
        <w:rPr>
          <w:b/>
          <w:bCs/>
        </w:rPr>
        <w:t xml:space="preserve">[2] </w:t>
      </w:r>
      <w:r>
        <w:t xml:space="preserve">AUER, C.; LIVATHINOS, N.; STAAR, P. et al. Docling Technical Report. IBM Research, 2024. arXiv:2408.09869. (verificar venue final)</w:t>
      </w:r>
    </w:p>
    <w:p>
      <w:pPr>
        <w:spacing w:after="80" w:line="280"/>
        <w:ind w:left="720" w:hanging="720"/>
      </w:pPr>
      <w:r>
        <w:rPr>
          <w:b/>
          <w:bCs/>
        </w:rPr>
        <w:t xml:space="preserve">[3] </w:t>
      </w:r>
      <w:r>
        <w:t xml:space="preserve">KARPUKHIN, V.; OĞUZ, B.; MIN, S. et al. Dense Passage Retrieval for Open-Domain Question Answering. Proceedings of EMNLP, 2020.</w:t>
      </w:r>
    </w:p>
    <w:p>
      <w:pPr>
        <w:spacing w:after="80" w:line="280"/>
        <w:ind w:left="720" w:hanging="720"/>
      </w:pPr>
      <w:r>
        <w:rPr>
          <w:b/>
          <w:bCs/>
        </w:rPr>
        <w:t xml:space="preserve">[4] </w:t>
      </w:r>
      <w:r>
        <w:t xml:space="preserve">LANGCHAIN. RecursiveCharacterTextSplitter — Documentação oficial. Disponível em: https://python.langchain.com. Acesso em: abr. 2026.</w:t>
      </w:r>
    </w:p>
    <w:p>
      <w:pPr>
        <w:spacing w:after="80" w:line="280"/>
        <w:ind w:left="720" w:hanging="720"/>
      </w:pPr>
      <w:r>
        <w:rPr>
          <w:b/>
          <w:bCs/>
        </w:rPr>
        <w:t xml:space="preserve">[5] </w:t>
      </w:r>
      <w:r>
        <w:t xml:space="preserve">CHEN, T.; ZHANG, H.; ZHANG, X. et al. Dense X Retrieval: What Retrieval Granularity Should We Use? Proceedings of EMNLP, 2024. arXiv:2312.06648. (verificar venue final)</w:t>
      </w:r>
    </w:p>
    <w:p>
      <w:pPr>
        <w:spacing w:after="80" w:line="280"/>
        <w:ind w:left="720" w:hanging="720"/>
      </w:pPr>
      <w:r>
        <w:rPr>
          <w:b/>
          <w:bCs/>
        </w:rPr>
        <w:t xml:space="preserve">[6] </w:t>
      </w:r>
      <w:r>
        <w:t xml:space="preserve">QWEN TEAM (ALIBABA). Qwen3 Embedding Technical Report, 2025. (verificar referência exata: tech report ou model card no Hugging Face)</w:t>
      </w:r>
    </w:p>
    <w:p>
      <w:pPr>
        <w:spacing w:after="80" w:line="280"/>
        <w:ind w:left="720" w:hanging="720"/>
      </w:pPr>
      <w:r>
        <w:rPr>
          <w:b/>
          <w:bCs/>
        </w:rPr>
        <w:t xml:space="preserve">[7] </w:t>
      </w:r>
      <w:r>
        <w:t xml:space="preserve">FORMAL, T.; PIWOWARSKI, B.; CLINCHANT, S. SPLADE: Sparse Lexical and Expansion Model for First Stage Ranking. Proceedings of SIGIR, 2021.</w:t>
      </w:r>
    </w:p>
    <w:p>
      <w:pPr>
        <w:spacing w:after="80" w:line="280"/>
        <w:ind w:left="720" w:hanging="720"/>
      </w:pPr>
      <w:r>
        <w:rPr>
          <w:b/>
          <w:bCs/>
        </w:rPr>
        <w:t xml:space="preserve">[8] </w:t>
      </w:r>
      <w:r>
        <w:t xml:space="preserve">FORMAL, T.; LASSANCE, C.; PIWOWARSKI, B.; CLINCHANT, S. From Distillation to Hard Negative Sampling: Making Sparse Neural IR Models More Effective. Proceedings of SIGIR, 2022.</w:t>
      </w:r>
    </w:p>
    <w:p>
      <w:pPr>
        <w:spacing w:after="80" w:line="280"/>
        <w:ind w:left="720" w:hanging="720"/>
      </w:pPr>
      <w:r>
        <w:rPr>
          <w:b/>
          <w:bCs/>
        </w:rPr>
        <w:t xml:space="preserve">[9] </w:t>
      </w:r>
      <w:r>
        <w:t xml:space="preserve">CORMACK, G. V.; CLARKE, C. L. A.; BUETTCHER, S. Reciprocal Rank Fusion outperforms Condorcet and individual Rank Learning Methods. Proceedings of SIGIR, 2009.</w:t>
      </w:r>
    </w:p>
    <w:p>
      <w:pPr>
        <w:spacing w:after="80" w:line="280"/>
        <w:ind w:left="720" w:hanging="720"/>
      </w:pPr>
      <w:r>
        <w:rPr>
          <w:b/>
          <w:bCs/>
        </w:rPr>
        <w:t xml:space="preserve">[10] </w:t>
      </w:r>
      <w:r>
        <w:t xml:space="preserve">REIMERS, N.; GUREVYCH, I. Sentence-BERT: Sentence Embeddings using Siamese BERT-Networks. Proceedings of EMNLP,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4"/>
      </w:pBdr>
      <w:spacing w:after="18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SB100 - Métodos de Indexação e Recuperação</dc:title>
  <dc:creator>Squad 02 - Ingestão e Vetorização</dc:creator>
  <cp:lastModifiedBy>Un-named</cp:lastModifiedBy>
  <cp:revision>1</cp:revision>
  <dcterms:created xsi:type="dcterms:W3CDTF">2026-04-28T20:27:34.554Z</dcterms:created>
  <dcterms:modified xsi:type="dcterms:W3CDTF">2026-04-28T20:27:34.555Z</dcterms:modified>
</cp:coreProperties>
</file>

<file path=docProps/custom.xml><?xml version="1.0" encoding="utf-8"?>
<Properties xmlns="http://schemas.openxmlformats.org/officeDocument/2006/custom-properties" xmlns:vt="http://schemas.openxmlformats.org/officeDocument/2006/docPropsVTypes"/>
</file>