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color w:val="000000"/>
          <w:sz w:val="36"/>
          <w:szCs w:val="36"/>
          <w:rtl w:val="0"/>
        </w:rPr>
        <w:t xml:space="preserve">Validação Quantitativa do Pipeline de Vetorização</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Calibri" w:cs="Calibri" w:eastAsia="Calibri" w:hAnsi="Calibri"/>
          <w:color w:val="000000"/>
          <w:sz w:val="26"/>
          <w:szCs w:val="26"/>
          <w:rtl w:val="0"/>
        </w:rPr>
        <w:t xml:space="preserve">Metodologia OmniDocBench aplicada ao Boletim 100</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Calibri" w:cs="Calibri" w:eastAsia="Calibri" w:hAnsi="Calibri"/>
          <w:i w:val="1"/>
          <w:iCs w:val="1"/>
          <w:color w:val="000000"/>
          <w:sz w:val="22"/>
          <w:szCs w:val="22"/>
          <w:rtl w:val="0"/>
        </w:rPr>
        <w:t xml:space="preserve">SB100  Agrônomo Virtual  •  Squad 02 (Ingestão e Vetorização)</w:t>
      </w:r>
      <w:r w:rsidDel="00000000" w:rsidR="00000000" w:rsidRPr="00000000">
        <w:rPr>
          <w:rtl w:val="0"/>
        </w:rPr>
      </w:r>
    </w:p>
    <w:p w:rsidR="00000000" w:rsidDel="00000000" w:rsidP="00000000" w:rsidRDefault="00000000" w:rsidRPr="00000000" w14:paraId="00000004">
      <w:pPr>
        <w:pStyle w:val="Heading1"/>
        <w:spacing w:after="200" w:before="360" w:lineRule="auto"/>
        <w:rPr/>
      </w:pPr>
      <w:r w:rsidDel="00000000" w:rsidR="00000000" w:rsidRPr="00000000">
        <w:rPr>
          <w:rFonts w:ascii="Calibri" w:cs="Calibri" w:eastAsia="Calibri" w:hAnsi="Calibri"/>
          <w:b w:val="1"/>
          <w:bCs w:val="1"/>
          <w:color w:val="000000"/>
          <w:sz w:val="32"/>
          <w:szCs w:val="32"/>
          <w:rtl w:val="0"/>
        </w:rPr>
        <w:t xml:space="preserve">1. Contexto</w:t>
      </w:r>
      <w:r w:rsidDel="00000000" w:rsidR="00000000" w:rsidRPr="00000000">
        <w:rPr>
          <w:rtl w:val="0"/>
        </w:rPr>
      </w:r>
    </w:p>
    <w:p w:rsidR="00000000" w:rsidDel="00000000" w:rsidP="00000000" w:rsidRDefault="00000000" w:rsidRPr="00000000" w14:paraId="00000005">
      <w:pPr>
        <w:spacing w:after="120" w:line="300" w:lineRule="auto"/>
        <w:jc w:val="both"/>
        <w:rPr/>
      </w:pPr>
      <w:r w:rsidDel="00000000" w:rsidR="00000000" w:rsidRPr="00000000">
        <w:rPr>
          <w:rFonts w:ascii="Calibri" w:cs="Calibri" w:eastAsia="Calibri" w:hAnsi="Calibri"/>
          <w:sz w:val="22"/>
          <w:szCs w:val="22"/>
          <w:rtl w:val="0"/>
        </w:rPr>
        <w:t xml:space="preserve">O Squad 02 é responsável por extrair, estruturar e vetorizar o conteúdo de aproximadamente 150 PDFs científicos sobre citricultura, cana-de-açúcar e bioinsumos. O pipeline atual é composto por três scripts independentes: o Script 1 utiliza Docling com Tesseract CLI para extração de texto e tabelas, com chunking fixo de 1024 caracteres e overlap de 256; o Script 2 envia páginas com figuras para Gemini Vision para descrição rica; e o Script 3 vetoriza tudo no Qdrant Cloud com modelo denso (Qwen3-Embedding) e esparso (SPLADE).</w:t>
      </w:r>
      <w:r w:rsidDel="00000000" w:rsidR="00000000" w:rsidRPr="00000000">
        <w:rPr>
          <w:rtl w:val="0"/>
        </w:rPr>
      </w:r>
    </w:p>
    <w:p w:rsidR="00000000" w:rsidDel="00000000" w:rsidP="00000000" w:rsidRDefault="00000000" w:rsidRPr="00000000" w14:paraId="00000006">
      <w:pPr>
        <w:spacing w:after="120" w:line="300" w:lineRule="auto"/>
        <w:jc w:val="both"/>
        <w:rPr/>
      </w:pPr>
      <w:r w:rsidDel="00000000" w:rsidR="00000000" w:rsidRPr="00000000">
        <w:rPr>
          <w:rFonts w:ascii="Calibri" w:cs="Calibri" w:eastAsia="Calibri" w:hAnsi="Calibri"/>
          <w:sz w:val="22"/>
          <w:szCs w:val="22"/>
          <w:rtl w:val="0"/>
        </w:rPr>
        <w:t xml:space="preserve">Até o presente momento, a qualidade do pipeline era aferida apenas pela percepção subjetiva da busca semântica "as respostas parecem boas". Esse critério é frágil e não atende ao rigor científico esperado por um relatório FAPESP. A partir das referências bibliográficas indicadas pela orientação externa (OmniDocBench, DocLayNet, DocBank, RoDLA), foi conduzida uma campanha de validação quantitativa cujos resultados são apresentados neste documento.</w:t>
      </w:r>
      <w:r w:rsidDel="00000000" w:rsidR="00000000" w:rsidRPr="00000000">
        <w:rPr>
          <w:rtl w:val="0"/>
        </w:rPr>
      </w:r>
    </w:p>
    <w:p w:rsidR="00000000" w:rsidDel="00000000" w:rsidP="00000000" w:rsidRDefault="00000000" w:rsidRPr="00000000" w14:paraId="00000007">
      <w:pPr>
        <w:pStyle w:val="Heading1"/>
        <w:spacing w:after="200" w:before="360" w:lineRule="auto"/>
        <w:rPr/>
      </w:pPr>
      <w:r w:rsidDel="00000000" w:rsidR="00000000" w:rsidRPr="00000000">
        <w:rPr>
          <w:rFonts w:ascii="Calibri" w:cs="Calibri" w:eastAsia="Calibri" w:hAnsi="Calibri"/>
          <w:b w:val="1"/>
          <w:bCs w:val="1"/>
          <w:color w:val="000000"/>
          <w:sz w:val="32"/>
          <w:szCs w:val="32"/>
          <w:rtl w:val="0"/>
        </w:rPr>
        <w:t xml:space="preserve">2. Metodologia</w:t>
      </w:r>
      <w:r w:rsidDel="00000000" w:rsidR="00000000" w:rsidRPr="00000000">
        <w:rPr>
          <w:rtl w:val="0"/>
        </w:rPr>
      </w:r>
    </w:p>
    <w:p w:rsidR="00000000" w:rsidDel="00000000" w:rsidP="00000000" w:rsidRDefault="00000000" w:rsidRPr="00000000" w14:paraId="00000008">
      <w:pPr>
        <w:spacing w:after="120" w:line="300" w:lineRule="auto"/>
        <w:jc w:val="both"/>
        <w:rPr/>
      </w:pPr>
      <w:r w:rsidDel="00000000" w:rsidR="00000000" w:rsidRPr="00000000">
        <w:rPr>
          <w:rFonts w:ascii="Calibri" w:cs="Calibri" w:eastAsia="Calibri" w:hAnsi="Calibri"/>
          <w:sz w:val="22"/>
          <w:szCs w:val="22"/>
          <w:rtl w:val="0"/>
        </w:rPr>
        <w:t xml:space="preserve">A validação foi estruturada em três métricas complementares, todas inspiradas no benchmark OmniDocBench v1.6 e no dataset DocLayNet. A escolha priorizou métricas implementáveis sem dependências externas pesadas (Docker, TeX Live, ImageMagick), de forma a obter resultados imediatos antes de partir para validações mais custosas como TEDS e CDM.</w:t>
      </w:r>
      <w:r w:rsidDel="00000000" w:rsidR="00000000" w:rsidRPr="00000000">
        <w:rPr>
          <w:rtl w:val="0"/>
        </w:rPr>
      </w:r>
    </w:p>
    <w:p w:rsidR="00000000" w:rsidDel="00000000" w:rsidP="00000000" w:rsidRDefault="00000000" w:rsidRPr="00000000" w14:paraId="00000009">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2.1 Normalized Edit Distance (NED)</w:t>
      </w:r>
      <w:r w:rsidDel="00000000" w:rsidR="00000000" w:rsidRPr="00000000">
        <w:rPr>
          <w:rtl w:val="0"/>
        </w:rPr>
      </w:r>
    </w:p>
    <w:p w:rsidR="00000000" w:rsidDel="00000000" w:rsidP="00000000" w:rsidRDefault="00000000" w:rsidRPr="00000000" w14:paraId="0000000A">
      <w:pPr>
        <w:spacing w:after="120" w:line="300" w:lineRule="auto"/>
        <w:jc w:val="both"/>
        <w:rPr/>
      </w:pPr>
      <w:r w:rsidDel="00000000" w:rsidR="00000000" w:rsidRPr="00000000">
        <w:rPr>
          <w:rFonts w:ascii="Calibri" w:cs="Calibri" w:eastAsia="Calibri" w:hAnsi="Calibri"/>
          <w:sz w:val="22"/>
          <w:szCs w:val="22"/>
          <w:rtl w:val="0"/>
        </w:rPr>
        <w:t xml:space="preserve">A primeira métrica corresponde à fórmula central do OmniDocBench para avaliação de OCR: Score = (1 − NED) × 100. O cálculo é feito comparando o texto extraído pelo pipeline de produção (Docling + Tesseract) com um ground truth obtido via PyMuPDF (fitz), que extrai o texto vetorial embutido no PDF sem realizar OCR. Quando o PDF possui texto embutido, essa abordagem fornece uma referência de alta qualidade sem necessidade de anotação manual.</w:t>
      </w:r>
      <w:r w:rsidDel="00000000" w:rsidR="00000000" w:rsidRPr="00000000">
        <w:rPr>
          <w:rtl w:val="0"/>
        </w:rPr>
      </w:r>
    </w:p>
    <w:p w:rsidR="00000000" w:rsidDel="00000000" w:rsidP="00000000" w:rsidRDefault="00000000" w:rsidRPr="00000000" w14:paraId="0000000B">
      <w:pPr>
        <w:spacing w:after="120"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implementação utiliza </w:t>
      </w:r>
      <w:r w:rsidDel="00000000" w:rsidR="00000000" w:rsidRPr="00000000">
        <w:rPr>
          <w:rFonts w:ascii="Consolas" w:cs="Consolas" w:eastAsia="Consolas" w:hAnsi="Consolas"/>
          <w:b w:val="0"/>
          <w:bCs w:val="0"/>
          <w:i w:val="0"/>
          <w:iCs w:val="0"/>
          <w:sz w:val="22"/>
          <w:szCs w:val="22"/>
          <w:shd w:fill="f2f2f2" w:val="clear"/>
          <w:rtl w:val="0"/>
        </w:rPr>
        <w:t xml:space="preserve">SequenceMatcher</w:t>
      </w:r>
      <w:r w:rsidDel="00000000" w:rsidR="00000000" w:rsidRPr="00000000">
        <w:rPr>
          <w:rFonts w:ascii="Calibri" w:cs="Calibri" w:eastAsia="Calibri" w:hAnsi="Calibri"/>
          <w:sz w:val="22"/>
          <w:szCs w:val="22"/>
          <w:rtl w:val="0"/>
        </w:rPr>
        <w:t xml:space="preserve"> da biblioteca padrão do Python para calcular a razão de similaridade entre as duas strings normalizadas (Unicode NFKC, espaços colapsados, minúsculas). O score é calculado por página, permitindo identificar não apenas a fidelidade média do OCR, mas também as páginas problemáticas que exigem investigação.</w:t>
      </w:r>
    </w:p>
    <w:p w:rsidR="00000000" w:rsidDel="00000000" w:rsidP="00000000" w:rsidRDefault="00000000" w:rsidRPr="00000000" w14:paraId="0000000C">
      <w:pPr>
        <w:spacing w:after="120" w:line="300" w:lineRule="auto"/>
        <w:jc w:val="both"/>
        <w:rPr/>
      </w:pPr>
      <w:r w:rsidDel="00000000" w:rsidR="00000000" w:rsidRPr="00000000">
        <w:rPr>
          <w:rtl w:val="0"/>
        </w:rPr>
      </w:r>
    </w:p>
    <w:p w:rsidR="00000000" w:rsidDel="00000000" w:rsidP="00000000" w:rsidRDefault="00000000" w:rsidRPr="00000000" w14:paraId="0000000D">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2.2 Paragraph Mutilation Rate (MGAM-like)</w:t>
      </w:r>
      <w:r w:rsidDel="00000000" w:rsidR="00000000" w:rsidRPr="00000000">
        <w:rPr>
          <w:rtl w:val="0"/>
        </w:rPr>
      </w:r>
    </w:p>
    <w:p w:rsidR="00000000" w:rsidDel="00000000" w:rsidP="00000000" w:rsidRDefault="00000000" w:rsidRPr="00000000" w14:paraId="0000000E">
      <w:pPr>
        <w:spacing w:after="120" w:line="300" w:lineRule="auto"/>
        <w:jc w:val="both"/>
        <w:rPr/>
      </w:pPr>
      <w:r w:rsidDel="00000000" w:rsidR="00000000" w:rsidRPr="00000000">
        <w:rPr>
          <w:rFonts w:ascii="Calibri" w:cs="Calibri" w:eastAsia="Calibri" w:hAnsi="Calibri"/>
          <w:sz w:val="22"/>
          <w:szCs w:val="22"/>
          <w:rtl w:val="0"/>
        </w:rPr>
        <w:t xml:space="preserve">A segunda métrica é inspirada no algoritmo Multi-Granularity Adaptive Matching introduzido na versão 1.6 do OmniDocBench. O princípio do MGAM é manter o ground truth intacto e ajustar a granularidade do lado da predição. Aplicado ao problema do chunking, isso se traduz em medir quantos parágrafos naturais (extraídos do markdown gerado pelo Docling) sobrevivem inteiros dentro de pelo menos um chunk produzido pela janela fixa de 1024 caracteres com overlap de 256.</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Calibri" w:cs="Calibri" w:eastAsia="Calibri" w:hAnsi="Calibri"/>
          <w:sz w:val="22"/>
          <w:szCs w:val="22"/>
          <w:rtl w:val="0"/>
        </w:rPr>
        <w:t xml:space="preserve">O score de integridade é definido como (1 − taxa de mutilação) × 100. Um parágrafo é considerado mutilado quando não cabe inteiro em nenhum chunk individual, indicando que o chunking fixo está cortando uma unidade semântica em pedaços. Esse problema impacta diretamente a qualidade da recuperação no Qdrant: chunks que contêm apenas parte de uma ideia geram embeddings menos representativos.</w:t>
      </w:r>
      <w:r w:rsidDel="00000000" w:rsidR="00000000" w:rsidRPr="00000000">
        <w:rPr>
          <w:rtl w:val="0"/>
        </w:rPr>
      </w:r>
    </w:p>
    <w:p w:rsidR="00000000" w:rsidDel="00000000" w:rsidP="00000000" w:rsidRDefault="00000000" w:rsidRPr="00000000" w14:paraId="00000010">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2.3 Reading Order Check</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Calibri" w:cs="Calibri" w:eastAsia="Calibri" w:hAnsi="Calibri"/>
          <w:sz w:val="22"/>
          <w:szCs w:val="22"/>
          <w:rtl w:val="0"/>
        </w:rPr>
        <w:t xml:space="preserve">A terceira métrica é uma heurística simples para detectar problemas de ordem de leitura, comuns em layouts de coluna dupla típicos de artigos científicos. A heurística analisa a sequência de números de citação bibliográfica ([1], [2], [3]...) extraída pelo pipeline e conta saltos suspeitos para trás (uma citação [12] aparecendo antes de [3], por exemplo). Esses saltos são fortes indícios de que o Docling misturou colunas durante a extração. A inspiração metodológica vem da métrica Reading Order Edit do OmniDocBench.</w:t>
      </w:r>
      <w:r w:rsidDel="00000000" w:rsidR="00000000" w:rsidRPr="00000000">
        <w:rPr>
          <w:rtl w:val="0"/>
        </w:rPr>
      </w:r>
    </w:p>
    <w:p w:rsidR="00000000" w:rsidDel="00000000" w:rsidP="00000000" w:rsidRDefault="00000000" w:rsidRPr="00000000" w14:paraId="00000012">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2.4 Sistema de Diagnóstico Automático</w:t>
      </w:r>
      <w:r w:rsidDel="00000000" w:rsidR="00000000" w:rsidRPr="00000000">
        <w:rPr>
          <w:rtl w:val="0"/>
        </w:rPr>
      </w:r>
    </w:p>
    <w:p w:rsidR="00000000" w:rsidDel="00000000" w:rsidP="00000000" w:rsidRDefault="00000000" w:rsidRPr="00000000" w14:paraId="00000013">
      <w:pPr>
        <w:spacing w:after="120" w:line="300" w:lineRule="auto"/>
        <w:jc w:val="both"/>
        <w:rPr/>
      </w:pPr>
      <w:r w:rsidDel="00000000" w:rsidR="00000000" w:rsidRPr="00000000">
        <w:rPr>
          <w:rFonts w:ascii="Calibri" w:cs="Calibri" w:eastAsia="Calibri" w:hAnsi="Calibri"/>
          <w:sz w:val="22"/>
          <w:szCs w:val="22"/>
          <w:rtl w:val="0"/>
        </w:rPr>
        <w:t xml:space="preserve">Para tornar os resultados acionáveis, foi implementado um sistema de diagnóstico que classifica automaticamente cada página problemática em uma das seis categorias abaixo, com base na combinação de chars do ground truth, chars extraídos pelo pipeline, score NED e detecção heurística de tabelas alinhadas por espaços.</w:t>
      </w:r>
      <w:r w:rsidDel="00000000" w:rsidR="00000000" w:rsidRPr="00000000">
        <w:rPr>
          <w:rtl w:val="0"/>
        </w:rPr>
      </w:r>
    </w:p>
    <w:p w:rsidR="00000000" w:rsidDel="00000000" w:rsidP="00000000" w:rsidRDefault="00000000" w:rsidRPr="00000000" w14:paraId="00000014">
      <w:pPr>
        <w:spacing w:after="120" w:line="300" w:lineRule="auto"/>
        <w:jc w:val="both"/>
        <w:rPr/>
      </w:pPr>
      <w:r w:rsidDel="00000000" w:rsidR="00000000" w:rsidRPr="00000000">
        <w:rPr>
          <w:rtl w:val="0"/>
        </w:rPr>
      </w:r>
    </w:p>
    <w:p w:rsidR="00000000" w:rsidDel="00000000" w:rsidP="00000000" w:rsidRDefault="00000000" w:rsidRPr="00000000" w14:paraId="00000015">
      <w:pPr>
        <w:spacing w:after="120" w:line="300" w:lineRule="auto"/>
        <w:jc w:val="both"/>
        <w:rPr/>
      </w:pPr>
      <w:r w:rsidDel="00000000" w:rsidR="00000000" w:rsidRPr="00000000">
        <w:rPr>
          <w:rtl w:val="0"/>
        </w:rPr>
      </w:r>
    </w:p>
    <w:p w:rsidR="00000000" w:rsidDel="00000000" w:rsidP="00000000" w:rsidRDefault="00000000" w:rsidRPr="00000000" w14:paraId="00000016">
      <w:pPr>
        <w:spacing w:after="120" w:line="300" w:lineRule="auto"/>
        <w:jc w:val="both"/>
        <w:rPr/>
      </w:pPr>
      <w:r w:rsidDel="00000000" w:rsidR="00000000" w:rsidRPr="00000000">
        <w:rPr>
          <w:rtl w:val="0"/>
        </w:rPr>
      </w:r>
    </w:p>
    <w:p w:rsidR="00000000" w:rsidDel="00000000" w:rsidP="00000000" w:rsidRDefault="00000000" w:rsidRPr="00000000" w14:paraId="00000017">
      <w:pPr>
        <w:spacing w:after="120" w:line="300" w:lineRule="auto"/>
        <w:jc w:val="both"/>
        <w:rPr/>
      </w:pPr>
      <w:r w:rsidDel="00000000" w:rsidR="00000000" w:rsidRPr="00000000">
        <w:rPr>
          <w:rtl w:val="0"/>
        </w:rPr>
      </w:r>
    </w:p>
    <w:p w:rsidR="00000000" w:rsidDel="00000000" w:rsidP="00000000" w:rsidRDefault="00000000" w:rsidRPr="00000000" w14:paraId="00000018">
      <w:pPr>
        <w:spacing w:after="120" w:line="300" w:lineRule="auto"/>
        <w:jc w:val="both"/>
        <w:rPr/>
      </w:pPr>
      <w:r w:rsidDel="00000000" w:rsidR="00000000" w:rsidRPr="00000000">
        <w:rPr>
          <w:rtl w:val="0"/>
        </w:rPr>
      </w:r>
    </w:p>
    <w:p w:rsidR="00000000" w:rsidDel="00000000" w:rsidP="00000000" w:rsidRDefault="00000000" w:rsidRPr="00000000" w14:paraId="00000019">
      <w:pPr>
        <w:spacing w:after="120" w:line="300" w:lineRule="auto"/>
        <w:jc w:val="both"/>
        <w:rPr/>
      </w:pPr>
      <w:r w:rsidDel="00000000" w:rsidR="00000000" w:rsidRPr="00000000">
        <w:rPr>
          <w:rtl w:val="0"/>
        </w:rPr>
      </w:r>
    </w:p>
    <w:p w:rsidR="00000000" w:rsidDel="00000000" w:rsidP="00000000" w:rsidRDefault="00000000" w:rsidRPr="00000000" w14:paraId="0000001A">
      <w:pPr>
        <w:spacing w:after="120" w:line="300" w:lineRule="auto"/>
        <w:jc w:val="both"/>
        <w:rPr/>
      </w:pPr>
      <w:r w:rsidDel="00000000" w:rsidR="00000000" w:rsidRPr="00000000">
        <w:rPr>
          <w:rtl w:val="0"/>
        </w:rPr>
      </w:r>
    </w:p>
    <w:p w:rsidR="00000000" w:rsidDel="00000000" w:rsidP="00000000" w:rsidRDefault="00000000" w:rsidRPr="00000000" w14:paraId="0000001B">
      <w:pPr>
        <w:spacing w:after="120" w:line="300" w:lineRule="auto"/>
        <w:jc w:val="both"/>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rHeight w:val="184.14062499999997" w:hRule="atLeast"/>
          <w:tblHeader w:val="1"/>
        </w:trPr>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b w:val="1"/>
                <w:bCs w:val="1"/>
                <w:color w:val="000000"/>
                <w:sz w:val="20"/>
                <w:szCs w:val="20"/>
                <w:rtl w:val="0"/>
              </w:rPr>
              <w:t xml:space="preserve">Categoria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b w:val="1"/>
                <w:bCs w:val="1"/>
                <w:color w:val="000000"/>
                <w:sz w:val="20"/>
                <w:szCs w:val="20"/>
                <w:rtl w:val="0"/>
              </w:rPr>
              <w:t xml:space="preserve">Significado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b w:val="1"/>
                <w:bCs w:val="1"/>
                <w:color w:val="000000"/>
                <w:sz w:val="20"/>
                <w:szCs w:val="20"/>
                <w:rtl w:val="0"/>
              </w:rPr>
              <w:t xml:space="preserve">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color w:val="000000"/>
                <w:sz w:val="20"/>
                <w:szCs w:val="20"/>
                <w:rtl w:val="0"/>
              </w:rPr>
              <w:t xml:space="preserve">Fidelidade de OCR adequada (score ≥ 85%)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b w:val="1"/>
                <w:bCs w:val="1"/>
                <w:color w:val="000000"/>
                <w:sz w:val="20"/>
                <w:szCs w:val="20"/>
                <w:rtl w:val="0"/>
              </w:rPr>
              <w:t xml:space="preserve">TABELA_SEM_PIPES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color w:val="000000"/>
                <w:sz w:val="20"/>
                <w:szCs w:val="20"/>
                <w:rtl w:val="0"/>
              </w:rPr>
              <w:t xml:space="preserve">Score baixo, mas conteúdo correto: tabela alinhada por espaços, sem bordas verticais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b w:val="1"/>
                <w:bCs w:val="1"/>
                <w:color w:val="000000"/>
                <w:sz w:val="20"/>
                <w:szCs w:val="20"/>
                <w:rtl w:val="0"/>
              </w:rPr>
              <w:t xml:space="preserve">ORDEM_DIFERENTE_2_COLUNAS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color w:val="000000"/>
                <w:sz w:val="20"/>
                <w:szCs w:val="20"/>
                <w:rtl w:val="0"/>
              </w:rPr>
              <w:t xml:space="preserve">Conteúdo extraído corretamente, mas com ordem de leitura trocada (provável dupla coluna)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Calibri" w:cs="Calibri" w:eastAsia="Calibri" w:hAnsi="Calibri"/>
                <w:b w:val="1"/>
                <w:bCs w:val="1"/>
                <w:color w:val="000000"/>
                <w:sz w:val="20"/>
                <w:szCs w:val="20"/>
                <w:rtl w:val="0"/>
              </w:rPr>
              <w:t xml:space="preserve">DIFERENCA_VOLUME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color w:val="000000"/>
                <w:sz w:val="20"/>
                <w:szCs w:val="20"/>
                <w:rtl w:val="0"/>
              </w:rPr>
              <w:t xml:space="preserve">Volume de chars divergente entre fitz e Docling, provável layout de duas colunas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1"/>
                <w:bCs w:val="1"/>
                <w:color w:val="000000"/>
                <w:sz w:val="20"/>
                <w:szCs w:val="20"/>
                <w:rtl w:val="0"/>
              </w:rPr>
              <w:t xml:space="preserve">OCR_FALHOU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color w:val="000000"/>
                <w:sz w:val="20"/>
                <w:szCs w:val="20"/>
                <w:rtl w:val="0"/>
              </w:rPr>
              <w:t xml:space="preserve">Tesseract não extraiu nenhum texto da página investigação manual necessária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b w:val="1"/>
                <w:bCs w:val="1"/>
                <w:color w:val="000000"/>
                <w:sz w:val="20"/>
                <w:szCs w:val="20"/>
                <w:rtl w:val="0"/>
              </w:rPr>
              <w:t xml:space="preserve">PAGINA_VAZIA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color w:val="000000"/>
                <w:sz w:val="20"/>
                <w:szCs w:val="20"/>
                <w:rtl w:val="0"/>
              </w:rPr>
              <w:t xml:space="preserve">Capa, contracapa, página em branco ou separadores não são problema do pipeline</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spacing w:after="200" w:before="360" w:lineRule="auto"/>
        <w:rPr/>
      </w:pPr>
      <w:r w:rsidDel="00000000" w:rsidR="00000000" w:rsidRPr="00000000">
        <w:rPr>
          <w:rFonts w:ascii="Calibri" w:cs="Calibri" w:eastAsia="Calibri" w:hAnsi="Calibri"/>
          <w:b w:val="1"/>
          <w:bCs w:val="1"/>
          <w:color w:val="000000"/>
          <w:sz w:val="32"/>
          <w:szCs w:val="32"/>
          <w:rtl w:val="0"/>
        </w:rPr>
        <w:t xml:space="preserve">3. Resultados Boletim 100</w:t>
      </w:r>
      <w:r w:rsidDel="00000000" w:rsidR="00000000" w:rsidRPr="00000000">
        <w:rPr>
          <w:rtl w:val="0"/>
        </w:rPr>
      </w:r>
    </w:p>
    <w:p w:rsidR="00000000" w:rsidDel="00000000" w:rsidP="00000000" w:rsidRDefault="00000000" w:rsidRPr="00000000" w14:paraId="0000002C">
      <w:pPr>
        <w:spacing w:after="120" w:line="300" w:lineRule="auto"/>
        <w:jc w:val="both"/>
        <w:rPr/>
      </w:pPr>
      <w:r w:rsidDel="00000000" w:rsidR="00000000" w:rsidRPr="00000000">
        <w:rPr>
          <w:rFonts w:ascii="Calibri" w:cs="Calibri" w:eastAsia="Calibri" w:hAnsi="Calibri"/>
          <w:sz w:val="22"/>
          <w:szCs w:val="22"/>
          <w:rtl w:val="0"/>
        </w:rPr>
        <w:t xml:space="preserve">A primeira aplicação completa da metodologia foi feita sobre o Boletim 100, um documento de 511 páginas com diversidade ampla de elementos (capa colorida, sumário com leaders pontilhados, gráficos em paisagem, tabelas com e sem bordas, fórmulas químicas, parágrafos comuns).</w:t>
      </w: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3.1 Métricas Globais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1"/>
                <w:bCs w:val="1"/>
                <w:color w:val="000000"/>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rFonts w:ascii="Calibri" w:cs="Calibri" w:eastAsia="Calibri" w:hAnsi="Calibri"/>
                <w:b w:val="1"/>
                <w:bCs w:val="1"/>
                <w:color w:val="000000"/>
                <w:sz w:val="20"/>
                <w:szCs w:val="20"/>
                <w:rtl w:val="0"/>
              </w:rPr>
              <w:t xml:space="preserve">Resultado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color w:val="000000"/>
                <w:sz w:val="20"/>
                <w:szCs w:val="20"/>
                <w:rtl w:val="0"/>
              </w:rPr>
              <w:t xml:space="preserve">Páginas analisadas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0"/>
                <w:bCs w:val="0"/>
                <w:color w:val="000000"/>
                <w:sz w:val="20"/>
                <w:szCs w:val="20"/>
                <w:rtl w:val="0"/>
              </w:rPr>
              <w:t xml:space="preserve">508 de 511 (3 vazias)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1"/>
                <w:bCs w:val="1"/>
                <w:color w:val="000000"/>
                <w:sz w:val="20"/>
                <w:szCs w:val="20"/>
                <w:rtl w:val="0"/>
              </w:rPr>
              <w:t xml:space="preserve">Score médio das páginas OK (NED)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Calibri" w:cs="Calibri" w:eastAsia="Calibri" w:hAnsi="Calibri"/>
                <w:b w:val="1"/>
                <w:bCs w:val="1"/>
                <w:color w:val="000000"/>
                <w:sz w:val="20"/>
                <w:szCs w:val="20"/>
                <w:rtl w:val="0"/>
              </w:rPr>
              <w:t xml:space="preserve">91,46%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1"/>
                <w:bCs w:val="1"/>
                <w:color w:val="000000"/>
                <w:sz w:val="20"/>
                <w:szCs w:val="20"/>
                <w:rtl w:val="0"/>
              </w:rPr>
              <w:t xml:space="preserve">Integridade do chunking (MGAM-like)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Calibri" w:cs="Calibri" w:eastAsia="Calibri" w:hAnsi="Calibri"/>
                <w:b w:val="1"/>
                <w:bCs w:val="1"/>
                <w:color w:val="000000"/>
                <w:sz w:val="20"/>
                <w:szCs w:val="20"/>
                <w:rtl w:val="0"/>
              </w:rPr>
              <w:t xml:space="preserve">85,82%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color w:val="000000"/>
                <w:sz w:val="20"/>
                <w:szCs w:val="20"/>
                <w:rtl w:val="0"/>
              </w:rPr>
              <w:t xml:space="preserve">Parágrafos avaliados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Calibri" w:cs="Calibri" w:eastAsia="Calibri" w:hAnsi="Calibri"/>
                <w:b w:val="0"/>
                <w:bCs w:val="0"/>
                <w:color w:val="000000"/>
                <w:sz w:val="20"/>
                <w:szCs w:val="20"/>
                <w:rtl w:val="0"/>
              </w:rPr>
              <w:t xml:space="preserve">2.426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color w:val="000000"/>
                <w:sz w:val="20"/>
                <w:szCs w:val="20"/>
                <w:rtl w:val="0"/>
              </w:rPr>
              <w:t xml:space="preserve">Parágrafos mutilados pelo chunking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b w:val="0"/>
                <w:bCs w:val="0"/>
                <w:color w:val="000000"/>
                <w:sz w:val="20"/>
                <w:szCs w:val="20"/>
                <w:rtl w:val="0"/>
              </w:rPr>
              <w:t xml:space="preserve">344 (14,18%)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color w:val="000000"/>
                <w:sz w:val="20"/>
                <w:szCs w:val="20"/>
                <w:rtl w:val="0"/>
              </w:rPr>
              <w:t xml:space="preserve">Tempo total (Docling + análise)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rFonts w:ascii="Calibri" w:cs="Calibri" w:eastAsia="Calibri" w:hAnsi="Calibri"/>
                <w:b w:val="0"/>
                <w:bCs w:val="0"/>
                <w:color w:val="000000"/>
                <w:sz w:val="20"/>
                <w:szCs w:val="20"/>
                <w:rtl w:val="0"/>
              </w:rPr>
              <w:t xml:space="preserve">≈ 15,6 minutos</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after="160" w:before="280" w:lineRule="auto"/>
        <w:rPr/>
      </w:pP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tl w:val="0"/>
        </w:rPr>
      </w:r>
    </w:p>
    <w:p w:rsidR="00000000" w:rsidDel="00000000" w:rsidP="00000000" w:rsidRDefault="00000000" w:rsidRPr="00000000" w14:paraId="0000003F">
      <w:pPr>
        <w:pStyle w:val="Heading2"/>
        <w:spacing w:after="160" w:before="280" w:lineRule="auto"/>
        <w:rPr/>
      </w:pPr>
      <w:r w:rsidDel="00000000" w:rsidR="00000000" w:rsidRPr="00000000">
        <w:rPr>
          <w:rtl w:val="0"/>
        </w:rPr>
      </w:r>
    </w:p>
    <w:p w:rsidR="00000000" w:rsidDel="00000000" w:rsidP="00000000" w:rsidRDefault="00000000" w:rsidRPr="00000000" w14:paraId="00000040">
      <w:pPr>
        <w:pStyle w:val="Heading2"/>
        <w:spacing w:after="160" w:before="280" w:lineRule="auto"/>
        <w:rPr/>
      </w:pPr>
      <w:r w:rsidDel="00000000" w:rsidR="00000000" w:rsidRPr="00000000">
        <w:rPr>
          <w:rtl w:val="0"/>
        </w:rPr>
      </w:r>
    </w:p>
    <w:p w:rsidR="00000000" w:rsidDel="00000000" w:rsidP="00000000" w:rsidRDefault="00000000" w:rsidRPr="00000000" w14:paraId="00000041">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3.2 Distribuição dos Diagnósticos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1800"/>
        <w:gridCol w:w="1800"/>
        <w:tblGridChange w:id="0">
          <w:tblGrid>
            <w:gridCol w:w="5760"/>
            <w:gridCol w:w="180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1"/>
                <w:bCs w:val="1"/>
                <w:color w:val="000000"/>
                <w:sz w:val="20"/>
                <w:szCs w:val="20"/>
                <w:rtl w:val="0"/>
              </w:rPr>
              <w:t xml:space="preserve">Diagnóstico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Calibri" w:cs="Calibri" w:eastAsia="Calibri" w:hAnsi="Calibri"/>
                <w:b w:val="1"/>
                <w:bCs w:val="1"/>
                <w:color w:val="000000"/>
                <w:sz w:val="20"/>
                <w:szCs w:val="20"/>
                <w:rtl w:val="0"/>
              </w:rPr>
              <w:t xml:space="preserve">Páginas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b w:val="1"/>
                <w:bCs w:val="1"/>
                <w:color w:val="000000"/>
                <w:sz w:val="20"/>
                <w:szCs w:val="20"/>
                <w:rtl w:val="0"/>
              </w:rPr>
              <w:t xml:space="preserve">% do total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color w:val="000000"/>
                <w:sz w:val="20"/>
                <w:szCs w:val="20"/>
                <w:rtl w:val="0"/>
              </w:rPr>
              <w:t xml:space="preserve">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Calibri" w:cs="Calibri" w:eastAsia="Calibri" w:hAnsi="Calibri"/>
                <w:b w:val="0"/>
                <w:bCs w:val="0"/>
                <w:color w:val="000000"/>
                <w:sz w:val="20"/>
                <w:szCs w:val="20"/>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Calibri" w:cs="Calibri" w:eastAsia="Calibri" w:hAnsi="Calibri"/>
                <w:b w:val="0"/>
                <w:bCs w:val="0"/>
                <w:color w:val="000000"/>
                <w:sz w:val="20"/>
                <w:szCs w:val="20"/>
                <w:rtl w:val="0"/>
              </w:rPr>
              <w:t xml:space="preserve">14,1%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color w:val="000000"/>
                <w:sz w:val="20"/>
                <w:szCs w:val="20"/>
                <w:rtl w:val="0"/>
              </w:rPr>
              <w:t xml:space="preserve">Tabela sem pipes (falso 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Calibri" w:cs="Calibri" w:eastAsia="Calibri" w:hAnsi="Calibri"/>
                <w:b w:val="0"/>
                <w:bCs w:val="0"/>
                <w:color w:val="000000"/>
                <w:sz w:val="20"/>
                <w:szCs w:val="20"/>
                <w:rtl w:val="0"/>
              </w:rPr>
              <w:t xml:space="preserve">169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0"/>
                <w:bCs w:val="0"/>
                <w:color w:val="000000"/>
                <w:sz w:val="20"/>
                <w:szCs w:val="20"/>
                <w:rtl w:val="0"/>
              </w:rPr>
              <w:t xml:space="preserve">33,1%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color w:val="000000"/>
                <w:sz w:val="20"/>
                <w:szCs w:val="20"/>
                <w:rtl w:val="0"/>
              </w:rPr>
              <w:t xml:space="preserve">Investigar manualmente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Calibri" w:cs="Calibri" w:eastAsia="Calibri" w:hAnsi="Calibri"/>
                <w:b w:val="0"/>
                <w:bCs w:val="0"/>
                <w:color w:val="000000"/>
                <w:sz w:val="20"/>
                <w:szCs w:val="20"/>
                <w:rtl w:val="0"/>
              </w:rPr>
              <w:t xml:space="preserve">132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0"/>
                <w:bCs w:val="0"/>
                <w:color w:val="000000"/>
                <w:sz w:val="20"/>
                <w:szCs w:val="20"/>
                <w:rtl w:val="0"/>
              </w:rPr>
              <w:t xml:space="preserve">25,8%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color w:val="000000"/>
                <w:sz w:val="20"/>
                <w:szCs w:val="20"/>
                <w:rtl w:val="0"/>
              </w:rPr>
              <w:t xml:space="preserve">Ordem diferente (2 colunas)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b w:val="0"/>
                <w:bCs w:val="0"/>
                <w:color w:val="000000"/>
                <w:sz w:val="20"/>
                <w:szCs w:val="20"/>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Calibri" w:cs="Calibri" w:eastAsia="Calibri" w:hAnsi="Calibri"/>
                <w:b w:val="0"/>
                <w:bCs w:val="0"/>
                <w:color w:val="000000"/>
                <w:sz w:val="20"/>
                <w:szCs w:val="20"/>
                <w:rtl w:val="0"/>
              </w:rPr>
              <w:t xml:space="preserve">17,2%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color w:val="000000"/>
                <w:sz w:val="20"/>
                <w:szCs w:val="20"/>
                <w:rtl w:val="0"/>
              </w:rPr>
              <w:t xml:space="preserve">Diferença de volume (2 colunas)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b w:val="0"/>
                <w:bCs w:val="0"/>
                <w:color w:val="000000"/>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Calibri" w:cs="Calibri" w:eastAsia="Calibri" w:hAnsi="Calibri"/>
                <w:b w:val="0"/>
                <w:bCs w:val="0"/>
                <w:color w:val="000000"/>
                <w:sz w:val="20"/>
                <w:szCs w:val="20"/>
                <w:rtl w:val="0"/>
              </w:rPr>
              <w:t xml:space="preserve">5,9%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color w:val="000000"/>
                <w:sz w:val="20"/>
                <w:szCs w:val="20"/>
                <w:rtl w:val="0"/>
              </w:rPr>
              <w:t xml:space="preserve">OCR falhou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Calibri" w:cs="Calibri" w:eastAsia="Calibri" w:hAnsi="Calibri"/>
                <w:b w:val="0"/>
                <w:bCs w:val="0"/>
                <w:color w:val="000000"/>
                <w:sz w:val="20"/>
                <w:szCs w:val="20"/>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Calibri" w:cs="Calibri" w:eastAsia="Calibri" w:hAnsi="Calibri"/>
                <w:b w:val="0"/>
                <w:bCs w:val="0"/>
                <w:color w:val="000000"/>
                <w:sz w:val="20"/>
                <w:szCs w:val="20"/>
                <w:rtl w:val="0"/>
              </w:rPr>
              <w:t xml:space="preserve">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color w:val="000000"/>
                <w:sz w:val="20"/>
                <w:szCs w:val="20"/>
                <w:rtl w:val="0"/>
              </w:rPr>
              <w:t xml:space="preserve">Página vazia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Calibri" w:cs="Calibri" w:eastAsia="Calibri" w:hAnsi="Calibri"/>
                <w:b w:val="0"/>
                <w:bCs w:val="0"/>
                <w:color w:val="000000"/>
                <w:sz w:val="20"/>
                <w:szCs w:val="20"/>
                <w:rtl w:val="0"/>
              </w:rPr>
              <w:t xml:space="preserve">0,6%</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20"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inspeção visual manual das 20 páginas com pior pontuação revelou que a maioria não corresponde a falhas reais do pipeline. As páginas 1 a 12 e 511 são front matter (capas, ficha técnica, listas de autores em duas colunas, contracapa colorida) que não contêm conteúdo técnico relevante para vetorização. As páginas 13 a 20 correspondem ao sumário, com leaders pontilhados que são caso patológico para qualquer parser. A página 59 é um gráfico em paisagem destinado ao Script 2 (Gemini Vision). Os 17 casos de OCR_FALHOU concentram-se majoritariamente nessas páginas estruturalmente atípicas.</w:t>
      </w:r>
    </w:p>
    <w:p w:rsidR="00000000" w:rsidDel="00000000" w:rsidP="00000000" w:rsidRDefault="00000000" w:rsidRPr="00000000" w14:paraId="0000005C">
      <w:pPr>
        <w:spacing w:after="120" w:line="300" w:lineRule="auto"/>
        <w:jc w:val="both"/>
        <w:rPr/>
      </w:pP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Calibri" w:cs="Calibri" w:eastAsia="Calibri" w:hAnsi="Calibri"/>
          <w:b w:val="1"/>
          <w:bCs w:val="1"/>
          <w:color w:val="000000"/>
          <w:sz w:val="32"/>
          <w:szCs w:val="32"/>
          <w:rtl w:val="0"/>
        </w:rPr>
        <w:t xml:space="preserve">4. Experimento A/B Configuração do Docling</w:t>
      </w:r>
      <w:r w:rsidDel="00000000" w:rsidR="00000000" w:rsidRPr="00000000">
        <w:rPr>
          <w:rtl w:val="0"/>
        </w:rPr>
      </w:r>
    </w:p>
    <w:p w:rsidR="00000000" w:rsidDel="00000000" w:rsidP="00000000" w:rsidRDefault="00000000" w:rsidRPr="00000000" w14:paraId="0000005E">
      <w:pPr>
        <w:spacing w:after="120" w:line="300" w:lineRule="auto"/>
        <w:jc w:val="both"/>
        <w:rPr/>
      </w:pPr>
      <w:r w:rsidDel="00000000" w:rsidR="00000000" w:rsidRPr="00000000">
        <w:rPr>
          <w:rFonts w:ascii="Calibri" w:cs="Calibri" w:eastAsia="Calibri" w:hAnsi="Calibri"/>
          <w:sz w:val="22"/>
          <w:szCs w:val="22"/>
          <w:rtl w:val="0"/>
        </w:rPr>
        <w:t xml:space="preserve">A análise revelou que 169 páginas (33,1% do total) caíram na categoria "tabela sem pipes". Para investigar se uma reconfiguração do Docling poderia recuperar parte desse conteúdo como tabelas estruturadas, foi conduzido um experimento controlado A/B em uma amostra de 6 páginas representativas (276, 326, 405, 490, 145, 278), todas com tabelas alinhadas apenas por linhas horizontais e sem bordas verticais.</w:t>
      </w: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4.1 Configurações Comparadas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1"/>
                <w:bCs w:val="1"/>
                <w:color w:val="000000"/>
                <w:sz w:val="20"/>
                <w:szCs w:val="20"/>
                <w:rtl w:val="0"/>
              </w:rPr>
              <w:t xml:space="preserve">Parâmetro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Calibri" w:cs="Calibri" w:eastAsia="Calibri" w:hAnsi="Calibri"/>
                <w:b w:val="1"/>
                <w:bCs w:val="1"/>
                <w:color w:val="000000"/>
                <w:sz w:val="20"/>
                <w:szCs w:val="20"/>
                <w:rtl w:val="0"/>
              </w:rPr>
              <w:t xml:space="preserve">Config A (atual)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color w:val="000000"/>
                <w:sz w:val="20"/>
                <w:szCs w:val="20"/>
                <w:rtl w:val="0"/>
              </w:rPr>
              <w:t xml:space="preserve">Config B (proposta)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color w:val="000000"/>
                <w:sz w:val="20"/>
                <w:szCs w:val="20"/>
                <w:rtl w:val="0"/>
              </w:rPr>
              <w:t xml:space="preserve">force_full_page_ocr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b w:val="0"/>
                <w:bCs w:val="0"/>
                <w:color w:val="000000"/>
                <w:sz w:val="20"/>
                <w:szCs w:val="20"/>
                <w:rtl w:val="0"/>
              </w:rPr>
              <w:t xml:space="preserve">True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Calibri" w:cs="Calibri" w:eastAsia="Calibri" w:hAnsi="Calibri"/>
                <w:b w:val="1"/>
                <w:bCs w:val="1"/>
                <w:color w:val="000000"/>
                <w:sz w:val="20"/>
                <w:szCs w:val="20"/>
                <w:rtl w:val="0"/>
              </w:rPr>
              <w:t xml:space="preserve">False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color w:val="000000"/>
                <w:sz w:val="20"/>
                <w:szCs w:val="20"/>
                <w:rtl w:val="0"/>
              </w:rPr>
              <w:t xml:space="preserve">TableFormerMode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Calibri" w:cs="Calibri" w:eastAsia="Calibri" w:hAnsi="Calibri"/>
                <w:b w:val="0"/>
                <w:bCs w:val="0"/>
                <w:color w:val="000000"/>
                <w:sz w:val="20"/>
                <w:szCs w:val="20"/>
                <w:rtl w:val="0"/>
              </w:rPr>
              <w:t xml:space="preserve">default (FAST)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000000"/>
                <w:sz w:val="20"/>
                <w:szCs w:val="20"/>
                <w:rtl w:val="0"/>
              </w:rPr>
              <w:t xml:space="preserve">ACCURATE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color w:val="000000"/>
                <w:sz w:val="20"/>
                <w:szCs w:val="20"/>
                <w:rtl w:val="0"/>
              </w:rPr>
              <w:t xml:space="preserve">do_cell_matching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Calibri" w:cs="Calibri" w:eastAsia="Calibri" w:hAnsi="Calibri"/>
                <w:b w:val="0"/>
                <w:bCs w:val="0"/>
                <w:color w:val="000000"/>
                <w:sz w:val="20"/>
                <w:szCs w:val="20"/>
                <w:rtl w:val="0"/>
              </w:rPr>
              <w:t xml:space="preserve">True (default)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Calibri" w:cs="Calibri" w:eastAsia="Calibri" w:hAnsi="Calibri"/>
                <w:b w:val="1"/>
                <w:bCs w:val="1"/>
                <w:color w:val="000000"/>
                <w:sz w:val="20"/>
                <w:szCs w:val="20"/>
                <w:rtl w:val="0"/>
              </w:rPr>
              <w:t xml:space="preserve">False</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spacing w:after="160" w:before="280" w:lineRule="auto"/>
        <w:rPr/>
      </w:pPr>
      <w:r w:rsidDel="00000000" w:rsidR="00000000" w:rsidRPr="00000000">
        <w:rPr>
          <w:rtl w:val="0"/>
        </w:rPr>
      </w:r>
    </w:p>
    <w:p w:rsidR="00000000" w:rsidDel="00000000" w:rsidP="00000000" w:rsidRDefault="00000000" w:rsidRPr="00000000" w14:paraId="0000006E">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4.2 Resultados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080"/>
        <w:gridCol w:w="2080"/>
        <w:gridCol w:w="1820"/>
        <w:gridCol w:w="1820"/>
        <w:tblGridChange w:id="0">
          <w:tblGrid>
            <w:gridCol w:w="1560"/>
            <w:gridCol w:w="2080"/>
            <w:gridCol w:w="2080"/>
            <w:gridCol w:w="1820"/>
            <w:gridCol w:w="18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Calibri" w:cs="Calibri" w:eastAsia="Calibri" w:hAnsi="Calibri"/>
                <w:b w:val="1"/>
                <w:bCs w:val="1"/>
                <w:color w:val="000000"/>
                <w:sz w:val="20"/>
                <w:szCs w:val="20"/>
                <w:rtl w:val="0"/>
              </w:rPr>
              <w:t xml:space="preserve">Página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Calibri" w:cs="Calibri" w:eastAsia="Calibri" w:hAnsi="Calibri"/>
                <w:b w:val="1"/>
                <w:bCs w:val="1"/>
                <w:color w:val="000000"/>
                <w:sz w:val="20"/>
                <w:szCs w:val="20"/>
                <w:rtl w:val="0"/>
              </w:rPr>
              <w:t xml:space="preserve">Config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color w:val="000000"/>
                <w:sz w:val="20"/>
                <w:szCs w:val="20"/>
                <w:rtl w:val="0"/>
              </w:rPr>
              <w:t xml:space="preserve">Config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Calibri" w:cs="Calibri" w:eastAsia="Calibri" w:hAnsi="Calibri"/>
                <w:b w:val="1"/>
                <w:bCs w:val="1"/>
                <w:color w:val="000000"/>
                <w:sz w:val="20"/>
                <w:szCs w:val="20"/>
                <w:rtl w:val="0"/>
              </w:rPr>
              <w:t xml:space="preserve">Δ</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Calibri" w:cs="Calibri" w:eastAsia="Calibri" w:hAnsi="Calibri"/>
                <w:b w:val="1"/>
                <w:bCs w:val="1"/>
                <w:color w:val="000000"/>
                <w:sz w:val="20"/>
                <w:szCs w:val="20"/>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Calibri" w:cs="Calibri" w:eastAsia="Calibri" w:hAnsi="Calibri"/>
                <w:b w:val="0"/>
                <w:bCs w:val="0"/>
                <w:color w:val="000000"/>
                <w:sz w:val="20"/>
                <w:szCs w:val="20"/>
                <w:rtl w:val="0"/>
              </w:rPr>
              <w:t xml:space="preserve">276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rFonts w:ascii="Calibri" w:cs="Calibri" w:eastAsia="Calibri" w:hAnsi="Calibri"/>
                <w:b w:val="0"/>
                <w:bCs w:val="0"/>
                <w:color w:val="000000"/>
                <w:sz w:val="20"/>
                <w:szCs w:val="20"/>
                <w:rtl w:val="0"/>
              </w:rPr>
              <w:t xml:space="preserve">0,94%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rFonts w:ascii="Calibri" w:cs="Calibri" w:eastAsia="Calibri" w:hAnsi="Calibri"/>
                <w:b w:val="1"/>
                <w:bCs w:val="1"/>
                <w:color w:val="000000"/>
                <w:sz w:val="20"/>
                <w:szCs w:val="20"/>
                <w:rtl w:val="0"/>
              </w:rPr>
              <w:t xml:space="preserve">63,31%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rFonts w:ascii="Calibri" w:cs="Calibri" w:eastAsia="Calibri" w:hAnsi="Calibri"/>
                <w:b w:val="1"/>
                <w:bCs w:val="1"/>
                <w:color w:val="000000"/>
                <w:sz w:val="20"/>
                <w:szCs w:val="20"/>
                <w:rtl w:val="0"/>
              </w:rPr>
              <w:t xml:space="preserve">+62,37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Calibri" w:cs="Calibri" w:eastAsia="Calibri" w:hAnsi="Calibri"/>
                <w:b w:val="0"/>
                <w:bCs w:val="0"/>
                <w:color w:val="000000"/>
                <w:sz w:val="20"/>
                <w:szCs w:val="20"/>
                <w:rtl w:val="0"/>
              </w:rPr>
              <w:t xml:space="preserve">Ganho expressivo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Calibri" w:cs="Calibri" w:eastAsia="Calibri" w:hAnsi="Calibri"/>
                <w:b w:val="0"/>
                <w:bCs w:val="0"/>
                <w:color w:val="000000"/>
                <w:sz w:val="20"/>
                <w:szCs w:val="20"/>
                <w:rtl w:val="0"/>
              </w:rPr>
              <w:t xml:space="preserve">405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Calibri" w:cs="Calibri" w:eastAsia="Calibri" w:hAnsi="Calibri"/>
                <w:b w:val="0"/>
                <w:bCs w:val="0"/>
                <w:color w:val="000000"/>
                <w:sz w:val="20"/>
                <w:szCs w:val="20"/>
                <w:rtl w:val="0"/>
              </w:rPr>
              <w:t xml:space="preserve">0,65%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Calibri" w:cs="Calibri" w:eastAsia="Calibri" w:hAnsi="Calibri"/>
                <w:b w:val="0"/>
                <w:bCs w:val="0"/>
                <w:color w:val="000000"/>
                <w:sz w:val="20"/>
                <w:szCs w:val="20"/>
                <w:rtl w:val="0"/>
              </w:rPr>
              <w:t xml:space="preserve">8,84%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Calibri" w:cs="Calibri" w:eastAsia="Calibri" w:hAnsi="Calibri"/>
                <w:b w:val="1"/>
                <w:bCs w:val="1"/>
                <w:color w:val="000000"/>
                <w:sz w:val="20"/>
                <w:szCs w:val="20"/>
                <w:rtl w:val="0"/>
              </w:rPr>
              <w:t xml:space="preserve">+8,19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0"/>
                <w:bCs w:val="0"/>
                <w:color w:val="000000"/>
                <w:sz w:val="20"/>
                <w:szCs w:val="20"/>
                <w:rtl w:val="0"/>
              </w:rPr>
              <w:t xml:space="preserve">Ganho moderado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Calibri" w:cs="Calibri" w:eastAsia="Calibri" w:hAnsi="Calibri"/>
                <w:b w:val="0"/>
                <w:bCs w:val="0"/>
                <w:color w:val="000000"/>
                <w:sz w:val="20"/>
                <w:szCs w:val="20"/>
                <w:rtl w:val="0"/>
              </w:rPr>
              <w:t xml:space="preserve">326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rFonts w:ascii="Calibri" w:cs="Calibri" w:eastAsia="Calibri" w:hAnsi="Calibri"/>
                <w:b w:val="0"/>
                <w:bCs w:val="0"/>
                <w:color w:val="000000"/>
                <w:sz w:val="20"/>
                <w:szCs w:val="20"/>
                <w:rtl w:val="0"/>
              </w:rPr>
              <w:t xml:space="preserve">0,83%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Calibri" w:cs="Calibri" w:eastAsia="Calibri" w:hAnsi="Calibri"/>
                <w:b w:val="0"/>
                <w:bCs w:val="0"/>
                <w:color w:val="000000"/>
                <w:sz w:val="20"/>
                <w:szCs w:val="20"/>
                <w:rtl w:val="0"/>
              </w:rPr>
              <w:t xml:space="preserve">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Calibri" w:cs="Calibri" w:eastAsia="Calibri" w:hAnsi="Calibri"/>
                <w:b w:val="0"/>
                <w:bCs w:val="0"/>
                <w:color w:val="000000"/>
                <w:sz w:val="20"/>
                <w:szCs w:val="20"/>
                <w:rtl w:val="0"/>
              </w:rPr>
              <w:t xml:space="preserve">+0,38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Calibri" w:cs="Calibri" w:eastAsia="Calibri" w:hAnsi="Calibri"/>
                <w:b w:val="0"/>
                <w:bCs w:val="0"/>
                <w:color w:val="000000"/>
                <w:sz w:val="20"/>
                <w:szCs w:val="20"/>
                <w:rtl w:val="0"/>
              </w:rPr>
              <w:t xml:space="preserve">Estável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Calibri" w:cs="Calibri" w:eastAsia="Calibri" w:hAnsi="Calibri"/>
                <w:b w:val="0"/>
                <w:bCs w:val="0"/>
                <w:color w:val="000000"/>
                <w:sz w:val="20"/>
                <w:szCs w:val="20"/>
                <w:rtl w:val="0"/>
              </w:rPr>
              <w:t xml:space="preserve">490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0"/>
                <w:bCs w:val="0"/>
                <w:color w:val="000000"/>
                <w:sz w:val="20"/>
                <w:szCs w:val="20"/>
                <w:rtl w:val="0"/>
              </w:rPr>
              <w:t xml:space="preserve">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Calibri" w:cs="Calibri" w:eastAsia="Calibri" w:hAnsi="Calibri"/>
                <w:b w:val="0"/>
                <w:bCs w:val="0"/>
                <w:color w:val="000000"/>
                <w:sz w:val="20"/>
                <w:szCs w:val="20"/>
                <w:rtl w:val="0"/>
              </w:rPr>
              <w:t xml:space="preserve">1,13%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Calibri" w:cs="Calibri" w:eastAsia="Calibri" w:hAnsi="Calibri"/>
                <w:b w:val="0"/>
                <w:bCs w:val="0"/>
                <w:color w:val="000000"/>
                <w:sz w:val="20"/>
                <w:szCs w:val="20"/>
                <w:rtl w:val="0"/>
              </w:rPr>
              <w:t xml:space="preserve">−0,08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Calibri" w:cs="Calibri" w:eastAsia="Calibri" w:hAnsi="Calibri"/>
                <w:b w:val="0"/>
                <w:bCs w:val="0"/>
                <w:color w:val="000000"/>
                <w:sz w:val="20"/>
                <w:szCs w:val="20"/>
                <w:rtl w:val="0"/>
              </w:rPr>
              <w:t xml:space="preserve">Estável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Calibri" w:cs="Calibri" w:eastAsia="Calibri" w:hAnsi="Calibri"/>
                <w:b w:val="0"/>
                <w:bCs w:val="0"/>
                <w:color w:val="000000"/>
                <w:sz w:val="20"/>
                <w:szCs w:val="20"/>
                <w:rtl w:val="0"/>
              </w:rPr>
              <w:t xml:space="preserve">145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Calibri" w:cs="Calibri" w:eastAsia="Calibri" w:hAnsi="Calibri"/>
                <w:b w:val="0"/>
                <w:bCs w:val="0"/>
                <w:color w:val="000000"/>
                <w:sz w:val="20"/>
                <w:szCs w:val="20"/>
                <w:rtl w:val="0"/>
              </w:rPr>
              <w:t xml:space="preserve">2,14%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Calibri" w:cs="Calibri" w:eastAsia="Calibri" w:hAnsi="Calibri"/>
                <w:b w:val="0"/>
                <w:bCs w:val="0"/>
                <w:color w:val="000000"/>
                <w:sz w:val="20"/>
                <w:szCs w:val="20"/>
                <w:rtl w:val="0"/>
              </w:rPr>
              <w:t xml:space="preserve">2,14%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Calibri" w:cs="Calibri" w:eastAsia="Calibri" w:hAnsi="Calibri"/>
                <w:b w:val="0"/>
                <w:bCs w:val="0"/>
                <w:color w:val="000000"/>
                <w:sz w:val="20"/>
                <w:szCs w:val="20"/>
                <w:rtl w:val="0"/>
              </w:rPr>
              <w:t xml:space="preserve">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Calibri" w:cs="Calibri" w:eastAsia="Calibri" w:hAnsi="Calibri"/>
                <w:b w:val="0"/>
                <w:bCs w:val="0"/>
                <w:color w:val="000000"/>
                <w:sz w:val="20"/>
                <w:szCs w:val="20"/>
                <w:rtl w:val="0"/>
              </w:rPr>
              <w:t xml:space="preserve">Estável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Calibri" w:cs="Calibri" w:eastAsia="Calibri" w:hAnsi="Calibri"/>
                <w:b w:val="0"/>
                <w:bCs w:val="0"/>
                <w:color w:val="000000"/>
                <w:sz w:val="20"/>
                <w:szCs w:val="20"/>
                <w:rtl w:val="0"/>
              </w:rPr>
              <w:t xml:space="preserve">278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Calibri" w:cs="Calibri" w:eastAsia="Calibri" w:hAnsi="Calibri"/>
                <w:b w:val="0"/>
                <w:bCs w:val="0"/>
                <w:color w:val="000000"/>
                <w:sz w:val="20"/>
                <w:szCs w:val="20"/>
                <w:rtl w:val="0"/>
              </w:rPr>
              <w:t xml:space="preserve">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Calibri" w:cs="Calibri" w:eastAsia="Calibri" w:hAnsi="Calibri"/>
                <w:b w:val="0"/>
                <w:bCs w:val="0"/>
                <w:color w:val="000000"/>
                <w:sz w:val="20"/>
                <w:szCs w:val="20"/>
                <w:rtl w:val="0"/>
              </w:rPr>
              <w:t xml:space="preserve">1,39%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Calibri" w:cs="Calibri" w:eastAsia="Calibri" w:hAnsi="Calibri"/>
                <w:b w:val="0"/>
                <w:bCs w:val="0"/>
                <w:color w:val="000000"/>
                <w:sz w:val="20"/>
                <w:szCs w:val="20"/>
                <w:rtl w:val="0"/>
              </w:rPr>
              <w:t xml:space="preserve">−0,11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Calibri" w:cs="Calibri" w:eastAsia="Calibri" w:hAnsi="Calibri"/>
                <w:b w:val="0"/>
                <w:bCs w:val="0"/>
                <w:color w:val="000000"/>
                <w:sz w:val="20"/>
                <w:szCs w:val="20"/>
                <w:rtl w:val="0"/>
              </w:rPr>
              <w:t xml:space="preserve">Estável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Calibri" w:cs="Calibri" w:eastAsia="Calibri" w:hAnsi="Calibri"/>
                <w:b w:val="1"/>
                <w:bCs w:val="1"/>
                <w:color w:val="000000"/>
                <w:sz w:val="20"/>
                <w:szCs w:val="20"/>
                <w:rtl w:val="0"/>
              </w:rPr>
              <w:t xml:space="preserve">Tempo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Calibri" w:cs="Calibri" w:eastAsia="Calibri" w:hAnsi="Calibri"/>
                <w:b w:val="1"/>
                <w:bCs w:val="1"/>
                <w:color w:val="000000"/>
                <w:sz w:val="20"/>
                <w:szCs w:val="20"/>
                <w:rtl w:val="0"/>
              </w:rPr>
              <w:t xml:space="preserve">635,8 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Calibri" w:cs="Calibri" w:eastAsia="Calibri" w:hAnsi="Calibri"/>
                <w:b w:val="1"/>
                <w:bCs w:val="1"/>
                <w:color w:val="000000"/>
                <w:sz w:val="20"/>
                <w:szCs w:val="20"/>
                <w:rtl w:val="0"/>
              </w:rPr>
              <w:t xml:space="preserve">71,4 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b w:val="1"/>
                <w:bCs w:val="1"/>
                <w:color w:val="000000"/>
                <w:sz w:val="20"/>
                <w:szCs w:val="20"/>
                <w:rtl w:val="0"/>
              </w:rPr>
              <w:t xml:space="preserve">≈ 9× mais rápido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4.3 Análise dos Resultados</w:t>
      </w:r>
      <w:r w:rsidDel="00000000" w:rsidR="00000000" w:rsidRPr="00000000">
        <w:rPr>
          <w:rtl w:val="0"/>
        </w:rPr>
      </w:r>
    </w:p>
    <w:p w:rsidR="00000000" w:rsidDel="00000000" w:rsidP="00000000" w:rsidRDefault="00000000" w:rsidRPr="00000000" w14:paraId="00000099">
      <w:pPr>
        <w:spacing w:after="120" w:line="300" w:lineRule="auto"/>
        <w:jc w:val="both"/>
        <w:rPr/>
      </w:pPr>
      <w:r w:rsidDel="00000000" w:rsidR="00000000" w:rsidRPr="00000000">
        <w:rPr>
          <w:rFonts w:ascii="Calibri" w:cs="Calibri" w:eastAsia="Calibri" w:hAnsi="Calibri"/>
          <w:sz w:val="22"/>
          <w:szCs w:val="22"/>
          <w:rtl w:val="0"/>
        </w:rPr>
        <w:t xml:space="preserve">À primeira vista, o resultado parecia ambíguo: apenas 2 das 6 páginas apresentaram ganho de score expressivo, enquanto as outras 4 ficaram estatisticamente iguais. Uma inspeção visual do markdown gerado pela Config B revelou, no entanto, que todas as 6 páginas tiveram suas tabelas extraídas corretamente como markdown estruturado, com cabeçalhos hierárquicos preservados e valores numéricos íntegros.</w:t>
      </w:r>
      <w:r w:rsidDel="00000000" w:rsidR="00000000" w:rsidRPr="00000000">
        <w:rPr>
          <w:rtl w:val="0"/>
        </w:rPr>
      </w:r>
    </w:p>
    <w:p w:rsidR="00000000" w:rsidDel="00000000" w:rsidP="00000000" w:rsidRDefault="00000000" w:rsidRPr="00000000" w14:paraId="0000009A">
      <w:pPr>
        <w:spacing w:after="120" w:line="300" w:lineRule="auto"/>
        <w:jc w:val="both"/>
        <w:rPr/>
      </w:pPr>
      <w:r w:rsidDel="00000000" w:rsidR="00000000" w:rsidRPr="00000000">
        <w:rPr>
          <w:rFonts w:ascii="Calibri" w:cs="Calibri" w:eastAsia="Calibri" w:hAnsi="Calibri"/>
          <w:sz w:val="22"/>
          <w:szCs w:val="22"/>
          <w:rtl w:val="0"/>
        </w:rPr>
        <w:t xml:space="preserve">A explicação para os scores aparentemente baixos nas páginas 326, 490, 145 e 278 está na própria natureza da métrica NED. Quando o Docling produz um markdown estruturado para uma tabela complexa, o texto resultante contém sintaxe markdown adicional (pipes, separadores, headers repetidos para células mescladas) e parágrafos explicativos intercalados, gerando uma string substancialmente diferente em tamanho e estrutura do texto extraído pelo fitz, que produz uma sequência linear de palavras. A NED penaliza essa diferença, mesmo que o conteúdo esteja correto e bem estruturado.</w:t>
      </w:r>
      <w:r w:rsidDel="00000000" w:rsidR="00000000" w:rsidRPr="00000000">
        <w:rPr>
          <w:rtl w:val="0"/>
        </w:rPr>
      </w:r>
    </w:p>
    <w:p w:rsidR="00000000" w:rsidDel="00000000" w:rsidP="00000000" w:rsidRDefault="00000000" w:rsidRPr="00000000" w14:paraId="0000009B">
      <w:pPr>
        <w:spacing w:after="120" w:line="300" w:lineRule="auto"/>
        <w:jc w:val="both"/>
        <w:rPr/>
      </w:pPr>
      <w:r w:rsidDel="00000000" w:rsidR="00000000" w:rsidRPr="00000000">
        <w:rPr>
          <w:rFonts w:ascii="Calibri" w:cs="Calibri" w:eastAsia="Calibri" w:hAnsi="Calibri"/>
          <w:sz w:val="22"/>
          <w:szCs w:val="22"/>
          <w:rtl w:val="0"/>
        </w:rPr>
        <w:t xml:space="preserve">Em outras palavras, a NED é uma métrica adequada para texto corrido, mas inadequada para conteúdo tabular estruturado. Esta constatação valida empiricamente a motivação por trás da criação da métrica TEDS no benchmark OmniDocBench, especificamente desenhada para avaliar similaridade estrutural de tabelas representadas como árvores de células.</w:t>
      </w:r>
      <w:r w:rsidDel="00000000" w:rsidR="00000000" w:rsidRPr="00000000">
        <w:rPr>
          <w:rtl w:val="0"/>
        </w:rPr>
      </w:r>
    </w:p>
    <w:p w:rsidR="00000000" w:rsidDel="00000000" w:rsidP="00000000" w:rsidRDefault="00000000" w:rsidRPr="00000000" w14:paraId="0000009C">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4.4 Conclusão do Experimento</w:t>
      </w:r>
      <w:r w:rsidDel="00000000" w:rsidR="00000000" w:rsidRPr="00000000">
        <w:rPr>
          <w:rtl w:val="0"/>
        </w:rPr>
      </w:r>
    </w:p>
    <w:p w:rsidR="00000000" w:rsidDel="00000000" w:rsidP="00000000" w:rsidRDefault="00000000" w:rsidRPr="00000000" w14:paraId="0000009D">
      <w:pPr>
        <w:spacing w:after="120" w:line="300" w:lineRule="auto"/>
        <w:jc w:val="both"/>
        <w:rPr/>
      </w:pPr>
      <w:r w:rsidDel="00000000" w:rsidR="00000000" w:rsidRPr="00000000">
        <w:rPr>
          <w:rFonts w:ascii="Calibri" w:cs="Calibri" w:eastAsia="Calibri" w:hAnsi="Calibri"/>
          <w:sz w:val="22"/>
          <w:szCs w:val="22"/>
          <w:rtl w:val="0"/>
        </w:rPr>
        <w:t xml:space="preserve">A migração para a Config B é recomendada com base em três evidências independentes: (i) ganho de 9× em velocidade de processamento, com impacto direto no custo computacional do pipeline para os ~150 PDFs; (ii) caso comprovado de melhoria expressiva de score em tabela borderless (página 276, +62,37 pontos percentuais); e (iii) extração estruturada de tabelas em markdown nas demais páginas, mesmo quando a NED não captura o ganho. A configuração proposta utiliza </w:t>
      </w:r>
      <w:r w:rsidDel="00000000" w:rsidR="00000000" w:rsidRPr="00000000">
        <w:rPr>
          <w:rFonts w:ascii="Consolas" w:cs="Consolas" w:eastAsia="Consolas" w:hAnsi="Consolas"/>
          <w:b w:val="0"/>
          <w:bCs w:val="0"/>
          <w:i w:val="0"/>
          <w:iCs w:val="0"/>
          <w:sz w:val="22"/>
          <w:szCs w:val="22"/>
          <w:shd w:fill="f2f2f2" w:val="clear"/>
          <w:rtl w:val="0"/>
        </w:rPr>
        <w:t xml:space="preserve">do_cell_matching=False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b w:val="0"/>
          <w:bCs w:val="0"/>
          <w:i w:val="0"/>
          <w:iCs w:val="0"/>
          <w:sz w:val="22"/>
          <w:szCs w:val="22"/>
          <w:shd w:fill="f2f2f2" w:val="clear"/>
          <w:rtl w:val="0"/>
        </w:rPr>
        <w:t xml:space="preserve">TableFormerMode.ACCURATE</w:t>
      </w:r>
      <w:r w:rsidDel="00000000" w:rsidR="00000000" w:rsidRPr="00000000">
        <w:rPr>
          <w:rFonts w:ascii="Calibri" w:cs="Calibri" w:eastAsia="Calibri" w:hAnsi="Calibri"/>
          <w:sz w:val="22"/>
          <w:szCs w:val="22"/>
          <w:rtl w:val="0"/>
        </w:rPr>
        <w:t xml:space="preserve"> e </w:t>
      </w:r>
      <w:r w:rsidDel="00000000" w:rsidR="00000000" w:rsidRPr="00000000">
        <w:rPr>
          <w:rFonts w:ascii="Consolas" w:cs="Consolas" w:eastAsia="Consolas" w:hAnsi="Consolas"/>
          <w:b w:val="0"/>
          <w:bCs w:val="0"/>
          <w:i w:val="0"/>
          <w:iCs w:val="0"/>
          <w:sz w:val="22"/>
          <w:szCs w:val="22"/>
          <w:shd w:fill="f2f2f2" w:val="clear"/>
          <w:rtl w:val="0"/>
        </w:rPr>
        <w:t xml:space="preserve">force_full_page_ocr=False</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9E">
      <w:pPr>
        <w:pStyle w:val="Heading1"/>
        <w:spacing w:after="200" w:before="360" w:lineRule="auto"/>
        <w:rPr/>
      </w:pPr>
      <w:r w:rsidDel="00000000" w:rsidR="00000000" w:rsidRPr="00000000">
        <w:rPr>
          <w:rFonts w:ascii="Calibri" w:cs="Calibri" w:eastAsia="Calibri" w:hAnsi="Calibri"/>
          <w:b w:val="1"/>
          <w:bCs w:val="1"/>
          <w:color w:val="000000"/>
          <w:sz w:val="32"/>
          <w:szCs w:val="32"/>
          <w:rtl w:val="0"/>
        </w:rPr>
        <w:t xml:space="preserve">5. Próximos Passos</w:t>
      </w:r>
      <w:r w:rsidDel="00000000" w:rsidR="00000000" w:rsidRPr="00000000">
        <w:rPr>
          <w:rtl w:val="0"/>
        </w:rPr>
      </w:r>
    </w:p>
    <w:p w:rsidR="00000000" w:rsidDel="00000000" w:rsidP="00000000" w:rsidRDefault="00000000" w:rsidRPr="00000000" w14:paraId="0000009F">
      <w:pPr>
        <w:spacing w:after="120" w:line="300" w:lineRule="auto"/>
        <w:jc w:val="both"/>
        <w:rPr/>
      </w:pPr>
      <w:r w:rsidDel="00000000" w:rsidR="00000000" w:rsidRPr="00000000">
        <w:rPr>
          <w:rFonts w:ascii="Calibri" w:cs="Calibri" w:eastAsia="Calibri" w:hAnsi="Calibri"/>
          <w:sz w:val="22"/>
          <w:szCs w:val="22"/>
          <w:rtl w:val="0"/>
        </w:rPr>
        <w:t xml:space="preserve">Com base nos resultados obtidos, os próximos passos do Squad 02 estão estruturados em três frentes: aplicação imediata das descobertas no pipeline de produção, implementação de novas métricas de validação, e ampliação da base de testes.</w:t>
      </w:r>
      <w:r w:rsidDel="00000000" w:rsidR="00000000" w:rsidRPr="00000000">
        <w:rPr>
          <w:rtl w:val="0"/>
        </w:rPr>
      </w:r>
    </w:p>
    <w:p w:rsidR="00000000" w:rsidDel="00000000" w:rsidP="00000000" w:rsidRDefault="00000000" w:rsidRPr="00000000" w14:paraId="000000A0">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5.1 Frente 1 Atualização do Pipeline de Produção</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Migrar o Script 1 para a Config B do Docling, alterando os três parâmetros validados pelo experimento A/B.</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Re-executar a validação principal (NED + MGAM-like) sobre o Boletim 100 com a Config B, para quantificar o impacto agregado da mudança nas 169 páginas classificadas como "tabela sem pipes".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Re-rodar o pipeline de vetorização para os PDFs já processados que contêm tabelas borderless, substituindo os pontos correspondentes no Qdrant.</w:t>
      </w:r>
    </w:p>
    <w:p w:rsidR="00000000" w:rsidDel="00000000" w:rsidP="00000000" w:rsidRDefault="00000000" w:rsidRPr="00000000" w14:paraId="000000A4">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5.2 Frente 2 Novas Métricas de Validação</w:t>
      </w:r>
      <w:r w:rsidDel="00000000" w:rsidR="00000000" w:rsidRPr="00000000">
        <w:rPr>
          <w:rtl w:val="0"/>
        </w:rPr>
      </w:r>
    </w:p>
    <w:p w:rsidR="00000000" w:rsidDel="00000000" w:rsidP="00000000" w:rsidRDefault="00000000" w:rsidRPr="00000000" w14:paraId="000000A5">
      <w:pPr>
        <w:spacing w:after="120" w:line="300" w:lineRule="auto"/>
        <w:jc w:val="both"/>
        <w:rPr/>
      </w:pPr>
      <w:r w:rsidDel="00000000" w:rsidR="00000000" w:rsidRPr="00000000">
        <w:rPr>
          <w:rFonts w:ascii="Calibri" w:cs="Calibri" w:eastAsia="Calibri" w:hAnsi="Calibri"/>
          <w:sz w:val="22"/>
          <w:szCs w:val="22"/>
          <w:rtl w:val="0"/>
        </w:rPr>
        <w:t xml:space="preserve">A constatação de que NED penaliza injustamente conteúdo tabular estruturado torna prioritária a implementação de métricas complementares. Em ordem de prioridade: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TEDS (Table Evolution Distance Score)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métrica do OmniDocBench específica para tabelas. Compara a estrutura tabular como árvore de células e calcula similaridade estrutural. Implementação possível com a biblioteca </w:t>
      </w:r>
      <w:r w:rsidDel="00000000" w:rsidR="00000000" w:rsidRPr="00000000">
        <w:rPr>
          <w:rFonts w:ascii="Consolas" w:cs="Consolas" w:eastAsia="Consolas" w:hAnsi="Consolas"/>
          <w:b w:val="0"/>
          <w:bCs w:val="0"/>
          <w:i w:val="0"/>
          <w:iCs w:val="0"/>
          <w:smallCaps w:val="0"/>
          <w:strike w:val="0"/>
          <w:color w:val="000000"/>
          <w:sz w:val="22"/>
          <w:szCs w:val="22"/>
          <w:u w:val="none"/>
          <w:shd w:fill="f2f2f2" w:val="clear"/>
          <w:vertAlign w:val="baseline"/>
          <w:rtl w:val="0"/>
        </w:rPr>
        <w:t xml:space="preserve">apted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Requer ground truth manual de 5 a 10 tabelas dos PDFs do projeto, já em formato HTML ou markdown.</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Robustez RoDLA-style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geração de perturbações sintéticas (ruído gaussiano, blur, compressão JPEG, rotação) sobre páginas do Boletim 100, com cálculo de mAP para validar o filtro OpenCV de 3 camadas do Script 1. Justifica cientificamente a existência do filtro.</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CDM (Comprehensive Document Metric)</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métrica do OmniDocBench para fórmulas matemáticas. Aplicável diretamente ao Script 2, validando se o Gemini Vision transcreve corretamente equações de regressão extraídas dos gráficos. Requer ambiente Docker com TeX Live e ImageMagick.</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End-to-End Score do Gemini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validação dos valores numéricos extraídos pelo Gemini Vision contra ground truth manual de gráficos do Boletim 100. Métrica mais cara de produzir, deixada para fase posterior.</w:t>
      </w:r>
    </w:p>
    <w:p w:rsidR="00000000" w:rsidDel="00000000" w:rsidP="00000000" w:rsidRDefault="00000000" w:rsidRPr="00000000" w14:paraId="000000AA">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5.3 Frente 3 Ampliação da Base de Testes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a metodologia atual aos demais PDFs prioritários do projeto (Mattos 2010, Zambrosi 2017, Alva 2005, e outros), gerando relatórios individuais e agregados.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Investigar manualmente os 17 casos de OCR_FALHOU identificados no Boletim 100 que não correspondem a front matter ou figuras, em particular a página 196 que foi descrita como "texto comum" mas teve extração nula.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Refinar o sistema de diagnóstico automático com base na inspeção visual realizada, reduzindo a categoria "investigar manualmente" e aumentando a precisão das classificações.</w:t>
      </w:r>
    </w:p>
    <w:p w:rsidR="00000000" w:rsidDel="00000000" w:rsidP="00000000" w:rsidRDefault="00000000" w:rsidRPr="00000000" w14:paraId="000000AE">
      <w:pPr>
        <w:pStyle w:val="Heading2"/>
        <w:spacing w:after="160" w:before="280" w:lineRule="auto"/>
        <w:rPr/>
      </w:pPr>
      <w:r w:rsidDel="00000000" w:rsidR="00000000" w:rsidRPr="00000000">
        <w:rPr>
          <w:rFonts w:ascii="Calibri" w:cs="Calibri" w:eastAsia="Calibri" w:hAnsi="Calibri"/>
          <w:b w:val="1"/>
          <w:bCs w:val="1"/>
          <w:color w:val="000000"/>
          <w:sz w:val="26"/>
          <w:szCs w:val="26"/>
          <w:rtl w:val="0"/>
        </w:rPr>
        <w:t xml:space="preserve">5.4 Cronograma Estimado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1800"/>
        <w:gridCol w:w="1800"/>
        <w:tblGridChange w:id="0">
          <w:tblGrid>
            <w:gridCol w:w="5760"/>
            <w:gridCol w:w="180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b w:val="1"/>
                <w:bCs w:val="1"/>
                <w:color w:val="000000"/>
                <w:sz w:val="20"/>
                <w:szCs w:val="20"/>
                <w:rtl w:val="0"/>
              </w:rPr>
              <w:t xml:space="preserve">Tarefa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Calibri" w:cs="Calibri" w:eastAsia="Calibri" w:hAnsi="Calibri"/>
                <w:b w:val="1"/>
                <w:bCs w:val="1"/>
                <w:color w:val="000000"/>
                <w:sz w:val="20"/>
                <w:szCs w:val="20"/>
                <w:rtl w:val="0"/>
              </w:rPr>
              <w:t xml:space="preserve">Frente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fbfbf"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Calibri" w:cs="Calibri" w:eastAsia="Calibri" w:hAnsi="Calibri"/>
                <w:b w:val="1"/>
                <w:bCs w:val="1"/>
                <w:color w:val="000000"/>
                <w:sz w:val="20"/>
                <w:szCs w:val="20"/>
                <w:rtl w:val="0"/>
              </w:rPr>
              <w:t xml:space="preserve">Esforço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color w:val="000000"/>
                <w:sz w:val="20"/>
                <w:szCs w:val="20"/>
                <w:rtl w:val="0"/>
              </w:rPr>
              <w:t xml:space="preserve">Migração da config no Script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Calibri" w:cs="Calibri" w:eastAsia="Calibri" w:hAnsi="Calibri"/>
                <w:b w:val="0"/>
                <w:bCs w:val="0"/>
                <w:color w:val="000000"/>
                <w:sz w:val="20"/>
                <w:szCs w:val="20"/>
                <w:rtl w:val="0"/>
              </w:rPr>
              <w:t xml:space="preserve">1 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b w:val="0"/>
                <w:bCs w:val="0"/>
                <w:color w:val="000000"/>
                <w:sz w:val="20"/>
                <w:szCs w:val="20"/>
                <w:rtl w:val="0"/>
              </w:rPr>
              <w:t xml:space="preserve">Re-validação do Boletim 100 com Config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Calibri" w:cs="Calibri" w:eastAsia="Calibri" w:hAnsi="Calibri"/>
                <w:b w:val="0"/>
                <w:bCs w:val="0"/>
                <w:color w:val="000000"/>
                <w:sz w:val="20"/>
                <w:szCs w:val="20"/>
                <w:rtl w:val="0"/>
              </w:rPr>
              <w:t xml:space="preserve">1 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color w:val="000000"/>
                <w:sz w:val="20"/>
                <w:szCs w:val="20"/>
                <w:rtl w:val="0"/>
              </w:rPr>
              <w:t xml:space="preserve">Implementação de TEDS + ground truth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Calibri" w:cs="Calibri" w:eastAsia="Calibri" w:hAnsi="Calibri"/>
                <w:b w:val="0"/>
                <w:bCs w:val="0"/>
                <w:color w:val="000000"/>
                <w:sz w:val="20"/>
                <w:szCs w:val="20"/>
                <w:rtl w:val="0"/>
              </w:rPr>
              <w:t xml:space="preserve">3-5 dias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b w:val="0"/>
                <w:bCs w:val="0"/>
                <w:color w:val="000000"/>
                <w:sz w:val="20"/>
                <w:szCs w:val="20"/>
                <w:rtl w:val="0"/>
              </w:rPr>
              <w:t xml:space="preserve">Implementação de robustez RoDLA-style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rFonts w:ascii="Calibri" w:cs="Calibri" w:eastAsia="Calibri" w:hAnsi="Calibri"/>
                <w:b w:val="0"/>
                <w:bCs w:val="0"/>
                <w:color w:val="000000"/>
                <w:sz w:val="20"/>
                <w:szCs w:val="20"/>
                <w:rtl w:val="0"/>
              </w:rPr>
              <w:t xml:space="preserve">3 dias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color w:val="000000"/>
                <w:sz w:val="20"/>
                <w:szCs w:val="20"/>
                <w:rtl w:val="0"/>
              </w:rPr>
              <w:t xml:space="preserve">Investigação manual de páginas OCR_FALHOU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Calibri" w:cs="Calibri" w:eastAsia="Calibri" w:hAnsi="Calibri"/>
                <w:b w:val="0"/>
                <w:bCs w:val="0"/>
                <w:color w:val="000000"/>
                <w:sz w:val="20"/>
                <w:szCs w:val="20"/>
                <w:rtl w:val="0"/>
              </w:rPr>
              <w:t xml:space="preserve">1 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0"/>
                <w:bCs w:val="0"/>
                <w:color w:val="000000"/>
                <w:sz w:val="20"/>
                <w:szCs w:val="20"/>
                <w:rtl w:val="0"/>
              </w:rPr>
              <w:t xml:space="preserve">Aplicação da metodologia aos demais PDFs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Calibri" w:cs="Calibri" w:eastAsia="Calibri" w:hAnsi="Calibri"/>
                <w:b w:val="0"/>
                <w:bCs w:val="0"/>
                <w:color w:val="000000"/>
                <w:sz w:val="20"/>
                <w:szCs w:val="20"/>
                <w:rtl w:val="0"/>
              </w:rPr>
              <w:t xml:space="preserve">2-3 dias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b w:val="0"/>
                <w:bCs w:val="0"/>
                <w:color w:val="000000"/>
                <w:sz w:val="20"/>
                <w:szCs w:val="20"/>
                <w:rtl w:val="0"/>
              </w:rPr>
              <w:t xml:space="preserve">Implementação de CDM (após estabilizar OCR)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Calibri" w:cs="Calibri" w:eastAsia="Calibri" w:hAnsi="Calibri"/>
                <w:b w:val="0"/>
                <w:bCs w:val="0"/>
                <w:color w:val="000000"/>
                <w:sz w:val="20"/>
                <w:szCs w:val="20"/>
                <w:rtl w:val="0"/>
              </w:rPr>
              <w:t xml:space="preserve">4-5 dias</w:t>
            </w:r>
            <w:r w:rsidDel="00000000" w:rsidR="00000000" w:rsidRPr="00000000">
              <w:rPr>
                <w:rtl w:val="0"/>
              </w:rPr>
            </w:r>
          </w:p>
        </w:tc>
      </w:tr>
    </w:tbl>
    <w:p w:rsidR="00000000" w:rsidDel="00000000" w:rsidP="00000000" w:rsidRDefault="00000000" w:rsidRPr="00000000" w14:paraId="000000C7">
      <w:pPr>
        <w:pStyle w:val="Heading1"/>
        <w:spacing w:after="200" w:before="360" w:lineRule="auto"/>
        <w:rPr/>
      </w:pPr>
      <w:r w:rsidDel="00000000" w:rsidR="00000000" w:rsidRPr="00000000">
        <w:rPr>
          <w:rtl w:val="0"/>
        </w:rPr>
      </w:r>
    </w:p>
    <w:p w:rsidR="00000000" w:rsidDel="00000000" w:rsidP="00000000" w:rsidRDefault="00000000" w:rsidRPr="00000000" w14:paraId="000000C8">
      <w:pPr>
        <w:pStyle w:val="Heading1"/>
        <w:spacing w:after="200" w:before="360" w:lineRule="auto"/>
        <w:rPr/>
      </w:pPr>
      <w:r w:rsidDel="00000000" w:rsidR="00000000" w:rsidRPr="00000000">
        <w:rPr>
          <w:rtl w:val="0"/>
        </w:rPr>
      </w:r>
    </w:p>
    <w:p w:rsidR="00000000" w:rsidDel="00000000" w:rsidP="00000000" w:rsidRDefault="00000000" w:rsidRPr="00000000" w14:paraId="000000C9">
      <w:pPr>
        <w:pStyle w:val="Heading1"/>
        <w:spacing w:after="200" w:before="360" w:lineRule="auto"/>
        <w:rPr/>
      </w:pPr>
      <w:r w:rsidDel="00000000" w:rsidR="00000000" w:rsidRPr="00000000">
        <w:rPr>
          <w:rFonts w:ascii="Calibri" w:cs="Calibri" w:eastAsia="Calibri" w:hAnsi="Calibri"/>
          <w:b w:val="1"/>
          <w:bCs w:val="1"/>
          <w:color w:val="000000"/>
          <w:sz w:val="32"/>
          <w:szCs w:val="32"/>
          <w:rtl w:val="0"/>
        </w:rPr>
        <w:t xml:space="preserve">6. Conclusão</w:t>
      </w:r>
      <w:r w:rsidDel="00000000" w:rsidR="00000000" w:rsidRPr="00000000">
        <w:rPr>
          <w:rtl w:val="0"/>
        </w:rPr>
      </w:r>
    </w:p>
    <w:p w:rsidR="00000000" w:rsidDel="00000000" w:rsidP="00000000" w:rsidRDefault="00000000" w:rsidRPr="00000000" w14:paraId="000000CA">
      <w:pPr>
        <w:spacing w:after="120" w:line="300" w:lineRule="auto"/>
        <w:jc w:val="both"/>
        <w:rPr/>
      </w:pPr>
      <w:r w:rsidDel="00000000" w:rsidR="00000000" w:rsidRPr="00000000">
        <w:rPr>
          <w:rFonts w:ascii="Calibri" w:cs="Calibri" w:eastAsia="Calibri" w:hAnsi="Calibri"/>
          <w:sz w:val="22"/>
          <w:szCs w:val="22"/>
          <w:rtl w:val="0"/>
        </w:rPr>
        <w:t xml:space="preserve">A campanha de validação realizada estabeleceu um padrão quantitativo para avaliação do pipeline de vetorização, substituindo a percepção subjetiva por evidências mensuráveis. Os principais achados são: o pipeline atual tem fidelidade de 91,46% no OCR de conteúdo técnico do Boletim 100; a janela fixa de chunking de 1024/256 preserva 85,82% dos parágrafos naturais; e uma reconfiguração simples do Docling, validada empiricamente, oferece ganho de 9× em velocidade e melhora a extração de tabelas borderless.</w:t>
      </w:r>
      <w:r w:rsidDel="00000000" w:rsidR="00000000" w:rsidRPr="00000000">
        <w:rPr>
          <w:rtl w:val="0"/>
        </w:rPr>
      </w:r>
    </w:p>
    <w:p w:rsidR="00000000" w:rsidDel="00000000" w:rsidP="00000000" w:rsidRDefault="00000000" w:rsidRPr="00000000" w14:paraId="000000CB">
      <w:pPr>
        <w:spacing w:after="120" w:line="300" w:lineRule="auto"/>
        <w:jc w:val="both"/>
        <w:rPr/>
      </w:pPr>
      <w:r w:rsidDel="00000000" w:rsidR="00000000" w:rsidRPr="00000000">
        <w:rPr>
          <w:rFonts w:ascii="Calibri" w:cs="Calibri" w:eastAsia="Calibri" w:hAnsi="Calibri"/>
          <w:sz w:val="22"/>
          <w:szCs w:val="22"/>
          <w:rtl w:val="0"/>
        </w:rPr>
        <w:t xml:space="preserve">Igualmente importante foi o aprendizado metodológico: a constatação de que a métrica NED, apesar de central no benchmark OmniDocBench, é insuficiente para validar conteúdo tabular estruturado. Essa observação empírica reforça a necessidade de implementar TEDS como próximo passo, completando o arsenal metodológico do projeto e permitindo uma avaliação verdadeiramente abrangente da qualidade da extração.</w:t>
      </w:r>
      <w:r w:rsidDel="00000000" w:rsidR="00000000" w:rsidRPr="00000000">
        <w:rPr>
          <w:rtl w:val="0"/>
        </w:rPr>
      </w:r>
    </w:p>
    <w:p w:rsidR="00000000" w:rsidDel="00000000" w:rsidP="00000000" w:rsidRDefault="00000000" w:rsidRPr="00000000" w14:paraId="000000CC">
      <w:pPr>
        <w:spacing w:after="120"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Squad 02 transitou, ao longo desta campanha, de uma posição de "tentativa e erro" para uma metodologia de avaliação cientificamente embasada, aderente à literatura mais recente da área (OmniDocBench v1.6, fevereiro de 2026). O conjunto de scripts, relatórios e artefatos produzidos é reproduzível, documentado e diretamente aplicável aos demais PDFs do projeto.</w:t>
      </w:r>
    </w:p>
    <w:p w:rsidR="00000000" w:rsidDel="00000000" w:rsidP="00000000" w:rsidRDefault="00000000" w:rsidRPr="00000000" w14:paraId="000000CD">
      <w:pPr>
        <w:pStyle w:val="Heading1"/>
        <w:rPr/>
      </w:pPr>
      <w:bookmarkStart w:colFirst="0" w:colLast="0" w:name="_8wfinpwsfdhw" w:id="0"/>
      <w:bookmarkEnd w:id="0"/>
      <w:r w:rsidDel="00000000" w:rsidR="00000000" w:rsidRPr="00000000">
        <w:rPr>
          <w:rtl w:val="0"/>
        </w:rPr>
        <w:t xml:space="preserve">7. Referências Bibliográficas</w:t>
      </w:r>
    </w:p>
    <w:p w:rsidR="00000000" w:rsidDel="00000000" w:rsidP="00000000" w:rsidRDefault="00000000" w:rsidRPr="00000000" w14:paraId="000000CE">
      <w:pPr>
        <w:spacing w:after="200" w:line="300" w:lineRule="auto"/>
        <w:rPr/>
      </w:pPr>
      <w:r w:rsidDel="00000000" w:rsidR="00000000" w:rsidRPr="00000000">
        <w:rPr>
          <w:rtl w:val="0"/>
        </w:rPr>
        <w:t xml:space="preserve">CANTARELLA, H.; QUAGGIO, J. A.; MATTOS JR., D.; BOARETTO, R. M.; VAN RAIJ, B. (ed.). </w:t>
      </w:r>
      <w:r w:rsidDel="00000000" w:rsidR="00000000" w:rsidRPr="00000000">
        <w:rPr>
          <w:i w:val="1"/>
          <w:iCs w:val="1"/>
          <w:rtl w:val="0"/>
        </w:rPr>
        <w:t xml:space="preserve">Boletim 100: recomendações de adubação e calagem para o Estado de São Paulo</w:t>
      </w:r>
      <w:r w:rsidDel="00000000" w:rsidR="00000000" w:rsidRPr="00000000">
        <w:rPr>
          <w:rtl w:val="0"/>
        </w:rPr>
        <w:t xml:space="preserve">. Campinas: Instituto Agronômico (IAC), 2022.</w:t>
      </w:r>
    </w:p>
    <w:p w:rsidR="00000000" w:rsidDel="00000000" w:rsidP="00000000" w:rsidRDefault="00000000" w:rsidRPr="00000000" w14:paraId="000000CF">
      <w:pPr>
        <w:spacing w:after="200" w:line="300" w:lineRule="auto"/>
        <w:rPr/>
      </w:pPr>
      <w:r w:rsidDel="00000000" w:rsidR="00000000" w:rsidRPr="00000000">
        <w:rPr>
          <w:rtl w:val="0"/>
        </w:rPr>
        <w:t xml:space="preserve">OUYANG, L. </w:t>
      </w:r>
      <w:r w:rsidDel="00000000" w:rsidR="00000000" w:rsidRPr="00000000">
        <w:rPr>
          <w:i w:val="1"/>
          <w:iCs w:val="1"/>
          <w:rtl w:val="0"/>
        </w:rPr>
        <w:t xml:space="preserve">et al.</w:t>
      </w:r>
      <w:r w:rsidDel="00000000" w:rsidR="00000000" w:rsidRPr="00000000">
        <w:rPr>
          <w:rtl w:val="0"/>
        </w:rPr>
        <w:t xml:space="preserve"> OmniDocBench: benchmarking diverse PDF document parsing with comprehensive annotations. In: </w:t>
      </w:r>
      <w:r w:rsidDel="00000000" w:rsidR="00000000" w:rsidRPr="00000000">
        <w:rPr>
          <w:i w:val="1"/>
          <w:iCs w:val="1"/>
          <w:rtl w:val="0"/>
        </w:rPr>
        <w:t xml:space="preserve">Proceedings of the IEEE/CVF Conference on Computer Vision and Pattern Recognition (CVPR)</w:t>
      </w:r>
      <w:r w:rsidDel="00000000" w:rsidR="00000000" w:rsidRPr="00000000">
        <w:rPr>
          <w:rtl w:val="0"/>
        </w:rPr>
        <w:t xml:space="preserve">, 2025. Disponível em: https://github.com/opendatalab/OmniDocBench. Acesso em: abr. 2026.</w:t>
      </w:r>
    </w:p>
    <w:p w:rsidR="00000000" w:rsidDel="00000000" w:rsidP="00000000" w:rsidRDefault="00000000" w:rsidRPr="00000000" w14:paraId="000000D0">
      <w:pPr>
        <w:spacing w:after="200" w:line="300" w:lineRule="auto"/>
        <w:rPr/>
      </w:pPr>
      <w:r w:rsidDel="00000000" w:rsidR="00000000" w:rsidRPr="00000000">
        <w:rPr>
          <w:rtl w:val="0"/>
        </w:rPr>
        <w:t xml:space="preserve">LI, M. </w:t>
      </w:r>
      <w:r w:rsidDel="00000000" w:rsidR="00000000" w:rsidRPr="00000000">
        <w:rPr>
          <w:i w:val="1"/>
          <w:iCs w:val="1"/>
          <w:rtl w:val="0"/>
        </w:rPr>
        <w:t xml:space="preserve">et al.</w:t>
      </w:r>
      <w:r w:rsidDel="00000000" w:rsidR="00000000" w:rsidRPr="00000000">
        <w:rPr>
          <w:rtl w:val="0"/>
        </w:rPr>
        <w:t xml:space="preserve"> DocBank: a benchmark dataset for document layout analysis. </w:t>
      </w:r>
      <w:r w:rsidDel="00000000" w:rsidR="00000000" w:rsidRPr="00000000">
        <w:rPr>
          <w:i w:val="1"/>
          <w:iCs w:val="1"/>
          <w:rtl w:val="0"/>
        </w:rPr>
        <w:t xml:space="preserve">arXiv preprint arXiv:2006.01038</w:t>
      </w:r>
      <w:r w:rsidDel="00000000" w:rsidR="00000000" w:rsidRPr="00000000">
        <w:rPr>
          <w:rtl w:val="0"/>
        </w:rPr>
        <w:t xml:space="preserve">, 2020. Disponível em: https://arxiv.org/abs/2006.01038. Acesso em: abr. 2026.</w:t>
      </w:r>
    </w:p>
    <w:p w:rsidR="00000000" w:rsidDel="00000000" w:rsidP="00000000" w:rsidRDefault="00000000" w:rsidRPr="00000000" w14:paraId="000000D1">
      <w:pPr>
        <w:spacing w:after="200" w:line="300" w:lineRule="auto"/>
        <w:rPr/>
      </w:pPr>
      <w:r w:rsidDel="00000000" w:rsidR="00000000" w:rsidRPr="00000000">
        <w:rPr>
          <w:rtl w:val="0"/>
        </w:rPr>
        <w:t xml:space="preserve">PFITZMANN, B. </w:t>
      </w:r>
      <w:r w:rsidDel="00000000" w:rsidR="00000000" w:rsidRPr="00000000">
        <w:rPr>
          <w:i w:val="1"/>
          <w:iCs w:val="1"/>
          <w:rtl w:val="0"/>
        </w:rPr>
        <w:t xml:space="preserve">et al.</w:t>
      </w:r>
      <w:r w:rsidDel="00000000" w:rsidR="00000000" w:rsidRPr="00000000">
        <w:rPr>
          <w:rtl w:val="0"/>
        </w:rPr>
        <w:t xml:space="preserve"> DocLayNet: a large human-annotated dataset for document-layout analysis. </w:t>
      </w:r>
      <w:r w:rsidDel="00000000" w:rsidR="00000000" w:rsidRPr="00000000">
        <w:rPr>
          <w:i w:val="1"/>
          <w:iCs w:val="1"/>
          <w:rtl w:val="0"/>
        </w:rPr>
        <w:t xml:space="preserve">arXiv preprint arXiv:2206.01062</w:t>
      </w:r>
      <w:r w:rsidDel="00000000" w:rsidR="00000000" w:rsidRPr="00000000">
        <w:rPr>
          <w:rtl w:val="0"/>
        </w:rPr>
        <w:t xml:space="preserve">, 2022. Disponível em: https://github.com/DS4SD/DocLayNet. Acesso em: abr. 2026.</w:t>
      </w:r>
    </w:p>
    <w:p w:rsidR="00000000" w:rsidDel="00000000" w:rsidP="00000000" w:rsidRDefault="00000000" w:rsidRPr="00000000" w14:paraId="000000D2">
      <w:pPr>
        <w:spacing w:after="200" w:line="300" w:lineRule="auto"/>
        <w:rPr/>
      </w:pPr>
      <w:r w:rsidDel="00000000" w:rsidR="00000000" w:rsidRPr="00000000">
        <w:rPr>
          <w:rtl w:val="0"/>
        </w:rPr>
        <w:t xml:space="preserve">CHEN, Y. </w:t>
      </w:r>
      <w:r w:rsidDel="00000000" w:rsidR="00000000" w:rsidRPr="00000000">
        <w:rPr>
          <w:i w:val="1"/>
          <w:iCs w:val="1"/>
          <w:rtl w:val="0"/>
        </w:rPr>
        <w:t xml:space="preserve">et al.</w:t>
      </w:r>
      <w:r w:rsidDel="00000000" w:rsidR="00000000" w:rsidRPr="00000000">
        <w:rPr>
          <w:rtl w:val="0"/>
        </w:rPr>
        <w:t xml:space="preserve"> RoDLA: benchmarking the robustness of document layout analysis models. In: </w:t>
      </w:r>
      <w:r w:rsidDel="00000000" w:rsidR="00000000" w:rsidRPr="00000000">
        <w:rPr>
          <w:i w:val="1"/>
          <w:iCs w:val="1"/>
          <w:rtl w:val="0"/>
        </w:rPr>
        <w:t xml:space="preserve">Proceedings of the IEEE/CVF Conference on Computer Vision and Pattern Recognition (CVPR)</w:t>
      </w:r>
      <w:r w:rsidDel="00000000" w:rsidR="00000000" w:rsidRPr="00000000">
        <w:rPr>
          <w:rtl w:val="0"/>
        </w:rPr>
        <w:t xml:space="preserve">, 2024. Disponível em: https://github.com/yufanchen96/RoDLA. Acesso em: abr. 2026.</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