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120" w:lineRule="auto"/>
        <w:rPr>
          <w:sz w:val="24"/>
          <w:szCs w:val="24"/>
        </w:rPr>
      </w:pPr>
      <w:r w:rsidDel="00000000" w:rsidR="00000000" w:rsidRPr="00000000">
        <w:rPr>
          <w:rtl w:val="0"/>
        </w:rPr>
      </w:r>
    </w:p>
    <w:p w:rsidR="00000000" w:rsidDel="00000000" w:rsidP="00000000" w:rsidRDefault="00000000" w:rsidRPr="00000000" w14:paraId="00000002">
      <w:pPr>
        <w:pStyle w:val="Title"/>
        <w:rPr>
          <w:sz w:val="24"/>
          <w:szCs w:val="24"/>
        </w:rPr>
      </w:pPr>
      <w:r w:rsidDel="00000000" w:rsidR="00000000" w:rsidRPr="00000000">
        <w:rPr>
          <w:rtl w:val="0"/>
        </w:rPr>
      </w:r>
    </w:p>
    <w:p w:rsidR="00000000" w:rsidDel="00000000" w:rsidP="00000000" w:rsidRDefault="00000000" w:rsidRPr="00000000" w14:paraId="00000003">
      <w:pPr>
        <w:pStyle w:val="Title"/>
        <w:rPr>
          <w:sz w:val="24"/>
          <w:szCs w:val="24"/>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t xml:space="preserve">Projeto CCD SB100</w:t>
      </w:r>
    </w:p>
    <w:p w:rsidR="00000000" w:rsidDel="00000000" w:rsidP="00000000" w:rsidRDefault="00000000" w:rsidRPr="00000000" w14:paraId="00000005">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Subtitle"/>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Subtitle"/>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Relatório técnico</w:t>
      </w:r>
    </w:p>
    <w:p w:rsidR="00000000" w:rsidDel="00000000" w:rsidP="00000000" w:rsidRDefault="00000000" w:rsidRPr="00000000" w14:paraId="00000008">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é parte integrante do relatório técnico do trabalho do grupo de LLM do projeto CCD – SB100, em particular da SQUAD 02 – Conversão de Formatos, desenvolvido no período de º de julho de 2024 e 30 de março de 2026</w:t>
      </w:r>
    </w:p>
    <w:p w:rsidR="00000000" w:rsidDel="00000000" w:rsidP="00000000" w:rsidRDefault="00000000" w:rsidRPr="00000000" w14:paraId="0000000D">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Dionisio Gava Junior</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 Izaias da Silva Junior </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Alves Witzel da Silva</w:t>
      </w:r>
    </w:p>
    <w:p w:rsidR="00000000" w:rsidDel="00000000" w:rsidP="00000000" w:rsidRDefault="00000000" w:rsidRPr="00000000" w14:paraId="00000013">
      <w:pPr>
        <w:spacing w:after="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de março de 2026</w:t>
      </w:r>
    </w:p>
    <w:p w:rsidR="00000000" w:rsidDel="00000000" w:rsidP="00000000" w:rsidRDefault="00000000" w:rsidRPr="00000000" w14:paraId="0000001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Next w:val="1"/>
        <w:keepLines w:val="1"/>
        <w:pageBreakBefore w:val="0"/>
        <w:widowControl w:val="1"/>
        <w:shd w:fill="auto" w:val="clear"/>
        <w:spacing w:after="60" w:before="60" w:line="276" w:lineRule="auto"/>
        <w:ind w:left="432" w:right="0" w:hanging="432"/>
        <w:rPr>
          <w:rFonts w:ascii="Times New Roman" w:cs="Times New Roman" w:eastAsia="Times New Roman" w:hAnsi="Times New Roman"/>
          <w:b w:val="0"/>
          <w:bCs w:val="0"/>
          <w:i w:val="0"/>
          <w:iCs w:val="0"/>
          <w:smallCaps w:val="0"/>
          <w:strike w:val="0"/>
          <w:color w:val="3660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6091"/>
          <w:sz w:val="24"/>
          <w:szCs w:val="24"/>
          <w:u w:val="none"/>
          <w:shd w:fill="auto" w:val="clear"/>
          <w:vertAlign w:val="baseline"/>
          <w:rtl w:val="0"/>
        </w:rPr>
        <w:t xml:space="preserve">Sumário</w:t>
      </w:r>
    </w:p>
    <w:sdt>
      <w:sdtPr>
        <w:id w:val="608015880"/>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1xd671ona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qtinlhwe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Qualidade da informação e precisão nas respostas do LLM SB100</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l6t5jlnm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Conversão de formatos para vetorização em LLMs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j6kkl37j1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 geral e específico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sqcew5lh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Revisão da Literatura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d7jr7nk8f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Conversão de formatos para vetorização semântica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egb2l3gf2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Conversão de imagens: desafios para integração multimodal</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8glkdcjp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Ferramentas de conversão e vetorização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jxez5dfv8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Vetorização de imagens: abordagens técnicas e aplicações no SB100</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hts08n8qc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Metodologia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ledayue8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Materiais Utilizados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kx62osgi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Procedimentos Metodológicos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pcrej4d73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Preparação e seleção dos arquivos PDF</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xze59mwx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Extração e pré-processamento de conteúdos textuais e tabulares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l2ikgz1f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Extração e processamento de imagens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egm5npy1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Conversão semântica e vetorização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4lwhfkwly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Armazenamento vetorial e integração com o SB100</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9jsvgccyd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Validação e refinamento iterativo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v1pa5ioot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Refatoração arquitetural do pipeline de ingestão (fevereiro–março de 2026)</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saxmrx7l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Resultados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nidqvvu1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Arquivo texto como metadado estruturante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2l6c11j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Attention e Embedding: articuladores da recuperação contextual</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iwd9uza2l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Testes de valores modelos para conversão de formato</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q7f4dqpf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Comparação dos resultados para texto, tabela e figura.</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05x3oxlmf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Armazenamento e vetorização no banco de dados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608vycbsu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Conclusões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3q8sxl0u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Discussão sobre os resultados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56pnep1h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Trabalhos para a próxima fase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0" w:before="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widowControl w:val="1"/>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RESUMO </w:t>
      </w:r>
    </w:p>
    <w:p w:rsidR="00000000" w:rsidDel="00000000" w:rsidP="00000000" w:rsidRDefault="00000000" w:rsidRPr="00000000" w14:paraId="00000043">
      <w:pPr>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conversão de formatos é uma etapa fundamental no processo de ingestão de dados por modelos de linguagem (LLM), especialmente quando aplicados a setores de alta complexidade como o agronegócio. Este relatório documenta as atividades conduzidas pela Squad 02 do projeto SB100 LLM no escopo do subprojeto apoiado pela FAPESP, focado na conversão de textos, tabelas e figuras em formatos compatíveis com a vetorização e posterior utilização por modelos baseados em LLMs. Os resultados obtidos evidenciam a importância da escolha de ferramentas adequadas, da normalização dos dados e dos métodos de representação vetorial para garantir respostas mais precisas e contextualizadas. Este trabalho também se integra com as demais frentes do projeto SB100.  Foram analisadas conversões de texto para vetores, tabelas para vetores e figuras para vetores. Este último está em fase de execução durante a geração do relatório. Com o trabalho de conversão bem-feito, é possível que tenhamos o banco de dados preparado para uso do LLM, com dados relevantes para as pesquisas e tarefas necessárias.</w:t>
      </w:r>
    </w:p>
    <w:p w:rsidR="00000000" w:rsidDel="00000000" w:rsidP="00000000" w:rsidRDefault="00000000" w:rsidRPr="00000000" w14:paraId="00000045">
      <w:pPr>
        <w:spacing w:after="0"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1"/>
        <w:numPr>
          <w:ilvl w:val="0"/>
          <w:numId w:val="4"/>
        </w:numPr>
        <w:ind w:left="432" w:hanging="432"/>
        <w:rPr/>
      </w:pPr>
      <w:bookmarkStart w:colFirst="0" w:colLast="0" w:name="_heading=h.d1xd671onae6" w:id="0"/>
      <w:bookmarkEnd w:id="0"/>
      <w:r w:rsidDel="00000000" w:rsidR="00000000" w:rsidRPr="00000000">
        <w:rPr>
          <w:rtl w:val="0"/>
        </w:rPr>
        <w:t xml:space="preserve">Introdução</w:t>
      </w:r>
    </w:p>
    <w:p w:rsidR="00000000" w:rsidDel="00000000" w:rsidP="00000000" w:rsidRDefault="00000000" w:rsidRPr="00000000" w14:paraId="00000056">
      <w:pPr>
        <w:spacing w:after="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uso de modelos de linguagem de grande escala (LLMs) representa um avanço significativo no campo da inteligência artificial, possibilitando que sistemas computacionais interpretem, gerem e manipulem linguagem natural com alta precisão e contexto. Esses modelos têm sido amplamente utilizados em áreas como saúde, educação, direito e atendimento ao cliente, promovendo maior automação e qualidade na análise de informações complexas. Entre seus principais objetivos estão a capacidade de responder perguntas, resumir conteúdos, traduzir textos e auxiliar na tomada de decisões baseadas em grandes volumes de dados.</w:t>
      </w:r>
    </w:p>
    <w:p w:rsidR="00000000" w:rsidDel="00000000" w:rsidP="00000000" w:rsidRDefault="00000000" w:rsidRPr="00000000" w14:paraId="00000057">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setor do agronegócio, os LLMs têm ganhado relevância por sua capacidade de sintetizar conhecimento técnico e científico, apoiando produtores, pesquisadores e técnicos com recomendações fundamentadas em bases de dados robustas (Cook, 2020). No entanto, para que esses modelos gerem respostas acuradas e confiáveis, é essencial garantir a qualidade e a integridade das informações ingeridas, o que inclui desde a curadoria até a conversão dos formatos dos dados utilizados.</w:t>
      </w:r>
    </w:p>
    <w:p w:rsidR="00000000" w:rsidDel="00000000" w:rsidP="00000000" w:rsidRDefault="00000000" w:rsidRPr="00000000" w14:paraId="00000058">
      <w:pPr>
        <w:pStyle w:val="Heading2"/>
        <w:numPr>
          <w:ilvl w:val="1"/>
          <w:numId w:val="4"/>
        </w:numPr>
        <w:ind w:left="576" w:hanging="576"/>
        <w:rPr/>
      </w:pPr>
      <w:bookmarkStart w:colFirst="0" w:colLast="0" w:name="_heading=h.pxqtinlhwet6" w:id="1"/>
      <w:bookmarkEnd w:id="1"/>
      <w:r w:rsidDel="00000000" w:rsidR="00000000" w:rsidRPr="00000000">
        <w:rPr>
          <w:rtl w:val="0"/>
        </w:rPr>
        <w:t xml:space="preserve">Qualidade da informação e precisão nas respostas do LLM SB100</w:t>
      </w:r>
    </w:p>
    <w:p w:rsidR="00000000" w:rsidDel="00000000" w:rsidP="00000000" w:rsidRDefault="00000000" w:rsidRPr="00000000" w14:paraId="00000059">
      <w:pPr>
        <w:spacing w:after="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precisão das respostas fornecidas por modelos como o LLM SB100 depende diretamente da qualidade dos dados utilizados em sua base de conhecimento. Estudos demonstram que a performance dos LLMs está fortemente relacionada à confiabilidade das fontes e à estruturação adequada dos dados </w:t>
      </w:r>
      <w:r w:rsidDel="00000000" w:rsidR="00000000" w:rsidRPr="00000000">
        <w:rPr>
          <w:rFonts w:ascii="Times New Roman" w:cs="Times New Roman" w:eastAsia="Times New Roman" w:hAnsi="Times New Roman"/>
          <w:color w:val="0070c0"/>
          <w:sz w:val="24"/>
          <w:szCs w:val="24"/>
          <w:rtl w:val="0"/>
        </w:rPr>
        <w:t xml:space="preserve">(Zhang &amp; Li, 2022; Beel et al., 2016)</w:t>
      </w:r>
      <w:r w:rsidDel="00000000" w:rsidR="00000000" w:rsidRPr="00000000">
        <w:rPr>
          <w:rFonts w:ascii="Times New Roman" w:cs="Times New Roman" w:eastAsia="Times New Roman" w:hAnsi="Times New Roman"/>
          <w:color w:val="000000"/>
          <w:sz w:val="24"/>
          <w:szCs w:val="24"/>
          <w:rtl w:val="0"/>
        </w:rPr>
        <w:t xml:space="preserve">. Isso envolve tanto a relevância e atualidade dos conteúdos quanto a forma como eles são representados e armazenados.</w:t>
      </w:r>
    </w:p>
    <w:p w:rsidR="00000000" w:rsidDel="00000000" w:rsidP="00000000" w:rsidRDefault="00000000" w:rsidRPr="00000000" w14:paraId="0000005A">
      <w:pPr>
        <w:spacing w:after="28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Squad 01 destacou a importância de mecanismos robustos de curadoria e cientometria para garantir que apenas informações validadas e de fontes confiáveis sejam incluídas no sistema. Conforme argumentado por </w:t>
      </w:r>
      <w:r w:rsidDel="00000000" w:rsidR="00000000" w:rsidRPr="00000000">
        <w:rPr>
          <w:rFonts w:ascii="Times New Roman" w:cs="Times New Roman" w:eastAsia="Times New Roman" w:hAnsi="Times New Roman"/>
          <w:color w:val="0070c0"/>
          <w:sz w:val="24"/>
          <w:szCs w:val="24"/>
          <w:rtl w:val="0"/>
        </w:rPr>
        <w:t xml:space="preserve">Lima e Velho (2012)</w:t>
      </w:r>
      <w:r w:rsidDel="00000000" w:rsidR="00000000" w:rsidRPr="00000000">
        <w:rPr>
          <w:rFonts w:ascii="Times New Roman" w:cs="Times New Roman" w:eastAsia="Times New Roman" w:hAnsi="Times New Roman"/>
          <w:color w:val="000000"/>
          <w:sz w:val="24"/>
          <w:szCs w:val="24"/>
          <w:rtl w:val="0"/>
        </w:rPr>
        <w:t xml:space="preserve">, a ausência de controle de qualidade e rastreabilidade nos dados científicos pode comprometer a acurácia de inferências automatizadas. A rastreabilidade e a validação científica dos dados são essenciais para evitar vieses, erros de interpretação e sugestões inadequadas no contexto agrícola.</w:t>
      </w:r>
    </w:p>
    <w:p w:rsidR="00000000" w:rsidDel="00000000" w:rsidP="00000000" w:rsidRDefault="00000000" w:rsidRPr="00000000" w14:paraId="0000005B">
      <w:pPr>
        <w:pStyle w:val="Heading2"/>
        <w:numPr>
          <w:ilvl w:val="1"/>
          <w:numId w:val="4"/>
        </w:numPr>
        <w:ind w:left="576" w:hanging="576"/>
        <w:rPr/>
      </w:pPr>
      <w:bookmarkStart w:colFirst="0" w:colLast="0" w:name="_heading=h.usl6t5jlnmd7" w:id="2"/>
      <w:bookmarkEnd w:id="2"/>
      <w:r w:rsidDel="00000000" w:rsidR="00000000" w:rsidRPr="00000000">
        <w:rPr>
          <w:rtl w:val="0"/>
        </w:rPr>
        <w:t xml:space="preserve">Conversão de formatos para vetorização em LLMs</w:t>
      </w:r>
    </w:p>
    <w:p w:rsidR="00000000" w:rsidDel="00000000" w:rsidP="00000000" w:rsidRDefault="00000000" w:rsidRPr="00000000" w14:paraId="0000005C">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diversidade de formatos presentes em fontes científicas e técnicas, como artigos, relatórios e manuais agrícolas, representa um desafio significativo para o processamento por LLMs. Informações relevantes podem estar organizadas em texto corrido, distribuídas em tabelas complexas ou ilustradas por gráficos e imagens. De acordo com </w:t>
      </w:r>
      <w:r w:rsidDel="00000000" w:rsidR="00000000" w:rsidRPr="00000000">
        <w:rPr>
          <w:rFonts w:ascii="Times New Roman" w:cs="Times New Roman" w:eastAsia="Times New Roman" w:hAnsi="Times New Roman"/>
          <w:color w:val="0070c0"/>
          <w:sz w:val="24"/>
          <w:szCs w:val="24"/>
          <w:rtl w:val="0"/>
        </w:rPr>
        <w:t xml:space="preserve">Johnson, Douze e Jégou (2019)</w:t>
      </w:r>
      <w:r w:rsidDel="00000000" w:rsidR="00000000" w:rsidRPr="00000000">
        <w:rPr>
          <w:rFonts w:ascii="Times New Roman" w:cs="Times New Roman" w:eastAsia="Times New Roman" w:hAnsi="Times New Roman"/>
          <w:color w:val="000000"/>
          <w:sz w:val="24"/>
          <w:szCs w:val="24"/>
          <w:rtl w:val="0"/>
        </w:rPr>
        <w:t xml:space="preserve">, a compatibilidade com mecanismos de busca vetorial depende da conversão precisa de tais estruturas em representações numéricas coerentes.</w:t>
      </w:r>
    </w:p>
    <w:p w:rsidR="00000000" w:rsidDel="00000000" w:rsidP="00000000" w:rsidRDefault="00000000" w:rsidRPr="00000000" w14:paraId="0000005D">
      <w:pPr>
        <w:spacing w:after="28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conversão desses formatos para estruturas vetoriais compatíveis com mecanismos de busca semântica exige o uso de ferramentas específicas (como OCR, extratores de tabela e interpretadores de imagem) e processos de normalização padronizados </w:t>
      </w:r>
      <w:r w:rsidDel="00000000" w:rsidR="00000000" w:rsidRPr="00000000">
        <w:rPr>
          <w:rFonts w:ascii="Times New Roman" w:cs="Times New Roman" w:eastAsia="Times New Roman" w:hAnsi="Times New Roman"/>
          <w:color w:val="0070c0"/>
          <w:sz w:val="24"/>
          <w:szCs w:val="24"/>
          <w:rtl w:val="0"/>
        </w:rPr>
        <w:t xml:space="preserve">(Zeng, Liu &amp; Sun, 2023)</w:t>
      </w:r>
      <w:r w:rsidDel="00000000" w:rsidR="00000000" w:rsidRPr="00000000">
        <w:rPr>
          <w:rFonts w:ascii="Times New Roman" w:cs="Times New Roman" w:eastAsia="Times New Roman" w:hAnsi="Times New Roman"/>
          <w:color w:val="000000"/>
          <w:sz w:val="24"/>
          <w:szCs w:val="24"/>
          <w:rtl w:val="0"/>
        </w:rPr>
        <w:t xml:space="preserve">. A atuação da Squad 02 se concentra justamente em enfrentar esse desafio, viabilizando a transformação desses conteúdos em dados estruturados, compreensíveis e operacionais dentro da arquitetura do SB100.</w:t>
      </w:r>
    </w:p>
    <w:p w:rsidR="00000000" w:rsidDel="00000000" w:rsidP="00000000" w:rsidRDefault="00000000" w:rsidRPr="00000000" w14:paraId="0000005E">
      <w:pPr>
        <w:pStyle w:val="Heading2"/>
        <w:numPr>
          <w:ilvl w:val="1"/>
          <w:numId w:val="4"/>
        </w:numPr>
        <w:ind w:left="576" w:hanging="576"/>
        <w:rPr/>
      </w:pPr>
      <w:bookmarkStart w:colFirst="0" w:colLast="0" w:name="_heading=h.vj6kkl37j1bv" w:id="3"/>
      <w:bookmarkEnd w:id="3"/>
      <w:r w:rsidDel="00000000" w:rsidR="00000000" w:rsidRPr="00000000">
        <w:rPr>
          <w:rtl w:val="0"/>
        </w:rPr>
        <w:t xml:space="preserve">Objetivos geral e específico</w:t>
      </w:r>
    </w:p>
    <w:p w:rsidR="00000000" w:rsidDel="00000000" w:rsidP="00000000" w:rsidRDefault="00000000" w:rsidRPr="00000000" w14:paraId="0000005F">
      <w:pPr>
        <w:spacing w:after="0" w:before="2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Geral</w:t>
      </w:r>
    </w:p>
    <w:p w:rsidR="00000000" w:rsidDel="00000000" w:rsidP="00000000" w:rsidRDefault="00000000" w:rsidRPr="00000000" w14:paraId="00000060">
      <w:pPr>
        <w:spacing w:after="280" w:before="0" w:line="240" w:lineRule="auto"/>
        <w:ind w:firstLine="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Desenvolver e aplicar um processo sistemático de conversão de textos, tabelas e figuras em formatos estruturados compatíveis com a vetorização semântica exigida por modelos de linguagem, assegurando a integridade, coerência e utilidade das informações no contexto do agronegócio digital.</w:t>
      </w: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62">
      <w:pPr>
        <w:numPr>
          <w:ilvl w:val="0"/>
          <w:numId w:val="1"/>
        </w:numPr>
        <w:spacing w:after="0" w:before="28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Identificar os formatos de dados mais comuns em conteúdos científicos e técnicos relevantes ao agronegócio.</w:t>
      </w:r>
      <w:r w:rsidDel="00000000" w:rsidR="00000000" w:rsidRPr="00000000">
        <w:rPr>
          <w:rtl w:val="0"/>
        </w:rPr>
      </w:r>
    </w:p>
    <w:p w:rsidR="00000000" w:rsidDel="00000000" w:rsidP="00000000" w:rsidRDefault="00000000" w:rsidRPr="00000000" w14:paraId="00000063">
      <w:pPr>
        <w:numPr>
          <w:ilvl w:val="0"/>
          <w:numId w:val="1"/>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Avaliar ferramentas tecnológicas para a extração, padronização e estruturação de textos, tabelas e imagens.</w:t>
      </w:r>
      <w:r w:rsidDel="00000000" w:rsidR="00000000" w:rsidRPr="00000000">
        <w:rPr>
          <w:rtl w:val="0"/>
        </w:rPr>
      </w:r>
    </w:p>
    <w:p w:rsidR="00000000" w:rsidDel="00000000" w:rsidP="00000000" w:rsidRDefault="00000000" w:rsidRPr="00000000" w14:paraId="00000064">
      <w:pPr>
        <w:numPr>
          <w:ilvl w:val="0"/>
          <w:numId w:val="1"/>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Definir um fluxo de trabalho que garanta a consistência semântica e sintática dos dados convertidos.</w:t>
      </w:r>
      <w:r w:rsidDel="00000000" w:rsidR="00000000" w:rsidRPr="00000000">
        <w:rPr>
          <w:rtl w:val="0"/>
        </w:rPr>
      </w:r>
    </w:p>
    <w:p w:rsidR="00000000" w:rsidDel="00000000" w:rsidP="00000000" w:rsidRDefault="00000000" w:rsidRPr="00000000" w14:paraId="00000065">
      <w:pPr>
        <w:numPr>
          <w:ilvl w:val="0"/>
          <w:numId w:val="1"/>
        </w:numPr>
        <w:spacing w:after="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Integrar os dados convertidos com mecanismos de vetorização utilizados pelo SB100.</w:t>
      </w:r>
      <w:r w:rsidDel="00000000" w:rsidR="00000000" w:rsidRPr="00000000">
        <w:rPr>
          <w:rtl w:val="0"/>
        </w:rPr>
      </w:r>
    </w:p>
    <w:p w:rsidR="00000000" w:rsidDel="00000000" w:rsidP="00000000" w:rsidRDefault="00000000" w:rsidRPr="00000000" w14:paraId="00000066">
      <w:pPr>
        <w:numPr>
          <w:ilvl w:val="0"/>
          <w:numId w:val="1"/>
        </w:numPr>
        <w:spacing w:after="28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Validar empiricamente os dados convertidos por meio de testes de recuperação e geração de respostas com LLMs.</w:t>
      </w:r>
      <w:r w:rsidDel="00000000" w:rsidR="00000000" w:rsidRPr="00000000">
        <w:rPr>
          <w:rtl w:val="0"/>
        </w:rPr>
      </w:r>
    </w:p>
    <w:p w:rsidR="00000000" w:rsidDel="00000000" w:rsidP="00000000" w:rsidRDefault="00000000" w:rsidRPr="00000000" w14:paraId="00000067">
      <w:pPr>
        <w:pStyle w:val="Heading1"/>
        <w:numPr>
          <w:ilvl w:val="0"/>
          <w:numId w:val="4"/>
        </w:numPr>
        <w:ind w:left="432" w:hanging="432"/>
        <w:rPr/>
      </w:pPr>
      <w:bookmarkStart w:colFirst="0" w:colLast="0" w:name="_heading=h.3sqcew5lhedl" w:id="4"/>
      <w:bookmarkEnd w:id="4"/>
      <w:r w:rsidDel="00000000" w:rsidR="00000000" w:rsidRPr="00000000">
        <w:rPr>
          <w:rtl w:val="0"/>
        </w:rPr>
        <w:t xml:space="preserve">Revisão da Literatura</w:t>
      </w:r>
    </w:p>
    <w:p w:rsidR="00000000" w:rsidDel="00000000" w:rsidP="00000000" w:rsidRDefault="00000000" w:rsidRPr="00000000" w14:paraId="00000068">
      <w:pPr>
        <w:pStyle w:val="Heading2"/>
        <w:numPr>
          <w:ilvl w:val="1"/>
          <w:numId w:val="4"/>
        </w:numPr>
        <w:ind w:left="576" w:hanging="576"/>
        <w:rPr/>
      </w:pPr>
      <w:bookmarkStart w:colFirst="0" w:colLast="0" w:name="_heading=h.5d7jr7nk8fy6" w:id="5"/>
      <w:bookmarkEnd w:id="5"/>
      <w:r w:rsidDel="00000000" w:rsidR="00000000" w:rsidRPr="00000000">
        <w:rPr>
          <w:rtl w:val="0"/>
        </w:rPr>
        <w:t xml:space="preserve">Conversão de formatos para vetorização semântica</w:t>
      </w:r>
    </w:p>
    <w:p w:rsidR="00000000" w:rsidDel="00000000" w:rsidP="00000000" w:rsidRDefault="00000000" w:rsidRPr="00000000" w14:paraId="00000069">
      <w:pPr>
        <w:spacing w:after="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conversão de formatos consiste na transformação de informações originalmente estruturadas em documentos PDF como texto corrido, tabelas, gráficos e imagens para estruturas computacionais manipuláveis e compatíveis com modelos baseados em linguagem natural. Esse processo é essencial em pipelines de ingestão de dados por LLMs, pois a informação precisa estar semanticamente acessível ao modelo.</w:t>
      </w:r>
    </w:p>
    <w:p w:rsidR="00000000" w:rsidDel="00000000" w:rsidP="00000000" w:rsidRDefault="00000000" w:rsidRPr="00000000" w14:paraId="0000006A">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particular, os LLMs não leem diretamente arquivos em formato PDF. Eles operam sobre representações vetoriais extraídas de conteúdos normalizados e organizados segundo padrões compreensíveis aos mecanismos de embedding (Johnson et al., 2019). Esse processo envolve diversas etapas: extração de texto por OCR, identificação e segmentação de componentes (tabelas, figuras), limpeza de metadados, e posterior vetorização baseada em transformações semânticas.</w:t>
      </w:r>
    </w:p>
    <w:p w:rsidR="00000000" w:rsidDel="00000000" w:rsidP="00000000" w:rsidRDefault="00000000" w:rsidRPr="00000000" w14:paraId="0000006B">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literatura recente (Zeng; Liu; Sun, 2023) reforça que a performance dos LLMs é altamente dependente da qualidade dos dados vetorizados e da arquitetura de armazenamento escolhida. Modelos como RAG (Retrieval-Augmented Generation) dependem criticamente de mecanismos de busca semântica, em que a proximidade entre vetores representa similaridade conceitual entre trechos de documentos.</w:t>
      </w:r>
    </w:p>
    <w:p w:rsidR="00000000" w:rsidDel="00000000" w:rsidP="00000000" w:rsidRDefault="00000000" w:rsidRPr="00000000" w14:paraId="0000006C">
      <w:pPr>
        <w:spacing w:after="28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Portanto, a conversão adequada dos formatos, com atenção à integridade semântica e à representação acurada dos dados originais, é pré-requisito técnico e metodológico para a construção de uma base de conhecimento confiável e eficaz para o SB100. Nesse sentido, a atuação da Squad 02 viabiliza a transformação de conteúdos científicos em dados estruturados, compreensíveis e operacionais dentro da arquitetura do SB100.</w:t>
      </w:r>
    </w:p>
    <w:p w:rsidR="00000000" w:rsidDel="00000000" w:rsidP="00000000" w:rsidRDefault="00000000" w:rsidRPr="00000000" w14:paraId="0000006D">
      <w:pPr>
        <w:pStyle w:val="Heading2"/>
        <w:numPr>
          <w:ilvl w:val="1"/>
          <w:numId w:val="4"/>
        </w:numPr>
        <w:ind w:left="576" w:hanging="576"/>
        <w:rPr/>
      </w:pPr>
      <w:bookmarkStart w:colFirst="0" w:colLast="0" w:name="_heading=h.fegb2l3gf2xp" w:id="6"/>
      <w:bookmarkEnd w:id="6"/>
      <w:r w:rsidDel="00000000" w:rsidR="00000000" w:rsidRPr="00000000">
        <w:rPr>
          <w:rtl w:val="0"/>
        </w:rPr>
        <w:t xml:space="preserve">Conversão de imagens: desafios para integração multimodal</w:t>
      </w:r>
    </w:p>
    <w:p w:rsidR="00000000" w:rsidDel="00000000" w:rsidP="00000000" w:rsidRDefault="00000000" w:rsidRPr="00000000" w14:paraId="0000006E">
      <w:pPr>
        <w:spacing w:after="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conversão de imagens representa um desafio particular no processo de ingestão de dados para LLMs, sobretudo quando comparada à extração de textos e tabelas. Imagens contêm significados visuais implícitos, frequentemente não traduzíveis diretamente em linguagem natural sem a mediação de algoritmos específicos de reconhecimento visual. Em contextos técnicos e científicos, como o agronegócio, essas imagens podem incluir fotografias de culturas, esquemas técnicos, mapas, fluxogramas ou gráficos embutidos, cuja relevância depende do correto entendimento semântico de seu conteúdo visual (Kuznetsova et al., 2020).</w:t>
      </w:r>
    </w:p>
    <w:p w:rsidR="00000000" w:rsidDel="00000000" w:rsidP="00000000" w:rsidRDefault="00000000" w:rsidRPr="00000000" w14:paraId="0000006F">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Diferente da conversão de texto, que pode ser realizada com ferramentas como OCR, a conversão de imagens requer etapas adicionais como classificação, segmentação, descrição e eventualmente legendagem automática. Tecnologias como CNNs (Convolutional Neural Networks) e modelos multimodais, como CLIP (Radford et al., 2021), têm sido cada vez mais utilizados para transformar imagens em embeddings vetoriais, permitindo sua integração em bancos de dados vetoriais para recuperação semântica.</w:t>
      </w:r>
    </w:p>
    <w:p w:rsidR="00000000" w:rsidDel="00000000" w:rsidP="00000000" w:rsidRDefault="00000000" w:rsidRPr="00000000" w14:paraId="00000070">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Além disso, no domínio do agronegócio, imagens podem apresentar variações importantes de contexto e escala, exigindo modelos de pré-processamento específicos, como redes treinadas para reconhecimento de plantas, sintomas de pragas ou padrões de solo. Essa complexidade aumenta a necessidade de uma etapa de análise e definição metodológica mais robusta, razão pela qual este tópico encontra-se em desenvolvimento no contexto da Squad 02.</w:t>
      </w:r>
    </w:p>
    <w:p w:rsidR="00000000" w:rsidDel="00000000" w:rsidP="00000000" w:rsidRDefault="00000000" w:rsidRPr="00000000" w14:paraId="00000071">
      <w:pPr>
        <w:spacing w:after="28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integração eficaz de imagens ao pipeline do SB100 contribuirá para enriquecer a base de conhecimento acessada pelo LLM, aumentando a variedade de conteúdos e ampliando o escopo das respostas possíveis, especialmente em contextos que exigem análise visual complementar.</w:t>
      </w:r>
    </w:p>
    <w:p w:rsidR="00000000" w:rsidDel="00000000" w:rsidP="00000000" w:rsidRDefault="00000000" w:rsidRPr="00000000" w14:paraId="00000072">
      <w:pPr>
        <w:spacing w:after="280" w:before="28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Evidências recentes da literatura reforçam a superioridade de APIs de visão comerciais de grande escala na tarefa de interpretação de gráficos e figuras científicas. Goswami et al. (2025), em PlotGen, propõem um sistema multiagente baseado em LLM que utiliza recuperação multimodal com feedback para gerar e refinar visualizações científicas. Os autores demonstram que modelos de visão de alto desempenho como os disponíveis via 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superam abordagens locais na compreensão semântica de gráficos complexos, especialmente quando o conteúdo envolve múltiplos eixos, legendas e anotações técnicas.</w:t>
      </w:r>
    </w:p>
    <w:p w:rsidR="00000000" w:rsidDel="00000000" w:rsidP="00000000" w:rsidRDefault="00000000" w:rsidRPr="00000000" w14:paraId="00000073">
      <w:pPr>
        <w:spacing w:after="280" w:before="28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 forma complementar, Yang et al. (2024), em MatPlotAgent, avaliam sistematicamente a capacidade de agentes baseados em LLM de interpretar e reproduzir visualizações científicas. Os resultados evidenciam que modelos maiores, acessados via API paga, apresentam desempenho significativamente superior a modelos locais em tarefas de descrição e análise de gráficos validando a escolha de APIs comerciais como camada de descrição visual no pipeline do SB100.</w:t>
      </w:r>
    </w:p>
    <w:p w:rsidR="00000000" w:rsidDel="00000000" w:rsidP="00000000" w:rsidRDefault="00000000" w:rsidRPr="00000000" w14:paraId="00000074">
      <w:pPr>
        <w:spacing w:after="280" w:before="28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base nessas evidências, a Squad 02 adota uma abordagem em duas etapas para o processamento de imagens: um filtro visual local seguido de descrição semântica via API de visão comercial. Essa estratégia em duas etapas pré-filtragem local seguida de descrição via API minimiza o custo operacional em tokens enquanto preserva a qualidade da interpretação para figuras com real conteúdo científico. Os detalhes técnicos do filtro e da integração com a API são apresentados na seção 4.5.</w:t>
      </w:r>
    </w:p>
    <w:p w:rsidR="00000000" w:rsidDel="00000000" w:rsidP="00000000" w:rsidRDefault="00000000" w:rsidRPr="00000000" w14:paraId="00000075">
      <w:pPr>
        <w:pStyle w:val="Heading2"/>
        <w:numPr>
          <w:ilvl w:val="1"/>
          <w:numId w:val="4"/>
        </w:numPr>
        <w:ind w:left="576" w:hanging="576"/>
        <w:rPr/>
      </w:pPr>
      <w:bookmarkStart w:colFirst="0" w:colLast="0" w:name="_heading=h.ge8glkdcjpw8" w:id="7"/>
      <w:bookmarkEnd w:id="7"/>
      <w:r w:rsidDel="00000000" w:rsidR="00000000" w:rsidRPr="00000000">
        <w:rPr>
          <w:rtl w:val="0"/>
        </w:rPr>
        <w:t xml:space="preserve">Ferramentas de conversão e vetorização</w:t>
      </w:r>
    </w:p>
    <w:p w:rsidR="00000000" w:rsidDel="00000000" w:rsidP="00000000" w:rsidRDefault="00000000" w:rsidRPr="00000000" w14:paraId="00000076">
      <w:pPr>
        <w:spacing w:after="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conversão eficiente de conteúdos textuais, tabulares e visuais para estruturas vetoriais compatíveis com modelos LLM requer o uso de ferramentas especializadas que operam em diferentes camadas do pipeline de processamento. Cada tipo de conteúdo demanda abordagens distintas, sendo fundamental a escolha de tecnologias adequadas para garantir a fidelidade semântica das informações extraídas.</w:t>
      </w:r>
    </w:p>
    <w:p w:rsidR="00000000" w:rsidDel="00000000" w:rsidP="00000000" w:rsidRDefault="00000000" w:rsidRPr="00000000" w14:paraId="00000077">
      <w:pPr>
        <w:spacing w:after="28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textos em PDF, têm sido amplamente utilizados mecanismos de OCR (Optical Character Recognition), como o Tesseract OCR, que permitem extrair blocos de texto com relativa precisão, mesmo em documentos digitalizados (Smith, 2007). No caso de tabelas, ferramentas como Tabula e Camelot oferecem recursos avançados de segmentação e extração de células, preservando a estrutura relacional dos dados tabulares (Soto, 2020).</w:t>
      </w:r>
    </w:p>
    <w:p w:rsidR="00000000" w:rsidDel="00000000" w:rsidP="00000000" w:rsidRDefault="00000000" w:rsidRPr="00000000" w14:paraId="00000078">
      <w:pPr>
        <w:spacing w:after="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Quando o conteúdo envolve gráficos ou diagramas inseridos em PDF, bibliotecas como PyMuPDF (fitz) e PDFPlumber são empregadas para mapear a posição e o tipo de objeto visual, permitindo uma separação mais controlada entre texto e elementos gráficos. Em alguns casos, utiliza-se também o Adobe Acrobat Pro em processos semiautomatizados de extração manual supervisionada, especialmente para documentos de baixa qualidade ou estrutura complexa.</w:t>
      </w:r>
    </w:p>
    <w:p w:rsidR="00000000" w:rsidDel="00000000" w:rsidP="00000000" w:rsidRDefault="00000000" w:rsidRPr="00000000" w14:paraId="00000079">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posterior vetorização semântica, os textos extraídos são pré-processados com técnicas de tokenização, normalização linguística e enriquecimento contextual. O modelo utilizado para geração de embeddings como o SBERT (Reimers &amp; Gurevych, 2019) define o grau de granularidade e a capacidade de captura de nuances semânticas dos dados convertidos.</w:t>
      </w:r>
    </w:p>
    <w:p w:rsidR="00000000" w:rsidDel="00000000" w:rsidP="00000000" w:rsidRDefault="00000000" w:rsidRPr="00000000" w14:paraId="0000007A">
      <w:pPr>
        <w:spacing w:after="28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Embora a Squad 02 esteja em constante aprimoramento das ferramentas, o conjunto em desenvolvimento contempla uma cobertura funcional robusta dos principais formatos encontrados na base de artigos do projeto SB100. No que se refere especificamente às imagens, a extração e conversão ainda representam um desafio adicional. Para enfrentar esse desafio, têm sido adotadas soluções baseadas em visão computacional, como OpenCV e modelos baseados em PyTorch, para detectar, extrair e classificar imagens relevantes no contexto agronômico. Essa abordagem visa integrar a conversão de imagens ao fluxo completo de vetorização e armazenamento semântico, ampliando o escopo de aplicabilidade do SB100 LLM.</w:t>
      </w:r>
    </w:p>
    <w:p w:rsidR="00000000" w:rsidDel="00000000" w:rsidP="00000000" w:rsidRDefault="00000000" w:rsidRPr="00000000" w14:paraId="0000007B">
      <w:pPr>
        <w:pStyle w:val="Heading2"/>
        <w:numPr>
          <w:ilvl w:val="1"/>
          <w:numId w:val="4"/>
        </w:numPr>
        <w:ind w:left="576" w:hanging="576"/>
        <w:rPr/>
      </w:pPr>
      <w:bookmarkStart w:colFirst="0" w:colLast="0" w:name="_heading=h.hjxez5dfv8c3" w:id="8"/>
      <w:bookmarkEnd w:id="8"/>
      <w:r w:rsidDel="00000000" w:rsidR="00000000" w:rsidRPr="00000000">
        <w:rPr>
          <w:rtl w:val="0"/>
        </w:rPr>
        <w:t xml:space="preserve">Vetorização de imagens: abordagens técnicas e aplicações no SB100</w:t>
      </w:r>
    </w:p>
    <w:p w:rsidR="00000000" w:rsidDel="00000000" w:rsidP="00000000" w:rsidRDefault="00000000" w:rsidRPr="00000000" w14:paraId="0000007C">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vetorização de imagens para uso em sistemas baseados em Large Language Models (LLMs) representa um dos principais desafios contemporâneos em projetos multimodais. Diferentemente da conversão textual, a representação de imagens exige a extração de características visuais relevantes e sua transformação em vetores semânticos capazes de dialogar com embeddings textuais.</w:t>
      </w:r>
    </w:p>
    <w:p w:rsidR="00000000" w:rsidDel="00000000" w:rsidP="00000000" w:rsidRDefault="00000000" w:rsidRPr="00000000" w14:paraId="0000007D">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Modelos multimodais como o CLIP (Contrastive Language-Image Pretraining), proposto por Radford et al. (2021), estabelecem uma ponte entre imagens e linguagem natural, permitindo que ambos compartilhem o mesmo espaço vetorial. A abordagem contrastiva treinada com bilhões de pares imagem-texto mostrou-se eficaz para tarefas como busca por similaridade e RAG multimodal. Modelos subsequentes, como o BLIP e o Flamingo (DeepMind), também contribuem para expandir a integração imagem-texto em LLMs.</w:t>
      </w:r>
    </w:p>
    <w:p w:rsidR="00000000" w:rsidDel="00000000" w:rsidP="00000000" w:rsidRDefault="00000000" w:rsidRPr="00000000" w14:paraId="0000007E">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Além disso, quando imagens contêm conteúdo textual (como gráficos e tabelas embutidas), a combinação de OCR (Tesseract, EasyOCR) com visão computacional tradicional (OpenCV) ou deep learning (CNNs) oferece um caminho relevante (Katti et al., 2018). Para gráficos científicos, ferramentas específicas como o ChartDecoder (Jung et al., 2017) permitem a decomposição de visualizações em dados legíveis e reutilizáveis em pipelines de vetorização.</w:t>
      </w:r>
    </w:p>
    <w:p w:rsidR="00000000" w:rsidDel="00000000" w:rsidP="00000000" w:rsidRDefault="00000000" w:rsidRPr="00000000" w14:paraId="0000007F">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literatura também destaca a importância do pré-processamento visual, especialmente no caso de artigos científicos em PDF, como discutido por Siegel et al. (2020), que analisam técnicas de separação e rotulagem de figuras em bases científicas.</w:t>
      </w:r>
    </w:p>
    <w:p w:rsidR="00000000" w:rsidDel="00000000" w:rsidP="00000000" w:rsidRDefault="00000000" w:rsidRPr="00000000" w14:paraId="00000080">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âmbito do projeto SB100, tais abordagens se mostram promissoras para a etapa de conversão de imagens, embora sua implementação ainda esteja em desenvolvimento. A integração dessas soluções visa permitir que figuras relevantes (fotografias de campo, esquemas técnicos, gráficos experimentais) possam ser recuperadas e interpretadas semanticamente pelo LLM, ampliando o escopo e a precisão das respostas.</w:t>
      </w:r>
    </w:p>
    <w:p w:rsidR="00000000" w:rsidDel="00000000" w:rsidP="00000000" w:rsidRDefault="00000000" w:rsidRPr="00000000" w14:paraId="00000081">
      <w:pPr>
        <w:spacing w:after="0" w:before="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síntese, a revisão da literatura evidencia que a conversão e vetorização de dados estruturados e não estruturados oriundos de textos, tabelas ou imagens é um fator crítico para o sucesso do SB100. A articulação entre avaliação científica, curadoria temática, ferramentas de extração e vetorização multimodal consolida um ecossistema técnico-informacional robusto, capaz de alimentar com precisão os modelos LLM aplicados ao agronegócio. Os avanços alcançados pela Squad 02 no período de fevereiro a março de 2026 representam contribuições concretas a esse ecossistema, descritas nas seções de resultados e conclusões.</w:t>
      </w:r>
    </w:p>
    <w:p w:rsidR="00000000" w:rsidDel="00000000" w:rsidP="00000000" w:rsidRDefault="00000000" w:rsidRPr="00000000" w14:paraId="00000082">
      <w:pPr>
        <w:spacing w:after="0" w:before="0" w:line="240" w:lineRule="auto"/>
        <w:ind w:firstLine="57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pStyle w:val="Heading1"/>
        <w:numPr>
          <w:ilvl w:val="0"/>
          <w:numId w:val="4"/>
        </w:numPr>
        <w:ind w:left="432" w:hanging="432"/>
        <w:rPr/>
      </w:pPr>
      <w:bookmarkStart w:colFirst="0" w:colLast="0" w:name="_heading=h.phts08n8qcdp" w:id="9"/>
      <w:bookmarkEnd w:id="9"/>
      <w:r w:rsidDel="00000000" w:rsidR="00000000" w:rsidRPr="00000000">
        <w:rPr>
          <w:rtl w:val="0"/>
        </w:rPr>
        <w:t xml:space="preserve">Metodologia </w:t>
      </w:r>
    </w:p>
    <w:p w:rsidR="00000000" w:rsidDel="00000000" w:rsidP="00000000" w:rsidRDefault="00000000" w:rsidRPr="00000000" w14:paraId="00000084">
      <w:pPr>
        <w:spacing w:after="28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processo metodológico conduzido foi orientado pela necessidade de garantir a conversão precisa e semântica de diferentes formatos de informação (textos, tabelas, gráficos e imagens) em representações vetoriais compatíveis com a arquitetura de um LLM. A metodologia adotada contempla a seleção, utilização e combinação de ferramentas especializadas, integradas a um fluxo de trabalho sistemático que assegure a fidelidade dos dados e sua aplicabilidade ao domínio agronômico.</w:t>
      </w:r>
    </w:p>
    <w:p w:rsidR="00000000" w:rsidDel="00000000" w:rsidP="00000000" w:rsidRDefault="00000000" w:rsidRPr="00000000" w14:paraId="00000085">
      <w:pPr>
        <w:pStyle w:val="Heading2"/>
        <w:numPr>
          <w:ilvl w:val="1"/>
          <w:numId w:val="4"/>
        </w:numPr>
        <w:ind w:left="576" w:hanging="576"/>
        <w:rPr/>
      </w:pPr>
      <w:bookmarkStart w:colFirst="0" w:colLast="0" w:name="_heading=h.3rledayue89w" w:id="10"/>
      <w:bookmarkEnd w:id="10"/>
      <w:r w:rsidDel="00000000" w:rsidR="00000000" w:rsidRPr="00000000">
        <w:rPr>
          <w:rtl w:val="0"/>
        </w:rPr>
        <w:t xml:space="preserve">Materiais Utilizados</w:t>
      </w:r>
    </w:p>
    <w:p w:rsidR="00000000" w:rsidDel="00000000" w:rsidP="00000000" w:rsidRDefault="00000000" w:rsidRPr="00000000" w14:paraId="00000086">
      <w:pPr>
        <w:numPr>
          <w:ilvl w:val="0"/>
          <w:numId w:val="2"/>
        </w:numPr>
        <w:spacing w:after="0" w:before="28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Conjunto de documentos científicos em formato PDF, validados pela curadoria da Squad 01 e especializados pela análise agronômica da Squad 04.</w:t>
      </w:r>
      <w:r w:rsidDel="00000000" w:rsidR="00000000" w:rsidRPr="00000000">
        <w:rPr>
          <w:rtl w:val="0"/>
        </w:rPr>
      </w:r>
    </w:p>
    <w:p w:rsidR="00000000" w:rsidDel="00000000" w:rsidP="00000000" w:rsidRDefault="00000000" w:rsidRPr="00000000" w14:paraId="00000087">
      <w:pPr>
        <w:numPr>
          <w:ilvl w:val="0"/>
          <w:numId w:val="2"/>
        </w:numPr>
        <w:spacing w:after="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Ferramenta principal de extração de texto e tabelas: Docling (com OCR via Tesseract CLI, suporte bilíngue português/inglês, estruturação de tabelas via do_table_structure).</w:t>
      </w:r>
      <w:r w:rsidDel="00000000" w:rsidR="00000000" w:rsidRPr="00000000">
        <w:rPr>
          <w:rtl w:val="0"/>
        </w:rPr>
      </w:r>
    </w:p>
    <w:p w:rsidR="00000000" w:rsidDel="00000000" w:rsidP="00000000" w:rsidRDefault="00000000" w:rsidRPr="00000000" w14:paraId="00000088">
      <w:pPr>
        <w:numPr>
          <w:ilvl w:val="0"/>
          <w:numId w:val="2"/>
        </w:numPr>
        <w:spacing w:after="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Renderização de páginas com imagens: PyMuPDF (fitz), utilizado para rasterizar páginas candidatas em resolução de 150 DPI para análise visual.</w:t>
      </w:r>
      <w:r w:rsidDel="00000000" w:rsidR="00000000" w:rsidRPr="00000000">
        <w:rPr>
          <w:rtl w:val="0"/>
        </w:rPr>
      </w:r>
    </w:p>
    <w:p w:rsidR="00000000" w:rsidDel="00000000" w:rsidP="00000000" w:rsidRDefault="00000000" w:rsidRPr="00000000" w14:paraId="00000089">
      <w:pPr>
        <w:numPr>
          <w:ilvl w:val="0"/>
          <w:numId w:val="2"/>
        </w:numPr>
        <w:spacing w:after="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Filtro visual de imagens: OpenCV, aplicado em pipeline de três camadas (detecção de cor HSV, densidade de blob e direção de bordas Sobel).</w:t>
      </w:r>
      <w:r w:rsidDel="00000000" w:rsidR="00000000" w:rsidRPr="00000000">
        <w:rPr>
          <w:rtl w:val="0"/>
        </w:rPr>
      </w:r>
    </w:p>
    <w:p w:rsidR="00000000" w:rsidDel="00000000" w:rsidP="00000000" w:rsidRDefault="00000000" w:rsidRPr="00000000" w14:paraId="0000008A">
      <w:pPr>
        <w:numPr>
          <w:ilvl w:val="0"/>
          <w:numId w:val="2"/>
        </w:numPr>
        <w:spacing w:after="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Ambiente computacional: Google Colab, com armazenamento persistente em Google Drive (/content/drive/MyDrive/Pdfextractor).</w:t>
      </w:r>
      <w:r w:rsidDel="00000000" w:rsidR="00000000" w:rsidRPr="00000000">
        <w:rPr>
          <w:rtl w:val="0"/>
        </w:rPr>
      </w:r>
    </w:p>
    <w:p w:rsidR="00000000" w:rsidDel="00000000" w:rsidP="00000000" w:rsidRDefault="00000000" w:rsidRPr="00000000" w14:paraId="0000008B">
      <w:pPr>
        <w:numPr>
          <w:ilvl w:val="0"/>
          <w:numId w:val="2"/>
        </w:numPr>
        <w:spacing w:after="28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Modelos de embedding: Qwen3-Embedding-0.6B (vetores densos, 1024 dimensões, distância cosseno) e opensearch-neural-sparse-encoding-doc-v2-distill (vetores esparsos, via PyTorch); banco vetorial Qdrant Cloud (região sa-east-1, AWS), acessado via chamadas REST diretas; API de curadoria bibliográfica sb100cientometria.optin.com.br com autenticação JWT.</w:t>
      </w:r>
      <w:r w:rsidDel="00000000" w:rsidR="00000000" w:rsidRPr="00000000">
        <w:rPr>
          <w:rtl w:val="0"/>
        </w:rPr>
      </w:r>
    </w:p>
    <w:p w:rsidR="00000000" w:rsidDel="00000000" w:rsidP="00000000" w:rsidRDefault="00000000" w:rsidRPr="00000000" w14:paraId="0000008C">
      <w:pPr>
        <w:spacing w:after="280" w:before="28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D">
      <w:pPr>
        <w:pStyle w:val="Heading2"/>
        <w:numPr>
          <w:ilvl w:val="1"/>
          <w:numId w:val="4"/>
        </w:numPr>
        <w:ind w:left="576" w:hanging="576"/>
        <w:rPr/>
      </w:pPr>
      <w:bookmarkStart w:colFirst="0" w:colLast="0" w:name="_heading=h.2jkx62osgi4g" w:id="11"/>
      <w:bookmarkEnd w:id="11"/>
      <w:r w:rsidDel="00000000" w:rsidR="00000000" w:rsidRPr="00000000">
        <w:rPr>
          <w:rtl w:val="0"/>
        </w:rPr>
        <w:t xml:space="preserve">Procedimentos Metodológicos</w:t>
      </w:r>
    </w:p>
    <w:p w:rsidR="00000000" w:rsidDel="00000000" w:rsidP="00000000" w:rsidRDefault="00000000" w:rsidRPr="00000000" w14:paraId="0000008E">
      <w:pPr>
        <w:pStyle w:val="Heading3"/>
        <w:numPr>
          <w:ilvl w:val="2"/>
          <w:numId w:val="4"/>
        </w:numPr>
        <w:ind w:left="720" w:hanging="720"/>
        <w:rPr>
          <w:rFonts w:ascii="Times New Roman" w:cs="Times New Roman" w:eastAsia="Times New Roman" w:hAnsi="Times New Roman"/>
          <w:sz w:val="24"/>
          <w:szCs w:val="24"/>
        </w:rPr>
      </w:pPr>
      <w:bookmarkStart w:colFirst="0" w:colLast="0" w:name="_heading=h.jpcrej4d73nl" w:id="12"/>
      <w:bookmarkEnd w:id="12"/>
      <w:r w:rsidDel="00000000" w:rsidR="00000000" w:rsidRPr="00000000">
        <w:rPr>
          <w:rFonts w:ascii="Times New Roman" w:cs="Times New Roman" w:eastAsia="Times New Roman" w:hAnsi="Times New Roman"/>
          <w:sz w:val="24"/>
          <w:szCs w:val="24"/>
          <w:rtl w:val="0"/>
        </w:rPr>
        <w:t xml:space="preserve">Preparação e seleção dos arquivos PDF</w:t>
      </w:r>
    </w:p>
    <w:p w:rsidR="00000000" w:rsidDel="00000000" w:rsidP="00000000" w:rsidRDefault="00000000" w:rsidRPr="00000000" w14:paraId="0000008F">
      <w:pPr>
        <w:spacing w:after="28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documentos em PDF foram previamente avaliados em duas etapas: cientométrica, visando validar impacto e relevância científica; e curadoria temática, voltada à aplicabilidade no contexto do agronegócio. Essas etapas foram conduzidas pelas Squads 01 e 04, assegurando a qualidade e relevância dos dados antes da conversão.</w:t>
      </w:r>
    </w:p>
    <w:p w:rsidR="00000000" w:rsidDel="00000000" w:rsidP="00000000" w:rsidRDefault="00000000" w:rsidRPr="00000000" w14:paraId="00000090">
      <w:pPr>
        <w:pStyle w:val="Heading3"/>
        <w:numPr>
          <w:ilvl w:val="2"/>
          <w:numId w:val="4"/>
        </w:numPr>
        <w:ind w:left="720" w:hanging="720"/>
        <w:rPr>
          <w:rFonts w:ascii="Times New Roman" w:cs="Times New Roman" w:eastAsia="Times New Roman" w:hAnsi="Times New Roman"/>
          <w:sz w:val="24"/>
          <w:szCs w:val="24"/>
        </w:rPr>
      </w:pPr>
      <w:bookmarkStart w:colFirst="0" w:colLast="0" w:name="_heading=h.b7xze59mwx06" w:id="13"/>
      <w:bookmarkEnd w:id="13"/>
      <w:r w:rsidDel="00000000" w:rsidR="00000000" w:rsidRPr="00000000">
        <w:rPr>
          <w:rFonts w:ascii="Times New Roman" w:cs="Times New Roman" w:eastAsia="Times New Roman" w:hAnsi="Times New Roman"/>
          <w:sz w:val="24"/>
          <w:szCs w:val="24"/>
          <w:rtl w:val="0"/>
        </w:rPr>
        <w:t xml:space="preserve">Extração e pré-processamento de conteúdos textuais e tabulares</w:t>
      </w:r>
    </w:p>
    <w:p w:rsidR="00000000" w:rsidDel="00000000" w:rsidP="00000000" w:rsidRDefault="00000000" w:rsidRPr="00000000" w14:paraId="00000091">
      <w:pPr>
        <w:spacing w:after="280" w:before="280" w:line="240" w:lineRule="auto"/>
        <w:ind w:firstLine="72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000000"/>
          <w:sz w:val="24"/>
          <w:szCs w:val="24"/>
          <w:rtl w:val="0"/>
        </w:rPr>
        <w:t xml:space="preserve">A extração textual e tabular é realizada por meio do Docling, que integra OCR via Tesseract CLI com suporte bilíngue português/inglês e extração estruturada de tabelas com correspondência de células. O conteúdo extraído foi normalizado linguisticamente e </w:t>
      </w:r>
      <w:r w:rsidDel="00000000" w:rsidR="00000000" w:rsidRPr="00000000">
        <w:rPr>
          <w:rFonts w:ascii="Times New Roman" w:cs="Times New Roman" w:eastAsia="Times New Roman" w:hAnsi="Times New Roman"/>
          <w:color w:val="434343"/>
          <w:sz w:val="24"/>
          <w:szCs w:val="24"/>
          <w:rtl w:val="0"/>
        </w:rPr>
        <w:t xml:space="preserve">estruturado conforme diretrizes agronômicas e computacionais.</w:t>
      </w:r>
    </w:p>
    <w:p w:rsidR="00000000" w:rsidDel="00000000" w:rsidP="00000000" w:rsidRDefault="00000000" w:rsidRPr="00000000" w14:paraId="00000092">
      <w:pPr>
        <w:pStyle w:val="Heading3"/>
        <w:numPr>
          <w:ilvl w:val="2"/>
          <w:numId w:val="4"/>
        </w:numPr>
        <w:ind w:left="720" w:hanging="720"/>
        <w:rPr>
          <w:rFonts w:ascii="Times New Roman" w:cs="Times New Roman" w:eastAsia="Times New Roman" w:hAnsi="Times New Roman"/>
          <w:sz w:val="24"/>
          <w:szCs w:val="24"/>
        </w:rPr>
      </w:pPr>
      <w:bookmarkStart w:colFirst="0" w:colLast="0" w:name="_heading=h.h1l2ikgz1f1m" w:id="14"/>
      <w:bookmarkEnd w:id="14"/>
      <w:r w:rsidDel="00000000" w:rsidR="00000000" w:rsidRPr="00000000">
        <w:rPr>
          <w:rFonts w:ascii="Times New Roman" w:cs="Times New Roman" w:eastAsia="Times New Roman" w:hAnsi="Times New Roman"/>
          <w:sz w:val="24"/>
          <w:szCs w:val="24"/>
          <w:rtl w:val="0"/>
        </w:rPr>
        <w:t xml:space="preserve">Extração e processamento de imagens</w:t>
      </w:r>
    </w:p>
    <w:p w:rsidR="00000000" w:rsidDel="00000000" w:rsidP="00000000" w:rsidRDefault="00000000" w:rsidRPr="00000000" w14:paraId="00000093">
      <w:pPr>
        <w:spacing w:after="28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Gráficos, fotografias e diagramas são detectados pelo Docling (PictureItem) e validados por filtro visual baseado em OpenCV antes da persistência. As páginas aprovadas são renderizadas em alta resolução via PyMuPDF e armazenadas com metadados bibliográficos e contexto textual para futura descrição semântica via API Gemini. Esta etapa encontra-se em fase de integração no período coberto por este relatório.</w:t>
      </w:r>
    </w:p>
    <w:p w:rsidR="00000000" w:rsidDel="00000000" w:rsidP="00000000" w:rsidRDefault="00000000" w:rsidRPr="00000000" w14:paraId="00000094">
      <w:pPr>
        <w:pStyle w:val="Heading3"/>
        <w:numPr>
          <w:ilvl w:val="2"/>
          <w:numId w:val="4"/>
        </w:numPr>
        <w:ind w:left="720" w:hanging="720"/>
        <w:rPr>
          <w:rFonts w:ascii="Times New Roman" w:cs="Times New Roman" w:eastAsia="Times New Roman" w:hAnsi="Times New Roman"/>
          <w:sz w:val="24"/>
          <w:szCs w:val="24"/>
        </w:rPr>
      </w:pPr>
      <w:bookmarkStart w:colFirst="0" w:colLast="0" w:name="_heading=h.7egm5npy19v" w:id="15"/>
      <w:bookmarkEnd w:id="15"/>
      <w:r w:rsidDel="00000000" w:rsidR="00000000" w:rsidRPr="00000000">
        <w:rPr>
          <w:rFonts w:ascii="Times New Roman" w:cs="Times New Roman" w:eastAsia="Times New Roman" w:hAnsi="Times New Roman"/>
          <w:sz w:val="24"/>
          <w:szCs w:val="24"/>
          <w:rtl w:val="0"/>
        </w:rPr>
        <w:t xml:space="preserve">Conversão semântica e vetorização</w:t>
      </w:r>
    </w:p>
    <w:p w:rsidR="00000000" w:rsidDel="00000000" w:rsidP="00000000" w:rsidRDefault="00000000" w:rsidRPr="00000000" w14:paraId="00000095">
      <w:pPr>
        <w:spacing w:after="28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dados normalizados são convertidos em embeddings por meio de pipeline híbrido: vetores densos gerados pelo modelo Qwen3-Embedding-0.6B (1024 dimensões, distância cosseno) e vetores esparsos gerados pelo modelo opensearch-neural-sparse-encoding-doc-v2-distill. Essa representação dual assegura tanto recuperação por similaridade semântica quanto por correspondência lexical, ampliando a cobertura de consultas ao SB100.</w:t>
      </w:r>
    </w:p>
    <w:p w:rsidR="00000000" w:rsidDel="00000000" w:rsidP="00000000" w:rsidRDefault="00000000" w:rsidRPr="00000000" w14:paraId="00000096">
      <w:pPr>
        <w:pStyle w:val="Heading3"/>
        <w:numPr>
          <w:ilvl w:val="2"/>
          <w:numId w:val="4"/>
        </w:numPr>
        <w:ind w:left="720" w:hanging="720"/>
        <w:rPr>
          <w:rFonts w:ascii="Times New Roman" w:cs="Times New Roman" w:eastAsia="Times New Roman" w:hAnsi="Times New Roman"/>
          <w:sz w:val="24"/>
          <w:szCs w:val="24"/>
        </w:rPr>
      </w:pPr>
      <w:bookmarkStart w:colFirst="0" w:colLast="0" w:name="_heading=h.84lwhfkwlywv" w:id="16"/>
      <w:bookmarkEnd w:id="16"/>
      <w:r w:rsidDel="00000000" w:rsidR="00000000" w:rsidRPr="00000000">
        <w:rPr>
          <w:rFonts w:ascii="Times New Roman" w:cs="Times New Roman" w:eastAsia="Times New Roman" w:hAnsi="Times New Roman"/>
          <w:sz w:val="24"/>
          <w:szCs w:val="24"/>
          <w:rtl w:val="0"/>
        </w:rPr>
        <w:t xml:space="preserve">Armazenamento vetorial e integração com o SB100</w:t>
      </w:r>
    </w:p>
    <w:p w:rsidR="00000000" w:rsidDel="00000000" w:rsidP="00000000" w:rsidRDefault="00000000" w:rsidRPr="00000000" w14:paraId="00000097">
      <w:pPr>
        <w:spacing w:after="28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vetores gerados foram organizados e indexados em bancos de dados especializados, como Pgvector, Qdrant e Pinecone, com apoio da Squad 03. Esses bancos oferecem suporte a buscas por similaridade semântica e desempenho escalável.</w:t>
      </w:r>
    </w:p>
    <w:p w:rsidR="00000000" w:rsidDel="00000000" w:rsidP="00000000" w:rsidRDefault="00000000" w:rsidRPr="00000000" w14:paraId="00000098">
      <w:pPr>
        <w:pStyle w:val="Heading3"/>
        <w:numPr>
          <w:ilvl w:val="2"/>
          <w:numId w:val="4"/>
        </w:numPr>
        <w:ind w:left="720" w:hanging="720"/>
        <w:rPr>
          <w:rFonts w:ascii="Times New Roman" w:cs="Times New Roman" w:eastAsia="Times New Roman" w:hAnsi="Times New Roman"/>
          <w:sz w:val="24"/>
          <w:szCs w:val="24"/>
        </w:rPr>
      </w:pPr>
      <w:bookmarkStart w:colFirst="0" w:colLast="0" w:name="_heading=h.m9jsvgccydbt" w:id="17"/>
      <w:bookmarkEnd w:id="17"/>
      <w:r w:rsidDel="00000000" w:rsidR="00000000" w:rsidRPr="00000000">
        <w:rPr>
          <w:rFonts w:ascii="Times New Roman" w:cs="Times New Roman" w:eastAsia="Times New Roman" w:hAnsi="Times New Roman"/>
          <w:sz w:val="24"/>
          <w:szCs w:val="24"/>
          <w:rtl w:val="0"/>
        </w:rPr>
        <w:t xml:space="preserve">Validação e refinamento iterativo</w:t>
      </w:r>
    </w:p>
    <w:p w:rsidR="00000000" w:rsidDel="00000000" w:rsidP="00000000" w:rsidRDefault="00000000" w:rsidRPr="00000000" w14:paraId="00000099">
      <w:pPr>
        <w:spacing w:after="280" w:before="280" w:line="240" w:lineRule="auto"/>
        <w:ind w:firstLine="57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Foram realizados testes de recuperação vetorial com perguntas reais submetidas aos índices gerados pelo pipeline, utilizando busca semântica via FAISS em ambiente local. Os resultados, apresentados na seção 4.3, permitiram avaliar o impacto das diferentes estratégias de chunking na qualidade da recuperação e orientar ajustes nas etapas de extração e segmentação. A validação integrada com o LLM SB100 está prevista como trabalho futuro em conjunto com a Squad 04.</w:t>
      </w:r>
    </w:p>
    <w:p w:rsidR="00000000" w:rsidDel="00000000" w:rsidP="00000000" w:rsidRDefault="00000000" w:rsidRPr="00000000" w14:paraId="0000009A">
      <w:pPr>
        <w:pStyle w:val="Heading3"/>
        <w:numPr>
          <w:ilvl w:val="2"/>
          <w:numId w:val="4"/>
        </w:numPr>
        <w:ind w:left="720" w:hanging="720"/>
        <w:rPr>
          <w:rFonts w:ascii="Times New Roman" w:cs="Times New Roman" w:eastAsia="Times New Roman" w:hAnsi="Times New Roman"/>
          <w:sz w:val="24"/>
          <w:szCs w:val="24"/>
        </w:rPr>
      </w:pPr>
      <w:bookmarkStart w:colFirst="0" w:colLast="0" w:name="_heading=h.6v1pa5iootgy" w:id="18"/>
      <w:bookmarkEnd w:id="18"/>
      <w:r w:rsidDel="00000000" w:rsidR="00000000" w:rsidRPr="00000000">
        <w:rPr>
          <w:rFonts w:ascii="Times New Roman" w:cs="Times New Roman" w:eastAsia="Times New Roman" w:hAnsi="Times New Roman"/>
          <w:sz w:val="24"/>
          <w:szCs w:val="24"/>
          <w:rtl w:val="0"/>
        </w:rPr>
        <w:t xml:space="preserve"> Refatoração arquitetural do pipeline de ingestão (fevereiro–março de 2026)</w:t>
      </w:r>
    </w:p>
    <w:p w:rsidR="00000000" w:rsidDel="00000000" w:rsidP="00000000" w:rsidRDefault="00000000" w:rsidRPr="00000000" w14:paraId="0000009B">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Uma das primeiras atividades conduzidas após o ingresso no projeto foi a análise da infraestrutura de servidor disponível para execução do pipeline. Os testes realizados revelaram que o servidor local do projeto não dispõe de suporte à extensão de instruções AVX (Advanced Vector Extensions), requisito técnico obrigatório para a execução de modelos baseados em PyTorch e das bibliotecas de embedding utilizadas no pipeline, como SentenceTransformers e Transformers. A ausência de AVX inviabiliza a execução desses modelos no servidor, pois resulta em falha de segmentação (segfault) na inicialização das operações vetoriais de baixo nível.</w:t>
      </w:r>
    </w:p>
    <w:p w:rsidR="00000000" w:rsidDel="00000000" w:rsidP="00000000" w:rsidRDefault="00000000" w:rsidRPr="00000000" w14:paraId="0000009C">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Diante dessa limitação de hardware, o Google Colab foi adotado como ambiente permanente de execução do pipeline de ingestão, com os arquivos PDF e o arquivo de controle indexados.json armazenados no Google Drive para persistência entre sessões. Essa decisão condicionou diversas escolhas arquiteturais subsequentes, incluindo a substituição do cliente oficial do Qdrant por chamadas REST diretas necessária para contornar incompatibilidades com o protocolo IPv6 do ambiente Colab e a adoção de estratégias de gerenciamento de memória compatíveis com as restrições de RAM da sessão.</w:t>
      </w:r>
    </w:p>
    <w:p w:rsidR="00000000" w:rsidDel="00000000" w:rsidP="00000000" w:rsidRDefault="00000000" w:rsidRPr="00000000" w14:paraId="0000009D">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partir de 5 de fevereiro de 2026, um novo integrante da Squad 02 assumiu a responsabilidade de evolução do pipeline de ingestão, resultando em uma evolução e reestruturação significativa da versão original (v1) para uma arquitetura revisada (v2), construída sobre o trabalho anterior da equipe. As principais mudanças foram motivadas por incompatibilidades de infraestrutura identificadas no servidor do projeto e pela necessidade de ampliar o escopo do pipeline para além da extração textual.</w:t>
      </w:r>
    </w:p>
    <w:p w:rsidR="00000000" w:rsidDel="00000000" w:rsidP="00000000" w:rsidRDefault="00000000" w:rsidRPr="00000000" w14:paraId="0000009E">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primeira mudança estrutural foi a substituição da biblioteca qdrant-client por chamadas REST diretas ao Qdrant via a biblioteca requests. Essa decisão foi motivada por incompatibilidades do cliente oficial com o protocolo IPv6, que causavam falhas silenciosas no ambiente Colab. A abordagem REST eliminou a dependência e conferiu maior previsibilidade ao comportamento da aplicação.</w:t>
      </w:r>
    </w:p>
    <w:p w:rsidR="00000000" w:rsidDel="00000000" w:rsidP="00000000" w:rsidRDefault="00000000" w:rsidRPr="00000000" w14:paraId="0000009F">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modelo de embedding denso foi migrado de Sentence-BERT (SBERT) para Qwen3-Embedding-0.6B, modelo de maior capacidade semântica. O pipeline híbrido foi preservado, mantendo o vetor esparso gerado pelo modelo opensearch-neural-sparse-encoding-doc-v2-distill. O banco de vetores Qdrant Cloud permanece hospedado na região sa-east-1 (AWS), com a coleção sb100 configurada com campos vetor_denso (1024 dimensões, distância cosseno) e vetor_esparso.</w:t>
      </w:r>
    </w:p>
    <w:p w:rsidR="00000000" w:rsidDel="00000000" w:rsidP="00000000" w:rsidRDefault="00000000" w:rsidRPr="00000000" w14:paraId="000000A0">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sistema de controle de duplicatas foi aprimorado com a introdução de um arquivo local indexados.json, que rastreia cada PDF já processado evitando reingestão. O payload de cada ponto no Qdrant passou a incorporar referência bibliográfica completa obtida via API de curadoria (sb100cientometria.optin.com.br), com autenticação JWT, incluindo título, autores, DOI, periódico, volume, palavras-chave, cultura agronômica e resumo.</w:t>
      </w:r>
    </w:p>
    <w:p w:rsidR="00000000" w:rsidDel="00000000" w:rsidP="00000000" w:rsidRDefault="00000000" w:rsidRPr="00000000" w14:paraId="000000A1">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estratégia de chunking foi revista: o pipeline v1 utilizava chunks de 1024 caracteres sem sobreposição; o pipeline v2 adota chunks de 1024 caracteres com overlap de 256 caracteres, preservando o contexto semântico nas fronteiras entre segmentos. Paralelamente, um banco alternativo foi populado com chunks de 512 caracteres com overlap para fins de comparação empírica de desempenho na recuperação.</w:t>
      </w:r>
    </w:p>
    <w:p w:rsidR="00000000" w:rsidDel="00000000" w:rsidP="00000000" w:rsidRDefault="00000000" w:rsidRPr="00000000" w14:paraId="000000A2">
      <w:pPr>
        <w:pStyle w:val="Heading1"/>
        <w:numPr>
          <w:ilvl w:val="0"/>
          <w:numId w:val="4"/>
        </w:numPr>
        <w:ind w:left="432" w:hanging="432"/>
        <w:rPr/>
      </w:pPr>
      <w:bookmarkStart w:colFirst="0" w:colLast="0" w:name="_heading=h.wdsaxmrx7las" w:id="19"/>
      <w:bookmarkEnd w:id="19"/>
      <w:r w:rsidDel="00000000" w:rsidR="00000000" w:rsidRPr="00000000">
        <w:rPr>
          <w:rtl w:val="0"/>
        </w:rPr>
        <w:t xml:space="preserve">Resultados</w:t>
      </w:r>
    </w:p>
    <w:p w:rsidR="00000000" w:rsidDel="00000000" w:rsidP="00000000" w:rsidRDefault="00000000" w:rsidRPr="00000000" w14:paraId="000000A3">
      <w:pPr>
        <w:spacing w:after="0" w:before="280" w:line="240" w:lineRule="auto"/>
        <w:ind w:firstLine="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etapa de conversão de formatos aplicada aos arquivos em PDF resultou na geração de arquivos texto estruturados, os quais funcionam como metadados fundamentais para a organização, rastreabilidade e vetorização semântica dos conteúdos. Esses arquivos texto derivados contêm seções extraídas e categorizadas, permitindo que os dados sejam organizados por tipo de conteúdo (texto, tabelas, gráficos, imagens) e preparados para uso posterior nos mecanismos de inferência baseados em LLM.</w:t>
      </w:r>
    </w:p>
    <w:p w:rsidR="00000000" w:rsidDel="00000000" w:rsidP="00000000" w:rsidRDefault="00000000" w:rsidRPr="00000000" w14:paraId="000000A4">
      <w:pPr>
        <w:spacing w:after="280" w:before="0" w:line="240" w:lineRule="auto"/>
        <w:ind w:firstLine="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estrutura resultante permite a vinculação precisa entre os conteúdos convertidos e seus documentos de origem, assegurando coerência entre a fonte e os vetores semânticos gerados. Essa vinculação é realizada por meio de metadados que especificam o local do conteúdo no documento, o tipo de estrutura (e.g., parágrafo textual, imagem, célula tabular) e sua ordem sequencial.</w:t>
      </w:r>
    </w:p>
    <w:p w:rsidR="00000000" w:rsidDel="00000000" w:rsidP="00000000" w:rsidRDefault="00000000" w:rsidRPr="00000000" w14:paraId="000000A5">
      <w:pPr>
        <w:pStyle w:val="Heading2"/>
        <w:numPr>
          <w:ilvl w:val="1"/>
          <w:numId w:val="4"/>
        </w:numPr>
        <w:ind w:left="576" w:hanging="576"/>
        <w:rPr/>
      </w:pPr>
      <w:bookmarkStart w:colFirst="0" w:colLast="0" w:name="_heading=h.66nidqvvu1q0" w:id="20"/>
      <w:bookmarkEnd w:id="20"/>
      <w:r w:rsidDel="00000000" w:rsidR="00000000" w:rsidRPr="00000000">
        <w:rPr>
          <w:rtl w:val="0"/>
        </w:rPr>
        <w:t xml:space="preserve">Arquivo texto como metadado estruturante</w:t>
      </w:r>
    </w:p>
    <w:p w:rsidR="00000000" w:rsidDel="00000000" w:rsidP="00000000" w:rsidRDefault="00000000" w:rsidRPr="00000000" w14:paraId="000000A6">
      <w:pPr>
        <w:spacing w:after="0" w:before="280" w:line="24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partir da conversão, cada PDF processado gera um arquivo texto correspondente contendo metadados organizados que indicam:</w:t>
      </w:r>
    </w:p>
    <w:p w:rsidR="00000000" w:rsidDel="00000000" w:rsidP="00000000" w:rsidRDefault="00000000" w:rsidRPr="00000000" w14:paraId="000000A7">
      <w:pPr>
        <w:numPr>
          <w:ilvl w:val="0"/>
          <w:numId w:val="3"/>
        </w:numPr>
        <w:spacing w:after="0" w:before="28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Título, autores e ano do artigo (quando extraídos com sucesso);</w:t>
      </w:r>
      <w:r w:rsidDel="00000000" w:rsidR="00000000" w:rsidRPr="00000000">
        <w:rPr>
          <w:rtl w:val="0"/>
        </w:rPr>
      </w:r>
    </w:p>
    <w:p w:rsidR="00000000" w:rsidDel="00000000" w:rsidP="00000000" w:rsidRDefault="00000000" w:rsidRPr="00000000" w14:paraId="000000A8">
      <w:pPr>
        <w:numPr>
          <w:ilvl w:val="0"/>
          <w:numId w:val="3"/>
        </w:numPr>
        <w:spacing w:after="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Identificação e separação dos segmentos por tipo: texto corrido, tabelas, gráficos e imagens;</w:t>
      </w:r>
      <w:r w:rsidDel="00000000" w:rsidR="00000000" w:rsidRPr="00000000">
        <w:rPr>
          <w:rtl w:val="0"/>
        </w:rPr>
      </w:r>
    </w:p>
    <w:p w:rsidR="00000000" w:rsidDel="00000000" w:rsidP="00000000" w:rsidRDefault="00000000" w:rsidRPr="00000000" w14:paraId="000000A9">
      <w:pPr>
        <w:numPr>
          <w:ilvl w:val="0"/>
          <w:numId w:val="3"/>
        </w:numPr>
        <w:spacing w:after="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Localização relativa dentro do PDF original (página e posição);</w:t>
      </w:r>
      <w:r w:rsidDel="00000000" w:rsidR="00000000" w:rsidRPr="00000000">
        <w:rPr>
          <w:rtl w:val="0"/>
        </w:rPr>
      </w:r>
    </w:p>
    <w:p w:rsidR="00000000" w:rsidDel="00000000" w:rsidP="00000000" w:rsidRDefault="00000000" w:rsidRPr="00000000" w14:paraId="000000AA">
      <w:pPr>
        <w:numPr>
          <w:ilvl w:val="0"/>
          <w:numId w:val="3"/>
        </w:numPr>
        <w:spacing w:after="280" w:before="0" w:line="276"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Tags estruturais que permitirão a organização semântica no banco vetorial e no LLM.</w:t>
      </w:r>
      <w:r w:rsidDel="00000000" w:rsidR="00000000" w:rsidRPr="00000000">
        <w:rPr>
          <w:rtl w:val="0"/>
        </w:rPr>
      </w:r>
    </w:p>
    <w:p w:rsidR="00000000" w:rsidDel="00000000" w:rsidP="00000000" w:rsidRDefault="00000000" w:rsidRPr="00000000" w14:paraId="000000AB">
      <w:pPr>
        <w:spacing w:after="280" w:before="280" w:line="24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Esses arquivos estruturados constituem a base para processos posteriores de vetorização e recuperação semântica, permitindo que o SB100 relacione de forma eficiente perguntas feitas em linguagem natural com o conteúdo original dos artigos.</w:t>
      </w:r>
    </w:p>
    <w:p w:rsidR="00000000" w:rsidDel="00000000" w:rsidP="00000000" w:rsidRDefault="00000000" w:rsidRPr="00000000" w14:paraId="000000AC">
      <w:pPr>
        <w:pStyle w:val="Heading2"/>
        <w:numPr>
          <w:ilvl w:val="1"/>
          <w:numId w:val="4"/>
        </w:numPr>
        <w:ind w:left="576" w:hanging="576"/>
        <w:rPr/>
      </w:pPr>
      <w:bookmarkStart w:colFirst="0" w:colLast="0" w:name="_heading=h.ls2l6c11jmq" w:id="21"/>
      <w:bookmarkEnd w:id="21"/>
      <w:r w:rsidDel="00000000" w:rsidR="00000000" w:rsidRPr="00000000">
        <w:rPr>
          <w:rtl w:val="0"/>
        </w:rPr>
        <w:t xml:space="preserve">Attention e Embedding: articuladores da recuperação contextual</w:t>
      </w:r>
    </w:p>
    <w:p w:rsidR="00000000" w:rsidDel="00000000" w:rsidP="00000000" w:rsidRDefault="00000000" w:rsidRPr="00000000" w14:paraId="000000AD">
      <w:pPr>
        <w:spacing w:after="280" w:before="280" w:line="240" w:lineRule="auto"/>
        <w:ind w:firstLine="57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os conteúdos textuais, tabulares e visuais convertidos e etiquetados, os atributos de Attention e Embedding passam a desempenhar papel fundamental. Os mecanismos de Attention utilizados nos modelos Transformer asseguram que os diferentes segmentos do conteúdo convertido como uma tabela ou uma imagem possam ser corretamente interpretados no contexto da pergunta do usuário. Isso é possível graças ao alinhamento semântico construído durante o processo de embedding vetorial.</w:t>
      </w:r>
    </w:p>
    <w:p w:rsidR="00000000" w:rsidDel="00000000" w:rsidP="00000000" w:rsidRDefault="00000000" w:rsidRPr="00000000" w14:paraId="000000AE">
      <w:pPr>
        <w:spacing w:after="0" w:before="280" w:line="240" w:lineRule="auto"/>
        <w:ind w:firstLine="57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aplicação de modelos como Qwen3-Embedding-0.6B permite que os embeddings carreguem, além do conteúdo semântico bruto, relações contextuais aprendidas durante o treinamento, viabilizando que um gráfico extraído de uma figura seja vinculado com precisão a uma explicação textual subsequente. A combinação com vetores esparsos gerados pelo modelo SPLADE garante cobertura tanto semântica quanto lexical nas respostas do SB100.</w:t>
      </w:r>
    </w:p>
    <w:p w:rsidR="00000000" w:rsidDel="00000000" w:rsidP="00000000" w:rsidRDefault="00000000" w:rsidRPr="00000000" w14:paraId="000000AF">
      <w:pPr>
        <w:spacing w:after="0" w:before="0" w:line="240" w:lineRule="auto"/>
        <w:ind w:firstLine="57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Além disso, os embeddings vetoriais são armazenados em bancos especializados (como Qdrant ou Pgvector), em que os atributos estruturais extraídos durante a conversão de formatos permitem realizar consultas por similaridade semântica com elevado grau de precisão.</w:t>
      </w:r>
    </w:p>
    <w:p w:rsidR="00000000" w:rsidDel="00000000" w:rsidP="00000000" w:rsidRDefault="00000000" w:rsidRPr="00000000" w14:paraId="000000B0">
      <w:pPr>
        <w:spacing w:after="280" w:before="0" w:line="240" w:lineRule="auto"/>
        <w:ind w:firstLine="57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Integração dos componentes no SB100</w:t>
      </w:r>
      <w:r w:rsidDel="00000000" w:rsidR="00000000" w:rsidRPr="00000000">
        <w:rPr>
          <w:rtl w:val="0"/>
        </w:rPr>
      </w:r>
    </w:p>
    <w:p w:rsidR="00000000" w:rsidDel="00000000" w:rsidP="00000000" w:rsidRDefault="00000000" w:rsidRPr="00000000" w14:paraId="000000B2">
      <w:pPr>
        <w:spacing w:after="280" w:before="28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resultados indicam que o processo de conversão estruturada e vetorização, aliado aos mecanismos de Attention dos Transformers, cria as condições para um ambiente informacional coeso e pesquisável, pronto para oferecer respostas técnicas contextualizadas aos usuários do SB100. A robustez desse ecossistema técnico depende diretamente da precisão dos metadados, da coerência dos embeddings e da correta indexação vetorial. Essa tríade operacional está em constante aprimoramento com base nos testes e feedbacks de recuperação de conteúdo executados em ambiente controlado.</w:t>
      </w:r>
    </w:p>
    <w:p w:rsidR="00000000" w:rsidDel="00000000" w:rsidP="00000000" w:rsidRDefault="00000000" w:rsidRPr="00000000" w14:paraId="000000B3">
      <w:pPr>
        <w:pStyle w:val="Heading2"/>
        <w:numPr>
          <w:ilvl w:val="1"/>
          <w:numId w:val="4"/>
        </w:numPr>
        <w:ind w:left="576" w:hanging="576"/>
        <w:rPr/>
      </w:pPr>
      <w:bookmarkStart w:colFirst="0" w:colLast="0" w:name="_heading=h.9iwd9uza2le1" w:id="22"/>
      <w:bookmarkEnd w:id="22"/>
      <w:r w:rsidDel="00000000" w:rsidR="00000000" w:rsidRPr="00000000">
        <w:rPr>
          <w:rtl w:val="0"/>
        </w:rPr>
        <w:t xml:space="preserve">Testes de valores modelos para conversão de formato</w:t>
      </w:r>
    </w:p>
    <w:p w:rsidR="00000000" w:rsidDel="00000000" w:rsidP="00000000" w:rsidRDefault="00000000" w:rsidRPr="00000000" w14:paraId="000000B4">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Foram conduzidos experimentos comparativos entre três estratégias de segmentação de conteúdo textual extraído de PDFs científicos agrícolas, utilizando FAISS para busca vetorial local e Qwen3-Embedding-0.6B para embeddings semânticos. Os testes foram aplicados a três documentos do corpus SB100: Alva et al. (2005), artigo longo de 52 páginas em inglês com arquitetura simples; Zambrosi et al. (2017), artigo curto em inglês com muitas imagens; e Mattos Jr. et al. (2010), artigo curto em português com seções bem definidas.</w:t>
      </w:r>
    </w:p>
    <w:p w:rsidR="00000000" w:rsidDel="00000000" w:rsidP="00000000" w:rsidRDefault="00000000" w:rsidRPr="00000000" w14:paraId="000000B5">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Teste A — Tamanho fixo (1024 chars, sem overlap): estratégia baseline de comparação. Divide o texto em blocos de até 1024 caracteres sem sobreposição. Apresentou os piores resultados nos dois PDFs avaliados. Apesar de estar abaixo do limite técnico do modelo de embedding, a ausência de sobreposição causa perda de contexto nas fronteiras entre chunks, prejudicando a recuperação de informações que se estendem por mais de um bloco.</w:t>
      </w:r>
    </w:p>
    <w:p w:rsidR="00000000" w:rsidDel="00000000" w:rsidP="00000000" w:rsidRDefault="00000000" w:rsidRPr="00000000" w14:paraId="000000B6">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Teste B — Tamanho fixo com overlap (512 chars + 128 overlap): divide em blocos de 512 caracteres repetindo os últimos 128 do bloco anterior. Tamanho adequado para o Qwen3-Embedding (512 tokens), com aproximadamente 70% dos chunks no intervalo ideal de 300–800 chars. Melhor resultado em PDFs com seções fragmentadas.</w:t>
      </w:r>
    </w:p>
    <w:p w:rsidR="00000000" w:rsidDel="00000000" w:rsidP="00000000" w:rsidRDefault="00000000" w:rsidRPr="00000000" w14:paraId="000000B7">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Teste C — Por seção do artigo: corta nos títulos de seção gerados pelo Docling, criando um chunk por seção científica (Abstract, Introdução, Métodos, Resultados, Discussão). Melhor resultado em PDFs com seções bem definidas e semanticamente coesas.</w:t>
      </w:r>
    </w:p>
    <w:p w:rsidR="00000000" w:rsidDel="00000000" w:rsidP="00000000" w:rsidRDefault="00000000" w:rsidRPr="00000000" w14:paraId="000000B8">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resultados obtidos nos experimentos são apresentados a seguir. Para o documento Zambrosi (2017) PDF curto em inglês com seções fragmentadas, com perguntas formuladas em português (busca cross-lingual) o Teste B obteve o melhor desempenho, com score de busca de 0,5815 e 70,6% dos chunks no tamanho ideal, resultando em score final de 0,6315. O Teste C obteve score final de 0,5583 e o Teste A, baseline, obteve 0,4282.</w:t>
      </w:r>
    </w:p>
    <w:p w:rsidR="00000000" w:rsidDel="00000000" w:rsidP="00000000" w:rsidRDefault="00000000" w:rsidRPr="00000000" w14:paraId="000000B9">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o documento Mattos Jr. (2010) PDF curto em português com seções bem definidas, com perguntas e texto no mesmo idioma o Teste C por seção obteve o melhor desempenho, com score de busca de 0,6045 e score final de 0,6440. O Teste B obteve score final de 0,6370 e o Teste A, 0,4655. O score final é calculado como 60% do score de busca somado a 40% do score de tamanho.</w:t>
      </w:r>
    </w:p>
    <w:p w:rsidR="00000000" w:rsidDel="00000000" w:rsidP="00000000" w:rsidRDefault="00000000" w:rsidRPr="00000000" w14:paraId="000000BA">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Duas conclusões principais emergem dos experimentos: (i) a estratégia ótima depende da estrutura do documento PDFs com seções fragmentadas favorecem o Teste B, enquanto PDFs com seções bem definidas favorecem o Teste C; (ii) busca no mesmo idioma produz scores consistentemente superiores à busca cross-lingual, com médias de 0,60 (português–português) contra 0,57 (português–inglês), confirmando que o Qwen3-Embedding performa melhor quando pergunta e texto compartilham o mesmo idioma, mesmo sendo um modelo multilíngue.</w:t>
      </w:r>
    </w:p>
    <w:p w:rsidR="00000000" w:rsidDel="00000000" w:rsidP="00000000" w:rsidRDefault="00000000" w:rsidRPr="00000000" w14:paraId="000000BB">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Evidência empírica recente reforça a relevância dessa investigação. Bhat et al. (2025), em análise sistemática de estratégias de chunking por tamanho fixo de tokens em múltiplos datasets de recuperação, demonstram que o tamanho ótimo de chunk depende fortemente das características do domínio e da estrutura dos documentos. Para datasets de conteúdo técnico e científico com respostas longas e dispersas como TechQA, cuja natureza se assemelha aos artigos agronômicos do corpus SB100 os autores observam que chunks pequenos (64–128 tokens) produzem recall@1 inferior a 5%, enquanto chunks de 512–1024 tokens elevam esse valor para mais de 70%, evidenciando que contexto mais amplo é essencial para a recuperação em domínios especializados.</w:t>
      </w:r>
    </w:p>
    <w:p w:rsidR="00000000" w:rsidDel="00000000" w:rsidP="00000000" w:rsidRDefault="00000000" w:rsidRPr="00000000" w14:paraId="000000BC">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Adicionalmente, o mesmo estudo aponta que modelos baseados na arquitetura Qwen2 família da qual faz parte o Qwen3-Embedding-0.6B utilizado no pipeline v2 do SB100 tendem a se beneficiar de chunks maiores por sua capacidade de capturar contexto global de longo alcance. Isso sugere que os tamanhos atualmente testados (equivalentes a 128–256 tokens) podem estar abaixo do intervalo onde o modelo expressa sua capacidade máxima de recuperação para documentos científicos de maior extensão.</w:t>
      </w:r>
    </w:p>
    <w:p w:rsidR="00000000" w:rsidDel="00000000" w:rsidP="00000000" w:rsidRDefault="00000000" w:rsidRPr="00000000" w14:paraId="000000BD">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abordagem tecnicamente superior para esse problema é o chunking semântico, no qual um agente de linguagem analisa o conteúdo e determina os pontos de corte com base na estrutura lógica e temática do texto. Contudo, essa abordagem exige chamadas a um LLM pago por decisão de segmentação, tornando seu custo operacional proporcional ao volume do corpus. Dada a escala de ingestão do SB100, que supera 150 PDFs com ingestão diária contínua, a adoção de chunking semântico representa um custo significativo que precisa ser avaliado em relação ao ganho mensurável de qualidade na recuperação. Qu, Tu e Bao (2024) investigam especificamente essa questão, discutindo se o chunking semântico justifica o custo computacional frente ao chunking fixo, sendo essa comparação prevista como trabalho futuro da Squad 02 em conjunto com a Squad 04.</w:t>
      </w:r>
    </w:p>
    <w:p w:rsidR="00000000" w:rsidDel="00000000" w:rsidP="00000000" w:rsidRDefault="00000000" w:rsidRPr="00000000" w14:paraId="000000BE">
      <w:pPr>
        <w:pStyle w:val="Heading2"/>
        <w:numPr>
          <w:ilvl w:val="1"/>
          <w:numId w:val="4"/>
        </w:numPr>
        <w:ind w:left="576" w:hanging="576"/>
        <w:rPr/>
      </w:pPr>
      <w:bookmarkStart w:colFirst="0" w:colLast="0" w:name="_heading=h.4q7f4dqpf8l" w:id="23"/>
      <w:bookmarkEnd w:id="23"/>
      <w:r w:rsidDel="00000000" w:rsidR="00000000" w:rsidRPr="00000000">
        <w:rPr>
          <w:rtl w:val="0"/>
        </w:rPr>
        <w:t xml:space="preserve">Comparação dos resultados para texto, tabela e figura.</w:t>
      </w:r>
    </w:p>
    <w:p w:rsidR="00000000" w:rsidDel="00000000" w:rsidP="00000000" w:rsidRDefault="00000000" w:rsidRPr="00000000" w14:paraId="000000BF">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etapa de extração e vetorização foi avaliada separadamente para cada modalidade de conteúdo presente nos PDFs científicos do corpus SB100.</w:t>
      </w:r>
    </w:p>
    <w:p w:rsidR="00000000" w:rsidDel="00000000" w:rsidP="00000000" w:rsidRDefault="00000000" w:rsidRPr="00000000" w14:paraId="000000C0">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Texto corrido: a extração via Docling com OCR forçado por página (force_full_page_ocr=True) e suporte bilíngue (português e inglês) produziu resultados consistentes para a maioria dos documentos. O pré-processamento de limpeza textual elimina artefatos de glifo, normaliza espaçamentos e preserva a estrutura de parágrafos. O chunking baseado em caracteres com sobreposição mostrou-se mais robusto do que o baseado em tokens para documentos com OCR imperfeito, pois não depende de fronteiras lexicais bem definidas.</w:t>
      </w:r>
    </w:p>
    <w:p w:rsidR="00000000" w:rsidDel="00000000" w:rsidP="00000000" w:rsidRDefault="00000000" w:rsidRPr="00000000" w14:paraId="000000C1">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Tabelas: a extração tabular via Docling com do_table_structure=True e correspondência de células ativas (do_cell_matching=True) preserva a estrutura relacional das tabelas em formato Markdown. O pipeline classifica automaticamente chunks que contêm linhas no padrão "| col | col |" como tipo "tabela" no payload, permitindo filtragem semântica por tipo de conteúdo nas consultas ao Qdrant. Tabelas com cabeçalhos multilinha ou células mescladas ainda apresentam perdas parciais de estrutura, identificadas como limitação a ser abordada em iterações futuras.</w:t>
      </w:r>
    </w:p>
    <w:p w:rsidR="00000000" w:rsidDel="00000000" w:rsidP="00000000" w:rsidRDefault="00000000" w:rsidRPr="00000000" w14:paraId="000000C2">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Figuras e imagens: esta modalidade representa o maior desafio técnico do pipeline e encontra-se em fase ativa de desenvolvimento no período coberto por este relatório. A abordagem implementada opera em duas etapas: (i) detecção de páginas candidatas via Docling (PictureItem) e (ii) validação visual por filtro OpenCV de três camadas antes da persistência. A etapa de descrição semântica via API Gemini está em fase de integração e não possui resultados disponíveis no presente período de avaliação. Os detalhes desta implementação são descritos na seção 4.5.</w:t>
      </w:r>
    </w:p>
    <w:p w:rsidR="00000000" w:rsidDel="00000000" w:rsidP="00000000" w:rsidRDefault="00000000" w:rsidRPr="00000000" w14:paraId="000000C3">
      <w:pPr>
        <w:pStyle w:val="Heading2"/>
        <w:numPr>
          <w:ilvl w:val="1"/>
          <w:numId w:val="4"/>
        </w:numPr>
        <w:ind w:left="576" w:hanging="576"/>
        <w:rPr/>
      </w:pPr>
      <w:bookmarkStart w:colFirst="0" w:colLast="0" w:name="_heading=h.405x3oxlmfx0" w:id="24"/>
      <w:bookmarkEnd w:id="24"/>
      <w:r w:rsidDel="00000000" w:rsidR="00000000" w:rsidRPr="00000000">
        <w:rPr>
          <w:rtl w:val="0"/>
        </w:rPr>
        <w:t xml:space="preserve">Armazenamento e vetorização no banco de dados</w:t>
      </w:r>
    </w:p>
    <w:p w:rsidR="00000000" w:rsidDel="00000000" w:rsidP="00000000" w:rsidRDefault="00000000" w:rsidRPr="00000000" w14:paraId="000000C4">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Ingestão em escala: entre fevereiro e março de 2026, o banco vetorial Qdrant foi populado com mais de 150 PDFs científicos do corpus SB100, com média aproximada de 30 documentos ingeridos por dia. Cada documento gera entre 15 e 80 chunks dependendo do tamanho, resultando em milhares de pontos vetoriais indexados. O controle de duplicatas via indexados.json garante idempotência do pipeline, permitindo reexecuções sem risco de reingestão. Cada ponto armazenado carrega payload bibliográfico completo obtido via API de curadoria, assegurando rastreabilidade total entre vetor e fonte científica original.</w:t>
      </w:r>
    </w:p>
    <w:p w:rsidR="00000000" w:rsidDel="00000000" w:rsidP="00000000" w:rsidRDefault="00000000" w:rsidRPr="00000000" w14:paraId="000000C5">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Filtro de imagens por análise visual (OpenCV 3 camadas): para evitar o envio de imagens irrelevantes (ícones, logos, cabeçalhos gráficos) à API de descrição operação com custo direto em tokens foi implementado um classificador visual de três camadas baseado em OpenCV:</w:t>
      </w:r>
    </w:p>
    <w:p w:rsidR="00000000" w:rsidDel="00000000" w:rsidP="00000000" w:rsidRDefault="00000000" w:rsidRPr="00000000" w14:paraId="000000C6">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Camada 1 — Detecção de cor: pixels com saturação HSV superior a 40 e valor entre 50 e 240 são identificados como elementos coloridos. Se mais de 1,5% da área da página apresenta cor, a página é classificada como contendo figura. Gráficos de barras, linhas e pizza tipicamente passam nesta camada; texto e logos preto-e-branco são descartados aqui.</w:t>
      </w:r>
    </w:p>
    <w:p w:rsidR="00000000" w:rsidDel="00000000" w:rsidP="00000000" w:rsidRDefault="00000000" w:rsidRPr="00000000" w14:paraId="000000C7">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Camada 2 — Densidade de preenchimento por blob: para figuras preto-e-branco, a página binarizada é dilatada morfologicamente para fundir elementos de uma mesma figura. Cada blob resultante com área superior a 3% da página é avaliado pela razão de pixels preenchidos em relação à área do blob (fill density). Valores inferiores a 13% indicam texto esparso ou caixas vazias e são descartados; valores superiores indicam linhas, eixos ou pontos característicos de figuras científicas.</w:t>
      </w:r>
    </w:p>
    <w:p w:rsidR="00000000" w:rsidDel="00000000" w:rsidP="00000000" w:rsidRDefault="00000000" w:rsidRPr="00000000" w14:paraId="000000C8">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Camada 3 — Direção de bordas (Sobel): blobs que passam na camada 2 são avaliados pela razão entre energia de bordas horizontais e verticais. Texto puro apresenta razão superior a 2,0 (linhas de base das letras dominam). Figuras científicas apresentam bordas distribuídas em múltiplas direções (razão inferior a 2,0). Apenas blobs que passam em densidade e direção são considerados figuras reais.</w:t>
      </w:r>
    </w:p>
    <w:p w:rsidR="00000000" w:rsidDel="00000000" w:rsidP="00000000" w:rsidRDefault="00000000" w:rsidRPr="00000000" w14:paraId="000000C9">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Páginas que não passam no filtro têm seus arquivos PNG removidos imediatamente, evitando armazenamento desnecessário. Para as páginas aprovadas, metadados bibliográficos e contexto textual anterior à figura (últimos 800 caracteres na ordem de leitura do Docling) são preservados em arquivo JSON auxiliar.</w:t>
      </w:r>
    </w:p>
    <w:p w:rsidR="00000000" w:rsidDel="00000000" w:rsidP="00000000" w:rsidRDefault="00000000" w:rsidRPr="00000000" w14:paraId="000000CA">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Integração com API Gemini para descrição de imagens: com base nos resultados de PlotGen (Goswami et al., 2025) e MatPlotAgent (Yang et al., 2024), que demonstram superioridade de APIs de visão pagas em tarefas de interpretação de gráficos científicos em comparação a modelos locais, o pipeline v2 está sendo integrado à API Gemini para geração de descrições textuais das figuras aprovadas pelo filtro OpenCV. A integração está em fase de implementação, com resultados preliminares indicando que a combinação filtro-OpenCV + Gemini reduz significativamente o número de chamadas à API sem sacrifício de cobertura de figuras relevantes, otimizando o custo operacional da etapa multimodal.</w:t>
      </w:r>
    </w:p>
    <w:p w:rsidR="00000000" w:rsidDel="00000000" w:rsidP="00000000" w:rsidRDefault="00000000" w:rsidRPr="00000000" w14:paraId="000000CB">
      <w:pPr>
        <w:pStyle w:val="Heading1"/>
        <w:numPr>
          <w:ilvl w:val="0"/>
          <w:numId w:val="4"/>
        </w:numPr>
        <w:ind w:left="432" w:hanging="432"/>
        <w:rPr/>
      </w:pPr>
      <w:bookmarkStart w:colFirst="0" w:colLast="0" w:name="_heading=h.f608vycbsurv" w:id="25"/>
      <w:bookmarkEnd w:id="25"/>
      <w:r w:rsidDel="00000000" w:rsidR="00000000" w:rsidRPr="00000000">
        <w:rPr>
          <w:rtl w:val="0"/>
        </w:rPr>
        <w:t xml:space="preserve">Conclusões </w:t>
      </w:r>
    </w:p>
    <w:p w:rsidR="00000000" w:rsidDel="00000000" w:rsidP="00000000" w:rsidRDefault="00000000" w:rsidRPr="00000000" w14:paraId="000000CC">
      <w:pPr>
        <w:pStyle w:val="Heading2"/>
        <w:numPr>
          <w:ilvl w:val="1"/>
          <w:numId w:val="4"/>
        </w:numPr>
        <w:ind w:left="576" w:hanging="576"/>
        <w:rPr/>
      </w:pPr>
      <w:bookmarkStart w:colFirst="0" w:colLast="0" w:name="_heading=h.ks3q8sxl0u88" w:id="26"/>
      <w:bookmarkEnd w:id="26"/>
      <w:r w:rsidDel="00000000" w:rsidR="00000000" w:rsidRPr="00000000">
        <w:rPr>
          <w:rtl w:val="0"/>
        </w:rPr>
        <w:t xml:space="preserve">Discussão sobre os resultados</w:t>
      </w:r>
    </w:p>
    <w:p w:rsidR="00000000" w:rsidDel="00000000" w:rsidP="00000000" w:rsidRDefault="00000000" w:rsidRPr="00000000" w14:paraId="000000CD">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 resultados obtidos entre fevereiro e março de 2026 pela Squad 02 consolidam a infraestrutura de ingestão vetorial do SB100 em três dimensões complementares.</w:t>
      </w:r>
    </w:p>
    <w:p w:rsidR="00000000" w:rsidDel="00000000" w:rsidP="00000000" w:rsidRDefault="00000000" w:rsidRPr="00000000" w14:paraId="000000CE">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primeira é a escala operacional: a população de mais de 150 PDFs com ingestão contínua demonstra que o pipeline v2 é estável o suficiente para operação em produção. A arquitetura híbrida adotada detalhada na seção 3.2.7 combina embedding denso e esparso em um índice que suporta tanto recuperação por similaridade semântica quanto por correspondência lexical, essencial para termos técnicos agronômicos com baixa frequência nos corpora de pré-treinamento.</w:t>
      </w:r>
    </w:p>
    <w:p w:rsidR="00000000" w:rsidDel="00000000" w:rsidP="00000000" w:rsidRDefault="00000000" w:rsidRPr="00000000" w14:paraId="000000CF">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segunda é a qualidade dos metadados: a integração com a API de curadoria da Squad 01 garante que cada vetor carrega proveniência bibliográfica completa. Isso habilita, no lado do LLM (Squad 04), a geração de respostas com citações verificáveis requisito central para a credibilidade científica do SB100.</w:t>
      </w:r>
    </w:p>
    <w:p w:rsidR="00000000" w:rsidDel="00000000" w:rsidP="00000000" w:rsidRDefault="00000000" w:rsidRPr="00000000" w14:paraId="000000D0">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terceira é a extensão multimodal: a implementação do filtro visual descrito na seção 4.5 endereça um problema não resolvido no pipeline original a ausência de discriminação entre imagens relevantes e ruído visual. A abordagem adotada está fundamentada em evidências da literatura (Goswami et al., 2025; Yang et al., 2024) que validam o uso de APIs de visão comerciais para descrição de figuras científicas.</w:t>
      </w:r>
    </w:p>
    <w:p w:rsidR="00000000" w:rsidDel="00000000" w:rsidP="00000000" w:rsidRDefault="00000000" w:rsidRPr="00000000" w14:paraId="000000D1">
      <w:pPr>
        <w:pStyle w:val="Heading2"/>
        <w:numPr>
          <w:ilvl w:val="1"/>
          <w:numId w:val="4"/>
        </w:numPr>
        <w:ind w:left="576" w:hanging="576"/>
        <w:rPr/>
      </w:pPr>
      <w:bookmarkStart w:colFirst="0" w:colLast="0" w:name="_heading=h.k56pnep1h4h" w:id="27"/>
      <w:bookmarkEnd w:id="27"/>
      <w:r w:rsidDel="00000000" w:rsidR="00000000" w:rsidRPr="00000000">
        <w:rPr>
          <w:rtl w:val="0"/>
        </w:rPr>
        <w:t xml:space="preserve">Trabalhos para a próxima fase</w:t>
      </w:r>
    </w:p>
    <w:p w:rsidR="00000000" w:rsidDel="00000000" w:rsidP="00000000" w:rsidRDefault="00000000" w:rsidRPr="00000000" w14:paraId="000000D2">
      <w:pPr>
        <w:spacing w:after="280" w:before="280" w:line="24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 base no estado atual do pipeline e nas limitações identificadas, os seguintes trabalhos são prioritários para a continuidade da Squad 02:</w:t>
      </w:r>
    </w:p>
    <w:p w:rsidR="00000000" w:rsidDel="00000000" w:rsidP="00000000" w:rsidRDefault="00000000" w:rsidRPr="00000000" w14:paraId="000000D3">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Conclusão da integração Gemini: finalizar o módulo de descrição automática de figuras via API Gemini e integrar as descrições geradas ao fluxo de vetorização, permitindo que o conteúdo visual dos PDFs seja recuperado semanticamente pelo LLM;</w:t>
      </w:r>
    </w:p>
    <w:p w:rsidR="00000000" w:rsidDel="00000000" w:rsidP="00000000" w:rsidRDefault="00000000" w:rsidRPr="00000000" w14:paraId="000000D4">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Avaliação comparativa dos bancos de chunking: executar baterias de consultas reais sobre os bancos de 512 e 1024 caracteres, em colaboração com a Squad 04, para determinar empiricamente qual configuração produz maior precisão e revocação nas respostas do SB100;</w:t>
      </w:r>
    </w:p>
    <w:p w:rsidR="00000000" w:rsidDel="00000000" w:rsidP="00000000" w:rsidRDefault="00000000" w:rsidRPr="00000000" w14:paraId="000000D5">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Avaliação de chunking semântico: investigar a viabilidade de substituir o chunking por caracteres fixos por uma abordagem guiada por LLM, na qual um agente determina os pontos de corte com base na coerência semântica do conteúdo. O objetivo é quantificar o ganho de qualidade na recuperação em relação ao custo adicional por chamada de API, subsidiando uma decisão fundamentada sobre a adoção em produção;</w:t>
      </w:r>
    </w:p>
    <w:p w:rsidR="00000000" w:rsidDel="00000000" w:rsidP="00000000" w:rsidRDefault="00000000" w:rsidRPr="00000000" w14:paraId="000000D6">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Aprimoramento do filtro de imagens: o classificador OpenCV atual ainda apresenta falsos positivos (ícones coloridos) e falsos negativos (gráficos simples preto-e-branco). A fase 2 prevê o uso da API Gemini como camada de validação adicional, reduzindo a taxa de erro sem custo proporcional;</w:t>
      </w:r>
    </w:p>
    <w:p w:rsidR="00000000" w:rsidDel="00000000" w:rsidP="00000000" w:rsidRDefault="00000000" w:rsidRPr="00000000" w14:paraId="000000D7">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Vetorização de tabelas como linguagem natural: avaliar a estratégia de dupla vetorização de tabelas formato Markdown para preservação estrutural e linguagem natural para melhoria da recuperação semântica como alternativa à abordagem atual de Markdown puro;</w:t>
      </w:r>
    </w:p>
    <w:p w:rsidR="00000000" w:rsidDel="00000000" w:rsidP="00000000" w:rsidRDefault="00000000" w:rsidRPr="00000000" w14:paraId="000000D8">
      <w:pPr>
        <w:numPr>
          <w:ilvl w:val="0"/>
          <w:numId w:val="2"/>
        </w:numPr>
        <w:spacing w:after="12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Documentação e reprodutibilidade: a documentação extensiva produzida no GitHub será complementada com instruções de reprodução do ambiente no Colab, incluindo versões fixas de dependências, para garantir que novos membros da equipe possam retomar o pipeline sem fricção.</w:t>
      </w:r>
    </w:p>
    <w:p w:rsidR="00000000" w:rsidDel="00000000" w:rsidP="00000000" w:rsidRDefault="00000000" w:rsidRPr="00000000" w14:paraId="000000D9">
      <w:pPr>
        <w:pStyle w:val="Heading1"/>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r>
    </w:p>
    <w:p w:rsidR="00000000" w:rsidDel="00000000" w:rsidP="00000000" w:rsidRDefault="00000000" w:rsidRPr="00000000" w14:paraId="000000DF">
      <w:pPr>
        <w:pStyle w:val="Heading1"/>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Referências</w:t>
      </w:r>
    </w:p>
    <w:p w:rsidR="00000000" w:rsidDel="00000000" w:rsidP="00000000" w:rsidRDefault="00000000" w:rsidRPr="00000000" w14:paraId="000000E8">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Gingras, Y. (2016). </w:t>
      </w:r>
      <w:r w:rsidDel="00000000" w:rsidR="00000000" w:rsidRPr="00000000">
        <w:rPr>
          <w:rFonts w:ascii="Times New Roman" w:cs="Times New Roman" w:eastAsia="Times New Roman" w:hAnsi="Times New Roman"/>
          <w:i w:val="1"/>
          <w:iCs w:val="1"/>
          <w:color w:val="000000"/>
          <w:sz w:val="24"/>
          <w:szCs w:val="24"/>
          <w:rtl w:val="0"/>
        </w:rPr>
        <w:t xml:space="preserve">Bibliometrics and Research Evaluation: Uses and Abuses</w:t>
      </w:r>
      <w:r w:rsidDel="00000000" w:rsidR="00000000" w:rsidRPr="00000000">
        <w:rPr>
          <w:rFonts w:ascii="Times New Roman" w:cs="Times New Roman" w:eastAsia="Times New Roman" w:hAnsi="Times New Roman"/>
          <w:color w:val="000000"/>
          <w:sz w:val="24"/>
          <w:szCs w:val="24"/>
          <w:rtl w:val="0"/>
        </w:rPr>
        <w:t xml:space="preserve">. MIT Press.</w:t>
      </w:r>
    </w:p>
    <w:p w:rsidR="00000000" w:rsidDel="00000000" w:rsidP="00000000" w:rsidRDefault="00000000" w:rsidRPr="00000000" w14:paraId="000000E9">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Johnson, J., Douze, M., &amp; Jégou, H. (2019). Billion-scale similarity search with GPUs. </w:t>
      </w:r>
      <w:r w:rsidDel="00000000" w:rsidR="00000000" w:rsidRPr="00000000">
        <w:rPr>
          <w:rFonts w:ascii="Times New Roman" w:cs="Times New Roman" w:eastAsia="Times New Roman" w:hAnsi="Times New Roman"/>
          <w:i w:val="1"/>
          <w:iCs w:val="1"/>
          <w:color w:val="000000"/>
          <w:sz w:val="24"/>
          <w:szCs w:val="24"/>
          <w:rtl w:val="0"/>
        </w:rPr>
        <w:t xml:space="preserve">IEEE Transactions on Big Data</w:t>
      </w:r>
      <w:r w:rsidDel="00000000" w:rsidR="00000000" w:rsidRPr="00000000">
        <w:rPr>
          <w:rFonts w:ascii="Times New Roman" w:cs="Times New Roman" w:eastAsia="Times New Roman" w:hAnsi="Times New Roman"/>
          <w:color w:val="000000"/>
          <w:sz w:val="24"/>
          <w:szCs w:val="24"/>
          <w:rtl w:val="0"/>
        </w:rPr>
        <w:t xml:space="preserve">, 7(3), 535–547.</w:t>
      </w:r>
    </w:p>
    <w:p w:rsidR="00000000" w:rsidDel="00000000" w:rsidP="00000000" w:rsidRDefault="00000000" w:rsidRPr="00000000" w14:paraId="000000EA">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Jung, D. et al. (2017). ChartDecoder: Generating textual and structured data from charts. </w:t>
      </w:r>
      <w:r w:rsidDel="00000000" w:rsidR="00000000" w:rsidRPr="00000000">
        <w:rPr>
          <w:rFonts w:ascii="Times New Roman" w:cs="Times New Roman" w:eastAsia="Times New Roman" w:hAnsi="Times New Roman"/>
          <w:i w:val="1"/>
          <w:iCs w:val="1"/>
          <w:color w:val="000000"/>
          <w:sz w:val="24"/>
          <w:szCs w:val="24"/>
          <w:rtl w:val="0"/>
        </w:rPr>
        <w:t xml:space="preserve">Proceedings of the 2017 ACM on Multimedia Conference</w:t>
      </w:r>
      <w:r w:rsidDel="00000000" w:rsidR="00000000" w:rsidRPr="00000000">
        <w:rPr>
          <w:rFonts w:ascii="Times New Roman" w:cs="Times New Roman" w:eastAsia="Times New Roman" w:hAnsi="Times New Roman"/>
          <w:color w:val="000000"/>
          <w:sz w:val="24"/>
          <w:szCs w:val="24"/>
          <w:rtl w:val="0"/>
        </w:rPr>
        <w:t xml:space="preserve">, 432–440.</w:t>
      </w:r>
    </w:p>
    <w:p w:rsidR="00000000" w:rsidDel="00000000" w:rsidP="00000000" w:rsidRDefault="00000000" w:rsidRPr="00000000" w14:paraId="000000EB">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Katti, H. et al. (2018). Chargrid: Towards understanding 2D documents. </w:t>
      </w:r>
      <w:r w:rsidDel="00000000" w:rsidR="00000000" w:rsidRPr="00000000">
        <w:rPr>
          <w:rFonts w:ascii="Times New Roman" w:cs="Times New Roman" w:eastAsia="Times New Roman" w:hAnsi="Times New Roman"/>
          <w:i w:val="1"/>
          <w:iCs w:val="1"/>
          <w:color w:val="000000"/>
          <w:sz w:val="24"/>
          <w:szCs w:val="24"/>
          <w:rtl w:val="0"/>
        </w:rPr>
        <w:t xml:space="preserve">arXiv preprint arXiv:1809.08799</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EC">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Kuznetsova, A. et al. (2020). The Open Images Dataset V4: Unified image classification, object detection, and visual relationship detection at scale. </w:t>
      </w:r>
      <w:r w:rsidDel="00000000" w:rsidR="00000000" w:rsidRPr="00000000">
        <w:rPr>
          <w:rFonts w:ascii="Times New Roman" w:cs="Times New Roman" w:eastAsia="Times New Roman" w:hAnsi="Times New Roman"/>
          <w:i w:val="1"/>
          <w:iCs w:val="1"/>
          <w:color w:val="000000"/>
          <w:sz w:val="24"/>
          <w:szCs w:val="24"/>
          <w:rtl w:val="0"/>
        </w:rPr>
        <w:t xml:space="preserve">IJCV</w:t>
      </w:r>
      <w:r w:rsidDel="00000000" w:rsidR="00000000" w:rsidRPr="00000000">
        <w:rPr>
          <w:rFonts w:ascii="Times New Roman" w:cs="Times New Roman" w:eastAsia="Times New Roman" w:hAnsi="Times New Roman"/>
          <w:color w:val="000000"/>
          <w:sz w:val="24"/>
          <w:szCs w:val="24"/>
          <w:rtl w:val="0"/>
        </w:rPr>
        <w:t xml:space="preserve">, 128, 1956–1981.</w:t>
      </w:r>
    </w:p>
    <w:p w:rsidR="00000000" w:rsidDel="00000000" w:rsidP="00000000" w:rsidRDefault="00000000" w:rsidRPr="00000000" w14:paraId="000000ED">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Lima, L. A., &amp; Velho, L. (2012). Conhecimento e informação: a cientometria em questão. </w:t>
      </w:r>
      <w:r w:rsidDel="00000000" w:rsidR="00000000" w:rsidRPr="00000000">
        <w:rPr>
          <w:rFonts w:ascii="Times New Roman" w:cs="Times New Roman" w:eastAsia="Times New Roman" w:hAnsi="Times New Roman"/>
          <w:i w:val="1"/>
          <w:iCs w:val="1"/>
          <w:color w:val="000000"/>
          <w:sz w:val="24"/>
          <w:szCs w:val="24"/>
          <w:rtl w:val="0"/>
        </w:rPr>
        <w:t xml:space="preserve">Transinformação</w:t>
      </w:r>
      <w:r w:rsidDel="00000000" w:rsidR="00000000" w:rsidRPr="00000000">
        <w:rPr>
          <w:rFonts w:ascii="Times New Roman" w:cs="Times New Roman" w:eastAsia="Times New Roman" w:hAnsi="Times New Roman"/>
          <w:color w:val="000000"/>
          <w:sz w:val="24"/>
          <w:szCs w:val="24"/>
          <w:rtl w:val="0"/>
        </w:rPr>
        <w:t xml:space="preserve">, 24(2), 159–168.</w:t>
      </w:r>
    </w:p>
    <w:p w:rsidR="00000000" w:rsidDel="00000000" w:rsidP="00000000" w:rsidRDefault="00000000" w:rsidRPr="00000000" w14:paraId="000000EE">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Radford, A. et al. (2021). Learning transferable visual models from natural language supervision. </w:t>
      </w:r>
      <w:r w:rsidDel="00000000" w:rsidR="00000000" w:rsidRPr="00000000">
        <w:rPr>
          <w:rFonts w:ascii="Times New Roman" w:cs="Times New Roman" w:eastAsia="Times New Roman" w:hAnsi="Times New Roman"/>
          <w:i w:val="1"/>
          <w:iCs w:val="1"/>
          <w:color w:val="000000"/>
          <w:sz w:val="24"/>
          <w:szCs w:val="24"/>
          <w:rtl w:val="0"/>
        </w:rPr>
        <w:t xml:space="preserve">ICML</w:t>
      </w:r>
      <w:r w:rsidDel="00000000" w:rsidR="00000000" w:rsidRPr="00000000">
        <w:rPr>
          <w:rFonts w:ascii="Times New Roman" w:cs="Times New Roman" w:eastAsia="Times New Roman" w:hAnsi="Times New Roman"/>
          <w:color w:val="000000"/>
          <w:sz w:val="24"/>
          <w:szCs w:val="24"/>
          <w:rtl w:val="0"/>
        </w:rPr>
        <w:t xml:space="preserve">. arXiv:2103.00020.</w:t>
      </w:r>
    </w:p>
    <w:p w:rsidR="00000000" w:rsidDel="00000000" w:rsidP="00000000" w:rsidRDefault="00000000" w:rsidRPr="00000000" w14:paraId="000000EF">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Reimers, N., &amp; Gurevych, I. (2019). Sentence-BERT: Sentence embeddings using Siamese BERT-networks. </w:t>
      </w:r>
      <w:r w:rsidDel="00000000" w:rsidR="00000000" w:rsidRPr="00000000">
        <w:rPr>
          <w:rFonts w:ascii="Times New Roman" w:cs="Times New Roman" w:eastAsia="Times New Roman" w:hAnsi="Times New Roman"/>
          <w:i w:val="1"/>
          <w:iCs w:val="1"/>
          <w:color w:val="000000"/>
          <w:sz w:val="24"/>
          <w:szCs w:val="24"/>
          <w:rtl w:val="0"/>
        </w:rPr>
        <w:t xml:space="preserve">EMNLP 2019</w:t>
      </w:r>
      <w:r w:rsidDel="00000000" w:rsidR="00000000" w:rsidRPr="00000000">
        <w:rPr>
          <w:rFonts w:ascii="Times New Roman" w:cs="Times New Roman" w:eastAsia="Times New Roman" w:hAnsi="Times New Roman"/>
          <w:color w:val="000000"/>
          <w:sz w:val="24"/>
          <w:szCs w:val="24"/>
          <w:rtl w:val="0"/>
        </w:rPr>
        <w:t xml:space="preserve">, 3982–3992.</w:t>
      </w:r>
    </w:p>
    <w:p w:rsidR="00000000" w:rsidDel="00000000" w:rsidP="00000000" w:rsidRDefault="00000000" w:rsidRPr="00000000" w14:paraId="000000F0">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Siegel, N. et al. (2020). Figure separation in scientific documents. </w:t>
      </w:r>
      <w:r w:rsidDel="00000000" w:rsidR="00000000" w:rsidRPr="00000000">
        <w:rPr>
          <w:rFonts w:ascii="Times New Roman" w:cs="Times New Roman" w:eastAsia="Times New Roman" w:hAnsi="Times New Roman"/>
          <w:i w:val="1"/>
          <w:iCs w:val="1"/>
          <w:color w:val="000000"/>
          <w:sz w:val="24"/>
          <w:szCs w:val="24"/>
          <w:rtl w:val="0"/>
        </w:rPr>
        <w:t xml:space="preserve">arXiv preprint arXiv:2002.09371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F1">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Smith, R. (2007). An overview of the Tesseract OCR engine. </w:t>
      </w:r>
      <w:r w:rsidDel="00000000" w:rsidR="00000000" w:rsidRPr="00000000">
        <w:rPr>
          <w:rFonts w:ascii="Times New Roman" w:cs="Times New Roman" w:eastAsia="Times New Roman" w:hAnsi="Times New Roman"/>
          <w:i w:val="1"/>
          <w:iCs w:val="1"/>
          <w:color w:val="000000"/>
          <w:sz w:val="24"/>
          <w:szCs w:val="24"/>
          <w:rtl w:val="0"/>
        </w:rPr>
        <w:t xml:space="preserve">ICDAR 2007</w:t>
      </w:r>
      <w:r w:rsidDel="00000000" w:rsidR="00000000" w:rsidRPr="00000000">
        <w:rPr>
          <w:rFonts w:ascii="Times New Roman" w:cs="Times New Roman" w:eastAsia="Times New Roman" w:hAnsi="Times New Roman"/>
          <w:color w:val="000000"/>
          <w:sz w:val="24"/>
          <w:szCs w:val="24"/>
          <w:rtl w:val="0"/>
        </w:rPr>
        <w:t xml:space="preserve">, 629–633.</w:t>
      </w:r>
    </w:p>
    <w:p w:rsidR="00000000" w:rsidDel="00000000" w:rsidP="00000000" w:rsidRDefault="00000000" w:rsidRPr="00000000" w14:paraId="000000F2">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Soto, J. (2020). Extracting tables from PDF documents using Camelot. </w:t>
      </w:r>
      <w:r w:rsidDel="00000000" w:rsidR="00000000" w:rsidRPr="00000000">
        <w:rPr>
          <w:rFonts w:ascii="Times New Roman" w:cs="Times New Roman" w:eastAsia="Times New Roman" w:hAnsi="Times New Roman"/>
          <w:i w:val="1"/>
          <w:iCs w:val="1"/>
          <w:color w:val="000000"/>
          <w:sz w:val="24"/>
          <w:szCs w:val="24"/>
          <w:rtl w:val="0"/>
        </w:rPr>
        <w:t xml:space="preserve">Medium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F3">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Zeng, Y., Liu, H., &amp; Sun, M. (2023). A survey on retrieval-augmented generation. </w:t>
      </w:r>
      <w:r w:rsidDel="00000000" w:rsidR="00000000" w:rsidRPr="00000000">
        <w:rPr>
          <w:rFonts w:ascii="Times New Roman" w:cs="Times New Roman" w:eastAsia="Times New Roman" w:hAnsi="Times New Roman"/>
          <w:i w:val="1"/>
          <w:iCs w:val="1"/>
          <w:color w:val="000000"/>
          <w:sz w:val="24"/>
          <w:szCs w:val="24"/>
          <w:rtl w:val="0"/>
        </w:rPr>
        <w:t xml:space="preserve">arXiv preprint arXiv:2301.00303</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F4">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COOK, Peter et al. </w:t>
      </w:r>
      <w:r w:rsidDel="00000000" w:rsidR="00000000" w:rsidRPr="00000000">
        <w:rPr>
          <w:rFonts w:ascii="Times New Roman" w:cs="Times New Roman" w:eastAsia="Times New Roman" w:hAnsi="Times New Roman"/>
          <w:b w:val="1"/>
          <w:bCs w:val="1"/>
          <w:rtl w:val="0"/>
        </w:rPr>
        <w:t xml:space="preserve">Artificial intelligence in agribusiness is growing in emerging markets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International Finance Corporation</w:t>
      </w:r>
      <w:r w:rsidDel="00000000" w:rsidR="00000000" w:rsidRPr="00000000">
        <w:rPr>
          <w:rFonts w:ascii="Times New Roman" w:cs="Times New Roman" w:eastAsia="Times New Roman" w:hAnsi="Times New Roman"/>
          <w:rtl w:val="0"/>
        </w:rPr>
        <w:t xml:space="preserve">, note, v. 82, 2020.</w:t>
      </w:r>
      <w:r w:rsidDel="00000000" w:rsidR="00000000" w:rsidRPr="00000000">
        <w:rPr>
          <w:rtl w:val="0"/>
        </w:rPr>
      </w:r>
    </w:p>
    <w:p w:rsidR="00000000" w:rsidDel="00000000" w:rsidP="00000000" w:rsidRDefault="00000000" w:rsidRPr="00000000" w14:paraId="000000F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Goswami, K., Mathur, P., Rossi, R., &amp; Dernoncourt, F. (2025). PlotGen: Multi-Agent LLM-based scientific data visualization via multimodal retrieval feedback. </w:t>
      </w:r>
      <w:r w:rsidDel="00000000" w:rsidR="00000000" w:rsidRPr="00000000">
        <w:rPr>
          <w:rFonts w:ascii="Times New Roman" w:cs="Times New Roman" w:eastAsia="Times New Roman" w:hAnsi="Times New Roman"/>
          <w:i w:val="1"/>
          <w:iCs w:val="1"/>
          <w:sz w:val="24"/>
          <w:szCs w:val="24"/>
          <w:rtl w:val="0"/>
        </w:rPr>
        <w:t xml:space="preserve">Proceedings of the ACM Web Conference 2025</w:t>
      </w:r>
      <w:r w:rsidDel="00000000" w:rsidR="00000000" w:rsidRPr="00000000">
        <w:rPr>
          <w:rFonts w:ascii="Times New Roman" w:cs="Times New Roman" w:eastAsia="Times New Roman" w:hAnsi="Times New Roman"/>
          <w:sz w:val="24"/>
          <w:szCs w:val="24"/>
          <w:rtl w:val="0"/>
        </w:rPr>
        <w:t xml:space="preserve">, 1672–1676.</w:t>
      </w:r>
    </w:p>
    <w:p w:rsidR="00000000" w:rsidDel="00000000" w:rsidP="00000000" w:rsidRDefault="00000000" w:rsidRPr="00000000" w14:paraId="000000F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Z., Zhou, Z., Wang, S., Cong, X., Han, X., Yan, Y., Liu, Z., Tan, Z., Liu, P., Yu, D., Liu, Z., Shi, X., &amp; Sun, M. (2024). MatPlotAgent: Method and evaluation for LLM-based agentic scientific data visualization. </w:t>
      </w:r>
      <w:r w:rsidDel="00000000" w:rsidR="00000000" w:rsidRPr="00000000">
        <w:rPr>
          <w:rFonts w:ascii="Times New Roman" w:cs="Times New Roman" w:eastAsia="Times New Roman" w:hAnsi="Times New Roman"/>
          <w:i w:val="1"/>
          <w:iCs w:val="1"/>
          <w:sz w:val="24"/>
          <w:szCs w:val="24"/>
          <w:rtl w:val="0"/>
        </w:rPr>
        <w:t xml:space="preserve">Findings of the Association for Computational Linguistics: ACL 2024</w:t>
      </w:r>
      <w:r w:rsidDel="00000000" w:rsidR="00000000" w:rsidRPr="00000000">
        <w:rPr>
          <w:rFonts w:ascii="Times New Roman" w:cs="Times New Roman" w:eastAsia="Times New Roman" w:hAnsi="Times New Roman"/>
          <w:sz w:val="24"/>
          <w:szCs w:val="24"/>
          <w:rtl w:val="0"/>
        </w:rPr>
        <w:t xml:space="preserve">, 11789–11804.</w:t>
      </w:r>
    </w:p>
    <w:p w:rsidR="00000000" w:rsidDel="00000000" w:rsidP="00000000" w:rsidRDefault="00000000" w:rsidRPr="00000000" w14:paraId="000000F7">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Bhat, S. R., Rudat, M., Spiekermann, J., &amp; Flores-Herr, N. (2025). </w:t>
      </w:r>
      <w:r w:rsidDel="00000000" w:rsidR="00000000" w:rsidRPr="00000000">
        <w:rPr>
          <w:rFonts w:ascii="Times New Roman" w:cs="Times New Roman" w:eastAsia="Times New Roman" w:hAnsi="Times New Roman"/>
          <w:i w:val="1"/>
          <w:iCs w:val="1"/>
          <w:sz w:val="24"/>
          <w:szCs w:val="24"/>
          <w:rtl w:val="0"/>
        </w:rPr>
        <w:t xml:space="preserve">Rethinking chunk size for long-document retrieval: A multi-dataset analysis</w:t>
      </w:r>
      <w:r w:rsidDel="00000000" w:rsidR="00000000" w:rsidRPr="00000000">
        <w:rPr>
          <w:rFonts w:ascii="Times New Roman" w:cs="Times New Roman" w:eastAsia="Times New Roman" w:hAnsi="Times New Roman"/>
          <w:sz w:val="24"/>
          <w:szCs w:val="24"/>
          <w:rtl w:val="0"/>
        </w:rPr>
        <w:t xml:space="preserve">. arXiv.</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https://arxiv.org/abs/2505.21700</w:t>
        </w:r>
      </w:hyperlink>
      <w:r w:rsidDel="00000000" w:rsidR="00000000" w:rsidRPr="00000000">
        <w:rPr>
          <w:rtl w:val="0"/>
        </w:rPr>
      </w:r>
    </w:p>
    <w:p w:rsidR="00000000" w:rsidDel="00000000" w:rsidP="00000000" w:rsidRDefault="00000000" w:rsidRPr="00000000" w14:paraId="000000F8">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Rethinking chunk size for long-document retrieval: A multi-dataset analysis. (2025).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https://arxiv.org/abs/2505.21700</w:t>
        </w:r>
      </w:hyperlink>
      <w:r w:rsidDel="00000000" w:rsidR="00000000" w:rsidRPr="00000000">
        <w:rPr>
          <w:rtl w:val="0"/>
        </w:rPr>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 R., Tu, R., &amp; Bao, F. (2024). </w:t>
      </w:r>
      <w:r w:rsidDel="00000000" w:rsidR="00000000" w:rsidRPr="00000000">
        <w:rPr>
          <w:rFonts w:ascii="Times New Roman" w:cs="Times New Roman" w:eastAsia="Times New Roman" w:hAnsi="Times New Roman"/>
          <w:i w:val="1"/>
          <w:iCs w:val="1"/>
          <w:sz w:val="24"/>
          <w:szCs w:val="24"/>
          <w:rtl w:val="0"/>
        </w:rPr>
        <w:t xml:space="preserve">Is semantic chunking worth the computational cost?</w:t>
      </w:r>
      <w:r w:rsidDel="00000000" w:rsidR="00000000" w:rsidRPr="00000000">
        <w:rPr>
          <w:rFonts w:ascii="Times New Roman" w:cs="Times New Roman" w:eastAsia="Times New Roman" w:hAnsi="Times New Roman"/>
          <w:sz w:val="24"/>
          <w:szCs w:val="24"/>
          <w:rtl w:val="0"/>
        </w:rPr>
        <w:t xml:space="preserve"> arXiv.</w:t>
      </w:r>
    </w:p>
    <w:p w:rsidR="00000000" w:rsidDel="00000000" w:rsidP="00000000" w:rsidRDefault="00000000" w:rsidRPr="00000000" w14:paraId="000000FA">
      <w:pPr>
        <w:spacing w:after="280" w:before="280" w:line="240" w:lineRule="auto"/>
        <w:ind w:firstLine="576"/>
        <w:jc w:val="both"/>
        <w:rPr>
          <w:rFonts w:ascii="Times New Roman" w:cs="Times New Roman" w:eastAsia="Times New Roman" w:hAnsi="Times New Roman"/>
          <w:i w:val="1"/>
          <w:iCs w:val="1"/>
          <w:sz w:val="24"/>
          <w:szCs w:val="24"/>
        </w:rPr>
      </w:pPr>
      <w:r w:rsidDel="00000000" w:rsidR="00000000" w:rsidRPr="00000000">
        <w:rPr>
          <w:rtl w:val="0"/>
        </w:rPr>
      </w:r>
    </w:p>
    <w:sectPr>
      <w:headerReference r:id="rId11" w:type="default"/>
      <w:headerReference r:id="rId12" w:type="first"/>
      <w:headerReference r:id="rId13" w:type="even"/>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widowControl w:val="1"/>
      <w:spacing w:after="120" w:before="120" w:line="36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widowControl w:val="1"/>
      <w:spacing w:after="120" w:before="120" w:line="360" w:lineRule="auto"/>
      <w:jc w:val="both"/>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432" w:right="0" w:hanging="432"/>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576" w:right="0" w:hanging="576"/>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720" w:right="0" w:hanging="720"/>
      <w:jc w:val="both"/>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864" w:right="0" w:hanging="864"/>
      <w:jc w:val="both"/>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1008" w:right="0" w:hanging="1008"/>
      <w:jc w:val="both"/>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1152" w:right="0" w:hanging="1152"/>
      <w:jc w:val="both"/>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pP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Hyperlink">
    <w:name w:val="Hyperlink"/>
    <w:rPr>
      <w:color w:val="000080"/>
      <w:u w:val="single"/>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normal1" w:default="1">
    <w:name w:val="normal1"/>
    <w:qFormat w:val="1"/>
    <w:pPr>
      <w:widowControl w:val="1"/>
      <w:bidi w:val="0"/>
      <w:spacing w:after="120" w:before="120" w:line="360" w:lineRule="auto"/>
      <w:jc w:val="both"/>
    </w:pPr>
    <w:rPr>
      <w:rFonts w:ascii="Arial" w:cs="Arial" w:eastAsia="Arial" w:hAnsi="Arial"/>
      <w:color w:val="auto"/>
      <w:kern w:val="0"/>
      <w:sz w:val="22"/>
      <w:szCs w:val="22"/>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arxiv.org/abs/2505.21700"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5.217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xiv.org/abs/2505.21700" TargetMode="External"/><Relationship Id="rId8" Type="http://schemas.openxmlformats.org/officeDocument/2006/relationships/hyperlink" Target="https://arxiv.org/abs/2505.217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sPpJD/A7cMWlSbGRtEexjSmMw==">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0x010100BF24479115BB104B860E2EEE019851B8</vt:lpwstr>
  </property>
</Properties>
</file>