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lang w:val="en-US" w:eastAsia="zh-CN"/>
        </w:rPr>
      </w:pPr>
      <w:r>
        <w:rPr>
          <w:lang w:val="en-US" w:eastAsia="zh-CN"/>
        </w:rPr>
        <w:t>Cost-sensitive Regularization for Label Confusion-aware Event Detection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代价敏感学习：其实就是按照一定规则调整损失函数。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井号代表数字。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59070" cy="717550"/>
            <wp:effectExtent l="0" t="0" r="1778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 r="169" b="5439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59070" cy="920115"/>
            <wp:effectExtent l="0" t="0" r="1778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t="7471" r="169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9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考虑yi认成yj太多就多加损失。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1D5700"/>
    <w:rsid w:val="20957DFC"/>
    <w:rsid w:val="3C0160FB"/>
    <w:rsid w:val="436A261A"/>
    <w:rsid w:val="46090995"/>
    <w:rsid w:val="7B89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2019-10-18T03:03:00Z</dcterms:created>
  <dc:creator>10982</dc:creator>
  <cp:lastModifiedBy>R-craft</cp:lastModifiedBy>
  <dcterms:modified xsi:type="dcterms:W3CDTF">2019-10-21T02:23:06Z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