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 que hacemos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Beneficios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Preguntas frecuentes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debes más 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$50,000mxn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tu deuda es con BANCOS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tenemos la solución para ti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00000000002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2.3076923076926"/>
        <w:gridCol w:w="4555.384615384616"/>
        <w:gridCol w:w="1952.3076923076926"/>
        <w:tblGridChange w:id="0">
          <w:tblGrid>
            <w:gridCol w:w="1952.3076923076926"/>
            <w:gridCol w:w="4555.384615384616"/>
            <w:gridCol w:w="1952.3076923076926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ff670a"/>
                <w:sz w:val="36"/>
                <w:szCs w:val="36"/>
                <w:rtl w:val="0"/>
              </w:rPr>
              <w:t xml:space="preserve">Envíanos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36"/>
                <w:szCs w:val="36"/>
                <w:rtl w:val="0"/>
              </w:rPr>
              <w:t xml:space="preserve"> tu información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Recuerda que únicamente podemos negociar deudas mayores a $50,000 con bancos (tarjetas de crédito, préstamos personales y préstamos de nómina).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Nombre completo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Correo electrónico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Celular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Código postal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¿Cuánto debes?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-None- De $50 000 a $150 000 De $150 000 a 450 000 Más de $450 000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Estado de Posible cliente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-None- Sin contactar Contactar más tarde Trabajando Reasignados No contesta Menos de 30 mil Basura Crédito no negociable Perdido Junk Lead Not Qualified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rtl w:val="0"/>
              </w:rPr>
              <w:t xml:space="preserve">Fuente de Posible cliente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-None- Correo electrónico Facebook Facebook Registro Facebook Registro 2 Google Twitter Google+ Landing Partner Referenciado Teléfono Twiter Web Control1 Web Control2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5" w:line="280" w:lineRule="auto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Acepto la política de 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ff670a"/>
                  <w:sz w:val="18"/>
                  <w:szCs w:val="18"/>
                  <w:u w:val="single"/>
                  <w:vertAlign w:val="baseline"/>
                  <w:rtl w:val="0"/>
                </w:rPr>
                <w:t xml:space="preserve">Aviso de privacidad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 y los Términos de servicio.</w:t>
            </w:r>
          </w:p>
        </w:tc>
      </w:tr>
      <w:tr>
        <w:tc>
          <w:tcPr>
            <w:gridSpan w:val="2"/>
            <w:shd w:fill="auto" w:val="clear"/>
            <w:tcMar>
              <w:top w:w="225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Planes adecuados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Creamos un plan de pagos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adecuados a ti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Negociación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Negociamos con el banco para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reducir la deuda hasta un 80%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Profesionales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 ofrecemos asesoría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profesional y personalizada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¿Cómo lo hacemos?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Analizamos tu deuda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Negociamos con el banco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Liquidamos tu deuda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TE BRINDAMOS SEGURO DE PROTECCIÓN JURÍDICA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 liberamos de: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Deudas a tarjetas de crédito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Crédito personal bancario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Deudas a tarjetas departamentales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Siempre y cuando estén regidos por bancos de México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Quiero liquidar mi deuda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Deja tus deudas en nuestras manos. Libérate de ellas.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525" cy="9525"/>
            <wp:effectExtent b="0" l="0" r="0" t="0"/>
            <wp:docPr id="10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://docs.google.com/index#ancla4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index#ancla2" TargetMode="External"/><Relationship Id="rId23" Type="http://schemas.openxmlformats.org/officeDocument/2006/relationships/hyperlink" Target="http://docs.google.com/index#ancl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#ancla3" TargetMode="External"/><Relationship Id="rId25" Type="http://schemas.openxmlformats.org/officeDocument/2006/relationships/image" Target="media/image10.gif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docs.google.com/index" TargetMode="External"/><Relationship Id="rId8" Type="http://schemas.openxmlformats.org/officeDocument/2006/relationships/hyperlink" Target="http://docs.google.com/index#ancla2" TargetMode="External"/><Relationship Id="rId11" Type="http://schemas.openxmlformats.org/officeDocument/2006/relationships/hyperlink" Target="http://docs.google.com/preguntas-frecuentes" TargetMode="External"/><Relationship Id="rId10" Type="http://schemas.openxmlformats.org/officeDocument/2006/relationships/hyperlink" Target="http://docs.google.com/index#ancla4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docs.google.com/blo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controldedeuda.mx/aviso-de-privacidad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