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.2336448598132"/>
        <w:gridCol w:w="4495.327102803738"/>
        <w:gridCol w:w="3139.4392523364486"/>
        <w:tblGridChange w:id="0">
          <w:tblGrid>
            <w:gridCol w:w="1725.2336448598132"/>
            <w:gridCol w:w="4495.327102803738"/>
            <w:gridCol w:w="3139.439252336448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Brief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Fugl-Meyer Assessment (Lower Extremity)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 quantitative, performance-based scale that evaluates motor functioning, balance, sensation, and joint functioning in the lower limbs.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To assess motor recovery and track progress over time, especially after a stroke.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Modified Ashworth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 clinical tool used to measure spasticity by assessing resistance during passive soft-tissue stretching.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To evaluate the severity of muscle tone and spasticity in affected limbs.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Motor Assessment Scale (MAS)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 functional performance-based assessment that evaluates a range of daily activities such as walking, sitting, and transfers.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To measure functional motor ability during tasks relevant to everyday living.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Barthel Index (BI)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 10-item scale assessing ability to perform basic activities of daily living (feeding, bathing, grooming, dressing, toileting, bowel/bladder control, mobility, transfers, stairs). Scores range from dependence to independence.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To measure functional status and independence, particularly physical functioning, in rehabilitation and care of older adults.</w:t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EQ-5D-3L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 standardized questionnaire with 5 dimensions (mobility, self-care, usual activities, pain/discomfort, anxiety/depression), each rated at 3 levels (no problems, some/moderate problems, extreme problems). Produces a single health utility score.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To assess overall health-related quality of life (HRQoL) and provide utility values for cost-effectiveness and QALY calculations in clinical and economic studies.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Activities of Daily Living (ADL)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 functional assessment measuring a person’s ability to independently perform essential self-care tasks such as eating, dressing, bathing, toileting, and mobility.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To determine the level of independence and need for assistance in everyday personal care and routine functioning.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