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d’ARNAC LA POSTE</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BP 339 - 87009 LIMOGES Cedex</w:t>
      </w:r>
    </w:p>
    <w:p>
      <w:pPr>
        <w:pStyle w:val="center"/>
      </w:pPr>
      <w:r>
        <w:rPr>
          <w:rStyle w:val="coord_contr"/>
        </w:rPr>
        <w:t xml:space="preserve">Tel : 05 55 30 08 54 - Fax : 05 55 30 08 64 - Site internet : cdg87.fr</w:t>
      </w:r>
    </w:p>
    <w:p>
      <w:r>
        <w:br w:type="page"/>
      </w:r>
    </w:p>
    <w:p>
      <w:pPr>
        <w:pStyle w:val="Heading3"/>
      </w:pPr>
      <w:bookmarkStart w:id="1" w:name="_Toc1"/>
      <w:r>
        <w:t>Informations contrôleur</w:t>
      </w:r>
      <w:bookmarkEnd w:id="1"/>
    </w:p>
    <w:p>
      <w:pPr/>
      <w:r>
        <w:rPr>
          <w:rStyle w:val="coord_audit"/>
        </w:rPr>
        <w:t xml:space="preserve">Frédéric ROUSSY</w:t>
      </w:r>
    </w:p>
    <w:p>
      <w:pPr/>
      <w:r>
        <w:rPr>
          <w:rStyle w:val="coord_audit"/>
        </w:rPr>
        <w:t xml:space="preserve">Agent Chargé de la Fonction d’Inspection</w:t>
      </w:r>
    </w:p>
    <w:p>
      <w:pPr/>
      <w:r>
        <w:rPr>
          <w:rStyle w:val="coord_audit"/>
        </w:rPr>
        <w:t xml:space="preserve">Pôle SST / Service Prévention</w:t>
      </w:r>
    </w:p>
    <w:p>
      <w:pPr/>
      <w:r>
        <w:rPr>
          <w:rStyle w:val="coord_audit"/>
        </w:rPr>
        <w:t xml:space="preserve">Tél fixe : 0555300863</w:t>
      </w:r>
    </w:p>
    <w:p>
      <w:pPr/>
      <w:r>
        <w:rPr>
          <w:rStyle w:val="coord_audit"/>
        </w:rPr>
        <w:t xml:space="preserve">Tél mobile : 0630078852</w:t>
      </w:r>
    </w:p>
    <w:p>
      <w:pPr/>
      <w:r>
        <w:rPr>
          <w:rStyle w:val="coord_audit"/>
        </w:rPr>
        <w:t xml:space="preserve">Email : frederic.roussy@cdg87.fr</w:t>
      </w:r>
    </w:p>
    <w:p/>
    <w:p>
      <w:pPr>
        <w:pStyle w:val="Heading3"/>
      </w:pPr>
      <w:bookmarkStart w:id="2" w:name="_Toc2"/>
      <w:r>
        <w:t>Coordonnées de la structure</w:t>
      </w:r>
      <w:bookmarkEnd w:id="2"/>
    </w:p>
    <w:p>
      <w:pPr/>
      <w:r>
        <w:rPr>
          <w:rStyle w:val="coord_audit"/>
        </w:rPr>
        <w:t xml:space="preserve">Commune d’ARNAC LA POSTE</w:t>
      </w:r>
    </w:p>
    <w:p>
      <w:pPr/>
      <w:r>
        <w:rPr>
          <w:rStyle w:val="coord_audit"/>
        </w:rPr>
        <w:t xml:space="preserve">2 place du champ de foire</w:t>
      </w:r>
    </w:p>
    <w:p>
      <w:pPr/>
      <w:r>
        <w:rPr>
          <w:rStyle w:val="coord_audit"/>
        </w:rPr>
        <w:t xml:space="preserve">87160</w:t>
      </w:r>
    </w:p>
    <w:p>
      <w:pPr/>
      <w:r>
        <w:rPr>
          <w:rStyle w:val="coord_audit"/>
        </w:rPr>
        <w:t xml:space="preserve">ARNAC LA POSTE</w:t>
      </w:r>
    </w:p>
    <w:p/>
    <w:p>
      <w:pPr>
        <w:pStyle w:val="Heading3"/>
      </w:pPr>
      <w:bookmarkStart w:id="3" w:name="_Toc3"/>
      <w:r>
        <w:t>Date du contrôle</w:t>
      </w:r>
      <w:bookmarkEnd w:id="3"/>
    </w:p>
    <w:p>
      <w:pPr/>
      <w:r>
        <w:rPr>
          <w:rStyle w:val="coord_audit"/>
        </w:rPr>
        <w:t xml:space="preserve">01/01/2000</w:t>
      </w:r>
    </w:p>
    <w:p/>
    <w:p>
      <w:pPr>
        <w:pStyle w:val="Heading3"/>
      </w:pPr>
      <w:bookmarkStart w:id="4" w:name="_Toc4"/>
      <w:r>
        <w:t>Diffusion du rapport</w:t>
      </w:r>
      <w:bookmarkEnd w:id="4"/>
    </w:p>
    <w:p>
      <w:pPr/>
      <w:r>
        <w:rPr>
          <w:rStyle w:val="coord_audit"/>
        </w:rPr>
        <w:t xml:space="preserve">Autorité territoriale de la structure</w:t>
      </w:r>
    </w:p>
    <w:p>
      <w:pPr/>
      <w:r>
        <w:rPr>
          <w:rStyle w:val="coord_audit"/>
        </w:rPr>
        <w:t xml:space="preserve">Président du CDG87</w:t>
      </w:r>
    </w:p>
    <w:p>
      <w:r>
        <w:br w:type="page"/>
      </w:r>
    </w:p>
    <w:p>
      <w:pPr>
        <w:pStyle w:val="Heading3"/>
      </w:pPr>
      <w:bookmarkStart w:id="5" w:name="_Toc5"/>
      <w:r>
        <w:t>Base réglementaire </w:t>
      </w:r>
      <w:bookmarkEnd w:id="5"/>
    </w:p>
    <w:p>
      <w:pPr/>
      <w:r>
        <w:rPr/>
        <w:t xml:space="preserve">La mission d’inspection est encadrée par le décret n° 85-603 du 10 juin 1985 modifié à l’article 5</w:t>
      </w:r>
    </w:p>
    <w:p>
      <w:pPr/>
      <w:r>
        <w:rPr/>
        <w:t xml:space="preserve">« Art. 5 - L'autorité territoriale désigne également, après avis du comité mentionné à l'article 39, le ou les agents qui sont chargés d'assurer une fonction d'inspection dans le domaine de l'hygiène et de la sécurité ou peut passer convention à cet effet avec le centre de gestion.</w:t>
      </w:r>
    </w:p>
    <w:p>
      <w:pPr/>
      <w:r>
        <w:rPr/>
        <w:t xml:space="preserve">Ces agents contrôlent les conditions d'application des règles d’hygiène et de sécurité et proposent à l'autorité territoriale compétente toute mesure qui leur paraît de nature à améliorer l'hygiène et la sécurité du travail et la prévention des risques professionnels. En cas d'urgence ils proposent à l'autorité territoriale les mesures immédiates qu'ils jugent nécessaires. L'autorité territoriale les informe des suites données à leurs propositions... »</w:t>
      </w:r>
    </w:p>
    <w:p/>
    <w:p/>
    <w:p/>
    <w:p/>
    <w:p/>
    <w:p/>
    <w:p/>
    <w:p/>
    <w:p/>
    <w:p>
      <w:pPr>
        <w:pStyle w:val="Heading3"/>
      </w:pPr>
      <w:bookmarkStart w:id="6" w:name="_Toc6"/>
      <w:r>
        <w:t>Objectifs visés par le CDG87</w:t>
      </w:r>
      <w:bookmarkEnd w:id="6"/>
    </w:p>
    <w:p>
      <w:pPr/>
      <w:r>
        <w:rPr/>
        <w:t xml:space="preserve">Il s'agit d'un diagnostic permettant d'apporter une appréciation extérieure et objective des difficultés rencontrées. Il n'a cependant pas pour objectif de recenser tous les risques de façon exhaustive, l'ensemble des activités ne pouvant être observé.</w:t>
      </w:r>
    </w:p>
    <w:p>
      <w:pPr/>
      <w:r>
        <w:rPr/>
        <w:t xml:space="preserve">Ce rapport vise à constituer un véritable outil d'aide à la décision permettant de planifier les investissements matériels et les ajustements organisationnels à réaliser.</w:t>
      </w:r>
    </w:p>
    <w:p>
      <w:pPr/>
      <w:r>
        <w:rPr/>
        <w:t xml:space="preserve">En effet, au-delà de l’aspect de conformité réglementaire ou de non-conformité, l’ensemble des points analysés est complété de diverses recommandations et de pistes de réflexion destinées aux acteurs de la prévention au sein de la structure.</w:t>
      </w:r>
    </w:p>
    <w:p>
      <w:pPr/>
      <w:r>
        <w:rPr/>
        <w:t xml:space="preserve">La mission d’inspection n’est pas une mission de conseil stricto sensu. Cependant, elle vise à aller au-delà d’un simple audit réglementaire afin de proposer à la collectivité un véritable outil d’aide à la décision grâce au rapport.</w:t>
      </w:r>
    </w:p>
    <w:p/>
    <w:p/>
    <w:p/>
    <w:p/>
    <w:p/>
    <w:p/>
    <w:p/>
    <w:p/>
    <w:p/>
    <w:p>
      <w:pPr>
        <w:pStyle w:val="Heading3"/>
      </w:pPr>
      <w:bookmarkStart w:id="7" w:name="_Toc7"/>
      <w:r>
        <w:t>Composition du rapport </w:t>
      </w:r>
      <w:bookmarkEnd w:id="7"/>
    </w:p>
    <w:p>
      <w:pPr/>
      <w:r>
        <w:rPr/>
        <w:t xml:space="preserve">Ce rapport est un instantané des conditions de santé et de sécurité dans lesquelles travaillent les agents de la structure. Basé sur une analyse organisationnelle et une visite des locaux, il permet d’avoir une vue d’ensemble des conditions d’application des règles d’hygiène et de sécurité dans la structure. Ce rapport ne prétend pas être exhaustif, toutes les situations de travail ne pouvant être abordées.</w:t>
      </w:r>
    </w:p>
    <w:p>
      <w:r>
        <w:br w:type="page"/>
      </w:r>
    </w:p>
    <w:p>
      <w:pPr>
        <w:pStyle w:val="center"/>
      </w:pPr>
      <w:r>
        <w:rPr>
          <w:rStyle w:val="title_partie"/>
        </w:rPr>
        <w:t xml:space="preserve">Lecture du rapport</w:t>
      </w:r>
    </w:p>
    <w:p/>
    <w:p>
      <w:pPr>
        <w:pStyle w:val="Heading3"/>
      </w:pPr>
      <w:bookmarkStart w:id="8" w:name="_Toc8"/>
      <w:r>
        <w:t>La grille de contrôle</w:t>
      </w:r>
      <w:bookmarkEnd w:id="8"/>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9" w:name="_Toc9"/>
      <w:r>
        <w:t>La conformité des contrôles</w:t>
      </w:r>
      <w:bookmarkEnd w:id="9"/>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recommandations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10" w:name="_Toc10"/>
      <w:r>
        <w:t>Principales remarques et propositions</w:t>
      </w:r>
      <w:bookmarkEnd w:id="10"/>
    </w:p>
    <w:p>
      <w:pPr/>
      <w:r>
        <w:rPr/>
        <w:t xml:space="preserve">Rétrospective des remarques les plus marquantes sur lesquelles des actions doivent être mises en œuvre et pour lesquelles le Comité doit être informé et un retour à l’ACFI doit être effectué.</w:t>
      </w:r>
    </w:p>
    <w:p/>
    <w:p>
      <w:pPr>
        <w:pStyle w:val="Heading3"/>
      </w:pPr>
      <w:bookmarkStart w:id="11" w:name="_Toc11"/>
      <w:r>
        <w:t>Le bilan des non-conformités</w:t>
      </w:r>
      <w:bookmarkEnd w:id="11"/>
    </w:p>
    <w:p>
      <w:pPr/>
      <w:r>
        <w:rPr/>
        <w:t xml:space="preserve">L'objectif étant de répertorier les non-conformités les plus fréquentes dans la partie organisationnelle, en fonction des bâtiments contrôlés et selon les familles de risques.</w:t>
      </w:r>
    </w:p>
    <w:p>
      <w:r>
        <w:br w:type="page"/>
      </w:r>
    </w:p>
    <w:p>
      <w:pPr>
        <w:pStyle w:val="center"/>
      </w:pPr>
      <w:r>
        <w:rPr>
          <w:rStyle w:val="title_partie"/>
        </w:rPr>
        <w:t xml:space="preserve">Organisationnel</w:t>
      </w:r>
    </w:p>
    <w:p>
      <w:r>
        <w:br w:type="page"/>
      </w:r>
    </w:p>
    <w:p>
      <w:pPr>
        <w:pStyle w:val="center"/>
      </w:pPr>
      <w:r>
        <w:rPr>
          <w:rStyle w:val="title_partie"/>
        </w:rPr>
        <w:t xml:space="preserve">Sur site</w:t>
      </w:r>
    </w:p>
    <w:p>
      <w:r>
        <w:br w:type="page"/>
      </w:r>
    </w:p>
    <w:p>
      <w:pPr/>
      <w:r>
        <w:rPr>
          <w:rStyle w:val="subtitle_p_garde"/>
        </w:rPr>
        <w:t xml:space="preserve">Bilan des non-conformités :</w:t>
      </w:r>
    </w:p>
    <w:p/>
    <w:p>
      <w:pPr/>
      <w:r>
        <w:pict>
          <v:shape id="_x0000_s1115"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organisationnel </w:t>
      </w:r>
    </w:p>
    <w:tbl>
      <w:tblGrid>
        <w:gridCol w:w="10000" w:type="dxa"/>
        <w:gridCol w:w="100" w:type="dxa"/>
      </w:tblGrid>
      <w:tblPr>
        <w:tblStyle w:val="myOwnTableStyle"/>
      </w:tblPr>
      <w:tr>
        <w:trPr/>
        <w:tc>
          <w:tcPr>
            <w:tcW w:w="10000" w:type="dxa"/>
          </w:tcPr>
          <w:p>
            <w:pPr>
              <w:pStyle w:val="tabPar"/>
            </w:pPr>
            <w:r>
              <w:rPr>
                <w:rStyle w:val="tabFont"/>
              </w:rPr>
              <w:t xml:space="preserve">Thème</w:t>
            </w:r>
          </w:p>
        </w:tc>
        <w:tc>
          <w:tcPr>
            <w:tcW w:w="100" w:type="dxa"/>
          </w:tcPr>
          <w:p>
            <w:pPr>
              <w:pStyle w:val="tabPar"/>
            </w:pPr>
            <w:r>
              <w:rPr>
                <w:rStyle w:val="tabFont"/>
              </w:rPr>
              <w:t xml:space="preserve">non-conformités</w:t>
            </w:r>
          </w:p>
        </w:tc>
      </w:tr>
    </w:tbl>
    <w:p/>
    <w:p>
      <w:pPr/>
      <w:r>
        <w:pict>
          <v:shape id="_x0000_s1120"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bâtiment </w:t>
      </w:r>
    </w:p>
    <w:tbl>
      <w:tblGrid>
        <w:gridCol w:w="10000" w:type="dxa"/>
        <w:gridCol w:w="100" w:type="dxa"/>
      </w:tblGrid>
      <w:tblPr>
        <w:tblStyle w:val="myOwnTableStyle"/>
      </w:tblPr>
      <w:tr>
        <w:trPr/>
        <w:tc>
          <w:tcPr>
            <w:tcW w:w="10000" w:type="dxa"/>
          </w:tcPr>
          <w:p>
            <w:pPr>
              <w:pStyle w:val="tabPar"/>
            </w:pPr>
            <w:r>
              <w:rPr>
                <w:rStyle w:val="tabFont"/>
              </w:rPr>
              <w:t xml:space="preserve">Bâtiment</w:t>
            </w:r>
          </w:p>
        </w:tc>
        <w:tc>
          <w:tcPr>
            <w:tcW w:w="100" w:type="dxa"/>
          </w:tcPr>
          <w:p>
            <w:pPr>
              <w:pStyle w:val="tabPar"/>
            </w:pPr>
            <w:r>
              <w:rPr>
                <w:rStyle w:val="tabFont"/>
              </w:rPr>
              <w:t xml:space="preserve">non-conformités</w:t>
            </w:r>
          </w:p>
        </w:tc>
      </w:tr>
    </w:tbl>
    <w:p/>
    <w:p>
      <w:pPr/>
      <w:r>
        <w:pict>
          <v:shape id="_x0000_s1125"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famille de risques </w:t>
      </w:r>
    </w:p>
    <w:tbl>
      <w:tblGrid>
        <w:gridCol w:w="10000" w:type="dxa"/>
        <w:gridCol w:w="100" w:type="dxa"/>
      </w:tblGrid>
      <w:tblPr>
        <w:tblStyle w:val="myOwnTableStyle"/>
      </w:tblPr>
      <w:tr>
        <w:trPr/>
        <w:tc>
          <w:tcPr>
            <w:tcW w:w="10000" w:type="dxa"/>
          </w:tcPr>
          <w:p>
            <w:pPr>
              <w:pStyle w:val="tabPar"/>
            </w:pPr>
            <w:r>
              <w:rPr>
                <w:rStyle w:val="tabFont"/>
              </w:rPr>
              <w:t xml:space="preserve">Famille de risques</w:t>
            </w:r>
          </w:p>
        </w:tc>
        <w:tc>
          <w:tcPr>
            <w:tcW w:w="100" w:type="dxa"/>
          </w:tcPr>
          <w:p>
            <w:pPr>
              <w:pStyle w:val="tabPar"/>
            </w:pPr>
            <w:r>
              <w:rPr>
                <w:rStyle w:val="tabFont"/>
              </w:rPr>
              <w:t xml:space="preserve">non-conformités</w:t>
            </w:r>
          </w:p>
        </w:tc>
      </w:tr>
    </w:tbl>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p>
      <w:r>
        <w:br w:type="page"/>
      </w:r>
    </w:p>
    <w:p>
      <w:pPr>
        <w:pStyle w:val="center"/>
      </w:pPr>
      <w:r>
        <w:rPr>
          <w:rStyle w:val="title_partie"/>
        </w:rPr>
        <w:t xml:space="preserve">Organisation</w:t>
      </w:r>
    </w:p>
    <w:p>
      <w:r>
        <w:br w:type="page"/>
      </w:r>
    </w:p>
    <w:p>
      <w:pPr>
        <w:pStyle w:val="center"/>
      </w:pPr>
      <w:r>
        <w:rPr>
          <w:rStyle w:val="title_partie"/>
        </w:rPr>
        <w:t xml:space="preserve">Sur site</w:t>
      </w:r>
    </w:p>
    <w:sectPr>
      <w:headerReference w:type="first" r:id="rId12"/>
      <w:footerReference w:type="default" r:id="rId13"/>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2018-01-15T13:51:03+00:00</dcterms:created>
  <dcterms:modified xsi:type="dcterms:W3CDTF">2018-01-15T13:51:03+00:00</dcterms:modified>
</cp:coreProperties>
</file>

<file path=docProps/custom.xml><?xml version="1.0" encoding="utf-8"?>
<Properties xmlns="http://schemas.openxmlformats.org/officeDocument/2006/custom-properties" xmlns:vt="http://schemas.openxmlformats.org/officeDocument/2006/docPropsVTypes"/>
</file>