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d’ARNAC LA POSTE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- 87009 LIMOGESCedex</w:t>
      </w:r>
    </w:p>
    <w:p>
      <w:pPr>
        <w:pStyle w:val="center"/>
      </w:pPr>
      <w:r>
        <w:rPr>
          <w:rStyle w:val="coord_contr"/>
        </w:rPr>
        <w:t xml:space="preserve">Tel : 555300854 - Fax : 555300864 - Site internet : cdg87.fr</w:t>
      </w:r>
    </w:p>
    <w:p>
      <w:r>
        <w:br w:type="page"/>
      </w:r>
    </w:p>
    <w:p>
      <w:pPr>
        <w:pStyle w:val="Heading3"/>
      </w:pPr>
      <w:bookmarkStart w:id="1" w:name="_Toc1"/>
      <w:r>
        <w:t>Informations contrôleur</w:t>
      </w:r>
      <w:bookmarkEnd w:id="1"/>
    </w:p>
    <w:p>
      <w:pPr/>
      <w:r>
        <w:rPr>
          <w:rStyle w:val="coord_audit"/>
        </w:rPr>
        <w:t xml:space="preserve">Frédéric ROUSSY</w:t>
      </w:r>
    </w:p>
    <w:p>
      <w:pPr/>
      <w:r>
        <w:rPr>
          <w:rStyle w:val="coord_audit"/>
        </w:rPr>
        <w:t xml:space="preserve">Agent Chargé de la Fonction d’Inspection</w:t>
      </w:r>
    </w:p>
    <w:p>
      <w:pPr/>
      <w:r>
        <w:rPr>
          <w:rStyle w:val="coord_audit"/>
        </w:rPr>
        <w:t xml:space="preserve">Pôle SST / Service Prévention</w:t>
      </w:r>
    </w:p>
    <w:p>
      <w:pPr/>
      <w:r>
        <w:rPr>
          <w:rStyle w:val="coord_audit"/>
        </w:rPr>
        <w:t xml:space="preserve">Tél fixe : 0555300863</w:t>
      </w:r>
    </w:p>
    <w:p>
      <w:pPr/>
      <w:r>
        <w:rPr>
          <w:rStyle w:val="coord_audit"/>
        </w:rPr>
        <w:t xml:space="preserve">Tél mobile : 0630078852</w:t>
      </w:r>
    </w:p>
    <w:p>
      <w:pPr/>
      <w:r>
        <w:rPr>
          <w:rStyle w:val="coord_audit"/>
        </w:rPr>
        <w:t xml:space="preserve">Email : frederic.roussy@cdg87.fr</w:t>
      </w:r>
    </w:p>
    <w:p/>
    <w:p>
      <w:pPr>
        <w:pStyle w:val="Heading3"/>
      </w:pPr>
      <w:bookmarkStart w:id="2" w:name="_Toc2"/>
      <w:r>
        <w:t>Coordonnées de la structure</w:t>
      </w:r>
      <w:bookmarkEnd w:id="2"/>
    </w:p>
    <w:p>
      <w:pPr/>
      <w:r>
        <w:rPr>
          <w:rStyle w:val="coord_audit"/>
        </w:rPr>
        <w:t xml:space="preserve">Commune d’ARNAC LA POSTE</w:t>
      </w:r>
    </w:p>
    <w:p>
      <w:pPr/>
      <w:r>
        <w:rPr>
          <w:rStyle w:val="coord_audit"/>
        </w:rPr>
        <w:t xml:space="preserve">2 place du champ de foire</w:t>
      </w:r>
    </w:p>
    <w:p>
      <w:pPr/>
      <w:r>
        <w:rPr>
          <w:rStyle w:val="coord_audit"/>
        </w:rPr>
        <w:t xml:space="preserve">87160</w:t>
      </w:r>
    </w:p>
    <w:p>
      <w:pPr/>
      <w:r>
        <w:rPr>
          <w:rStyle w:val="coord_audit"/>
        </w:rPr>
        <w:t xml:space="preserve">ARNAC LA POSTE</w:t>
      </w:r>
    </w:p>
    <w:p/>
    <w:p>
      <w:pPr>
        <w:pStyle w:val="Heading3"/>
      </w:pPr>
      <w:bookmarkStart w:id="3" w:name="_Toc3"/>
      <w:r>
        <w:t>Date du contrôle</w:t>
      </w:r>
      <w:bookmarkEnd w:id="3"/>
    </w:p>
    <w:p>
      <w:pPr/>
      <w:r>
        <w:rPr>
          <w:rStyle w:val="coord_audit"/>
        </w:rPr>
        <w:t xml:space="preserve">01/01/2000</w:t>
      </w:r>
    </w:p>
    <w:p/>
    <w:p>
      <w:pPr>
        <w:pStyle w:val="Heading3"/>
      </w:pPr>
      <w:bookmarkStart w:id="4" w:name="_Toc4"/>
      <w:r>
        <w:t>Diffusion du rapport</w:t>
      </w:r>
      <w:bookmarkEnd w:id="4"/>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5" w:name="_Toc5"/>
      <w:r>
        <w:t>Base réglementaire </w:t>
      </w:r>
      <w:bookmarkEnd w:id="5"/>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6" w:name="_Toc6"/>
      <w:r>
        <w:t>Objectifs visés par le CDG87</w:t>
      </w:r>
      <w:bookmarkEnd w:id="6"/>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7" w:name="_Toc7"/>
      <w:r>
        <w:t>Composition du rapport </w:t>
      </w:r>
      <w:bookmarkEnd w:id="7"/>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8" w:name="_Toc8"/>
      <w:r>
        <w:t>La grille de contrôle</w:t>
      </w:r>
      <w:bookmarkEnd w:id="8"/>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9" w:name="_Toc9"/>
      <w:r>
        <w:t>La conformité des contrôles</w:t>
      </w:r>
      <w:bookmarkEnd w:id="9"/>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10" w:name="_Toc10"/>
      <w:r>
        <w:t>Principales remarques et propositions</w:t>
      </w:r>
      <w:bookmarkEnd w:id="10"/>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11" w:name="_Toc11"/>
      <w:r>
        <w:t>Le bilan des non-conformités</w:t>
      </w:r>
      <w:bookmarkEnd w:id="11"/>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r>
        <w:br w:type="page"/>
      </w:r>
    </w:p>
    <w:p>
      <w:pPr>
        <w:pStyle w:val="center"/>
      </w:pPr>
      <w:r>
        <w:rPr>
          <w:rStyle w:val="title_partie"/>
        </w:rPr>
        <w:t xml:space="preserve">Sur site</w:t>
      </w:r>
    </w:p>
    <w:p>
      <w:r>
        <w:br w:type="page"/>
      </w:r>
    </w:p>
    <w:p>
      <w:pPr/>
      <w:r>
        <w:rPr>
          <w:rStyle w:val="subtitle_p_garde"/>
        </w:rPr>
        <w:t xml:space="preserve">Bilan des non-conformités :</w:t>
      </w:r>
    </w:p>
    <w:p/>
    <w:p>
      <w:pPr/>
      <w:r>
        <w:pict>
          <v:shape id="_x0000_s1115"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bl>
    <w:p/>
    <w:p>
      <w:pPr/>
      <w:r>
        <w:pict>
          <v:shape id="_x0000_s1120"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bl>
    <w:p/>
    <w:p>
      <w:pPr/>
      <w:r>
        <w:pict>
          <v:shape id="_x0000_s1125"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p>
      <w:r>
        <w:br w:type="page"/>
      </w:r>
    </w:p>
    <w:p>
      <w:pPr>
        <w:pStyle w:val="center"/>
      </w:pPr>
      <w:r>
        <w:rPr>
          <w:rStyle w:val="title_partie"/>
        </w:rPr>
        <w:t xml:space="preserve">Suites donnees aux propositions</w:t>
      </w:r>
    </w:p>
    <w:p>
      <w:pPr>
        <w:pStyle w:val="introPstyle"/>
      </w:pPr>
      <w:r>
        <w:rPr>
          <w:rStyle w:val="introFstyle"/>
        </w:rPr>
        <w:t xml:space="preserve">Art-5: L'ACFI est informé par l'Autorité Territoriale des suites données à ses propositions.</w:t>
      </w:r>
    </w:p>
    <w:p>
      <w:pPr>
        <w:pStyle w:val="Heading3"/>
      </w:pPr>
      <w:bookmarkStart w:id="12" w:name="_Toc12"/>
      <w:r>
        <w:t>Organisation</w:t>
      </w:r>
      <w:bookmarkEnd w:id="12"/>
    </w:p>
    <w:p>
      <w:r>
        <w:br w:type="page"/>
      </w:r>
    </w:p>
    <w:p>
      <w:pPr>
        <w:pStyle w:val="Heading3"/>
      </w:pPr>
      <w:bookmarkStart w:id="13" w:name="_Toc13"/>
      <w:r>
        <w:t>Sur site</w:t>
      </w:r>
      <w:bookmarkEnd w:id="13"/>
    </w:p>
    <w:sectPr>
      <w:headerReference w:type="first" r:id="rId12"/>
      <w:footerReference w:type="default" r:id="rId13"/>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2018-01-16T09:49:05+00:00</dcterms:created>
  <dcterms:modified xsi:type="dcterms:W3CDTF">2018-01-16T09:49:05+00:00</dcterms:modified>
</cp:coreProperties>
</file>

<file path=docProps/custom.xml><?xml version="1.0" encoding="utf-8"?>
<Properties xmlns="http://schemas.openxmlformats.org/officeDocument/2006/custom-properties" xmlns:vt="http://schemas.openxmlformats.org/officeDocument/2006/docPropsVTypes"/>
</file>