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BELLAC</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- 87009 LIMOGES Cedex</w:t>
      </w:r>
    </w:p>
    <w:p>
      <w:pPr>
        <w:pStyle w:val="center"/>
      </w:pPr>
      <w:r>
        <w:rPr>
          <w:rStyle w:val="coord_contr"/>
        </w:rPr>
        <w:t xml:space="preserve">Tel : 0555300854 - Fax : 0555300864 - Site internet : cdg87.fr</w:t>
      </w:r>
    </w:p>
    <w:p>
      <w:r>
        <w:br w:type="page"/>
      </w:r>
    </w:p>
    <w:p>
      <w:pPr>
        <w:pStyle w:val="Heading3"/>
      </w:pPr>
      <w:bookmarkStart w:id="12" w:name="_Toc1"/>
      <w:r>
        <w:t>Informations contrôleur</w:t>
      </w:r>
      <w:bookmarkEnd w:id="12"/>
    </w:p>
    <w:p>
      <w:pPr/>
      <w:r>
        <w:rPr>
          <w:rStyle w:val="coord_audit"/>
        </w:rPr>
        <w:t xml:space="preserve">Didier LAMANT</w:t>
      </w:r>
    </w:p>
    <w:p>
      <w:pPr/>
      <w:r>
        <w:rPr>
          <w:rStyle w:val="coord_audit"/>
        </w:rPr>
        <w:t xml:space="preserve">Préventeur</w:t>
      </w:r>
    </w:p>
    <w:p>
      <w:pPr/>
      <w:r>
        <w:rPr>
          <w:rStyle w:val="coord_audit"/>
        </w:rPr>
        <w:t xml:space="preserve">Pôle SST / Service Prévention</w:t>
      </w:r>
    </w:p>
    <w:p>
      <w:pPr/>
      <w:r>
        <w:rPr>
          <w:rStyle w:val="coord_audit"/>
        </w:rPr>
        <w:t xml:space="preserve">Tél fixe : 0555300869</w:t>
      </w:r>
    </w:p>
    <w:p>
      <w:pPr/>
      <w:r>
        <w:rPr>
          <w:rStyle w:val="coord_audit"/>
        </w:rPr>
        <w:t xml:space="preserve">Tél mobile : </w:t>
      </w:r>
    </w:p>
    <w:p>
      <w:pPr/>
      <w:r>
        <w:rPr>
          <w:rStyle w:val="coord_audit"/>
        </w:rPr>
        <w:t xml:space="preserve">Email : didier.lamant@cdg87.fr</w:t>
      </w:r>
    </w:p>
    <w:p/>
    <w:p>
      <w:pPr>
        <w:pStyle w:val="Heading3"/>
      </w:pPr>
      <w:bookmarkStart w:id="13" w:name="_Toc2"/>
      <w:r>
        <w:t>Coordonnées de la structure</w:t>
      </w:r>
      <w:bookmarkEnd w:id="13"/>
    </w:p>
    <w:p>
      <w:pPr/>
      <w:r>
        <w:rPr>
          <w:rStyle w:val="coord_audit"/>
        </w:rPr>
        <w:t xml:space="preserve">Commune de BELLAC</w:t>
      </w:r>
    </w:p>
    <w:p>
      <w:pPr/>
      <w:r>
        <w:rPr>
          <w:rStyle w:val="coord_audit"/>
        </w:rPr>
        <w:t xml:space="preserve">14 place de la République</w:t>
      </w:r>
    </w:p>
    <w:p>
      <w:pPr/>
      <w:r>
        <w:rPr>
          <w:rStyle w:val="coord_audit"/>
        </w:rPr>
        <w:t xml:space="preserve">87300</w:t>
      </w:r>
    </w:p>
    <w:p>
      <w:pPr/>
      <w:r>
        <w:rPr>
          <w:rStyle w:val="coord_audit"/>
        </w:rPr>
        <w:t xml:space="preserve">BELLAC</w:t>
      </w:r>
    </w:p>
    <w:p/>
    <w:p>
      <w:pPr>
        <w:pStyle w:val="Heading3"/>
      </w:pPr>
      <w:bookmarkStart w:id="14" w:name="_Toc3"/>
      <w:r>
        <w:t>Date du contrôle</w:t>
      </w:r>
      <w:bookmarkEnd w:id="14"/>
    </w:p>
    <w:p>
      <w:pPr/>
      <w:r>
        <w:rPr>
          <w:rStyle w:val="coord_audit"/>
        </w:rPr>
        <w:t xml:space="preserve">01/01/2000</w:t>
      </w:r>
    </w:p>
    <w:p/>
    <w:p>
      <w:pPr>
        <w:pStyle w:val="Heading3"/>
      </w:pPr>
      <w:bookmarkStart w:id="15" w:name="_Toc4"/>
      <w:r>
        <w:t>Diffusion du rapport</w:t>
      </w:r>
      <w:bookmarkEnd w:id="15"/>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16" w:name="_Toc5"/>
      <w:r>
        <w:t>Base réglementaire </w:t>
      </w:r>
      <w:bookmarkEnd w:id="16"/>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17" w:name="_Toc6"/>
      <w:r>
        <w:t>Objectifs visés par le CDG87</w:t>
      </w:r>
      <w:bookmarkEnd w:id="17"/>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18" w:name="_Toc7"/>
      <w:r>
        <w:t>Composition du rapport </w:t>
      </w:r>
      <w:bookmarkEnd w:id="18"/>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19" w:name="_Toc8"/>
      <w:r>
        <w:t>La grille de contrôle</w:t>
      </w:r>
      <w:bookmarkEnd w:id="19"/>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20" w:name="_Toc9"/>
      <w:r>
        <w:t>La conformité des contrôles</w:t>
      </w:r>
      <w:bookmarkEnd w:id="20"/>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21" w:name="_Toc10"/>
      <w:r>
        <w:t>Principales remarques et propositions</w:t>
      </w:r>
      <w:bookmarkEnd w:id="21"/>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22" w:name="_Toc11"/>
      <w:r>
        <w:t>Le bilan des non-conformités</w:t>
      </w:r>
      <w:bookmarkEnd w:id="22"/>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pPr/>
      <w:r>
        <w:pict>
          <v:shape id="_x0000_s111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Assistant de prévention désigné</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w:r>
    </w:p>
    <w:p>
      <w:pPr>
        <w:pStyle w:val="st1"/>
      </w:pPr>
      <w:r>
        <w:rPr>
          <w:color w:val="776e6e"/>
          <w:sz w:val="24"/>
          <w:szCs w:val="24"/>
          <w:u w:val="single"/>
        </w:rPr>
        <w:t xml:space="preserve">Observations : </w:t>
      </w:r>
    </w:p>
    <w:p>
      <w:pPr>
        <w:pStyle w:val="center"/>
      </w:pPr>
      <w:r>
        <w:pict>
          <v:shape type="#_x0000_t75" style="width:100px; height:100px; margin-left:0px; margin-top:0px; mso-position-horizontal:left; mso-position-vertical:top; mso-position-horizontal-relative:char; mso-position-vertical-relative:line; z-index:2147483647;">
            <v:imagedata r:id="rId12" o:title=""/>
          </v:shape>
        </w:pict>
      </w:r>
    </w:p>
    <w:p>
      <w:pPr/>
      <w:r>
        <w:rPr>
          <w:rStyle w:val="obs_color_r"/>
        </w:rPr>
        <w:t xml:space="preserve">L’Autorité Territoriale n’a pas désigné d’agent sur la mission d'Assistant de Prévention.</w:t>
      </w:r>
    </w:p>
    <w:p>
      <w:pPr>
        <w:pStyle w:val="st1"/>
      </w:pPr>
      <w:r>
        <w:rPr>
          <w:color w:val="776e6e"/>
          <w:sz w:val="24"/>
          <w:szCs w:val="24"/>
          <w:u w:val="single"/>
        </w:rPr>
        <w:t xml:space="preserve">Propositions : </w:t>
      </w:r>
    </w:p>
    <w:p>
      <w:pPr/>
      <w:r>
        <w:rPr>
          <w:sz w:val="18"/>
          <w:szCs w:val="18"/>
        </w:rPr>
        <w:t xml:space="preserve">
          DESIGNATION:
          <w:br/>
          Désigner au moins un Assistant de prévention parmi les agents.
          <w:br/>
          L’assistant de prévention est désigné par l’autorité territoriale sous l’autorité de laquelle il exerce sa mission. Les assistants de prévention constituent le niveau de proximité du réseau des agents de prévention.
          <w:br/>
          Leur mission est d’assister l’autorité territoriale auprès de laquelle ils sont placés dans la mise en place d’une politique de prévention.
        </w:t>
      </w:r>
    </w:p>
    <w:p>
      <w:pPr/>
      <w:r>
        <w:rPr>
          <w:sz w:val="18"/>
          <w:szCs w:val="18"/>
        </w:rPr>
        <w:t xml:space="preserve"/>
      </w:r>
    </w:p>
    <w:p/>
    <w:p/>
    <w:p>
      <w:pPr/>
      <w:r>
        <w:pict>
          <v:shape id="_x0000_s112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Médecin de prévention</w:t>
      </w:r>
    </w:p>
    <w:p>
      <w:pPr>
        <w:pStyle w:val="st1"/>
      </w:pPr>
      <w:r>
        <w:rPr>
          <w:color w:val="17202a"/>
          <w:sz w:val="24"/>
          <w:szCs w:val="24"/>
          <w:b/>
          <w:shd w:val="clear" w:color="" w:fill="cacfd2"/>
        </w:rPr>
        <w:t xml:space="preserve">► Suivi médical des agents</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Les dispositions de l’article 2-1 du décret n° 85-603 précisent que les autorités territoriales sont chargées de veiller à la sécurité et à la protection de la santé des agents placés sous leur autorité.
          <w:br/>
          Art.20 du décret n°85-603 modifié.
          <w:br/>
          Les agents des collectivités et établissements mentionnés à l'article 1er bénéficient d'un examen médical périodique au minimum tous les deux ans. Dans cet intervalle, les agents qui le demandent bénéficient d'un examen médical supplémentaire.
          <w:br/>
          Pour les fonctionnaires territoriaux nommés dans plusieurs emplois permanents à temps non complet, cet examen médical se déroule dans la collectivité qui emploie le fonctionnaire pendant la quotité horaire hebdomadaire la plus longue.
        </w:t>
      </w:r>
    </w:p>
    <w:p>
      <w:pPr>
        <w:pStyle w:val="st1"/>
      </w:pPr>
      <w:r>
        <w:rPr>
          <w:color w:val="776e6e"/>
          <w:sz w:val="24"/>
          <w:szCs w:val="24"/>
          <w:u w:val="single"/>
        </w:rPr>
        <w:t xml:space="preserve">Observations : </w:t>
      </w:r>
    </w:p>
    <w:p>
      <w:pPr>
        <w:pStyle w:val="center"/>
      </w:pPr>
      <w:r>
        <w:pict>
          <v:shape type="#_x0000_t75" style="width:103.64583333333px; height:100px; margin-left:0px; margin-top:0px; mso-position-horizontal:left; mso-position-vertical:top; mso-position-horizontal-relative:char; mso-position-vertical-relative:line; z-index:2147483647;">
            <v:imagedata r:id="rId13" o:title=""/>
          </v:shape>
        </w:pict>
      </w:r>
    </w:p>
    <w:p>
      <w:pPr/>
      <w:r>
        <w:rPr>
          <w:rStyle w:val="obs_color_v"/>
        </w:rPr>
        <w:t xml:space="preserve">Il a été indiqué que les agents sont à jour de leur suivi médical.</w:t>
      </w:r>
    </w:p>
    <w:p>
      <w:pPr/>
      <w:r>
        <w:rPr>
          <w:sz w:val="18"/>
          <w:szCs w:val="18"/>
        </w:rPr>
        <w:t xml:space="preserve"/>
      </w:r>
    </w:p>
    <w:p/>
    <w:p/>
    <w:p>
      <w:pPr/>
      <w:r>
        <w:pict>
          <v:shape id="_x0000_s1136"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Mise à jour du DU</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R.4221-2  du CdT.
          <w:br/>
          La mise à jour du document unique d'évaluation des risques est réalisée :
          <w:br/>
          1° Au moins chaque année;
          <w:br/>
          2° Lors de toute décision d'aménagement important modifiant les conditions de santé et de sécurité ou les conditions de travail, au sens de l'article L. 4612-8 ;
          <w:br/>
          3° Lorsqu'une information supplémentaire intéressant l'évaluation d'un risque dans une unité de travail est recueillie.
        </w:t>
      </w:r>
    </w:p>
    <w:p>
      <w:pPr>
        <w:pStyle w:val="st1"/>
      </w:pPr>
      <w:r>
        <w:rPr>
          <w:color w:val="776e6e"/>
          <w:sz w:val="24"/>
          <w:szCs w:val="24"/>
          <w:u w:val="single"/>
        </w:rPr>
        <w:t xml:space="preserve">Observations : </w:t>
      </w:r>
    </w:p>
    <w:p>
      <w:pPr>
        <w:pStyle w:val="center"/>
      </w:pPr>
    </w:p>
    <w:p>
      <w:pPr/>
      <w:r>
        <w:rPr>
          <w:rStyle w:val="obs_color_v"/>
        </w:rPr>
        <w:t xml:space="preserve">Le document est mis à jour chaque fois que nécessaire et au moins tous les ans.</w:t>
      </w:r>
    </w:p>
    <w:p>
      <w:pPr/>
      <w:r>
        <w:rPr>
          <w:sz w:val="18"/>
          <w:szCs w:val="18"/>
        </w:rPr>
        <w:t xml:space="preserve"/>
      </w:r>
    </w:p>
    <w:p/>
    <w:p/>
    <w:p>
      <w:r>
        <w:br w:type="page"/>
      </w:r>
    </w:p>
    <w:p>
      <w:pPr/>
      <w:r>
        <w:rPr>
          <w:rStyle w:val="subtitle_p_garde"/>
        </w:rPr>
        <w:t xml:space="preserve">Bilan des non-conformités :</w:t>
      </w:r>
    </w:p>
    <w:p/>
    <w:p>
      <w:pPr/>
      <w:r>
        <w:pict>
          <v:shape id="_x0000_s1151"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r>
        <w:trPr/>
        <w:tc>
          <w:tcPr>
            <w:tcW w:w="10000" w:type="dxa"/>
          </w:tcPr>
          <w:p>
            <w:pPr/>
            <w:r>
              <w:rPr>
                <w:rStyle w:val="st1"/>
              </w:rPr>
              <w:t xml:space="preserve">Acteurs de la prévention</w:t>
            </w:r>
          </w:p>
        </w:tc>
        <w:tc>
          <w:tcPr>
            <w:tcW w:w="100" w:type="dxa"/>
          </w:tcPr>
          <w:p>
            <w:pPr/>
            <w:r>
              <w:rPr>
                <w:rStyle w:val="st1"/>
              </w:rPr>
              <w:t xml:space="preserve">1</w:t>
            </w:r>
          </w:p>
        </w:tc>
      </w:tr>
    </w:tbl>
    <w:p/>
    <w:p>
      <w:pPr/>
      <w:r>
        <w:pict>
          <v:shape id="_x0000_s1156" type="#_x0000_t32" style="width:600px; height:0px; margin-left:0px; margin-top:0px; mso-position-horizontal:left; mso-position-vertical:top; mso-position-horizontal-relative:char; mso-position-vertical-relative:line;">
            <w10:wrap type="inline"/>
            <v:stroke weight="2pt"/>
          </v:shape>
        </w:pict>
      </w:r>
    </w:p>
    <w:p/>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4"/>
      <w:footerReference w:type="default" r:id="rId15"/>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section_image1.jpg"/><Relationship Id="rId17" Type="http://schemas.openxmlformats.org/officeDocument/2006/relationships/image" Target="media/section_image2.png"/><Relationship Id="rId18" Type="http://schemas.openxmlformats.org/officeDocument/2006/relationships/image" Target="media/section_image3.png"/><Relationship Id="rId19" Type="http://schemas.openxmlformats.org/officeDocument/2006/relationships/image" Target="media/section_image4.png"/><Relationship Id="rId20" Type="http://schemas.openxmlformats.org/officeDocument/2006/relationships/image" Target="media/section_image5.png"/><Relationship Id="rId21" Type="http://schemas.openxmlformats.org/officeDocument/2006/relationships/image" Target="media/section_image6.jpg"/><Relationship Id="rId22" Type="http://schemas.openxmlformats.org/officeDocument/2006/relationships/image" Target="media/section_image7.png"/><Relationship Id="rId23" Type="http://schemas.openxmlformats.org/officeDocument/2006/relationships/header" Target="header1.xml"/><Relationship Id="rId2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2018-01-18T14:58:47+00:00</dcterms:created>
  <dcterms:modified xsi:type="dcterms:W3CDTF">2018-01-18T14:58:47+00:00</dcterms:modified>
</cp:coreProperties>
</file>

<file path=docProps/custom.xml><?xml version="1.0" encoding="utf-8"?>
<Properties xmlns="http://schemas.openxmlformats.org/officeDocument/2006/custom-properties" xmlns:vt="http://schemas.openxmlformats.org/officeDocument/2006/docPropsVTypes"/>
</file>